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2" w:type="dxa"/>
        <w:tblLook w:val="0000" w:firstRow="0" w:lastRow="0" w:firstColumn="0" w:lastColumn="0" w:noHBand="0" w:noVBand="0"/>
      </w:tblPr>
      <w:tblGrid>
        <w:gridCol w:w="2445"/>
        <w:gridCol w:w="6099"/>
        <w:gridCol w:w="2508"/>
      </w:tblGrid>
      <w:tr w:rsidR="00D97E21" w:rsidTr="001D4505">
        <w:tc>
          <w:tcPr>
            <w:tcW w:w="2445" w:type="dxa"/>
          </w:tcPr>
          <w:p w:rsidR="00D97E21" w:rsidRPr="006E1443" w:rsidRDefault="00D97E21" w:rsidP="00D97E21">
            <w:pPr>
              <w:ind w:right="-108"/>
              <w:rPr>
                <w:rFonts w:ascii="Book Antiqua" w:hAnsi="Book Antiqua" w:cs="Arial"/>
                <w:sz w:val="16"/>
                <w:szCs w:val="16"/>
              </w:rPr>
            </w:pPr>
            <w:r w:rsidRPr="006E1443">
              <w:rPr>
                <w:rFonts w:ascii="Book Antiqua" w:hAnsi="Book Antiqua" w:cs="Arial"/>
                <w:sz w:val="16"/>
                <w:szCs w:val="16"/>
              </w:rPr>
              <w:br w:type="page"/>
            </w:r>
          </w:p>
        </w:tc>
        <w:tc>
          <w:tcPr>
            <w:tcW w:w="6099" w:type="dxa"/>
          </w:tcPr>
          <w:p w:rsidR="00D97E21" w:rsidRDefault="00D97E21" w:rsidP="00D97E21">
            <w:pPr>
              <w:pStyle w:val="Heading1"/>
              <w:rPr>
                <w:rFonts w:ascii="Book Antiqua" w:hAnsi="Book Antiqua" w:cs="Arial"/>
                <w:sz w:val="18"/>
              </w:rPr>
            </w:pPr>
          </w:p>
          <w:p w:rsidR="00D97E21" w:rsidRDefault="00D97E21" w:rsidP="00D97E21">
            <w:pPr>
              <w:pStyle w:val="Heading1"/>
              <w:rPr>
                <w:rFonts w:ascii="Book Antiqua" w:hAnsi="Book Antiqua" w:cs="Arial"/>
                <w:sz w:val="18"/>
              </w:rPr>
            </w:pPr>
            <w:r>
              <w:rPr>
                <w:rFonts w:ascii="Book Antiqua" w:hAnsi="Book Antiqua" w:cs="Arial"/>
                <w:sz w:val="18"/>
              </w:rPr>
              <w:t xml:space="preserve">STATE OF </w:t>
            </w:r>
            <w:smartTag w:uri="urn:schemas-microsoft-com:office:smarttags" w:element="place">
              <w:smartTag w:uri="urn:schemas-microsoft-com:office:smarttags" w:element="State">
                <w:r>
                  <w:rPr>
                    <w:rFonts w:ascii="Book Antiqua" w:hAnsi="Book Antiqua" w:cs="Arial"/>
                    <w:sz w:val="18"/>
                  </w:rPr>
                  <w:t>TENNESSEE</w:t>
                </w:r>
              </w:smartTag>
            </w:smartTag>
          </w:p>
          <w:p w:rsidR="00D97E21" w:rsidRDefault="00D97E21" w:rsidP="00D97E21">
            <w:pPr>
              <w:rPr>
                <w:rFonts w:ascii="Book Antiqua" w:hAnsi="Book Antiqua" w:cs="Arial"/>
                <w:sz w:val="12"/>
              </w:rPr>
            </w:pPr>
          </w:p>
        </w:tc>
        <w:tc>
          <w:tcPr>
            <w:tcW w:w="2508" w:type="dxa"/>
          </w:tcPr>
          <w:p w:rsidR="00D97E21" w:rsidRDefault="00D97E21" w:rsidP="00D97E21">
            <w:pPr>
              <w:rPr>
                <w:rFonts w:ascii="Book Antiqua" w:hAnsi="Book Antiqua" w:cs="Arial"/>
              </w:rPr>
            </w:pPr>
          </w:p>
          <w:p w:rsidR="003C2C72" w:rsidRDefault="003C2C72" w:rsidP="00D97E21">
            <w:pPr>
              <w:rPr>
                <w:rFonts w:ascii="Book Antiqua" w:hAnsi="Book Antiqua" w:cs="Arial"/>
              </w:rPr>
            </w:pPr>
          </w:p>
          <w:p w:rsidR="003C2C72" w:rsidRDefault="003C2C72" w:rsidP="00D97E21">
            <w:pPr>
              <w:rPr>
                <w:rFonts w:ascii="Book Antiqua" w:hAnsi="Book Antiqua" w:cs="Arial"/>
              </w:rPr>
            </w:pPr>
          </w:p>
        </w:tc>
      </w:tr>
      <w:tr w:rsidR="00D97E21" w:rsidRPr="004564A3" w:rsidTr="001D4505">
        <w:trPr>
          <w:trHeight w:val="2820"/>
        </w:trPr>
        <w:tc>
          <w:tcPr>
            <w:tcW w:w="2445" w:type="dxa"/>
            <w:vAlign w:val="bottom"/>
          </w:tcPr>
          <w:p w:rsidR="00D97E21" w:rsidRPr="000F63A5" w:rsidRDefault="000F63A5" w:rsidP="001D4505">
            <w:pPr>
              <w:pStyle w:val="Heading2"/>
              <w:ind w:left="57" w:right="-108" w:hanging="228"/>
              <w:jc w:val="center"/>
              <w:rPr>
                <w:rFonts w:ascii="Book Antiqua" w:hAnsi="Book Antiqua" w:cs="Arial"/>
                <w:i/>
                <w:spacing w:val="20"/>
                <w:sz w:val="16"/>
                <w:szCs w:val="16"/>
              </w:rPr>
            </w:pPr>
            <w:r w:rsidRPr="000F63A5">
              <w:rPr>
                <w:rFonts w:ascii="Book Antiqua" w:hAnsi="Book Antiqua" w:cs="Arial"/>
                <w:i/>
                <w:spacing w:val="20"/>
                <w:sz w:val="16"/>
                <w:szCs w:val="16"/>
              </w:rPr>
              <w:t xml:space="preserve"> </w:t>
            </w:r>
            <w:r w:rsidR="00D97E21" w:rsidRPr="000F63A5">
              <w:rPr>
                <w:rFonts w:ascii="Book Antiqua" w:hAnsi="Book Antiqua" w:cs="Arial"/>
                <w:i/>
                <w:spacing w:val="20"/>
                <w:sz w:val="16"/>
                <w:szCs w:val="16"/>
              </w:rPr>
              <w:t>Chair: David H. Lillard, Jr.                                                                                State Treasurer</w:t>
            </w:r>
          </w:p>
          <w:p w:rsidR="00D97E21" w:rsidRPr="000F63A5" w:rsidRDefault="009B6E6D" w:rsidP="001D4505">
            <w:pPr>
              <w:ind w:left="342" w:right="-108" w:hanging="342"/>
              <w:jc w:val="center"/>
              <w:rPr>
                <w:rFonts w:ascii="Book Antiqua" w:hAnsi="Book Antiqua" w:cs="Arial"/>
                <w:b/>
                <w:i/>
                <w:sz w:val="16"/>
                <w:szCs w:val="16"/>
              </w:rPr>
            </w:pPr>
            <w:hyperlink r:id="rId6" w:history="1">
              <w:r w:rsidR="00D97E21" w:rsidRPr="000F63A5">
                <w:rPr>
                  <w:rStyle w:val="Hyperlink"/>
                  <w:rFonts w:ascii="Book Antiqua" w:hAnsi="Book Antiqua" w:cs="Arial"/>
                  <w:b/>
                  <w:i/>
                  <w:sz w:val="16"/>
                  <w:szCs w:val="16"/>
                </w:rPr>
                <w:t>david.lillard@tn.gov</w:t>
              </w:r>
            </w:hyperlink>
          </w:p>
          <w:p w:rsidR="00D97E21" w:rsidRPr="000F63A5" w:rsidRDefault="00D97E21" w:rsidP="001D4505">
            <w:pPr>
              <w:pStyle w:val="Heading2"/>
              <w:ind w:right="-108"/>
              <w:jc w:val="center"/>
              <w:rPr>
                <w:rFonts w:ascii="Book Antiqua" w:hAnsi="Book Antiqua" w:cs="Arial"/>
                <w:i/>
                <w:spacing w:val="20"/>
                <w:sz w:val="16"/>
                <w:szCs w:val="16"/>
              </w:rPr>
            </w:pPr>
          </w:p>
          <w:p w:rsidR="00D97E21" w:rsidRPr="000F63A5" w:rsidRDefault="001F38B5"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 xml:space="preserve">Voting </w:t>
            </w:r>
            <w:r w:rsidR="00D97E21" w:rsidRPr="000F63A5">
              <w:rPr>
                <w:rFonts w:ascii="Book Antiqua" w:hAnsi="Book Antiqua" w:cs="Arial"/>
                <w:i/>
                <w:spacing w:val="20"/>
                <w:sz w:val="16"/>
                <w:szCs w:val="16"/>
              </w:rPr>
              <w:t>Members:</w:t>
            </w:r>
          </w:p>
          <w:p w:rsidR="00787E62" w:rsidRDefault="00787E62" w:rsidP="001D4505">
            <w:pPr>
              <w:pStyle w:val="Heading2"/>
              <w:ind w:right="-108"/>
              <w:rPr>
                <w:rFonts w:ascii="Book Antiqua" w:hAnsi="Book Antiqua" w:cs="Arial"/>
                <w:i/>
                <w:spacing w:val="20"/>
                <w:sz w:val="16"/>
                <w:szCs w:val="16"/>
              </w:rPr>
            </w:pPr>
            <w:r>
              <w:rPr>
                <w:rFonts w:ascii="Book Antiqua" w:hAnsi="Book Antiqua" w:cs="Arial"/>
                <w:i/>
                <w:spacing w:val="20"/>
                <w:sz w:val="16"/>
                <w:szCs w:val="16"/>
              </w:rPr>
              <w:t>Dail R. Cantrell</w:t>
            </w:r>
          </w:p>
          <w:p w:rsidR="00907983" w:rsidRPr="000F63A5" w:rsidRDefault="00907983"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Kerry Dove</w:t>
            </w:r>
          </w:p>
          <w:p w:rsidR="00226BF6" w:rsidRPr="000F63A5" w:rsidRDefault="00226BF6"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Bruce D. Fox</w:t>
            </w:r>
          </w:p>
          <w:p w:rsidR="000F63A5" w:rsidRPr="000F63A5" w:rsidRDefault="000F63A5" w:rsidP="000F63A5">
            <w:pPr>
              <w:rPr>
                <w:rFonts w:ascii="Book Antiqua" w:hAnsi="Book Antiqua"/>
                <w:b/>
                <w:i/>
              </w:rPr>
            </w:pPr>
            <w:r>
              <w:rPr>
                <w:rFonts w:ascii="Book Antiqua" w:hAnsi="Book Antiqua" w:cs="Arial"/>
                <w:b/>
                <w:i/>
                <w:spacing w:val="20"/>
                <w:sz w:val="16"/>
                <w:szCs w:val="16"/>
              </w:rPr>
              <w:t>Brian Hunt</w:t>
            </w:r>
          </w:p>
          <w:p w:rsidR="00D97E21" w:rsidRPr="000F63A5" w:rsidRDefault="00907983"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Bob Pitts</w:t>
            </w:r>
          </w:p>
          <w:p w:rsidR="00A464E6" w:rsidRDefault="00A464E6" w:rsidP="001D4505">
            <w:pPr>
              <w:rPr>
                <w:rFonts w:ascii="Book Antiqua" w:hAnsi="Book Antiqua" w:cs="Arial"/>
                <w:b/>
                <w:i/>
                <w:spacing w:val="20"/>
                <w:sz w:val="16"/>
                <w:szCs w:val="16"/>
              </w:rPr>
            </w:pPr>
            <w:r w:rsidRPr="000F63A5">
              <w:rPr>
                <w:rFonts w:ascii="Book Antiqua" w:hAnsi="Book Antiqua" w:cs="Arial"/>
                <w:b/>
                <w:i/>
                <w:spacing w:val="20"/>
                <w:sz w:val="16"/>
                <w:szCs w:val="16"/>
              </w:rPr>
              <w:t>Paul Shaffer</w:t>
            </w:r>
          </w:p>
          <w:p w:rsidR="000F63A5" w:rsidRDefault="000F63A5" w:rsidP="001D4505">
            <w:pPr>
              <w:rPr>
                <w:rFonts w:ascii="Book Antiqua" w:hAnsi="Book Antiqua" w:cs="Arial"/>
                <w:b/>
                <w:i/>
                <w:spacing w:val="20"/>
                <w:sz w:val="16"/>
                <w:szCs w:val="16"/>
              </w:rPr>
            </w:pPr>
          </w:p>
          <w:p w:rsidR="001F38B5" w:rsidRPr="000F63A5" w:rsidRDefault="001F38B5" w:rsidP="001D4505">
            <w:pPr>
              <w:pStyle w:val="Heading2"/>
              <w:ind w:right="-108"/>
              <w:rPr>
                <w:rFonts w:ascii="Book Antiqua" w:hAnsi="Book Antiqua"/>
                <w:i/>
                <w:iCs/>
                <w:spacing w:val="20"/>
                <w:sz w:val="16"/>
                <w:szCs w:val="16"/>
              </w:rPr>
            </w:pPr>
            <w:r w:rsidRPr="000F63A5">
              <w:rPr>
                <w:rFonts w:ascii="Book Antiqua" w:hAnsi="Book Antiqua"/>
                <w:i/>
                <w:iCs/>
                <w:spacing w:val="20"/>
                <w:sz w:val="16"/>
                <w:szCs w:val="16"/>
              </w:rPr>
              <w:t>Non-Voting Members:</w:t>
            </w:r>
          </w:p>
          <w:p w:rsidR="008541B9" w:rsidRPr="000F63A5" w:rsidRDefault="007D0834"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Jo</w:t>
            </w:r>
            <w:r w:rsidR="00250B3B">
              <w:rPr>
                <w:rFonts w:ascii="Book Antiqua" w:hAnsi="Book Antiqua" w:cs="Arial"/>
                <w:i/>
                <w:spacing w:val="20"/>
                <w:sz w:val="16"/>
                <w:szCs w:val="16"/>
              </w:rPr>
              <w:t>y</w:t>
            </w:r>
            <w:r w:rsidRPr="000F63A5">
              <w:rPr>
                <w:rFonts w:ascii="Book Antiqua" w:hAnsi="Book Antiqua" w:cs="Arial"/>
                <w:i/>
                <w:spacing w:val="20"/>
                <w:sz w:val="16"/>
                <w:szCs w:val="16"/>
              </w:rPr>
              <w:t xml:space="preserve"> B</w:t>
            </w:r>
            <w:r w:rsidR="00250B3B">
              <w:rPr>
                <w:rFonts w:ascii="Book Antiqua" w:hAnsi="Book Antiqua" w:cs="Arial"/>
                <w:i/>
                <w:spacing w:val="20"/>
                <w:sz w:val="16"/>
                <w:szCs w:val="16"/>
              </w:rPr>
              <w:t>aker</w:t>
            </w:r>
          </w:p>
          <w:p w:rsidR="002A0916" w:rsidRPr="000F63A5" w:rsidRDefault="002A0916" w:rsidP="002A0916">
            <w:pPr>
              <w:pStyle w:val="Heading2"/>
              <w:ind w:right="-108"/>
              <w:rPr>
                <w:rFonts w:ascii="Book Antiqua" w:hAnsi="Book Antiqua"/>
                <w:i/>
                <w:iCs/>
                <w:spacing w:val="20"/>
                <w:sz w:val="16"/>
                <w:szCs w:val="16"/>
              </w:rPr>
            </w:pPr>
            <w:r w:rsidRPr="000F63A5">
              <w:rPr>
                <w:rFonts w:ascii="Book Antiqua" w:hAnsi="Book Antiqua"/>
                <w:i/>
                <w:iCs/>
                <w:spacing w:val="20"/>
                <w:sz w:val="16"/>
                <w:szCs w:val="16"/>
              </w:rPr>
              <w:t>Jason Denton</w:t>
            </w:r>
          </w:p>
          <w:p w:rsidR="00FF4073" w:rsidRDefault="00FF4073" w:rsidP="002A0916">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Sandra Fletchall</w:t>
            </w:r>
          </w:p>
          <w:p w:rsidR="00765651" w:rsidRPr="000F63A5" w:rsidRDefault="00765651" w:rsidP="00765651">
            <w:pPr>
              <w:pStyle w:val="Heading2"/>
              <w:ind w:right="-108"/>
              <w:rPr>
                <w:rFonts w:ascii="Book Antiqua" w:hAnsi="Book Antiqua"/>
                <w:i/>
                <w:iCs/>
                <w:spacing w:val="20"/>
                <w:sz w:val="16"/>
                <w:szCs w:val="16"/>
              </w:rPr>
            </w:pPr>
            <w:r w:rsidRPr="000F63A5">
              <w:rPr>
                <w:rFonts w:ascii="Book Antiqua" w:hAnsi="Book Antiqua"/>
                <w:i/>
                <w:iCs/>
                <w:spacing w:val="20"/>
                <w:sz w:val="16"/>
                <w:szCs w:val="16"/>
              </w:rPr>
              <w:t>Keith B. Graves</w:t>
            </w:r>
          </w:p>
          <w:p w:rsidR="00C079BD" w:rsidRPr="000F63A5" w:rsidRDefault="00FF4073" w:rsidP="001D4505">
            <w:pPr>
              <w:pStyle w:val="Heading2"/>
              <w:ind w:right="-108"/>
              <w:rPr>
                <w:rFonts w:ascii="Book Antiqua" w:hAnsi="Book Antiqua"/>
                <w:i/>
                <w:iCs/>
                <w:spacing w:val="20"/>
                <w:sz w:val="16"/>
                <w:szCs w:val="16"/>
              </w:rPr>
            </w:pPr>
            <w:r w:rsidRPr="000F63A5">
              <w:rPr>
                <w:rFonts w:ascii="Book Antiqua" w:hAnsi="Book Antiqua"/>
                <w:i/>
                <w:iCs/>
                <w:spacing w:val="20"/>
                <w:sz w:val="16"/>
                <w:szCs w:val="16"/>
              </w:rPr>
              <w:t>John Harris</w:t>
            </w:r>
          </w:p>
          <w:p w:rsidR="00D97E21" w:rsidRPr="000F63A5" w:rsidRDefault="0021156F"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Lynn Vo Lawyer</w:t>
            </w:r>
          </w:p>
          <w:p w:rsidR="00907983" w:rsidRPr="000F63A5" w:rsidRDefault="00D97E21"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 xml:space="preserve">Sam </w:t>
            </w:r>
            <w:r w:rsidR="00A464E6" w:rsidRPr="000F63A5">
              <w:rPr>
                <w:rFonts w:ascii="Book Antiqua" w:hAnsi="Book Antiqua" w:cs="Arial"/>
                <w:i/>
                <w:spacing w:val="20"/>
                <w:sz w:val="16"/>
                <w:szCs w:val="16"/>
              </w:rPr>
              <w:t xml:space="preserve">E. </w:t>
            </w:r>
            <w:r w:rsidRPr="000F63A5">
              <w:rPr>
                <w:rFonts w:ascii="Book Antiqua" w:hAnsi="Book Antiqua" w:cs="Arial"/>
                <w:i/>
                <w:spacing w:val="20"/>
                <w:sz w:val="16"/>
                <w:szCs w:val="16"/>
              </w:rPr>
              <w:t>Murre</w:t>
            </w:r>
            <w:r w:rsidR="007E0F83" w:rsidRPr="000F63A5">
              <w:rPr>
                <w:rFonts w:ascii="Book Antiqua" w:hAnsi="Book Antiqua" w:cs="Arial"/>
                <w:i/>
                <w:spacing w:val="20"/>
                <w:sz w:val="16"/>
                <w:szCs w:val="16"/>
              </w:rPr>
              <w:t>l</w:t>
            </w:r>
            <w:r w:rsidRPr="000F63A5">
              <w:rPr>
                <w:rFonts w:ascii="Book Antiqua" w:hAnsi="Book Antiqua" w:cs="Arial"/>
                <w:i/>
                <w:spacing w:val="20"/>
                <w:sz w:val="16"/>
                <w:szCs w:val="16"/>
              </w:rPr>
              <w:t>l</w:t>
            </w:r>
            <w:r w:rsidR="00A464E6" w:rsidRPr="000F63A5">
              <w:rPr>
                <w:rFonts w:ascii="Book Antiqua" w:hAnsi="Book Antiqua" w:cs="Arial"/>
                <w:i/>
                <w:spacing w:val="20"/>
                <w:sz w:val="16"/>
                <w:szCs w:val="16"/>
              </w:rPr>
              <w:t>, III</w:t>
            </w:r>
          </w:p>
          <w:p w:rsidR="007D0834" w:rsidRPr="000F63A5" w:rsidRDefault="006918E7" w:rsidP="001D4505">
            <w:pPr>
              <w:pStyle w:val="Heading2"/>
              <w:ind w:right="-108"/>
              <w:rPr>
                <w:rFonts w:ascii="Book Antiqua" w:hAnsi="Book Antiqua" w:cs="Arial"/>
                <w:i/>
                <w:spacing w:val="20"/>
                <w:sz w:val="16"/>
                <w:szCs w:val="16"/>
              </w:rPr>
            </w:pPr>
            <w:r w:rsidRPr="000F63A5">
              <w:rPr>
                <w:rFonts w:ascii="Book Antiqua" w:hAnsi="Book Antiqua" w:cs="Arial"/>
                <w:i/>
                <w:spacing w:val="20"/>
                <w:sz w:val="16"/>
                <w:szCs w:val="16"/>
              </w:rPr>
              <w:t>A.</w:t>
            </w:r>
            <w:r w:rsidR="00907983" w:rsidRPr="000F63A5">
              <w:rPr>
                <w:rFonts w:ascii="Book Antiqua" w:hAnsi="Book Antiqua" w:cs="Arial"/>
                <w:i/>
                <w:spacing w:val="20"/>
                <w:sz w:val="16"/>
                <w:szCs w:val="16"/>
              </w:rPr>
              <w:t>Gregory Ramos</w:t>
            </w:r>
          </w:p>
          <w:p w:rsidR="00071FF4" w:rsidRPr="000F63A5" w:rsidRDefault="00071FF4" w:rsidP="001D4505">
            <w:pPr>
              <w:jc w:val="center"/>
              <w:rPr>
                <w:rFonts w:ascii="Book Antiqua" w:hAnsi="Book Antiqua"/>
                <w:b/>
                <w:i/>
              </w:rPr>
            </w:pPr>
          </w:p>
          <w:p w:rsidR="00071FF4" w:rsidRPr="000F63A5" w:rsidRDefault="00071FF4" w:rsidP="001D4505">
            <w:pPr>
              <w:jc w:val="center"/>
              <w:rPr>
                <w:rFonts w:ascii="Book Antiqua" w:hAnsi="Book Antiqua"/>
                <w:b/>
                <w:i/>
              </w:rPr>
            </w:pPr>
          </w:p>
        </w:tc>
        <w:tc>
          <w:tcPr>
            <w:tcW w:w="6099" w:type="dxa"/>
          </w:tcPr>
          <w:p w:rsidR="00D97E21" w:rsidRPr="004564A3" w:rsidRDefault="00CE7F8F" w:rsidP="001D4505">
            <w:pPr>
              <w:jc w:val="center"/>
              <w:rPr>
                <w:rFonts w:ascii="Book Antiqua" w:hAnsi="Book Antiqua" w:cs="Arial"/>
                <w:b/>
              </w:rPr>
            </w:pPr>
            <w:r>
              <w:rPr>
                <w:rFonts w:ascii="Book Antiqua" w:hAnsi="Book Antiqua" w:cs="Arial"/>
                <w:b/>
                <w:noProof/>
              </w:rPr>
              <w:drawing>
                <wp:inline distT="0" distB="0" distL="0" distR="0">
                  <wp:extent cx="1005840" cy="830580"/>
                  <wp:effectExtent l="0" t="0" r="3810" b="7620"/>
                  <wp:docPr id="1" name="Picture 1" descr="Tns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sl-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830580"/>
                          </a:xfrm>
                          <a:prstGeom prst="rect">
                            <a:avLst/>
                          </a:prstGeom>
                          <a:noFill/>
                          <a:ln>
                            <a:noFill/>
                          </a:ln>
                        </pic:spPr>
                      </pic:pic>
                    </a:graphicData>
                  </a:graphic>
                </wp:inline>
              </w:drawing>
            </w:r>
          </w:p>
          <w:p w:rsidR="00D97E21" w:rsidRDefault="00D97E21" w:rsidP="001D4505">
            <w:pPr>
              <w:pStyle w:val="Heading5"/>
              <w:rPr>
                <w:bCs w:val="0"/>
                <w:i/>
                <w:spacing w:val="20"/>
                <w:sz w:val="22"/>
              </w:rPr>
            </w:pPr>
          </w:p>
          <w:p w:rsidR="00D97E21" w:rsidRPr="003B143C" w:rsidRDefault="00D97E21" w:rsidP="001D4505">
            <w:pPr>
              <w:pStyle w:val="Heading5"/>
              <w:rPr>
                <w:bCs w:val="0"/>
                <w:i/>
                <w:spacing w:val="20"/>
                <w:sz w:val="24"/>
                <w:szCs w:val="24"/>
              </w:rPr>
            </w:pPr>
            <w:r w:rsidRPr="003B143C">
              <w:rPr>
                <w:bCs w:val="0"/>
                <w:i/>
                <w:spacing w:val="20"/>
                <w:sz w:val="24"/>
                <w:szCs w:val="24"/>
              </w:rPr>
              <w:t>Advisory Council on Workers’ Compensation</w:t>
            </w:r>
          </w:p>
          <w:p w:rsidR="00D97E21" w:rsidRPr="004564A3" w:rsidRDefault="00D97E21" w:rsidP="001D4505">
            <w:pPr>
              <w:pStyle w:val="Heading5"/>
              <w:rPr>
                <w:bCs w:val="0"/>
                <w:sz w:val="16"/>
              </w:rPr>
            </w:pPr>
          </w:p>
          <w:p w:rsidR="00D97E21" w:rsidRDefault="00D97E21" w:rsidP="001D4505">
            <w:pPr>
              <w:jc w:val="center"/>
              <w:rPr>
                <w:rFonts w:ascii="Book Antiqua" w:hAnsi="Book Antiqua" w:cs="Arial"/>
                <w:bCs/>
                <w:sz w:val="22"/>
              </w:rPr>
            </w:pPr>
            <w:r w:rsidRPr="00840AF4">
              <w:rPr>
                <w:rFonts w:ascii="Book Antiqua" w:hAnsi="Book Antiqua" w:cs="Arial"/>
                <w:bCs/>
                <w:sz w:val="22"/>
              </w:rPr>
              <w:t>TREASURY DEPARTMENT</w:t>
            </w:r>
          </w:p>
          <w:p w:rsidR="00D97E21" w:rsidRPr="00954EF8" w:rsidRDefault="00234FD1" w:rsidP="001D4505">
            <w:pPr>
              <w:jc w:val="center"/>
              <w:rPr>
                <w:rFonts w:ascii="Book Antiqua" w:hAnsi="Book Antiqua" w:cs="Arial"/>
                <w:b/>
                <w:bCs/>
                <w:sz w:val="18"/>
                <w:szCs w:val="18"/>
              </w:rPr>
            </w:pPr>
            <w:r>
              <w:rPr>
                <w:rFonts w:ascii="Book Antiqua" w:hAnsi="Book Antiqua" w:cs="Arial"/>
                <w:b/>
                <w:bCs/>
                <w:sz w:val="18"/>
                <w:szCs w:val="18"/>
              </w:rPr>
              <w:t>ANDREW JACKSON BLDG., 13</w:t>
            </w:r>
            <w:r w:rsidR="00D97E21" w:rsidRPr="00954EF8">
              <w:rPr>
                <w:rFonts w:ascii="Book Antiqua" w:hAnsi="Book Antiqua" w:cs="Arial"/>
                <w:b/>
                <w:bCs/>
                <w:sz w:val="18"/>
                <w:szCs w:val="18"/>
                <w:vertAlign w:val="superscript"/>
              </w:rPr>
              <w:t>TH</w:t>
            </w:r>
            <w:r w:rsidR="00D97E21" w:rsidRPr="00954EF8">
              <w:rPr>
                <w:rFonts w:ascii="Book Antiqua" w:hAnsi="Book Antiqua" w:cs="Arial"/>
                <w:b/>
                <w:bCs/>
                <w:sz w:val="18"/>
                <w:szCs w:val="18"/>
              </w:rPr>
              <w:t xml:space="preserve"> FLOOR</w:t>
            </w:r>
          </w:p>
          <w:p w:rsidR="00D97E21" w:rsidRPr="00954EF8" w:rsidRDefault="00D97E21" w:rsidP="001D4505">
            <w:pPr>
              <w:jc w:val="center"/>
              <w:rPr>
                <w:rFonts w:ascii="Book Antiqua" w:hAnsi="Book Antiqua"/>
                <w:b/>
                <w:sz w:val="18"/>
                <w:szCs w:val="18"/>
              </w:rPr>
            </w:pPr>
            <w:smartTag w:uri="urn:schemas-microsoft-com:office:smarttags" w:element="Street">
              <w:smartTag w:uri="urn:schemas-microsoft-com:office:smarttags" w:element="address">
                <w:r w:rsidRPr="00954EF8">
                  <w:rPr>
                    <w:rFonts w:ascii="Book Antiqua" w:hAnsi="Book Antiqua"/>
                    <w:b/>
                    <w:sz w:val="18"/>
                    <w:szCs w:val="18"/>
                  </w:rPr>
                  <w:t>502 DEADERICK STREET</w:t>
                </w:r>
              </w:smartTag>
            </w:smartTag>
          </w:p>
          <w:p w:rsidR="00D97E21" w:rsidRPr="00954EF8" w:rsidRDefault="00D97E21" w:rsidP="001D4505">
            <w:pPr>
              <w:jc w:val="center"/>
              <w:rPr>
                <w:rFonts w:ascii="Book Antiqua" w:hAnsi="Book Antiqua" w:cs="Arial"/>
                <w:b/>
                <w:sz w:val="18"/>
                <w:szCs w:val="18"/>
              </w:rPr>
            </w:pPr>
            <w:r w:rsidRPr="00954EF8">
              <w:rPr>
                <w:rFonts w:ascii="Book Antiqua" w:hAnsi="Book Antiqua" w:cs="Arial"/>
                <w:b/>
                <w:sz w:val="18"/>
                <w:szCs w:val="18"/>
              </w:rPr>
              <w:t>NASHVILLE, TENNESSEE</w:t>
            </w:r>
            <w:r w:rsidR="00DC42FD">
              <w:rPr>
                <w:rFonts w:ascii="Book Antiqua" w:hAnsi="Book Antiqua" w:cs="Arial"/>
                <w:b/>
                <w:sz w:val="18"/>
                <w:szCs w:val="18"/>
              </w:rPr>
              <w:t xml:space="preserve"> 37243</w:t>
            </w:r>
          </w:p>
          <w:p w:rsidR="001F38B5" w:rsidRDefault="001B0C02" w:rsidP="001D4505">
            <w:pPr>
              <w:jc w:val="center"/>
              <w:rPr>
                <w:rFonts w:ascii="Book Antiqua" w:hAnsi="Book Antiqua" w:cs="Arial"/>
                <w:b/>
              </w:rPr>
            </w:pPr>
            <w:r>
              <w:rPr>
                <w:rFonts w:ascii="Book Antiqua" w:hAnsi="Book Antiqua" w:cs="Arial"/>
                <w:b/>
                <w:sz w:val="18"/>
                <w:szCs w:val="18"/>
              </w:rPr>
              <w:t>Telephone:  (615</w:t>
            </w:r>
            <w:r w:rsidR="00787E62">
              <w:rPr>
                <w:rFonts w:ascii="Book Antiqua" w:hAnsi="Book Antiqua" w:cs="Arial"/>
                <w:b/>
                <w:sz w:val="18"/>
                <w:szCs w:val="18"/>
              </w:rPr>
              <w:t>) 289-4603</w:t>
            </w:r>
          </w:p>
          <w:p w:rsidR="001F38B5" w:rsidRPr="001F38B5" w:rsidRDefault="001F38B5" w:rsidP="001D4505">
            <w:pPr>
              <w:jc w:val="center"/>
              <w:rPr>
                <w:rFonts w:ascii="Book Antiqua" w:hAnsi="Book Antiqua" w:cs="Arial"/>
              </w:rPr>
            </w:pPr>
          </w:p>
          <w:p w:rsidR="001F38B5" w:rsidRDefault="001F38B5" w:rsidP="001D4505">
            <w:pPr>
              <w:jc w:val="center"/>
              <w:rPr>
                <w:rFonts w:ascii="Book Antiqua" w:hAnsi="Book Antiqua" w:cs="Arial"/>
              </w:rPr>
            </w:pPr>
          </w:p>
          <w:p w:rsidR="001F38B5" w:rsidRPr="007F1037" w:rsidRDefault="007F1037" w:rsidP="001D4505">
            <w:pPr>
              <w:tabs>
                <w:tab w:val="left" w:pos="1350"/>
              </w:tabs>
              <w:jc w:val="center"/>
              <w:rPr>
                <w:rFonts w:ascii="Book Antiqua" w:hAnsi="Book Antiqua" w:cs="Arial"/>
                <w:b/>
                <w:sz w:val="22"/>
              </w:rPr>
            </w:pPr>
            <w:r w:rsidRPr="007F1037">
              <w:rPr>
                <w:rFonts w:ascii="Book Antiqua" w:hAnsi="Book Antiqua" w:cs="Arial"/>
                <w:b/>
                <w:sz w:val="22"/>
              </w:rPr>
              <w:t>PUBLIC MEETING NOTICE</w:t>
            </w:r>
          </w:p>
          <w:p w:rsidR="001F38B5" w:rsidRPr="007F1037" w:rsidRDefault="001F38B5" w:rsidP="000F63A5">
            <w:pPr>
              <w:tabs>
                <w:tab w:val="left" w:pos="1350"/>
                <w:tab w:val="left" w:pos="2145"/>
              </w:tabs>
              <w:rPr>
                <w:sz w:val="28"/>
                <w:szCs w:val="24"/>
              </w:rPr>
            </w:pPr>
          </w:p>
          <w:p w:rsidR="00006E40" w:rsidRPr="00071FF4" w:rsidRDefault="00006E40" w:rsidP="001D4505">
            <w:pPr>
              <w:jc w:val="center"/>
            </w:pPr>
          </w:p>
        </w:tc>
        <w:tc>
          <w:tcPr>
            <w:tcW w:w="2508" w:type="dxa"/>
            <w:vAlign w:val="bottom"/>
          </w:tcPr>
          <w:p w:rsidR="00D97E21" w:rsidRPr="0021156F" w:rsidRDefault="00D97E21" w:rsidP="00D97E21">
            <w:pPr>
              <w:pStyle w:val="Heading2"/>
              <w:ind w:left="-450"/>
              <w:jc w:val="right"/>
              <w:rPr>
                <w:rFonts w:ascii="Book Antiqua" w:hAnsi="Book Antiqua" w:cs="Arial"/>
                <w:i/>
                <w:sz w:val="16"/>
                <w:szCs w:val="16"/>
              </w:rPr>
            </w:pPr>
            <w:r w:rsidRPr="0021156F">
              <w:rPr>
                <w:rFonts w:ascii="Book Antiqua" w:hAnsi="Book Antiqua" w:cs="Arial"/>
                <w:i/>
                <w:sz w:val="16"/>
                <w:szCs w:val="16"/>
              </w:rPr>
              <w:t>Ex Officio Members:</w:t>
            </w:r>
          </w:p>
          <w:p w:rsidR="008541B9" w:rsidRPr="0021156F" w:rsidRDefault="008541B9" w:rsidP="008541B9">
            <w:pPr>
              <w:pStyle w:val="Heading2"/>
              <w:ind w:left="-450"/>
              <w:jc w:val="right"/>
              <w:rPr>
                <w:rFonts w:ascii="Book Antiqua" w:hAnsi="Book Antiqua" w:cs="Arial"/>
                <w:i/>
                <w:sz w:val="16"/>
                <w:szCs w:val="16"/>
              </w:rPr>
            </w:pPr>
            <w:r w:rsidRPr="0021156F">
              <w:rPr>
                <w:rFonts w:ascii="Book Antiqua" w:hAnsi="Book Antiqua" w:cs="Arial"/>
                <w:i/>
                <w:sz w:val="16"/>
                <w:szCs w:val="16"/>
              </w:rPr>
              <w:t xml:space="preserve">Senator </w:t>
            </w:r>
            <w:r w:rsidR="00787E62">
              <w:rPr>
                <w:rFonts w:ascii="Book Antiqua" w:hAnsi="Book Antiqua" w:cs="Arial"/>
                <w:i/>
                <w:sz w:val="16"/>
                <w:szCs w:val="16"/>
              </w:rPr>
              <w:t>Paul Bailey</w:t>
            </w:r>
          </w:p>
          <w:p w:rsidR="001021B7" w:rsidRPr="0021156F" w:rsidRDefault="001021B7" w:rsidP="001021B7">
            <w:pPr>
              <w:pStyle w:val="Heading2"/>
              <w:ind w:left="-450"/>
              <w:jc w:val="right"/>
              <w:rPr>
                <w:rFonts w:ascii="Book Antiqua" w:hAnsi="Book Antiqua" w:cs="Arial"/>
                <w:i/>
                <w:sz w:val="16"/>
                <w:szCs w:val="16"/>
              </w:rPr>
            </w:pPr>
            <w:r w:rsidRPr="0021156F">
              <w:rPr>
                <w:rFonts w:ascii="Book Antiqua" w:hAnsi="Book Antiqua" w:cs="Arial"/>
                <w:i/>
                <w:sz w:val="16"/>
                <w:szCs w:val="16"/>
              </w:rPr>
              <w:t xml:space="preserve">Representative </w:t>
            </w:r>
            <w:r w:rsidR="00787E62">
              <w:rPr>
                <w:rFonts w:ascii="Book Antiqua" w:hAnsi="Book Antiqua" w:cs="Arial"/>
                <w:i/>
                <w:sz w:val="16"/>
                <w:szCs w:val="16"/>
              </w:rPr>
              <w:t>Clark Boyd</w:t>
            </w:r>
          </w:p>
          <w:p w:rsidR="001021B7" w:rsidRPr="0021156F" w:rsidRDefault="002202C9" w:rsidP="00A464E6">
            <w:pPr>
              <w:pStyle w:val="Heading2"/>
              <w:ind w:left="-450"/>
              <w:jc w:val="center"/>
              <w:rPr>
                <w:rFonts w:ascii="Book Antiqua" w:hAnsi="Book Antiqua" w:cs="Arial"/>
                <w:i/>
                <w:sz w:val="16"/>
                <w:szCs w:val="16"/>
              </w:rPr>
            </w:pPr>
            <w:r>
              <w:rPr>
                <w:rFonts w:ascii="Book Antiqua" w:hAnsi="Book Antiqua" w:cs="Arial"/>
                <w:i/>
                <w:sz w:val="16"/>
                <w:szCs w:val="16"/>
              </w:rPr>
              <w:t xml:space="preserve">         </w:t>
            </w:r>
            <w:r w:rsidR="001021B7" w:rsidRPr="0021156F">
              <w:rPr>
                <w:rFonts w:ascii="Book Antiqua" w:hAnsi="Book Antiqua" w:cs="Arial"/>
                <w:i/>
                <w:sz w:val="16"/>
                <w:szCs w:val="16"/>
              </w:rPr>
              <w:t xml:space="preserve">Commissioner </w:t>
            </w:r>
            <w:r w:rsidR="00787E62">
              <w:rPr>
                <w:rFonts w:ascii="Book Antiqua" w:hAnsi="Book Antiqua" w:cs="Arial"/>
                <w:i/>
                <w:sz w:val="16"/>
                <w:szCs w:val="16"/>
              </w:rPr>
              <w:t>Carter Lawrence</w:t>
            </w:r>
          </w:p>
          <w:p w:rsidR="003C2C72" w:rsidRPr="003C2C72" w:rsidRDefault="003C2C72" w:rsidP="003C2C72">
            <w:pPr>
              <w:pStyle w:val="Heading2"/>
              <w:ind w:left="-450"/>
              <w:jc w:val="right"/>
              <w:rPr>
                <w:rFonts w:ascii="Book Antiqua" w:hAnsi="Book Antiqua"/>
                <w:i/>
                <w:sz w:val="16"/>
                <w:szCs w:val="16"/>
              </w:rPr>
            </w:pPr>
            <w:r>
              <w:rPr>
                <w:rFonts w:ascii="Book Antiqua" w:hAnsi="Book Antiqua"/>
                <w:i/>
                <w:sz w:val="16"/>
                <w:szCs w:val="16"/>
              </w:rPr>
              <w:t>Administrator Abbie Hudgens</w:t>
            </w:r>
          </w:p>
          <w:p w:rsidR="003C2C72" w:rsidRDefault="003C2C72" w:rsidP="003C2C72"/>
          <w:p w:rsidR="003C2C72" w:rsidRDefault="003C2C72" w:rsidP="003C2C72"/>
          <w:p w:rsidR="001550FE" w:rsidRPr="00DE36B4" w:rsidRDefault="001550FE" w:rsidP="001550FE">
            <w:pPr>
              <w:pStyle w:val="Heading2"/>
              <w:ind w:left="-450"/>
              <w:jc w:val="right"/>
              <w:rPr>
                <w:rFonts w:ascii="Book Antiqua" w:hAnsi="Book Antiqua" w:cs="Arial"/>
                <w:i/>
                <w:sz w:val="16"/>
                <w:szCs w:val="16"/>
              </w:rPr>
            </w:pPr>
            <w:r>
              <w:rPr>
                <w:rFonts w:ascii="Book Antiqua" w:hAnsi="Book Antiqua"/>
                <w:i/>
                <w:sz w:val="16"/>
                <w:szCs w:val="16"/>
              </w:rPr>
              <w:t>Larry Scroggs</w:t>
            </w:r>
            <w:r w:rsidRPr="00DE36B4">
              <w:rPr>
                <w:rFonts w:ascii="Book Antiqua" w:hAnsi="Book Antiqua"/>
                <w:i/>
                <w:sz w:val="16"/>
                <w:szCs w:val="16"/>
              </w:rPr>
              <w:t>, Administrator</w:t>
            </w:r>
          </w:p>
          <w:p w:rsidR="003C2C72" w:rsidRDefault="003C2C72" w:rsidP="003C2C72"/>
          <w:p w:rsidR="003C2C72" w:rsidRDefault="003C2C72" w:rsidP="003C2C72"/>
          <w:p w:rsidR="003C2C72" w:rsidRDefault="003C2C72" w:rsidP="003C2C72"/>
          <w:p w:rsidR="003C2C72" w:rsidRDefault="003C2C72" w:rsidP="003C2C72"/>
          <w:p w:rsidR="003C2C72" w:rsidRPr="003C2C72" w:rsidRDefault="003C2C72" w:rsidP="003C2C72"/>
          <w:p w:rsidR="003C2C72" w:rsidRDefault="003C2C72" w:rsidP="00D97E21">
            <w:pPr>
              <w:pStyle w:val="Heading2"/>
              <w:ind w:left="-450"/>
              <w:jc w:val="right"/>
              <w:rPr>
                <w:rFonts w:ascii="Book Antiqua" w:hAnsi="Book Antiqua"/>
                <w:i/>
                <w:sz w:val="16"/>
                <w:szCs w:val="16"/>
              </w:rPr>
            </w:pPr>
          </w:p>
          <w:p w:rsidR="008541B9" w:rsidRDefault="008541B9" w:rsidP="00D97E21">
            <w:pPr>
              <w:pStyle w:val="Heading2"/>
              <w:ind w:left="-450"/>
              <w:jc w:val="right"/>
              <w:rPr>
                <w:rFonts w:ascii="Book Antiqua" w:hAnsi="Book Antiqua" w:cs="Arial"/>
                <w:i/>
                <w:sz w:val="16"/>
                <w:szCs w:val="16"/>
              </w:rPr>
            </w:pPr>
          </w:p>
          <w:p w:rsidR="0021156F" w:rsidRPr="0021156F" w:rsidRDefault="0021156F" w:rsidP="0021156F">
            <w:pPr>
              <w:rPr>
                <w:sz w:val="16"/>
                <w:szCs w:val="16"/>
              </w:rPr>
            </w:pPr>
          </w:p>
          <w:p w:rsidR="0021156F" w:rsidRPr="006E1443" w:rsidRDefault="0021156F" w:rsidP="00F2218C">
            <w:pPr>
              <w:jc w:val="right"/>
              <w:rPr>
                <w:rFonts w:ascii="Book Antiqua" w:hAnsi="Book Antiqua"/>
                <w:b/>
                <w:i/>
                <w:sz w:val="16"/>
                <w:szCs w:val="16"/>
              </w:rPr>
            </w:pPr>
          </w:p>
          <w:p w:rsidR="00D97E21" w:rsidRPr="004564A3" w:rsidRDefault="00D97E21" w:rsidP="00D97E21">
            <w:pPr>
              <w:rPr>
                <w:b/>
              </w:rPr>
            </w:pPr>
          </w:p>
          <w:p w:rsidR="00D97E21" w:rsidRPr="004564A3" w:rsidRDefault="00D97E21" w:rsidP="00D97E21">
            <w:pPr>
              <w:rPr>
                <w:b/>
              </w:rPr>
            </w:pPr>
          </w:p>
          <w:p w:rsidR="00D97E21" w:rsidRPr="004564A3" w:rsidRDefault="00D97E21" w:rsidP="00D97E21">
            <w:pPr>
              <w:rPr>
                <w:b/>
              </w:rPr>
            </w:pPr>
          </w:p>
          <w:p w:rsidR="00D97E21" w:rsidRPr="004564A3" w:rsidRDefault="00D97E21" w:rsidP="00D97E21">
            <w:pPr>
              <w:rPr>
                <w:b/>
              </w:rPr>
            </w:pPr>
          </w:p>
          <w:p w:rsidR="00D97E21" w:rsidRPr="004564A3" w:rsidRDefault="00D97E21" w:rsidP="00D97E21">
            <w:pPr>
              <w:rPr>
                <w:b/>
              </w:rPr>
            </w:pPr>
          </w:p>
          <w:p w:rsidR="00D97E21" w:rsidRPr="004564A3" w:rsidRDefault="00D97E21" w:rsidP="00D97E21">
            <w:pPr>
              <w:jc w:val="center"/>
              <w:rPr>
                <w:rFonts w:ascii="Book Antiqua" w:hAnsi="Book Antiqua" w:cs="Arial"/>
                <w:b/>
                <w:sz w:val="14"/>
              </w:rPr>
            </w:pPr>
          </w:p>
        </w:tc>
      </w:tr>
      <w:tr w:rsidR="00D97E21" w:rsidTr="001D4505">
        <w:trPr>
          <w:trHeight w:val="180"/>
        </w:trPr>
        <w:tc>
          <w:tcPr>
            <w:tcW w:w="2445" w:type="dxa"/>
          </w:tcPr>
          <w:p w:rsidR="00D97E21" w:rsidRPr="00694BF3" w:rsidRDefault="00D97E21" w:rsidP="00694BF3">
            <w:pPr>
              <w:ind w:right="-108"/>
              <w:rPr>
                <w:sz w:val="22"/>
                <w:szCs w:val="22"/>
              </w:rPr>
            </w:pPr>
          </w:p>
        </w:tc>
        <w:tc>
          <w:tcPr>
            <w:tcW w:w="6099" w:type="dxa"/>
          </w:tcPr>
          <w:p w:rsidR="00D97E21" w:rsidRDefault="00D97E21" w:rsidP="00071FF4">
            <w:pPr>
              <w:rPr>
                <w:rFonts w:ascii="Book Antiqua" w:hAnsi="Book Antiqua" w:cs="Arial"/>
              </w:rPr>
            </w:pPr>
          </w:p>
        </w:tc>
        <w:tc>
          <w:tcPr>
            <w:tcW w:w="2508" w:type="dxa"/>
          </w:tcPr>
          <w:p w:rsidR="00D97E21" w:rsidRDefault="00D97E21" w:rsidP="00D97E21">
            <w:pPr>
              <w:jc w:val="center"/>
              <w:rPr>
                <w:rFonts w:ascii="Book Antiqua" w:hAnsi="Book Antiqua" w:cs="Arial"/>
                <w:caps/>
                <w:sz w:val="16"/>
              </w:rPr>
            </w:pPr>
          </w:p>
        </w:tc>
      </w:tr>
    </w:tbl>
    <w:p w:rsidR="006446D3" w:rsidRDefault="007F1037" w:rsidP="00274D52">
      <w:pPr>
        <w:ind w:left="720"/>
        <w:rPr>
          <w:sz w:val="22"/>
          <w:szCs w:val="22"/>
        </w:rPr>
      </w:pPr>
      <w:r w:rsidRPr="00274D52">
        <w:rPr>
          <w:b/>
          <w:sz w:val="22"/>
          <w:szCs w:val="22"/>
        </w:rPr>
        <w:t>The Advisory Council on Workers’ Compensation will meet at 1:30 p.m. (Central Time),</w:t>
      </w:r>
      <w:r>
        <w:rPr>
          <w:sz w:val="22"/>
          <w:szCs w:val="22"/>
        </w:rPr>
        <w:t xml:space="preserve"> </w:t>
      </w:r>
      <w:r w:rsidR="00787E62" w:rsidRPr="00787E62">
        <w:rPr>
          <w:b/>
          <w:sz w:val="22"/>
          <w:szCs w:val="22"/>
        </w:rPr>
        <w:t>Tues</w:t>
      </w:r>
      <w:r w:rsidRPr="00274D52">
        <w:rPr>
          <w:b/>
          <w:sz w:val="22"/>
          <w:szCs w:val="22"/>
        </w:rPr>
        <w:t xml:space="preserve">day, </w:t>
      </w:r>
      <w:r w:rsidR="00E016D4">
        <w:rPr>
          <w:b/>
          <w:sz w:val="22"/>
          <w:szCs w:val="22"/>
        </w:rPr>
        <w:t>August 27</w:t>
      </w:r>
      <w:r w:rsidRPr="00274D52">
        <w:rPr>
          <w:b/>
          <w:sz w:val="22"/>
          <w:szCs w:val="22"/>
        </w:rPr>
        <w:t>, 201</w:t>
      </w:r>
      <w:r w:rsidR="00787E62">
        <w:rPr>
          <w:b/>
          <w:sz w:val="22"/>
          <w:szCs w:val="22"/>
        </w:rPr>
        <w:t>9</w:t>
      </w:r>
      <w:r>
        <w:rPr>
          <w:sz w:val="22"/>
          <w:szCs w:val="22"/>
        </w:rPr>
        <w:t xml:space="preserve">, in the </w:t>
      </w:r>
      <w:r w:rsidR="00E016D4">
        <w:rPr>
          <w:sz w:val="22"/>
          <w:szCs w:val="22"/>
        </w:rPr>
        <w:t>Cordell Hull Building</w:t>
      </w:r>
      <w:r>
        <w:rPr>
          <w:sz w:val="22"/>
          <w:szCs w:val="22"/>
        </w:rPr>
        <w:t xml:space="preserve">, </w:t>
      </w:r>
      <w:r w:rsidR="00787E62">
        <w:rPr>
          <w:sz w:val="22"/>
          <w:szCs w:val="22"/>
        </w:rPr>
        <w:t>Senate</w:t>
      </w:r>
      <w:r w:rsidR="00E016D4">
        <w:rPr>
          <w:sz w:val="22"/>
          <w:szCs w:val="22"/>
        </w:rPr>
        <w:t xml:space="preserve"> Hearing </w:t>
      </w:r>
      <w:r>
        <w:rPr>
          <w:sz w:val="22"/>
          <w:szCs w:val="22"/>
        </w:rPr>
        <w:t xml:space="preserve">Room </w:t>
      </w:r>
      <w:r w:rsidR="00E016D4">
        <w:rPr>
          <w:sz w:val="22"/>
          <w:szCs w:val="22"/>
        </w:rPr>
        <w:t>I</w:t>
      </w:r>
      <w:r>
        <w:rPr>
          <w:sz w:val="22"/>
          <w:szCs w:val="22"/>
        </w:rPr>
        <w:t xml:space="preserve">, </w:t>
      </w:r>
      <w:r w:rsidR="00E016D4">
        <w:rPr>
          <w:sz w:val="22"/>
          <w:szCs w:val="22"/>
        </w:rPr>
        <w:t>425 5</w:t>
      </w:r>
      <w:r w:rsidRPr="007F1037">
        <w:rPr>
          <w:sz w:val="22"/>
          <w:szCs w:val="22"/>
          <w:vertAlign w:val="superscript"/>
        </w:rPr>
        <w:t>th</w:t>
      </w:r>
      <w:r>
        <w:rPr>
          <w:sz w:val="22"/>
          <w:szCs w:val="22"/>
        </w:rPr>
        <w:t xml:space="preserve"> Avenue North, Nashville, Tennessee 37243. The Council will consider the following agenda items:</w:t>
      </w:r>
    </w:p>
    <w:p w:rsidR="007F1037" w:rsidRDefault="007F1037" w:rsidP="004F0B33">
      <w:pPr>
        <w:ind w:left="1080"/>
        <w:rPr>
          <w:sz w:val="22"/>
          <w:szCs w:val="22"/>
        </w:rPr>
      </w:pPr>
    </w:p>
    <w:p w:rsidR="007F1037" w:rsidRDefault="007F1037" w:rsidP="007F1037">
      <w:pPr>
        <w:ind w:left="1440"/>
        <w:rPr>
          <w:sz w:val="22"/>
          <w:szCs w:val="22"/>
        </w:rPr>
      </w:pPr>
      <w:r w:rsidRPr="00274D52">
        <w:rPr>
          <w:b/>
          <w:i/>
          <w:sz w:val="22"/>
          <w:szCs w:val="22"/>
        </w:rPr>
        <w:t>201</w:t>
      </w:r>
      <w:r w:rsidR="00787E62">
        <w:rPr>
          <w:b/>
          <w:i/>
          <w:sz w:val="22"/>
          <w:szCs w:val="22"/>
        </w:rPr>
        <w:t>9</w:t>
      </w:r>
      <w:r w:rsidRPr="00274D52">
        <w:rPr>
          <w:b/>
          <w:i/>
          <w:sz w:val="22"/>
          <w:szCs w:val="22"/>
        </w:rPr>
        <w:t xml:space="preserve"> Workers’ Compensation Market Conditions and Environment</w:t>
      </w:r>
      <w:r>
        <w:rPr>
          <w:sz w:val="22"/>
          <w:szCs w:val="22"/>
        </w:rPr>
        <w:t xml:space="preserve"> – </w:t>
      </w:r>
      <w:r w:rsidRPr="00274D52">
        <w:rPr>
          <w:b/>
          <w:sz w:val="22"/>
          <w:szCs w:val="22"/>
        </w:rPr>
        <w:t>Mike Shinnick</w:t>
      </w:r>
      <w:r>
        <w:rPr>
          <w:sz w:val="22"/>
          <w:szCs w:val="22"/>
        </w:rPr>
        <w:t>, Manager, Workers’ Compensation Division, Tennessee Department of Commerce &amp; Insurance</w:t>
      </w:r>
    </w:p>
    <w:p w:rsidR="00787E62" w:rsidRDefault="00787E62" w:rsidP="007F1037">
      <w:pPr>
        <w:ind w:left="1440"/>
        <w:rPr>
          <w:sz w:val="22"/>
          <w:szCs w:val="22"/>
        </w:rPr>
      </w:pPr>
    </w:p>
    <w:p w:rsidR="00787E62" w:rsidRDefault="00787E62" w:rsidP="007F1037">
      <w:pPr>
        <w:ind w:left="1440"/>
        <w:rPr>
          <w:sz w:val="22"/>
          <w:szCs w:val="22"/>
        </w:rPr>
      </w:pPr>
      <w:r w:rsidRPr="00787E62">
        <w:rPr>
          <w:b/>
          <w:i/>
          <w:sz w:val="22"/>
          <w:szCs w:val="22"/>
        </w:rPr>
        <w:t>Statistical Analysis of 2018 Workers’ Compensation Data</w:t>
      </w:r>
      <w:r>
        <w:rPr>
          <w:sz w:val="22"/>
          <w:szCs w:val="22"/>
        </w:rPr>
        <w:t xml:space="preserve"> as compiled by the Bureau of Workers’ Compensation, Tennessee Department of Labor &amp; Workforce Development – </w:t>
      </w:r>
      <w:r w:rsidRPr="00787E62">
        <w:rPr>
          <w:b/>
          <w:sz w:val="22"/>
          <w:szCs w:val="22"/>
        </w:rPr>
        <w:t>Hannah Wohltjen</w:t>
      </w:r>
      <w:r>
        <w:rPr>
          <w:sz w:val="22"/>
          <w:szCs w:val="22"/>
        </w:rPr>
        <w:t xml:space="preserve"> and </w:t>
      </w:r>
      <w:r w:rsidRPr="00787E62">
        <w:rPr>
          <w:b/>
          <w:sz w:val="22"/>
          <w:szCs w:val="22"/>
        </w:rPr>
        <w:t>Jessica Benton</w:t>
      </w:r>
      <w:r>
        <w:rPr>
          <w:sz w:val="22"/>
          <w:szCs w:val="22"/>
        </w:rPr>
        <w:t xml:space="preserve"> of Elevate Consulting, LLC</w:t>
      </w:r>
    </w:p>
    <w:p w:rsidR="007F1037" w:rsidRDefault="007F1037" w:rsidP="007F1037">
      <w:pPr>
        <w:ind w:left="1440"/>
        <w:rPr>
          <w:sz w:val="22"/>
          <w:szCs w:val="22"/>
        </w:rPr>
      </w:pPr>
    </w:p>
    <w:p w:rsidR="007F1037" w:rsidRDefault="007F1037" w:rsidP="007F1037">
      <w:pPr>
        <w:ind w:left="1440"/>
        <w:rPr>
          <w:sz w:val="22"/>
          <w:szCs w:val="22"/>
        </w:rPr>
      </w:pPr>
      <w:r w:rsidRPr="00274D52">
        <w:rPr>
          <w:b/>
          <w:i/>
          <w:sz w:val="22"/>
          <w:szCs w:val="22"/>
        </w:rPr>
        <w:t>Workers’ Compensation Insurance Plan Report</w:t>
      </w:r>
      <w:r>
        <w:rPr>
          <w:sz w:val="22"/>
          <w:szCs w:val="22"/>
        </w:rPr>
        <w:t xml:space="preserve"> – </w:t>
      </w:r>
      <w:r w:rsidRPr="00274D52">
        <w:rPr>
          <w:b/>
          <w:sz w:val="22"/>
          <w:szCs w:val="22"/>
        </w:rPr>
        <w:t>Eddie Herrera</w:t>
      </w:r>
      <w:r>
        <w:rPr>
          <w:sz w:val="22"/>
          <w:szCs w:val="22"/>
        </w:rPr>
        <w:t>, National Council on Compensation Insurance (NCCI)</w:t>
      </w:r>
    </w:p>
    <w:p w:rsidR="007F1037" w:rsidRDefault="007F1037" w:rsidP="007F1037">
      <w:pPr>
        <w:ind w:left="1440"/>
        <w:rPr>
          <w:sz w:val="22"/>
          <w:szCs w:val="22"/>
        </w:rPr>
      </w:pPr>
    </w:p>
    <w:p w:rsidR="007F1037" w:rsidRDefault="00C61087" w:rsidP="007F1037">
      <w:pPr>
        <w:ind w:left="1440"/>
        <w:rPr>
          <w:sz w:val="22"/>
          <w:szCs w:val="22"/>
        </w:rPr>
      </w:pPr>
      <w:r w:rsidRPr="009B6E6D">
        <w:rPr>
          <w:b/>
          <w:i/>
          <w:sz w:val="22"/>
          <w:szCs w:val="22"/>
        </w:rPr>
        <w:t>O</w:t>
      </w:r>
      <w:r w:rsidR="007F1037" w:rsidRPr="009B6E6D">
        <w:rPr>
          <w:b/>
          <w:i/>
          <w:sz w:val="22"/>
          <w:szCs w:val="22"/>
        </w:rPr>
        <w:t>verview of the</w:t>
      </w:r>
      <w:r w:rsidR="007F1037">
        <w:rPr>
          <w:sz w:val="22"/>
          <w:szCs w:val="22"/>
        </w:rPr>
        <w:t xml:space="preserve"> </w:t>
      </w:r>
      <w:r w:rsidR="007F1037" w:rsidRPr="00274D52">
        <w:rPr>
          <w:b/>
          <w:i/>
          <w:sz w:val="22"/>
          <w:szCs w:val="22"/>
        </w:rPr>
        <w:t>Tennessee Voluntary Loss Cost</w:t>
      </w:r>
      <w:r>
        <w:rPr>
          <w:b/>
          <w:i/>
          <w:sz w:val="22"/>
          <w:szCs w:val="22"/>
        </w:rPr>
        <w:t>s, Assigned Risk Rates, and Rating Values</w:t>
      </w:r>
      <w:r w:rsidR="007F1037" w:rsidRPr="00274D52">
        <w:rPr>
          <w:b/>
          <w:i/>
          <w:sz w:val="22"/>
          <w:szCs w:val="22"/>
        </w:rPr>
        <w:t xml:space="preserve"> Filing</w:t>
      </w:r>
      <w:r w:rsidR="007F1037">
        <w:rPr>
          <w:sz w:val="22"/>
          <w:szCs w:val="22"/>
        </w:rPr>
        <w:t xml:space="preserve"> – </w:t>
      </w:r>
      <w:r w:rsidR="007F1037" w:rsidRPr="00274D52">
        <w:rPr>
          <w:b/>
          <w:sz w:val="22"/>
          <w:szCs w:val="22"/>
        </w:rPr>
        <w:t>A</w:t>
      </w:r>
      <w:r w:rsidR="00E016D4">
        <w:rPr>
          <w:b/>
          <w:sz w:val="22"/>
          <w:szCs w:val="22"/>
        </w:rPr>
        <w:t>my</w:t>
      </w:r>
      <w:r>
        <w:rPr>
          <w:b/>
          <w:sz w:val="22"/>
          <w:szCs w:val="22"/>
        </w:rPr>
        <w:t xml:space="preserve"> </w:t>
      </w:r>
      <w:r w:rsidR="00E016D4">
        <w:rPr>
          <w:b/>
          <w:sz w:val="22"/>
          <w:szCs w:val="22"/>
        </w:rPr>
        <w:t xml:space="preserve">Quinn </w:t>
      </w:r>
      <w:r w:rsidR="00E016D4" w:rsidRPr="00E016D4">
        <w:rPr>
          <w:sz w:val="22"/>
          <w:szCs w:val="22"/>
        </w:rPr>
        <w:t>and</w:t>
      </w:r>
      <w:r w:rsidR="00E016D4">
        <w:rPr>
          <w:b/>
          <w:sz w:val="22"/>
          <w:szCs w:val="22"/>
        </w:rPr>
        <w:t xml:space="preserve"> Dan Cunningham</w:t>
      </w:r>
      <w:r w:rsidR="007F1037" w:rsidRPr="00274D52">
        <w:rPr>
          <w:b/>
          <w:sz w:val="22"/>
          <w:szCs w:val="22"/>
        </w:rPr>
        <w:t xml:space="preserve"> </w:t>
      </w:r>
      <w:r w:rsidR="007F1037">
        <w:rPr>
          <w:sz w:val="22"/>
          <w:szCs w:val="22"/>
        </w:rPr>
        <w:t>of NCCI</w:t>
      </w:r>
      <w:bookmarkStart w:id="0" w:name="_GoBack"/>
      <w:bookmarkEnd w:id="0"/>
    </w:p>
    <w:p w:rsidR="00274D52" w:rsidRDefault="00274D52" w:rsidP="00274D52">
      <w:pPr>
        <w:rPr>
          <w:sz w:val="22"/>
          <w:szCs w:val="22"/>
        </w:rPr>
      </w:pPr>
    </w:p>
    <w:p w:rsidR="00274D52" w:rsidRDefault="00274D52" w:rsidP="00274D52">
      <w:pPr>
        <w:ind w:left="720"/>
        <w:rPr>
          <w:sz w:val="22"/>
          <w:szCs w:val="22"/>
        </w:rPr>
      </w:pPr>
      <w:r>
        <w:rPr>
          <w:sz w:val="22"/>
          <w:szCs w:val="22"/>
        </w:rPr>
        <w:t>This meeting will be conducted permitting participation by electronic or other means of communication pursuant to Tennessee Code Annotated, § 8-44-1</w:t>
      </w:r>
      <w:r w:rsidR="00131A2C">
        <w:rPr>
          <w:sz w:val="22"/>
          <w:szCs w:val="22"/>
        </w:rPr>
        <w:t>0</w:t>
      </w:r>
      <w:r>
        <w:rPr>
          <w:sz w:val="22"/>
          <w:szCs w:val="22"/>
        </w:rPr>
        <w:t xml:space="preserve">8. Please contact the administrator of the Council, Larry Scroggs, at (615) 289-4603 or </w:t>
      </w:r>
      <w:hyperlink r:id="rId8" w:history="1">
        <w:r w:rsidRPr="0041542C">
          <w:rPr>
            <w:rStyle w:val="Hyperlink"/>
            <w:sz w:val="22"/>
            <w:szCs w:val="22"/>
          </w:rPr>
          <w:t>larry.scroggs@tn.gov</w:t>
        </w:r>
      </w:hyperlink>
      <w:r>
        <w:rPr>
          <w:sz w:val="22"/>
          <w:szCs w:val="22"/>
        </w:rPr>
        <w:t xml:space="preserve"> for more information.</w:t>
      </w:r>
    </w:p>
    <w:p w:rsidR="00274D52" w:rsidRDefault="00274D52" w:rsidP="00274D52">
      <w:pPr>
        <w:rPr>
          <w:sz w:val="22"/>
          <w:szCs w:val="22"/>
        </w:rPr>
      </w:pPr>
    </w:p>
    <w:p w:rsidR="00274D52" w:rsidRPr="0010794A" w:rsidRDefault="00274D52" w:rsidP="00274D52">
      <w:pPr>
        <w:ind w:left="720"/>
        <w:rPr>
          <w:sz w:val="22"/>
          <w:szCs w:val="22"/>
        </w:rPr>
      </w:pPr>
      <w:r>
        <w:rPr>
          <w:sz w:val="22"/>
          <w:szCs w:val="22"/>
        </w:rPr>
        <w:t>Individuals with disabilities who wish to participate in these proceedings and require accommodation should contact the administrator no less than two (2) days prior to the scheduled meeting to allow time for the Treasury Department to arrange for an accommodation. You may contact the Council at the Andrew Jackson Building, 13</w:t>
      </w:r>
      <w:r w:rsidRPr="00274D52">
        <w:rPr>
          <w:sz w:val="22"/>
          <w:szCs w:val="22"/>
          <w:vertAlign w:val="superscript"/>
        </w:rPr>
        <w:t>th</w:t>
      </w:r>
      <w:r>
        <w:rPr>
          <w:sz w:val="22"/>
          <w:szCs w:val="22"/>
        </w:rPr>
        <w:t xml:space="preserve"> Floor, 502 Deaderick Street, Nashville, Tennessee 37243; or the administrator, Larry Scroggs, by email at larry.scroggs@tn.gov.</w:t>
      </w:r>
    </w:p>
    <w:p w:rsidR="001D4505" w:rsidRPr="0010794A" w:rsidRDefault="001D4505" w:rsidP="006446D3">
      <w:pPr>
        <w:ind w:left="720"/>
        <w:rPr>
          <w:sz w:val="22"/>
          <w:szCs w:val="22"/>
        </w:rPr>
      </w:pPr>
    </w:p>
    <w:sectPr w:rsidR="001D4505" w:rsidRPr="0010794A" w:rsidSect="001D4505">
      <w:pgSz w:w="12240" w:h="15840" w:code="1"/>
      <w:pgMar w:top="720" w:right="720" w:bottom="720" w:left="720" w:header="720" w:footer="720" w:gutter="0"/>
      <w:paperSrc w:first="257" w:other="257"/>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E29AA"/>
    <w:multiLevelType w:val="hybridMultilevel"/>
    <w:tmpl w:val="BF8E4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95F1A"/>
    <w:multiLevelType w:val="hybridMultilevel"/>
    <w:tmpl w:val="78FA8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B6F47"/>
    <w:multiLevelType w:val="hybridMultilevel"/>
    <w:tmpl w:val="54A0F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B721C"/>
    <w:multiLevelType w:val="hybridMultilevel"/>
    <w:tmpl w:val="599AE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469FC"/>
    <w:multiLevelType w:val="hybridMultilevel"/>
    <w:tmpl w:val="9DC05878"/>
    <w:lvl w:ilvl="0" w:tplc="D57A4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400450"/>
    <w:multiLevelType w:val="hybridMultilevel"/>
    <w:tmpl w:val="52D63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96711"/>
    <w:multiLevelType w:val="hybridMultilevel"/>
    <w:tmpl w:val="4AD64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D2E9B"/>
    <w:multiLevelType w:val="hybridMultilevel"/>
    <w:tmpl w:val="334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21"/>
    <w:rsid w:val="0000185A"/>
    <w:rsid w:val="00006E40"/>
    <w:rsid w:val="00016BCF"/>
    <w:rsid w:val="00030DEF"/>
    <w:rsid w:val="00071FF4"/>
    <w:rsid w:val="0009124F"/>
    <w:rsid w:val="00094C53"/>
    <w:rsid w:val="000B6F4F"/>
    <w:rsid w:val="000E2DFF"/>
    <w:rsid w:val="000F63A5"/>
    <w:rsid w:val="001021B7"/>
    <w:rsid w:val="0010794A"/>
    <w:rsid w:val="00117498"/>
    <w:rsid w:val="00131A2C"/>
    <w:rsid w:val="00133E1F"/>
    <w:rsid w:val="001550FE"/>
    <w:rsid w:val="001A039D"/>
    <w:rsid w:val="001B064B"/>
    <w:rsid w:val="001B0C02"/>
    <w:rsid w:val="001D4505"/>
    <w:rsid w:val="001F38B5"/>
    <w:rsid w:val="0021156F"/>
    <w:rsid w:val="002169E5"/>
    <w:rsid w:val="002202C9"/>
    <w:rsid w:val="00226BF6"/>
    <w:rsid w:val="00234FD1"/>
    <w:rsid w:val="00250B3B"/>
    <w:rsid w:val="00274D52"/>
    <w:rsid w:val="002A0916"/>
    <w:rsid w:val="002B5A99"/>
    <w:rsid w:val="00306952"/>
    <w:rsid w:val="00317356"/>
    <w:rsid w:val="00331B76"/>
    <w:rsid w:val="00335C94"/>
    <w:rsid w:val="0038280D"/>
    <w:rsid w:val="003930DB"/>
    <w:rsid w:val="003A1F79"/>
    <w:rsid w:val="003A5275"/>
    <w:rsid w:val="003B143C"/>
    <w:rsid w:val="003C2C72"/>
    <w:rsid w:val="003E3652"/>
    <w:rsid w:val="00440D8E"/>
    <w:rsid w:val="004701B9"/>
    <w:rsid w:val="00472D2E"/>
    <w:rsid w:val="00496FA7"/>
    <w:rsid w:val="004F0B33"/>
    <w:rsid w:val="00522E2F"/>
    <w:rsid w:val="005575E3"/>
    <w:rsid w:val="00584F46"/>
    <w:rsid w:val="00611A91"/>
    <w:rsid w:val="006446D3"/>
    <w:rsid w:val="00666B11"/>
    <w:rsid w:val="006918E7"/>
    <w:rsid w:val="00694BF3"/>
    <w:rsid w:val="006E1443"/>
    <w:rsid w:val="006F1B1A"/>
    <w:rsid w:val="00720435"/>
    <w:rsid w:val="00751451"/>
    <w:rsid w:val="00765651"/>
    <w:rsid w:val="00781764"/>
    <w:rsid w:val="00787E62"/>
    <w:rsid w:val="007D0834"/>
    <w:rsid w:val="007D54D8"/>
    <w:rsid w:val="007E0F83"/>
    <w:rsid w:val="007F1037"/>
    <w:rsid w:val="007F44F0"/>
    <w:rsid w:val="00805429"/>
    <w:rsid w:val="008439C3"/>
    <w:rsid w:val="008541B9"/>
    <w:rsid w:val="008C2A6D"/>
    <w:rsid w:val="008D3740"/>
    <w:rsid w:val="009054AF"/>
    <w:rsid w:val="00907983"/>
    <w:rsid w:val="00944716"/>
    <w:rsid w:val="00944A65"/>
    <w:rsid w:val="00973EEB"/>
    <w:rsid w:val="009B3EEA"/>
    <w:rsid w:val="009B6E6D"/>
    <w:rsid w:val="009D400E"/>
    <w:rsid w:val="00A108F3"/>
    <w:rsid w:val="00A2601F"/>
    <w:rsid w:val="00A464E6"/>
    <w:rsid w:val="00A60A4D"/>
    <w:rsid w:val="00A90FE7"/>
    <w:rsid w:val="00AC21EF"/>
    <w:rsid w:val="00AC2983"/>
    <w:rsid w:val="00B415A6"/>
    <w:rsid w:val="00B50BAA"/>
    <w:rsid w:val="00B67CFB"/>
    <w:rsid w:val="00B72E10"/>
    <w:rsid w:val="00BE0B8A"/>
    <w:rsid w:val="00BF161B"/>
    <w:rsid w:val="00C079BD"/>
    <w:rsid w:val="00C22438"/>
    <w:rsid w:val="00C61087"/>
    <w:rsid w:val="00C65FCB"/>
    <w:rsid w:val="00C74822"/>
    <w:rsid w:val="00C7746F"/>
    <w:rsid w:val="00C90A90"/>
    <w:rsid w:val="00CC21BF"/>
    <w:rsid w:val="00CE7F8F"/>
    <w:rsid w:val="00D311CD"/>
    <w:rsid w:val="00D97E21"/>
    <w:rsid w:val="00DA62B2"/>
    <w:rsid w:val="00DB0ED9"/>
    <w:rsid w:val="00DC42FD"/>
    <w:rsid w:val="00DE36B4"/>
    <w:rsid w:val="00E016D4"/>
    <w:rsid w:val="00E10B8A"/>
    <w:rsid w:val="00E974D7"/>
    <w:rsid w:val="00EB5611"/>
    <w:rsid w:val="00EE258A"/>
    <w:rsid w:val="00F2218C"/>
    <w:rsid w:val="00F35FC5"/>
    <w:rsid w:val="00F75A97"/>
    <w:rsid w:val="00F94BF5"/>
    <w:rsid w:val="00F96ECC"/>
    <w:rsid w:val="00FC6C6D"/>
    <w:rsid w:val="00FD43AA"/>
    <w:rsid w:val="00FD43BB"/>
    <w:rsid w:val="00FD6DC3"/>
    <w:rsid w:val="00FD7389"/>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E21"/>
  </w:style>
  <w:style w:type="paragraph" w:styleId="Heading1">
    <w:name w:val="heading 1"/>
    <w:basedOn w:val="Normal"/>
    <w:next w:val="Normal"/>
    <w:qFormat/>
    <w:rsid w:val="00D97E21"/>
    <w:pPr>
      <w:keepNext/>
      <w:jc w:val="center"/>
      <w:outlineLvl w:val="0"/>
    </w:pPr>
    <w:rPr>
      <w:b/>
      <w:bCs/>
      <w:sz w:val="22"/>
    </w:rPr>
  </w:style>
  <w:style w:type="paragraph" w:styleId="Heading2">
    <w:name w:val="heading 2"/>
    <w:basedOn w:val="Normal"/>
    <w:next w:val="Normal"/>
    <w:qFormat/>
    <w:rsid w:val="00D97E21"/>
    <w:pPr>
      <w:keepNext/>
      <w:outlineLvl w:val="1"/>
    </w:pPr>
    <w:rPr>
      <w:b/>
      <w:bCs/>
      <w:sz w:val="18"/>
    </w:rPr>
  </w:style>
  <w:style w:type="paragraph" w:styleId="Heading5">
    <w:name w:val="heading 5"/>
    <w:basedOn w:val="Normal"/>
    <w:next w:val="Normal"/>
    <w:qFormat/>
    <w:rsid w:val="00D97E21"/>
    <w:pPr>
      <w:keepNext/>
      <w:jc w:val="center"/>
      <w:outlineLvl w:val="4"/>
    </w:pPr>
    <w:rPr>
      <w:rFonts w:ascii="Book Antiqua" w:hAnsi="Book Antiqua"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7E21"/>
    <w:rPr>
      <w:color w:val="0000FF"/>
      <w:u w:val="single"/>
    </w:rPr>
  </w:style>
  <w:style w:type="paragraph" w:styleId="BalloonText">
    <w:name w:val="Balloon Text"/>
    <w:basedOn w:val="Normal"/>
    <w:link w:val="BalloonTextChar"/>
    <w:rsid w:val="00F75A97"/>
    <w:rPr>
      <w:rFonts w:ascii="Tahoma" w:hAnsi="Tahoma" w:cs="Tahoma"/>
      <w:sz w:val="16"/>
      <w:szCs w:val="16"/>
    </w:rPr>
  </w:style>
  <w:style w:type="character" w:customStyle="1" w:styleId="BalloonTextChar">
    <w:name w:val="Balloon Text Char"/>
    <w:link w:val="BalloonText"/>
    <w:rsid w:val="00F75A97"/>
    <w:rPr>
      <w:rFonts w:ascii="Tahoma" w:hAnsi="Tahoma" w:cs="Tahoma"/>
      <w:sz w:val="16"/>
      <w:szCs w:val="16"/>
    </w:rPr>
  </w:style>
  <w:style w:type="paragraph" w:customStyle="1" w:styleId="profiledesc">
    <w:name w:val="profile_desc"/>
    <w:basedOn w:val="Normal"/>
    <w:rsid w:val="00F96ECC"/>
    <w:pPr>
      <w:spacing w:before="300" w:line="360" w:lineRule="atLeast"/>
      <w:ind w:left="300" w:right="300"/>
    </w:pPr>
    <w:rPr>
      <w:rFonts w:ascii="Arial" w:hAnsi="Arial" w:cs="Arial"/>
      <w:sz w:val="21"/>
      <w:szCs w:val="21"/>
    </w:rPr>
  </w:style>
  <w:style w:type="character" w:styleId="Strong">
    <w:name w:val="Strong"/>
    <w:uiPriority w:val="22"/>
    <w:qFormat/>
    <w:rsid w:val="00F96ECC"/>
    <w:rPr>
      <w:b/>
      <w:bCs/>
    </w:rPr>
  </w:style>
  <w:style w:type="paragraph" w:styleId="ListParagraph">
    <w:name w:val="List Paragraph"/>
    <w:basedOn w:val="Normal"/>
    <w:uiPriority w:val="34"/>
    <w:qFormat/>
    <w:rsid w:val="00CE7F8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E21"/>
  </w:style>
  <w:style w:type="paragraph" w:styleId="Heading1">
    <w:name w:val="heading 1"/>
    <w:basedOn w:val="Normal"/>
    <w:next w:val="Normal"/>
    <w:qFormat/>
    <w:rsid w:val="00D97E21"/>
    <w:pPr>
      <w:keepNext/>
      <w:jc w:val="center"/>
      <w:outlineLvl w:val="0"/>
    </w:pPr>
    <w:rPr>
      <w:b/>
      <w:bCs/>
      <w:sz w:val="22"/>
    </w:rPr>
  </w:style>
  <w:style w:type="paragraph" w:styleId="Heading2">
    <w:name w:val="heading 2"/>
    <w:basedOn w:val="Normal"/>
    <w:next w:val="Normal"/>
    <w:qFormat/>
    <w:rsid w:val="00D97E21"/>
    <w:pPr>
      <w:keepNext/>
      <w:outlineLvl w:val="1"/>
    </w:pPr>
    <w:rPr>
      <w:b/>
      <w:bCs/>
      <w:sz w:val="18"/>
    </w:rPr>
  </w:style>
  <w:style w:type="paragraph" w:styleId="Heading5">
    <w:name w:val="heading 5"/>
    <w:basedOn w:val="Normal"/>
    <w:next w:val="Normal"/>
    <w:qFormat/>
    <w:rsid w:val="00D97E21"/>
    <w:pPr>
      <w:keepNext/>
      <w:jc w:val="center"/>
      <w:outlineLvl w:val="4"/>
    </w:pPr>
    <w:rPr>
      <w:rFonts w:ascii="Book Antiqua" w:hAnsi="Book Antiqua"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7E21"/>
    <w:rPr>
      <w:color w:val="0000FF"/>
      <w:u w:val="single"/>
    </w:rPr>
  </w:style>
  <w:style w:type="paragraph" w:styleId="BalloonText">
    <w:name w:val="Balloon Text"/>
    <w:basedOn w:val="Normal"/>
    <w:link w:val="BalloonTextChar"/>
    <w:rsid w:val="00F75A97"/>
    <w:rPr>
      <w:rFonts w:ascii="Tahoma" w:hAnsi="Tahoma" w:cs="Tahoma"/>
      <w:sz w:val="16"/>
      <w:szCs w:val="16"/>
    </w:rPr>
  </w:style>
  <w:style w:type="character" w:customStyle="1" w:styleId="BalloonTextChar">
    <w:name w:val="Balloon Text Char"/>
    <w:link w:val="BalloonText"/>
    <w:rsid w:val="00F75A97"/>
    <w:rPr>
      <w:rFonts w:ascii="Tahoma" w:hAnsi="Tahoma" w:cs="Tahoma"/>
      <w:sz w:val="16"/>
      <w:szCs w:val="16"/>
    </w:rPr>
  </w:style>
  <w:style w:type="paragraph" w:customStyle="1" w:styleId="profiledesc">
    <w:name w:val="profile_desc"/>
    <w:basedOn w:val="Normal"/>
    <w:rsid w:val="00F96ECC"/>
    <w:pPr>
      <w:spacing w:before="300" w:line="360" w:lineRule="atLeast"/>
      <w:ind w:left="300" w:right="300"/>
    </w:pPr>
    <w:rPr>
      <w:rFonts w:ascii="Arial" w:hAnsi="Arial" w:cs="Arial"/>
      <w:sz w:val="21"/>
      <w:szCs w:val="21"/>
    </w:rPr>
  </w:style>
  <w:style w:type="character" w:styleId="Strong">
    <w:name w:val="Strong"/>
    <w:uiPriority w:val="22"/>
    <w:qFormat/>
    <w:rsid w:val="00F96ECC"/>
    <w:rPr>
      <w:b/>
      <w:bCs/>
    </w:rPr>
  </w:style>
  <w:style w:type="paragraph" w:styleId="ListParagraph">
    <w:name w:val="List Paragraph"/>
    <w:basedOn w:val="Normal"/>
    <w:uiPriority w:val="34"/>
    <w:qFormat/>
    <w:rsid w:val="00CE7F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615">
      <w:bodyDiv w:val="1"/>
      <w:marLeft w:val="0"/>
      <w:marRight w:val="0"/>
      <w:marTop w:val="0"/>
      <w:marBottom w:val="0"/>
      <w:divBdr>
        <w:top w:val="none" w:sz="0" w:space="0" w:color="auto"/>
        <w:left w:val="none" w:sz="0" w:space="0" w:color="auto"/>
        <w:bottom w:val="none" w:sz="0" w:space="0" w:color="auto"/>
        <w:right w:val="none" w:sz="0" w:space="0" w:color="auto"/>
      </w:divBdr>
    </w:div>
    <w:div w:id="260112465">
      <w:bodyDiv w:val="1"/>
      <w:marLeft w:val="0"/>
      <w:marRight w:val="0"/>
      <w:marTop w:val="0"/>
      <w:marBottom w:val="0"/>
      <w:divBdr>
        <w:top w:val="none" w:sz="0" w:space="0" w:color="auto"/>
        <w:left w:val="none" w:sz="0" w:space="0" w:color="auto"/>
        <w:bottom w:val="none" w:sz="0" w:space="0" w:color="auto"/>
        <w:right w:val="none" w:sz="0" w:space="0" w:color="auto"/>
      </w:divBdr>
    </w:div>
    <w:div w:id="592401517">
      <w:bodyDiv w:val="1"/>
      <w:marLeft w:val="0"/>
      <w:marRight w:val="0"/>
      <w:marTop w:val="0"/>
      <w:marBottom w:val="0"/>
      <w:divBdr>
        <w:top w:val="none" w:sz="0" w:space="0" w:color="auto"/>
        <w:left w:val="none" w:sz="0" w:space="0" w:color="auto"/>
        <w:bottom w:val="none" w:sz="0" w:space="0" w:color="auto"/>
        <w:right w:val="none" w:sz="0" w:space="0" w:color="auto"/>
      </w:divBdr>
    </w:div>
    <w:div w:id="683282669">
      <w:bodyDiv w:val="1"/>
      <w:marLeft w:val="0"/>
      <w:marRight w:val="0"/>
      <w:marTop w:val="0"/>
      <w:marBottom w:val="0"/>
      <w:divBdr>
        <w:top w:val="none" w:sz="0" w:space="0" w:color="auto"/>
        <w:left w:val="none" w:sz="0" w:space="0" w:color="auto"/>
        <w:bottom w:val="none" w:sz="0" w:space="0" w:color="auto"/>
        <w:right w:val="none" w:sz="0" w:space="0" w:color="auto"/>
      </w:divBdr>
    </w:div>
    <w:div w:id="1092436321">
      <w:bodyDiv w:val="1"/>
      <w:marLeft w:val="0"/>
      <w:marRight w:val="0"/>
      <w:marTop w:val="0"/>
      <w:marBottom w:val="0"/>
      <w:divBdr>
        <w:top w:val="none" w:sz="0" w:space="0" w:color="auto"/>
        <w:left w:val="none" w:sz="0" w:space="0" w:color="auto"/>
        <w:bottom w:val="none" w:sz="0" w:space="0" w:color="auto"/>
        <w:right w:val="none" w:sz="0" w:space="0" w:color="auto"/>
      </w:divBdr>
      <w:divsChild>
        <w:div w:id="465658191">
          <w:marLeft w:val="0"/>
          <w:marRight w:val="0"/>
          <w:marTop w:val="0"/>
          <w:marBottom w:val="0"/>
          <w:divBdr>
            <w:top w:val="none" w:sz="0" w:space="0" w:color="auto"/>
            <w:left w:val="none" w:sz="0" w:space="0" w:color="auto"/>
            <w:bottom w:val="none" w:sz="0" w:space="0" w:color="auto"/>
            <w:right w:val="none" w:sz="0" w:space="0" w:color="auto"/>
          </w:divBdr>
          <w:divsChild>
            <w:div w:id="12153065">
              <w:marLeft w:val="0"/>
              <w:marRight w:val="0"/>
              <w:marTop w:val="0"/>
              <w:marBottom w:val="0"/>
              <w:divBdr>
                <w:top w:val="none" w:sz="0" w:space="0" w:color="auto"/>
                <w:left w:val="none" w:sz="0" w:space="0" w:color="auto"/>
                <w:bottom w:val="none" w:sz="0" w:space="0" w:color="auto"/>
                <w:right w:val="none" w:sz="0" w:space="0" w:color="auto"/>
              </w:divBdr>
            </w:div>
            <w:div w:id="463545591">
              <w:marLeft w:val="0"/>
              <w:marRight w:val="0"/>
              <w:marTop w:val="0"/>
              <w:marBottom w:val="0"/>
              <w:divBdr>
                <w:top w:val="none" w:sz="0" w:space="0" w:color="auto"/>
                <w:left w:val="none" w:sz="0" w:space="0" w:color="auto"/>
                <w:bottom w:val="none" w:sz="0" w:space="0" w:color="auto"/>
                <w:right w:val="none" w:sz="0" w:space="0" w:color="auto"/>
              </w:divBdr>
            </w:div>
            <w:div w:id="11376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8133">
      <w:bodyDiv w:val="1"/>
      <w:marLeft w:val="0"/>
      <w:marRight w:val="0"/>
      <w:marTop w:val="0"/>
      <w:marBottom w:val="0"/>
      <w:divBdr>
        <w:top w:val="none" w:sz="0" w:space="0" w:color="auto"/>
        <w:left w:val="none" w:sz="0" w:space="0" w:color="auto"/>
        <w:bottom w:val="none" w:sz="0" w:space="0" w:color="auto"/>
        <w:right w:val="none" w:sz="0" w:space="0" w:color="auto"/>
      </w:divBdr>
    </w:div>
    <w:div w:id="1702433734">
      <w:bodyDiv w:val="1"/>
      <w:marLeft w:val="300"/>
      <w:marRight w:val="0"/>
      <w:marTop w:val="300"/>
      <w:marBottom w:val="0"/>
      <w:divBdr>
        <w:top w:val="none" w:sz="0" w:space="0" w:color="auto"/>
        <w:left w:val="none" w:sz="0" w:space="0" w:color="auto"/>
        <w:bottom w:val="none" w:sz="0" w:space="0" w:color="auto"/>
        <w:right w:val="none" w:sz="0" w:space="0" w:color="auto"/>
      </w:divBdr>
      <w:divsChild>
        <w:div w:id="143347230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ry.scroggs@tn.gov"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lillard@tn.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Treasury Department</Company>
  <LinksUpToDate>false</LinksUpToDate>
  <CharactersWithSpaces>2521</CharactersWithSpaces>
  <SharedDoc>false</SharedDoc>
  <HLinks>
    <vt:vector size="12" baseType="variant">
      <vt:variant>
        <vt:i4>6291466</vt:i4>
      </vt:variant>
      <vt:variant>
        <vt:i4>3</vt:i4>
      </vt:variant>
      <vt:variant>
        <vt:i4>0</vt:i4>
      </vt:variant>
      <vt:variant>
        <vt:i4>5</vt:i4>
      </vt:variant>
      <vt:variant>
        <vt:lpwstr>mailto:Lynn.Schroeder@tn.gov</vt:lpwstr>
      </vt:variant>
      <vt:variant>
        <vt:lpwstr/>
      </vt:variant>
      <vt:variant>
        <vt:i4>2359378</vt:i4>
      </vt:variant>
      <vt:variant>
        <vt:i4>0</vt:i4>
      </vt:variant>
      <vt:variant>
        <vt:i4>0</vt:i4>
      </vt:variant>
      <vt:variant>
        <vt:i4>5</vt:i4>
      </vt:variant>
      <vt:variant>
        <vt:lpwstr>mailto:david.lillard@tn.gov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ii11038</dc:creator>
  <cp:lastModifiedBy>Larry Scroggs</cp:lastModifiedBy>
  <cp:revision>2</cp:revision>
  <cp:lastPrinted>2019-08-07T18:51:00Z</cp:lastPrinted>
  <dcterms:created xsi:type="dcterms:W3CDTF">2019-08-07T18:52:00Z</dcterms:created>
  <dcterms:modified xsi:type="dcterms:W3CDTF">2019-08-07T18:52:00Z</dcterms:modified>
</cp:coreProperties>
</file>