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6B" w:rsidRPr="00393E31" w:rsidRDefault="00044A6B" w:rsidP="004C2D94">
      <w:pPr>
        <w:jc w:val="center"/>
        <w:rPr>
          <w:rFonts w:ascii="Open Sans" w:hAnsi="Open Sans" w:cs="Open Sans"/>
          <w:b/>
          <w:sz w:val="20"/>
          <w:szCs w:val="20"/>
        </w:rPr>
      </w:pPr>
      <w:r w:rsidRPr="00393E31">
        <w:rPr>
          <w:rFonts w:ascii="Open Sans" w:hAnsi="Open Sans" w:cs="Open Sans"/>
          <w:b/>
          <w:sz w:val="20"/>
          <w:szCs w:val="20"/>
        </w:rPr>
        <w:t>Tennessee Higher Education Commission</w:t>
      </w:r>
    </w:p>
    <w:p w:rsidR="004C2D94" w:rsidRPr="00393E31" w:rsidRDefault="004C2D94" w:rsidP="004C2D94">
      <w:pPr>
        <w:jc w:val="center"/>
        <w:rPr>
          <w:rFonts w:ascii="Open Sans" w:hAnsi="Open Sans" w:cs="Open Sans"/>
          <w:b/>
          <w:sz w:val="20"/>
          <w:szCs w:val="20"/>
        </w:rPr>
      </w:pPr>
      <w:r w:rsidRPr="00393E31">
        <w:rPr>
          <w:rFonts w:ascii="Open Sans" w:hAnsi="Open Sans" w:cs="Open Sans"/>
          <w:b/>
          <w:sz w:val="20"/>
          <w:szCs w:val="20"/>
        </w:rPr>
        <w:t xml:space="preserve">2015-2020 Outcomes-Based Funding Formula </w:t>
      </w:r>
      <w:proofErr w:type="gramStart"/>
      <w:r w:rsidRPr="00393E31">
        <w:rPr>
          <w:rFonts w:ascii="Open Sans" w:hAnsi="Open Sans" w:cs="Open Sans"/>
          <w:b/>
          <w:sz w:val="20"/>
          <w:szCs w:val="20"/>
        </w:rPr>
        <w:t>Overview</w:t>
      </w:r>
      <w:proofErr w:type="gramEnd"/>
    </w:p>
    <w:p w:rsidR="00972C26" w:rsidRPr="00393E31" w:rsidRDefault="002156E5">
      <w:pPr>
        <w:rPr>
          <w:rFonts w:ascii="Open Sans" w:hAnsi="Open Sans" w:cs="Open Sans"/>
          <w:b/>
          <w:sz w:val="20"/>
          <w:szCs w:val="20"/>
          <w:u w:val="single"/>
        </w:rPr>
      </w:pPr>
      <w:r w:rsidRPr="00393E31">
        <w:rPr>
          <w:rFonts w:ascii="Open Sans" w:hAnsi="Open Sans" w:cs="Open Sans"/>
          <w:b/>
          <w:sz w:val="20"/>
          <w:szCs w:val="20"/>
          <w:u w:val="single"/>
        </w:rPr>
        <w:t>Introduction</w:t>
      </w:r>
    </w:p>
    <w:p w:rsidR="00387D55" w:rsidRPr="00393E31" w:rsidRDefault="00387D55" w:rsidP="00387D55">
      <w:pPr>
        <w:tabs>
          <w:tab w:val="center" w:pos="10098"/>
        </w:tabs>
        <w:jc w:val="both"/>
        <w:rPr>
          <w:rFonts w:ascii="Open Sans" w:hAnsi="Open Sans" w:cs="Open Sans"/>
          <w:bCs/>
          <w:sz w:val="20"/>
          <w:szCs w:val="20"/>
        </w:rPr>
      </w:pPr>
      <w:r w:rsidRPr="00393E31">
        <w:rPr>
          <w:rFonts w:ascii="Open Sans" w:hAnsi="Open Sans" w:cs="Open Sans"/>
          <w:bCs/>
          <w:sz w:val="20"/>
          <w:szCs w:val="20"/>
        </w:rPr>
        <w:t xml:space="preserve">Immediately following the passage of the Complete College Tennessee Act of 2010 </w:t>
      </w:r>
      <w:r w:rsidR="000A1A43" w:rsidRPr="00393E31">
        <w:rPr>
          <w:rFonts w:ascii="Open Sans" w:hAnsi="Open Sans" w:cs="Open Sans"/>
          <w:bCs/>
          <w:sz w:val="20"/>
          <w:szCs w:val="20"/>
        </w:rPr>
        <w:t>(CCTA)</w:t>
      </w:r>
      <w:r w:rsidR="00207AF4" w:rsidRPr="00393E31">
        <w:rPr>
          <w:rFonts w:ascii="Open Sans" w:hAnsi="Open Sans" w:cs="Open Sans"/>
          <w:bCs/>
          <w:sz w:val="20"/>
          <w:szCs w:val="20"/>
        </w:rPr>
        <w:t xml:space="preserve"> </w:t>
      </w:r>
      <w:r w:rsidRPr="00393E31">
        <w:rPr>
          <w:rFonts w:ascii="Open Sans" w:hAnsi="Open Sans" w:cs="Open Sans"/>
          <w:bCs/>
          <w:sz w:val="20"/>
          <w:szCs w:val="20"/>
        </w:rPr>
        <w:t>— a law which in part stipulates that higher education institutions be funded based on outc</w:t>
      </w:r>
      <w:r w:rsidR="00085282" w:rsidRPr="00393E31">
        <w:rPr>
          <w:rFonts w:ascii="Open Sans" w:hAnsi="Open Sans" w:cs="Open Sans"/>
          <w:bCs/>
          <w:sz w:val="20"/>
          <w:szCs w:val="20"/>
        </w:rPr>
        <w:t>omes rather than enrollment — the Tennessee Higher Education Commission (THEC)</w:t>
      </w:r>
      <w:r w:rsidRPr="00393E31">
        <w:rPr>
          <w:rFonts w:ascii="Open Sans" w:hAnsi="Open Sans" w:cs="Open Sans"/>
          <w:bCs/>
          <w:sz w:val="20"/>
          <w:szCs w:val="20"/>
        </w:rPr>
        <w:t xml:space="preserve"> convened a Formula Review Committee (FRC) consisting of institutional, system and governmental stakeholders to provide counsel on the creation of an outcomes-based funding formula. THEC also solicited advice and feedback from all university and community college presidents and chancellors. Through this process THEC produced a formula that </w:t>
      </w:r>
      <w:r w:rsidR="00DF7390" w:rsidRPr="00393E31">
        <w:rPr>
          <w:rFonts w:ascii="Open Sans" w:hAnsi="Open Sans" w:cs="Open Sans"/>
          <w:bCs/>
          <w:sz w:val="20"/>
          <w:szCs w:val="20"/>
        </w:rPr>
        <w:t xml:space="preserve">funds </w:t>
      </w:r>
      <w:r w:rsidRPr="00393E31">
        <w:rPr>
          <w:rFonts w:ascii="Open Sans" w:hAnsi="Open Sans" w:cs="Open Sans"/>
          <w:bCs/>
          <w:sz w:val="20"/>
          <w:szCs w:val="20"/>
        </w:rPr>
        <w:t>institutions based on metrics that measure success as well as weights that reflect institution</w:t>
      </w:r>
      <w:r w:rsidR="009260DD" w:rsidRPr="00393E31">
        <w:rPr>
          <w:rFonts w:ascii="Open Sans" w:hAnsi="Open Sans" w:cs="Open Sans"/>
          <w:bCs/>
          <w:sz w:val="20"/>
          <w:szCs w:val="20"/>
        </w:rPr>
        <w:t>s’</w:t>
      </w:r>
      <w:r w:rsidRPr="00393E31">
        <w:rPr>
          <w:rFonts w:ascii="Open Sans" w:hAnsi="Open Sans" w:cs="Open Sans"/>
          <w:bCs/>
          <w:sz w:val="20"/>
          <w:szCs w:val="20"/>
        </w:rPr>
        <w:t xml:space="preserve"> priorities and mission</w:t>
      </w:r>
      <w:r w:rsidR="009260DD" w:rsidRPr="00393E31">
        <w:rPr>
          <w:rFonts w:ascii="Open Sans" w:hAnsi="Open Sans" w:cs="Open Sans"/>
          <w:bCs/>
          <w:sz w:val="20"/>
          <w:szCs w:val="20"/>
        </w:rPr>
        <w:t>s</w:t>
      </w:r>
      <w:r w:rsidRPr="00393E31">
        <w:rPr>
          <w:rFonts w:ascii="Open Sans" w:hAnsi="Open Sans" w:cs="Open Sans"/>
          <w:bCs/>
          <w:sz w:val="20"/>
          <w:szCs w:val="20"/>
        </w:rPr>
        <w:t>.</w:t>
      </w:r>
    </w:p>
    <w:p w:rsidR="00387D55" w:rsidRPr="00393E31" w:rsidRDefault="00387D55" w:rsidP="00387D55">
      <w:pPr>
        <w:tabs>
          <w:tab w:val="center" w:pos="10098"/>
        </w:tabs>
        <w:jc w:val="both"/>
        <w:rPr>
          <w:rFonts w:ascii="Open Sans" w:hAnsi="Open Sans" w:cs="Open Sans"/>
          <w:bCs/>
          <w:sz w:val="20"/>
          <w:szCs w:val="20"/>
        </w:rPr>
      </w:pPr>
      <w:r w:rsidRPr="00393E31">
        <w:rPr>
          <w:rFonts w:ascii="Open Sans" w:hAnsi="Open Sans" w:cs="Open Sans"/>
          <w:bCs/>
          <w:sz w:val="20"/>
          <w:szCs w:val="20"/>
        </w:rPr>
        <w:t>Since</w:t>
      </w:r>
      <w:r w:rsidR="00F74AA1" w:rsidRPr="00393E31">
        <w:rPr>
          <w:rFonts w:ascii="Open Sans" w:hAnsi="Open Sans" w:cs="Open Sans"/>
          <w:bCs/>
          <w:sz w:val="20"/>
          <w:szCs w:val="20"/>
        </w:rPr>
        <w:t xml:space="preserve"> 2010</w:t>
      </w:r>
      <w:r w:rsidRPr="00393E31">
        <w:rPr>
          <w:rFonts w:ascii="Open Sans" w:hAnsi="Open Sans" w:cs="Open Sans"/>
          <w:bCs/>
          <w:sz w:val="20"/>
          <w:szCs w:val="20"/>
        </w:rPr>
        <w:t xml:space="preserve">, THEC has convened the FRC annually to review the strengths and weaknesses of the formula, with plans to implement any structural changes after </w:t>
      </w:r>
      <w:r w:rsidR="00F74AA1" w:rsidRPr="00393E31">
        <w:rPr>
          <w:rFonts w:ascii="Open Sans" w:hAnsi="Open Sans" w:cs="Open Sans"/>
          <w:bCs/>
          <w:sz w:val="20"/>
          <w:szCs w:val="20"/>
        </w:rPr>
        <w:t>the first</w:t>
      </w:r>
      <w:r w:rsidRPr="00393E31">
        <w:rPr>
          <w:rFonts w:ascii="Open Sans" w:hAnsi="Open Sans" w:cs="Open Sans"/>
          <w:bCs/>
          <w:sz w:val="20"/>
          <w:szCs w:val="20"/>
        </w:rPr>
        <w:t xml:space="preserve"> five-year cycle. That fi</w:t>
      </w:r>
      <w:r w:rsidR="00F74AA1" w:rsidRPr="00393E31">
        <w:rPr>
          <w:rFonts w:ascii="Open Sans" w:hAnsi="Open Sans" w:cs="Open Sans"/>
          <w:bCs/>
          <w:sz w:val="20"/>
          <w:szCs w:val="20"/>
        </w:rPr>
        <w:t xml:space="preserve">ve-year </w:t>
      </w:r>
      <w:r w:rsidRPr="00393E31">
        <w:rPr>
          <w:rFonts w:ascii="Open Sans" w:hAnsi="Open Sans" w:cs="Open Sans"/>
          <w:bCs/>
          <w:sz w:val="20"/>
          <w:szCs w:val="20"/>
        </w:rPr>
        <w:t>cycle came to an end with the distribution of FY 2015-16 appropriations</w:t>
      </w:r>
      <w:r w:rsidR="00F74AA1" w:rsidRPr="00393E31">
        <w:rPr>
          <w:rFonts w:ascii="Open Sans" w:hAnsi="Open Sans" w:cs="Open Sans"/>
          <w:bCs/>
          <w:sz w:val="20"/>
          <w:szCs w:val="20"/>
        </w:rPr>
        <w:t xml:space="preserve"> </w:t>
      </w:r>
      <w:r w:rsidR="00DF7390" w:rsidRPr="00393E31">
        <w:rPr>
          <w:rFonts w:ascii="Open Sans" w:hAnsi="Open Sans" w:cs="Open Sans"/>
          <w:bCs/>
          <w:sz w:val="20"/>
          <w:szCs w:val="20"/>
        </w:rPr>
        <w:t xml:space="preserve">in </w:t>
      </w:r>
      <w:r w:rsidR="00F74AA1" w:rsidRPr="00393E31">
        <w:rPr>
          <w:rFonts w:ascii="Open Sans" w:hAnsi="Open Sans" w:cs="Open Sans"/>
          <w:bCs/>
          <w:sz w:val="20"/>
          <w:szCs w:val="20"/>
        </w:rPr>
        <w:t>November</w:t>
      </w:r>
      <w:r w:rsidR="00DF7390" w:rsidRPr="00393E31">
        <w:rPr>
          <w:rFonts w:ascii="Open Sans" w:hAnsi="Open Sans" w:cs="Open Sans"/>
          <w:bCs/>
          <w:sz w:val="20"/>
          <w:szCs w:val="20"/>
        </w:rPr>
        <w:t xml:space="preserve"> 2014</w:t>
      </w:r>
      <w:r w:rsidRPr="00393E31">
        <w:rPr>
          <w:rFonts w:ascii="Open Sans" w:hAnsi="Open Sans" w:cs="Open Sans"/>
          <w:bCs/>
          <w:sz w:val="20"/>
          <w:szCs w:val="20"/>
        </w:rPr>
        <w:t xml:space="preserve">. </w:t>
      </w:r>
      <w:r w:rsidR="00F74AA1" w:rsidRPr="00393E31">
        <w:rPr>
          <w:rFonts w:ascii="Open Sans" w:hAnsi="Open Sans" w:cs="Open Sans"/>
          <w:bCs/>
          <w:sz w:val="20"/>
          <w:szCs w:val="20"/>
        </w:rPr>
        <w:t>Beginning in February 2015,</w:t>
      </w:r>
      <w:r w:rsidRPr="00393E31">
        <w:rPr>
          <w:rFonts w:ascii="Open Sans" w:hAnsi="Open Sans" w:cs="Open Sans"/>
          <w:bCs/>
          <w:sz w:val="20"/>
          <w:szCs w:val="20"/>
        </w:rPr>
        <w:t xml:space="preserve"> the 2015-</w:t>
      </w:r>
      <w:r w:rsidR="00207AF4" w:rsidRPr="00393E31">
        <w:rPr>
          <w:rFonts w:ascii="Open Sans" w:hAnsi="Open Sans" w:cs="Open Sans"/>
          <w:bCs/>
          <w:sz w:val="20"/>
          <w:szCs w:val="20"/>
        </w:rPr>
        <w:t>20</w:t>
      </w:r>
      <w:r w:rsidRPr="00393E31">
        <w:rPr>
          <w:rFonts w:ascii="Open Sans" w:hAnsi="Open Sans" w:cs="Open Sans"/>
          <w:bCs/>
          <w:sz w:val="20"/>
          <w:szCs w:val="20"/>
        </w:rPr>
        <w:t>20 FRC (see membership in Appendix A) proposed and reviewed changes to the current model. THEC also requested frequent feedback and advice from</w:t>
      </w:r>
      <w:r w:rsidR="009260DD" w:rsidRPr="00393E31">
        <w:rPr>
          <w:rFonts w:ascii="Open Sans" w:hAnsi="Open Sans" w:cs="Open Sans"/>
          <w:bCs/>
          <w:sz w:val="20"/>
          <w:szCs w:val="20"/>
        </w:rPr>
        <w:t xml:space="preserve"> all</w:t>
      </w:r>
      <w:r w:rsidRPr="00393E31">
        <w:rPr>
          <w:rFonts w:ascii="Open Sans" w:hAnsi="Open Sans" w:cs="Open Sans"/>
          <w:bCs/>
          <w:sz w:val="20"/>
          <w:szCs w:val="20"/>
        </w:rPr>
        <w:t xml:space="preserve"> </w:t>
      </w:r>
      <w:r w:rsidR="00F74AA1" w:rsidRPr="00393E31">
        <w:rPr>
          <w:rFonts w:ascii="Open Sans" w:hAnsi="Open Sans" w:cs="Open Sans"/>
          <w:bCs/>
          <w:sz w:val="20"/>
          <w:szCs w:val="20"/>
        </w:rPr>
        <w:t>institution</w:t>
      </w:r>
      <w:r w:rsidR="009260DD" w:rsidRPr="00393E31">
        <w:rPr>
          <w:rFonts w:ascii="Open Sans" w:hAnsi="Open Sans" w:cs="Open Sans"/>
          <w:bCs/>
          <w:sz w:val="20"/>
          <w:szCs w:val="20"/>
        </w:rPr>
        <w:t>s’</w:t>
      </w:r>
      <w:r w:rsidRPr="00393E31">
        <w:rPr>
          <w:rFonts w:ascii="Open Sans" w:hAnsi="Open Sans" w:cs="Open Sans"/>
          <w:bCs/>
          <w:sz w:val="20"/>
          <w:szCs w:val="20"/>
        </w:rPr>
        <w:t xml:space="preserve"> presidents and chancellors, and </w:t>
      </w:r>
      <w:r w:rsidR="00F74AA1" w:rsidRPr="00393E31">
        <w:rPr>
          <w:rFonts w:ascii="Open Sans" w:hAnsi="Open Sans" w:cs="Open Sans"/>
          <w:bCs/>
          <w:sz w:val="20"/>
          <w:szCs w:val="20"/>
        </w:rPr>
        <w:t>discussed</w:t>
      </w:r>
      <w:r w:rsidRPr="00393E31">
        <w:rPr>
          <w:rFonts w:ascii="Open Sans" w:hAnsi="Open Sans" w:cs="Open Sans"/>
          <w:bCs/>
          <w:sz w:val="20"/>
          <w:szCs w:val="20"/>
        </w:rPr>
        <w:t xml:space="preserve"> all proposed changes </w:t>
      </w:r>
      <w:r w:rsidR="00F74AA1" w:rsidRPr="00393E31">
        <w:rPr>
          <w:rFonts w:ascii="Open Sans" w:hAnsi="Open Sans" w:cs="Open Sans"/>
          <w:bCs/>
          <w:sz w:val="20"/>
          <w:szCs w:val="20"/>
        </w:rPr>
        <w:t xml:space="preserve">from these meetings </w:t>
      </w:r>
      <w:r w:rsidRPr="00393E31">
        <w:rPr>
          <w:rFonts w:ascii="Open Sans" w:hAnsi="Open Sans" w:cs="Open Sans"/>
          <w:bCs/>
          <w:sz w:val="20"/>
          <w:szCs w:val="20"/>
        </w:rPr>
        <w:t>with the Statutory Formula Review Committee, a formal committee charged with reviewing and recommending changes to the formula (see Appendix B).</w:t>
      </w:r>
    </w:p>
    <w:p w:rsidR="00207AF4" w:rsidRPr="00393E31" w:rsidRDefault="00586B9D" w:rsidP="00586B9D">
      <w:pPr>
        <w:tabs>
          <w:tab w:val="center" w:pos="10098"/>
        </w:tabs>
        <w:jc w:val="both"/>
        <w:rPr>
          <w:rFonts w:ascii="Open Sans" w:hAnsi="Open Sans" w:cs="Open Sans"/>
          <w:bCs/>
          <w:sz w:val="20"/>
          <w:szCs w:val="20"/>
        </w:rPr>
      </w:pPr>
      <w:r w:rsidRPr="00393E31">
        <w:rPr>
          <w:rFonts w:ascii="Open Sans" w:hAnsi="Open Sans" w:cs="Open Sans"/>
          <w:bCs/>
          <w:sz w:val="20"/>
          <w:szCs w:val="20"/>
        </w:rPr>
        <w:t xml:space="preserve">THEC staff presented the </w:t>
      </w:r>
      <w:r w:rsidR="00156972" w:rsidRPr="00393E31">
        <w:rPr>
          <w:rFonts w:ascii="Open Sans" w:hAnsi="Open Sans" w:cs="Open Sans"/>
          <w:bCs/>
          <w:sz w:val="20"/>
          <w:szCs w:val="20"/>
        </w:rPr>
        <w:t>basic framework and structure of the</w:t>
      </w:r>
      <w:r w:rsidR="00F74AA1" w:rsidRPr="00393E31">
        <w:rPr>
          <w:rFonts w:ascii="Open Sans" w:hAnsi="Open Sans" w:cs="Open Sans"/>
          <w:bCs/>
          <w:sz w:val="20"/>
          <w:szCs w:val="20"/>
        </w:rPr>
        <w:t xml:space="preserve"> proposed</w:t>
      </w:r>
      <w:r w:rsidR="00156972" w:rsidRPr="00393E31">
        <w:rPr>
          <w:rFonts w:ascii="Open Sans" w:hAnsi="Open Sans" w:cs="Open Sans"/>
          <w:bCs/>
          <w:sz w:val="20"/>
          <w:szCs w:val="20"/>
        </w:rPr>
        <w:t xml:space="preserve"> </w:t>
      </w:r>
      <w:r w:rsidRPr="00393E31">
        <w:rPr>
          <w:rFonts w:ascii="Open Sans" w:hAnsi="Open Sans" w:cs="Open Sans"/>
          <w:bCs/>
          <w:sz w:val="20"/>
          <w:szCs w:val="20"/>
        </w:rPr>
        <w:t xml:space="preserve">2015-2020 </w:t>
      </w:r>
      <w:r w:rsidR="00F74AA1" w:rsidRPr="00393E31">
        <w:rPr>
          <w:rFonts w:ascii="Open Sans" w:hAnsi="Open Sans" w:cs="Open Sans"/>
          <w:bCs/>
          <w:sz w:val="20"/>
          <w:szCs w:val="20"/>
        </w:rPr>
        <w:t>Outcomes-Based Funding Formula m</w:t>
      </w:r>
      <w:r w:rsidR="00EF2FF9" w:rsidRPr="00393E31">
        <w:rPr>
          <w:rFonts w:ascii="Open Sans" w:hAnsi="Open Sans" w:cs="Open Sans"/>
          <w:bCs/>
          <w:sz w:val="20"/>
          <w:szCs w:val="20"/>
        </w:rPr>
        <w:t>odel</w:t>
      </w:r>
      <w:r w:rsidRPr="00393E31">
        <w:rPr>
          <w:rFonts w:ascii="Open Sans" w:hAnsi="Open Sans" w:cs="Open Sans"/>
          <w:bCs/>
          <w:sz w:val="20"/>
          <w:szCs w:val="20"/>
        </w:rPr>
        <w:t xml:space="preserve"> to commission</w:t>
      </w:r>
      <w:r w:rsidR="00156972" w:rsidRPr="00393E31">
        <w:rPr>
          <w:rFonts w:ascii="Open Sans" w:hAnsi="Open Sans" w:cs="Open Sans"/>
          <w:bCs/>
          <w:sz w:val="20"/>
          <w:szCs w:val="20"/>
        </w:rPr>
        <w:t>ers</w:t>
      </w:r>
      <w:r w:rsidRPr="00393E31">
        <w:rPr>
          <w:rFonts w:ascii="Open Sans" w:hAnsi="Open Sans" w:cs="Open Sans"/>
          <w:bCs/>
          <w:sz w:val="20"/>
          <w:szCs w:val="20"/>
        </w:rPr>
        <w:t xml:space="preserve"> at the July 2015 Quarterly </w:t>
      </w:r>
      <w:r w:rsidR="00F74AA1" w:rsidRPr="00393E31">
        <w:rPr>
          <w:rFonts w:ascii="Open Sans" w:hAnsi="Open Sans" w:cs="Open Sans"/>
          <w:bCs/>
          <w:sz w:val="20"/>
          <w:szCs w:val="20"/>
        </w:rPr>
        <w:t xml:space="preserve">Commission </w:t>
      </w:r>
      <w:r w:rsidRPr="00393E31">
        <w:rPr>
          <w:rFonts w:ascii="Open Sans" w:hAnsi="Open Sans" w:cs="Open Sans"/>
          <w:bCs/>
          <w:sz w:val="20"/>
          <w:szCs w:val="20"/>
        </w:rPr>
        <w:t xml:space="preserve">Meeting. </w:t>
      </w:r>
      <w:r w:rsidR="00156972" w:rsidRPr="00393E31">
        <w:rPr>
          <w:rFonts w:ascii="Open Sans" w:hAnsi="Open Sans" w:cs="Open Sans"/>
          <w:bCs/>
          <w:sz w:val="20"/>
          <w:szCs w:val="20"/>
        </w:rPr>
        <w:t>Since the</w:t>
      </w:r>
      <w:r w:rsidR="00F74AA1" w:rsidRPr="00393E31">
        <w:rPr>
          <w:rFonts w:ascii="Open Sans" w:hAnsi="Open Sans" w:cs="Open Sans"/>
          <w:bCs/>
          <w:sz w:val="20"/>
          <w:szCs w:val="20"/>
        </w:rPr>
        <w:t xml:space="preserve"> approval by the Commission at the</w:t>
      </w:r>
      <w:r w:rsidR="00156972" w:rsidRPr="00393E31">
        <w:rPr>
          <w:rFonts w:ascii="Open Sans" w:hAnsi="Open Sans" w:cs="Open Sans"/>
          <w:bCs/>
          <w:sz w:val="20"/>
          <w:szCs w:val="20"/>
        </w:rPr>
        <w:t xml:space="preserve"> July meeting</w:t>
      </w:r>
      <w:r w:rsidR="009260DD" w:rsidRPr="00393E31">
        <w:rPr>
          <w:rFonts w:ascii="Open Sans" w:hAnsi="Open Sans" w:cs="Open Sans"/>
          <w:bCs/>
          <w:sz w:val="20"/>
          <w:szCs w:val="20"/>
        </w:rPr>
        <w:t>,</w:t>
      </w:r>
      <w:r w:rsidR="00156972" w:rsidRPr="00393E31">
        <w:rPr>
          <w:rFonts w:ascii="Open Sans" w:hAnsi="Open Sans" w:cs="Open Sans"/>
          <w:bCs/>
          <w:sz w:val="20"/>
          <w:szCs w:val="20"/>
        </w:rPr>
        <w:t xml:space="preserve"> all components of the 2015-2020 formula have been finalized. </w:t>
      </w:r>
      <w:r w:rsidR="00207AF4" w:rsidRPr="00393E31">
        <w:rPr>
          <w:rFonts w:ascii="Open Sans" w:hAnsi="Open Sans" w:cs="Open Sans"/>
          <w:bCs/>
          <w:sz w:val="20"/>
          <w:szCs w:val="20"/>
        </w:rPr>
        <w:t xml:space="preserve">The </w:t>
      </w:r>
      <w:r w:rsidR="00F74AA1" w:rsidRPr="00393E31">
        <w:rPr>
          <w:rFonts w:ascii="Open Sans" w:hAnsi="Open Sans" w:cs="Open Sans"/>
          <w:bCs/>
          <w:sz w:val="20"/>
          <w:szCs w:val="20"/>
        </w:rPr>
        <w:t>finalized components</w:t>
      </w:r>
      <w:r w:rsidR="00207AF4" w:rsidRPr="00393E31">
        <w:rPr>
          <w:rFonts w:ascii="Open Sans" w:hAnsi="Open Sans" w:cs="Open Sans"/>
          <w:bCs/>
          <w:sz w:val="20"/>
          <w:szCs w:val="20"/>
        </w:rPr>
        <w:t xml:space="preserve"> are detail</w:t>
      </w:r>
      <w:r w:rsidR="00F74AA1" w:rsidRPr="00393E31">
        <w:rPr>
          <w:rFonts w:ascii="Open Sans" w:hAnsi="Open Sans" w:cs="Open Sans"/>
          <w:bCs/>
          <w:sz w:val="20"/>
          <w:szCs w:val="20"/>
        </w:rPr>
        <w:t>ed</w:t>
      </w:r>
      <w:r w:rsidR="00207AF4" w:rsidRPr="00393E31">
        <w:rPr>
          <w:rFonts w:ascii="Open Sans" w:hAnsi="Open Sans" w:cs="Open Sans"/>
          <w:bCs/>
          <w:sz w:val="20"/>
          <w:szCs w:val="20"/>
        </w:rPr>
        <w:t xml:space="preserve"> below and are summarized in Appendi</w:t>
      </w:r>
      <w:r w:rsidR="00DF7390" w:rsidRPr="00393E31">
        <w:rPr>
          <w:rFonts w:ascii="Open Sans" w:hAnsi="Open Sans" w:cs="Open Sans"/>
          <w:bCs/>
          <w:sz w:val="20"/>
          <w:szCs w:val="20"/>
        </w:rPr>
        <w:t>ces</w:t>
      </w:r>
      <w:r w:rsidR="00207AF4" w:rsidRPr="00393E31">
        <w:rPr>
          <w:rFonts w:ascii="Open Sans" w:hAnsi="Open Sans" w:cs="Open Sans"/>
          <w:bCs/>
          <w:sz w:val="20"/>
          <w:szCs w:val="20"/>
        </w:rPr>
        <w:t xml:space="preserve"> C and D.</w:t>
      </w:r>
    </w:p>
    <w:p w:rsidR="00156972" w:rsidRPr="00393E31" w:rsidRDefault="00156972" w:rsidP="00586B9D">
      <w:pPr>
        <w:tabs>
          <w:tab w:val="center" w:pos="10098"/>
        </w:tabs>
        <w:jc w:val="both"/>
        <w:rPr>
          <w:rFonts w:ascii="Open Sans" w:hAnsi="Open Sans" w:cs="Open Sans"/>
          <w:b/>
          <w:bCs/>
          <w:sz w:val="20"/>
          <w:szCs w:val="20"/>
          <w:u w:val="single"/>
        </w:rPr>
      </w:pPr>
      <w:r w:rsidRPr="00393E31">
        <w:rPr>
          <w:rFonts w:ascii="Open Sans" w:hAnsi="Open Sans" w:cs="Open Sans"/>
          <w:b/>
          <w:bCs/>
          <w:sz w:val="20"/>
          <w:szCs w:val="20"/>
          <w:u w:val="single"/>
        </w:rPr>
        <w:t>Outcomes</w:t>
      </w:r>
    </w:p>
    <w:p w:rsidR="00156972" w:rsidRPr="00393E31" w:rsidRDefault="00156972" w:rsidP="00586B9D">
      <w:pPr>
        <w:tabs>
          <w:tab w:val="center" w:pos="10098"/>
        </w:tabs>
        <w:jc w:val="both"/>
        <w:rPr>
          <w:rFonts w:ascii="Open Sans" w:hAnsi="Open Sans" w:cs="Open Sans"/>
          <w:bCs/>
          <w:sz w:val="20"/>
          <w:szCs w:val="20"/>
          <w:u w:val="single"/>
        </w:rPr>
      </w:pPr>
      <w:r w:rsidRPr="00393E31">
        <w:rPr>
          <w:rFonts w:ascii="Open Sans" w:hAnsi="Open Sans" w:cs="Open Sans"/>
          <w:bCs/>
          <w:sz w:val="20"/>
          <w:szCs w:val="20"/>
        </w:rPr>
        <w:t>The outcomes for both sectors remain largely intact</w:t>
      </w:r>
      <w:r w:rsidR="00D50FB3" w:rsidRPr="00393E31">
        <w:rPr>
          <w:rFonts w:ascii="Open Sans" w:hAnsi="Open Sans" w:cs="Open Sans"/>
          <w:bCs/>
          <w:sz w:val="20"/>
          <w:szCs w:val="20"/>
        </w:rPr>
        <w:t xml:space="preserve">. Modifications include </w:t>
      </w:r>
      <w:r w:rsidR="0020702B" w:rsidRPr="00393E31">
        <w:rPr>
          <w:rFonts w:ascii="Open Sans" w:hAnsi="Open Sans" w:cs="Open Sans"/>
          <w:bCs/>
          <w:sz w:val="20"/>
          <w:szCs w:val="20"/>
        </w:rPr>
        <w:t xml:space="preserve">several </w:t>
      </w:r>
      <w:r w:rsidRPr="00393E31">
        <w:rPr>
          <w:rFonts w:ascii="Open Sans" w:hAnsi="Open Sans" w:cs="Open Sans"/>
          <w:bCs/>
          <w:sz w:val="20"/>
          <w:szCs w:val="20"/>
        </w:rPr>
        <w:t>definitional changes and two outcome removals.</w:t>
      </w:r>
    </w:p>
    <w:p w:rsidR="00156972" w:rsidRPr="00393E31" w:rsidRDefault="00156972" w:rsidP="00586B9D">
      <w:pPr>
        <w:tabs>
          <w:tab w:val="center" w:pos="10098"/>
        </w:tabs>
        <w:jc w:val="both"/>
        <w:rPr>
          <w:rFonts w:ascii="Open Sans" w:hAnsi="Open Sans" w:cs="Open Sans"/>
          <w:bCs/>
          <w:i/>
          <w:sz w:val="20"/>
          <w:szCs w:val="20"/>
        </w:rPr>
      </w:pPr>
      <w:r w:rsidRPr="00393E31">
        <w:rPr>
          <w:rFonts w:ascii="Open Sans" w:hAnsi="Open Sans" w:cs="Open Sans"/>
          <w:bCs/>
          <w:i/>
          <w:sz w:val="20"/>
          <w:szCs w:val="20"/>
        </w:rPr>
        <w:t>Community College Sector</w:t>
      </w:r>
    </w:p>
    <w:p w:rsidR="002C2237" w:rsidRPr="00393E31" w:rsidRDefault="000C1B64" w:rsidP="00586B9D">
      <w:pPr>
        <w:tabs>
          <w:tab w:val="center" w:pos="10098"/>
        </w:tabs>
        <w:jc w:val="both"/>
        <w:rPr>
          <w:rFonts w:ascii="Open Sans" w:hAnsi="Open Sans" w:cs="Open Sans"/>
          <w:bCs/>
          <w:sz w:val="20"/>
          <w:szCs w:val="20"/>
        </w:rPr>
      </w:pPr>
      <w:r w:rsidRPr="00393E31">
        <w:rPr>
          <w:rFonts w:ascii="Open Sans" w:hAnsi="Open Sans" w:cs="Open Sans"/>
          <w:bCs/>
          <w:sz w:val="20"/>
          <w:szCs w:val="20"/>
        </w:rPr>
        <w:t>I</w:t>
      </w:r>
      <w:r w:rsidR="00EF2FF9" w:rsidRPr="00393E31">
        <w:rPr>
          <w:rFonts w:ascii="Open Sans" w:hAnsi="Open Sans" w:cs="Open Sans"/>
          <w:bCs/>
          <w:sz w:val="20"/>
          <w:szCs w:val="20"/>
        </w:rPr>
        <w:t xml:space="preserve">n the 2010-2015 </w:t>
      </w:r>
      <w:proofErr w:type="gramStart"/>
      <w:r w:rsidRPr="00393E31">
        <w:rPr>
          <w:rFonts w:ascii="Open Sans" w:hAnsi="Open Sans" w:cs="Open Sans"/>
          <w:bCs/>
          <w:sz w:val="20"/>
          <w:szCs w:val="20"/>
        </w:rPr>
        <w:t>model</w:t>
      </w:r>
      <w:proofErr w:type="gramEnd"/>
      <w:r w:rsidR="0011786E" w:rsidRPr="00393E31">
        <w:rPr>
          <w:rFonts w:ascii="Open Sans" w:hAnsi="Open Sans" w:cs="Open Sans"/>
          <w:bCs/>
          <w:sz w:val="20"/>
          <w:szCs w:val="20"/>
        </w:rPr>
        <w:t>,</w:t>
      </w:r>
      <w:r w:rsidRPr="00393E31">
        <w:rPr>
          <w:rFonts w:ascii="Open Sans" w:hAnsi="Open Sans" w:cs="Open Sans"/>
          <w:bCs/>
          <w:sz w:val="20"/>
          <w:szCs w:val="20"/>
        </w:rPr>
        <w:t xml:space="preserve"> </w:t>
      </w:r>
      <w:r w:rsidR="0038378D" w:rsidRPr="00393E31">
        <w:rPr>
          <w:rFonts w:ascii="Open Sans" w:hAnsi="Open Sans" w:cs="Open Sans"/>
          <w:bCs/>
          <w:sz w:val="20"/>
          <w:szCs w:val="20"/>
        </w:rPr>
        <w:t>only academic and technical</w:t>
      </w:r>
      <w:r w:rsidR="00EF2FF9" w:rsidRPr="00393E31">
        <w:rPr>
          <w:rFonts w:ascii="Open Sans" w:hAnsi="Open Sans" w:cs="Open Sans"/>
          <w:bCs/>
          <w:sz w:val="20"/>
          <w:szCs w:val="20"/>
        </w:rPr>
        <w:t xml:space="preserve"> short-term certificates (those requiring fewer than 24 semester credit hours) that represented the highest award earned </w:t>
      </w:r>
      <w:r w:rsidRPr="00393E31">
        <w:rPr>
          <w:rFonts w:ascii="Open Sans" w:hAnsi="Open Sans" w:cs="Open Sans"/>
          <w:bCs/>
          <w:sz w:val="20"/>
          <w:szCs w:val="20"/>
        </w:rPr>
        <w:t>at the time of a student’s stop-out were counted.</w:t>
      </w:r>
      <w:r w:rsidR="00EF2FF9" w:rsidRPr="00393E31">
        <w:rPr>
          <w:rFonts w:ascii="Open Sans" w:hAnsi="Open Sans" w:cs="Open Sans"/>
          <w:bCs/>
          <w:sz w:val="20"/>
          <w:szCs w:val="20"/>
        </w:rPr>
        <w:t xml:space="preserve"> </w:t>
      </w:r>
      <w:r w:rsidR="002C2237" w:rsidRPr="00393E31">
        <w:rPr>
          <w:rFonts w:ascii="Open Sans" w:hAnsi="Open Sans" w:cs="Open Sans"/>
          <w:bCs/>
          <w:sz w:val="20"/>
          <w:szCs w:val="20"/>
        </w:rPr>
        <w:t xml:space="preserve">In the 2015-2020 </w:t>
      </w:r>
      <w:proofErr w:type="gramStart"/>
      <w:r w:rsidR="002C2237" w:rsidRPr="00393E31">
        <w:rPr>
          <w:rFonts w:ascii="Open Sans" w:hAnsi="Open Sans" w:cs="Open Sans"/>
          <w:bCs/>
          <w:sz w:val="20"/>
          <w:szCs w:val="20"/>
        </w:rPr>
        <w:t>model</w:t>
      </w:r>
      <w:proofErr w:type="gramEnd"/>
      <w:r w:rsidR="0011786E" w:rsidRPr="00393E31">
        <w:rPr>
          <w:rFonts w:ascii="Open Sans" w:hAnsi="Open Sans" w:cs="Open Sans"/>
          <w:bCs/>
          <w:sz w:val="20"/>
          <w:szCs w:val="20"/>
        </w:rPr>
        <w:t>,</w:t>
      </w:r>
      <w:r w:rsidR="002C2237" w:rsidRPr="00393E31">
        <w:rPr>
          <w:rFonts w:ascii="Open Sans" w:hAnsi="Open Sans" w:cs="Open Sans"/>
          <w:bCs/>
          <w:sz w:val="20"/>
          <w:szCs w:val="20"/>
        </w:rPr>
        <w:t xml:space="preserve"> </w:t>
      </w:r>
      <w:r w:rsidR="0038378D" w:rsidRPr="00393E31">
        <w:rPr>
          <w:rFonts w:ascii="Open Sans" w:hAnsi="Open Sans" w:cs="Open Sans"/>
          <w:bCs/>
          <w:i/>
          <w:sz w:val="20"/>
          <w:szCs w:val="20"/>
        </w:rPr>
        <w:t>all</w:t>
      </w:r>
      <w:r w:rsidR="0038378D" w:rsidRPr="00393E31">
        <w:rPr>
          <w:rFonts w:ascii="Open Sans" w:hAnsi="Open Sans" w:cs="Open Sans"/>
          <w:bCs/>
          <w:sz w:val="20"/>
          <w:szCs w:val="20"/>
        </w:rPr>
        <w:t xml:space="preserve"> </w:t>
      </w:r>
      <w:r w:rsidR="002C2237" w:rsidRPr="00393E31">
        <w:rPr>
          <w:rFonts w:ascii="Open Sans" w:hAnsi="Open Sans" w:cs="Open Sans"/>
          <w:bCs/>
          <w:sz w:val="20"/>
          <w:szCs w:val="20"/>
        </w:rPr>
        <w:t xml:space="preserve">technical certificates will be counted, </w:t>
      </w:r>
      <w:r w:rsidR="0038378D" w:rsidRPr="00393E31">
        <w:rPr>
          <w:rFonts w:ascii="Open Sans" w:hAnsi="Open Sans" w:cs="Open Sans"/>
          <w:bCs/>
          <w:sz w:val="20"/>
          <w:szCs w:val="20"/>
        </w:rPr>
        <w:t xml:space="preserve">whether awarded to students who then stopped out or who continued taking classes at </w:t>
      </w:r>
      <w:r w:rsidR="00B74353" w:rsidRPr="00393E31">
        <w:rPr>
          <w:rFonts w:ascii="Open Sans" w:hAnsi="Open Sans" w:cs="Open Sans"/>
          <w:bCs/>
          <w:sz w:val="20"/>
          <w:szCs w:val="20"/>
        </w:rPr>
        <w:t>any</w:t>
      </w:r>
      <w:r w:rsidR="0038378D" w:rsidRPr="00393E31">
        <w:rPr>
          <w:rFonts w:ascii="Open Sans" w:hAnsi="Open Sans" w:cs="Open Sans"/>
          <w:bCs/>
          <w:sz w:val="20"/>
          <w:szCs w:val="20"/>
        </w:rPr>
        <w:t xml:space="preserve"> institution. Short-term c</w:t>
      </w:r>
      <w:r w:rsidR="002C2237" w:rsidRPr="00393E31">
        <w:rPr>
          <w:rFonts w:ascii="Open Sans" w:hAnsi="Open Sans" w:cs="Open Sans"/>
          <w:bCs/>
          <w:sz w:val="20"/>
          <w:szCs w:val="20"/>
        </w:rPr>
        <w:t>ertificates</w:t>
      </w:r>
      <w:r w:rsidR="00D50FB3" w:rsidRPr="00393E31">
        <w:rPr>
          <w:rFonts w:ascii="Open Sans" w:hAnsi="Open Sans" w:cs="Open Sans"/>
          <w:bCs/>
          <w:sz w:val="20"/>
          <w:szCs w:val="20"/>
        </w:rPr>
        <w:t xml:space="preserve"> identified as academic in nature</w:t>
      </w:r>
      <w:r w:rsidR="002C2237" w:rsidRPr="00393E31">
        <w:rPr>
          <w:rFonts w:ascii="Open Sans" w:hAnsi="Open Sans" w:cs="Open Sans"/>
          <w:bCs/>
          <w:sz w:val="20"/>
          <w:szCs w:val="20"/>
        </w:rPr>
        <w:t xml:space="preserve"> </w:t>
      </w:r>
      <w:r w:rsidR="0038378D" w:rsidRPr="00393E31">
        <w:rPr>
          <w:rFonts w:ascii="Open Sans" w:hAnsi="Open Sans" w:cs="Open Sans"/>
          <w:bCs/>
          <w:sz w:val="20"/>
          <w:szCs w:val="20"/>
        </w:rPr>
        <w:t>will</w:t>
      </w:r>
      <w:r w:rsidR="002C2237" w:rsidRPr="00393E31">
        <w:rPr>
          <w:rFonts w:ascii="Open Sans" w:hAnsi="Open Sans" w:cs="Open Sans"/>
          <w:bCs/>
          <w:sz w:val="20"/>
          <w:szCs w:val="20"/>
        </w:rPr>
        <w:t xml:space="preserve"> not</w:t>
      </w:r>
      <w:r w:rsidR="0038378D" w:rsidRPr="00393E31">
        <w:rPr>
          <w:rFonts w:ascii="Open Sans" w:hAnsi="Open Sans" w:cs="Open Sans"/>
          <w:bCs/>
          <w:sz w:val="20"/>
          <w:szCs w:val="20"/>
        </w:rPr>
        <w:t xml:space="preserve"> be</w:t>
      </w:r>
      <w:r w:rsidR="002C2237" w:rsidRPr="00393E31">
        <w:rPr>
          <w:rFonts w:ascii="Open Sans" w:hAnsi="Open Sans" w:cs="Open Sans"/>
          <w:bCs/>
          <w:sz w:val="20"/>
          <w:szCs w:val="20"/>
        </w:rPr>
        <w:t xml:space="preserve"> counted </w:t>
      </w:r>
      <w:r w:rsidR="000762A8" w:rsidRPr="00393E31">
        <w:rPr>
          <w:rFonts w:ascii="Open Sans" w:hAnsi="Open Sans" w:cs="Open Sans"/>
          <w:bCs/>
          <w:sz w:val="20"/>
          <w:szCs w:val="20"/>
        </w:rPr>
        <w:t>as part of the short-term certificate metric</w:t>
      </w:r>
      <w:r w:rsidR="0038378D" w:rsidRPr="00393E31">
        <w:rPr>
          <w:rFonts w:ascii="Open Sans" w:hAnsi="Open Sans" w:cs="Open Sans"/>
          <w:bCs/>
          <w:sz w:val="20"/>
          <w:szCs w:val="20"/>
        </w:rPr>
        <w:t xml:space="preserve"> </w:t>
      </w:r>
      <w:r w:rsidR="002C2237" w:rsidRPr="00393E31">
        <w:rPr>
          <w:rFonts w:ascii="Open Sans" w:hAnsi="Open Sans" w:cs="Open Sans"/>
          <w:bCs/>
          <w:sz w:val="20"/>
          <w:szCs w:val="20"/>
        </w:rPr>
        <w:t>as they are</w:t>
      </w:r>
      <w:r w:rsidR="000762A8" w:rsidRPr="00393E31">
        <w:rPr>
          <w:rFonts w:ascii="Open Sans" w:hAnsi="Open Sans" w:cs="Open Sans"/>
          <w:bCs/>
          <w:sz w:val="20"/>
          <w:szCs w:val="20"/>
        </w:rPr>
        <w:t xml:space="preserve"> awarded to students who</w:t>
      </w:r>
      <w:r w:rsidR="002C2237" w:rsidRPr="00393E31">
        <w:rPr>
          <w:rFonts w:ascii="Open Sans" w:hAnsi="Open Sans" w:cs="Open Sans"/>
          <w:bCs/>
          <w:sz w:val="20"/>
          <w:szCs w:val="20"/>
        </w:rPr>
        <w:t xml:space="preserve"> intend </w:t>
      </w:r>
      <w:r w:rsidR="000762A8" w:rsidRPr="00393E31">
        <w:rPr>
          <w:rFonts w:ascii="Open Sans" w:hAnsi="Open Sans" w:cs="Open Sans"/>
          <w:bCs/>
          <w:sz w:val="20"/>
          <w:szCs w:val="20"/>
        </w:rPr>
        <w:t>to</w:t>
      </w:r>
      <w:r w:rsidR="002C2237" w:rsidRPr="00393E31">
        <w:rPr>
          <w:rFonts w:ascii="Open Sans" w:hAnsi="Open Sans" w:cs="Open Sans"/>
          <w:bCs/>
          <w:sz w:val="20"/>
          <w:szCs w:val="20"/>
        </w:rPr>
        <w:t xml:space="preserve"> transfer</w:t>
      </w:r>
      <w:r w:rsidR="00207AF4" w:rsidRPr="00393E31">
        <w:rPr>
          <w:rFonts w:ascii="Open Sans" w:hAnsi="Open Sans" w:cs="Open Sans"/>
          <w:bCs/>
          <w:sz w:val="20"/>
          <w:szCs w:val="20"/>
        </w:rPr>
        <w:t xml:space="preserve"> </w:t>
      </w:r>
      <w:r w:rsidR="00B25790" w:rsidRPr="00393E31">
        <w:rPr>
          <w:rFonts w:ascii="Open Sans" w:hAnsi="Open Sans" w:cs="Open Sans"/>
          <w:bCs/>
          <w:sz w:val="20"/>
          <w:szCs w:val="20"/>
        </w:rPr>
        <w:t>—</w:t>
      </w:r>
      <w:r w:rsidR="00207AF4" w:rsidRPr="00393E31">
        <w:rPr>
          <w:rFonts w:ascii="Open Sans" w:hAnsi="Open Sans" w:cs="Open Sans"/>
          <w:bCs/>
          <w:sz w:val="20"/>
          <w:szCs w:val="20"/>
        </w:rPr>
        <w:t xml:space="preserve"> </w:t>
      </w:r>
      <w:r w:rsidR="00B25790" w:rsidRPr="00393E31">
        <w:rPr>
          <w:rFonts w:ascii="Open Sans" w:hAnsi="Open Sans" w:cs="Open Sans"/>
          <w:bCs/>
          <w:sz w:val="20"/>
          <w:szCs w:val="20"/>
        </w:rPr>
        <w:t xml:space="preserve">a measurement of success that is </w:t>
      </w:r>
      <w:r w:rsidR="000762A8" w:rsidRPr="00393E31">
        <w:rPr>
          <w:rFonts w:ascii="Open Sans" w:hAnsi="Open Sans" w:cs="Open Sans"/>
          <w:bCs/>
          <w:sz w:val="20"/>
          <w:szCs w:val="20"/>
        </w:rPr>
        <w:t>its own</w:t>
      </w:r>
      <w:r w:rsidR="00B25790" w:rsidRPr="00393E31">
        <w:rPr>
          <w:rFonts w:ascii="Open Sans" w:hAnsi="Open Sans" w:cs="Open Sans"/>
          <w:bCs/>
          <w:sz w:val="20"/>
          <w:szCs w:val="20"/>
        </w:rPr>
        <w:t xml:space="preserve"> outcome</w:t>
      </w:r>
      <w:r w:rsidR="002C2237" w:rsidRPr="00393E31">
        <w:rPr>
          <w:rFonts w:ascii="Open Sans" w:hAnsi="Open Sans" w:cs="Open Sans"/>
          <w:bCs/>
          <w:sz w:val="20"/>
          <w:szCs w:val="20"/>
        </w:rPr>
        <w:t>.</w:t>
      </w:r>
    </w:p>
    <w:p w:rsidR="002C2237" w:rsidRPr="00393E31" w:rsidRDefault="002C2237" w:rsidP="00586B9D">
      <w:pPr>
        <w:tabs>
          <w:tab w:val="center" w:pos="10098"/>
        </w:tabs>
        <w:jc w:val="both"/>
        <w:rPr>
          <w:rFonts w:ascii="Open Sans" w:hAnsi="Open Sans" w:cs="Open Sans"/>
          <w:bCs/>
          <w:sz w:val="20"/>
          <w:szCs w:val="20"/>
        </w:rPr>
      </w:pPr>
      <w:r w:rsidRPr="00393E31">
        <w:rPr>
          <w:rFonts w:ascii="Open Sans" w:hAnsi="Open Sans" w:cs="Open Sans"/>
          <w:bCs/>
          <w:sz w:val="20"/>
          <w:szCs w:val="20"/>
        </w:rPr>
        <w:lastRenderedPageBreak/>
        <w:t>Members of the FRC expressed an interest in removing non</w:t>
      </w:r>
      <w:r w:rsidR="00207AF4" w:rsidRPr="00393E31">
        <w:rPr>
          <w:rFonts w:ascii="Open Sans" w:hAnsi="Open Sans" w:cs="Open Sans"/>
          <w:bCs/>
          <w:sz w:val="20"/>
          <w:szCs w:val="20"/>
        </w:rPr>
        <w:t>-</w:t>
      </w:r>
      <w:r w:rsidRPr="00393E31">
        <w:rPr>
          <w:rFonts w:ascii="Open Sans" w:hAnsi="Open Sans" w:cs="Open Sans"/>
          <w:bCs/>
          <w:sz w:val="20"/>
          <w:szCs w:val="20"/>
        </w:rPr>
        <w:t>degree-seeking students</w:t>
      </w:r>
      <w:r w:rsidR="0057307A" w:rsidRPr="00393E31">
        <w:rPr>
          <w:rFonts w:ascii="Open Sans" w:hAnsi="Open Sans" w:cs="Open Sans"/>
          <w:bCs/>
          <w:sz w:val="20"/>
          <w:szCs w:val="20"/>
        </w:rPr>
        <w:t xml:space="preserve">, such as </w:t>
      </w:r>
      <w:r w:rsidR="00207AF4" w:rsidRPr="00393E31">
        <w:rPr>
          <w:rFonts w:ascii="Open Sans" w:hAnsi="Open Sans" w:cs="Open Sans"/>
          <w:bCs/>
          <w:sz w:val="20"/>
          <w:szCs w:val="20"/>
        </w:rPr>
        <w:t>dual enrollment</w:t>
      </w:r>
      <w:r w:rsidR="0057307A" w:rsidRPr="00393E31">
        <w:rPr>
          <w:rFonts w:ascii="Open Sans" w:hAnsi="Open Sans" w:cs="Open Sans"/>
          <w:bCs/>
          <w:sz w:val="20"/>
          <w:szCs w:val="20"/>
        </w:rPr>
        <w:t xml:space="preserve"> students,</w:t>
      </w:r>
      <w:r w:rsidRPr="00393E31">
        <w:rPr>
          <w:rFonts w:ascii="Open Sans" w:hAnsi="Open Sans" w:cs="Open Sans"/>
          <w:bCs/>
          <w:sz w:val="20"/>
          <w:szCs w:val="20"/>
        </w:rPr>
        <w:t xml:space="preserve"> from the full-time enrollment metric used in </w:t>
      </w:r>
      <w:r w:rsidR="0057307A" w:rsidRPr="00393E31">
        <w:rPr>
          <w:rFonts w:ascii="Open Sans" w:hAnsi="Open Sans" w:cs="Open Sans"/>
          <w:bCs/>
          <w:sz w:val="20"/>
          <w:szCs w:val="20"/>
        </w:rPr>
        <w:t xml:space="preserve">the Awards per 100 FTE </w:t>
      </w:r>
      <w:proofErr w:type="gramStart"/>
      <w:r w:rsidR="0057307A" w:rsidRPr="00393E31">
        <w:rPr>
          <w:rFonts w:ascii="Open Sans" w:hAnsi="Open Sans" w:cs="Open Sans"/>
          <w:bCs/>
          <w:sz w:val="20"/>
          <w:szCs w:val="20"/>
        </w:rPr>
        <w:t>outcome</w:t>
      </w:r>
      <w:proofErr w:type="gramEnd"/>
      <w:r w:rsidR="0057307A" w:rsidRPr="00393E31">
        <w:rPr>
          <w:rFonts w:ascii="Open Sans" w:hAnsi="Open Sans" w:cs="Open Sans"/>
          <w:bCs/>
          <w:sz w:val="20"/>
          <w:szCs w:val="20"/>
        </w:rPr>
        <w:t xml:space="preserve">. </w:t>
      </w:r>
      <w:r w:rsidR="000762A8" w:rsidRPr="00393E31">
        <w:rPr>
          <w:rFonts w:ascii="Open Sans" w:hAnsi="Open Sans" w:cs="Open Sans"/>
          <w:bCs/>
          <w:sz w:val="20"/>
          <w:szCs w:val="20"/>
        </w:rPr>
        <w:t xml:space="preserve">Due to </w:t>
      </w:r>
      <w:r w:rsidR="00B74353" w:rsidRPr="00393E31">
        <w:rPr>
          <w:rFonts w:ascii="Open Sans" w:hAnsi="Open Sans" w:cs="Open Sans"/>
          <w:bCs/>
          <w:sz w:val="20"/>
          <w:szCs w:val="20"/>
        </w:rPr>
        <w:t>improvements to the THEC Student Information System</w:t>
      </w:r>
      <w:r w:rsidR="000762A8" w:rsidRPr="00393E31">
        <w:rPr>
          <w:rFonts w:ascii="Open Sans" w:hAnsi="Open Sans" w:cs="Open Sans"/>
          <w:bCs/>
          <w:sz w:val="20"/>
          <w:szCs w:val="20"/>
        </w:rPr>
        <w:t xml:space="preserve"> t</w:t>
      </w:r>
      <w:r w:rsidR="0057307A" w:rsidRPr="00393E31">
        <w:rPr>
          <w:rFonts w:ascii="Open Sans" w:hAnsi="Open Sans" w:cs="Open Sans"/>
          <w:bCs/>
          <w:sz w:val="20"/>
          <w:szCs w:val="20"/>
        </w:rPr>
        <w:t>he 201</w:t>
      </w:r>
      <w:r w:rsidR="006F4D18" w:rsidRPr="00393E31">
        <w:rPr>
          <w:rFonts w:ascii="Open Sans" w:hAnsi="Open Sans" w:cs="Open Sans"/>
          <w:bCs/>
          <w:sz w:val="20"/>
          <w:szCs w:val="20"/>
        </w:rPr>
        <w:t>5</w:t>
      </w:r>
      <w:r w:rsidR="0057307A" w:rsidRPr="00393E31">
        <w:rPr>
          <w:rFonts w:ascii="Open Sans" w:hAnsi="Open Sans" w:cs="Open Sans"/>
          <w:bCs/>
          <w:sz w:val="20"/>
          <w:szCs w:val="20"/>
        </w:rPr>
        <w:t>-2020</w:t>
      </w:r>
      <w:r w:rsidR="00207AF4" w:rsidRPr="00393E31">
        <w:rPr>
          <w:rFonts w:ascii="Open Sans" w:hAnsi="Open Sans" w:cs="Open Sans"/>
          <w:bCs/>
          <w:sz w:val="20"/>
          <w:szCs w:val="20"/>
        </w:rPr>
        <w:t xml:space="preserve"> model</w:t>
      </w:r>
      <w:r w:rsidR="0057307A" w:rsidRPr="00393E31">
        <w:rPr>
          <w:rFonts w:ascii="Open Sans" w:hAnsi="Open Sans" w:cs="Open Sans"/>
          <w:bCs/>
          <w:sz w:val="20"/>
          <w:szCs w:val="20"/>
        </w:rPr>
        <w:t xml:space="preserve"> will only count degree-seeking undergraduate students in the Awards per 100 FTE </w:t>
      </w:r>
      <w:proofErr w:type="gramStart"/>
      <w:r w:rsidR="0057307A" w:rsidRPr="00393E31">
        <w:rPr>
          <w:rFonts w:ascii="Open Sans" w:hAnsi="Open Sans" w:cs="Open Sans"/>
          <w:bCs/>
          <w:sz w:val="20"/>
          <w:szCs w:val="20"/>
        </w:rPr>
        <w:t>outcome</w:t>
      </w:r>
      <w:proofErr w:type="gramEnd"/>
      <w:r w:rsidR="0057307A" w:rsidRPr="00393E31">
        <w:rPr>
          <w:rFonts w:ascii="Open Sans" w:hAnsi="Open Sans" w:cs="Open Sans"/>
          <w:bCs/>
          <w:sz w:val="20"/>
          <w:szCs w:val="20"/>
        </w:rPr>
        <w:t>.</w:t>
      </w:r>
    </w:p>
    <w:p w:rsidR="0057307A" w:rsidRPr="00393E31" w:rsidRDefault="0057307A" w:rsidP="00586B9D">
      <w:pPr>
        <w:tabs>
          <w:tab w:val="center" w:pos="10098"/>
        </w:tabs>
        <w:jc w:val="both"/>
        <w:rPr>
          <w:rFonts w:ascii="Open Sans" w:hAnsi="Open Sans" w:cs="Open Sans"/>
          <w:bCs/>
          <w:sz w:val="20"/>
          <w:szCs w:val="20"/>
        </w:rPr>
      </w:pPr>
      <w:r w:rsidRPr="00393E31">
        <w:rPr>
          <w:rFonts w:ascii="Open Sans" w:hAnsi="Open Sans" w:cs="Open Sans"/>
          <w:bCs/>
          <w:sz w:val="20"/>
          <w:szCs w:val="20"/>
        </w:rPr>
        <w:t>Finally, in</w:t>
      </w:r>
      <w:r w:rsidR="00B25790" w:rsidRPr="00393E31">
        <w:rPr>
          <w:rFonts w:ascii="Open Sans" w:hAnsi="Open Sans" w:cs="Open Sans"/>
          <w:bCs/>
          <w:sz w:val="20"/>
          <w:szCs w:val="20"/>
        </w:rPr>
        <w:t xml:space="preserve"> an effort to better capture a community college’s success in remediating students, the Remedial and Development Success outcome will be replaced with an Academically Underprepared focus population. In the 2010-2015 model</w:t>
      </w:r>
      <w:r w:rsidR="0011786E" w:rsidRPr="00393E31">
        <w:rPr>
          <w:rFonts w:ascii="Open Sans" w:hAnsi="Open Sans" w:cs="Open Sans"/>
          <w:bCs/>
          <w:sz w:val="20"/>
          <w:szCs w:val="20"/>
        </w:rPr>
        <w:t>,</w:t>
      </w:r>
      <w:r w:rsidR="00B25790" w:rsidRPr="00393E31">
        <w:rPr>
          <w:rFonts w:ascii="Open Sans" w:hAnsi="Open Sans" w:cs="Open Sans"/>
          <w:bCs/>
          <w:sz w:val="20"/>
          <w:szCs w:val="20"/>
        </w:rPr>
        <w:t xml:space="preserve"> a student who enrolled in a remedial or developmental course and then completed at least one college-level course during </w:t>
      </w:r>
      <w:r w:rsidR="000762A8" w:rsidRPr="00393E31">
        <w:rPr>
          <w:rFonts w:ascii="Open Sans" w:hAnsi="Open Sans" w:cs="Open Sans"/>
          <w:bCs/>
          <w:sz w:val="20"/>
          <w:szCs w:val="20"/>
        </w:rPr>
        <w:t xml:space="preserve">any of </w:t>
      </w:r>
      <w:r w:rsidR="00B25790" w:rsidRPr="00393E31">
        <w:rPr>
          <w:rFonts w:ascii="Open Sans" w:hAnsi="Open Sans" w:cs="Open Sans"/>
          <w:bCs/>
          <w:sz w:val="20"/>
          <w:szCs w:val="20"/>
        </w:rPr>
        <w:t xml:space="preserve">the following three academic years was considered successfully remediated and counted as an outcome. Today </w:t>
      </w:r>
      <w:proofErr w:type="gramStart"/>
      <w:r w:rsidR="00B25790" w:rsidRPr="00393E31">
        <w:rPr>
          <w:rFonts w:ascii="Open Sans" w:hAnsi="Open Sans" w:cs="Open Sans"/>
          <w:bCs/>
          <w:sz w:val="20"/>
          <w:szCs w:val="20"/>
        </w:rPr>
        <w:t>community</w:t>
      </w:r>
      <w:proofErr w:type="gramEnd"/>
      <w:r w:rsidR="00B25790" w:rsidRPr="00393E31">
        <w:rPr>
          <w:rFonts w:ascii="Open Sans" w:hAnsi="Open Sans" w:cs="Open Sans"/>
          <w:bCs/>
          <w:sz w:val="20"/>
          <w:szCs w:val="20"/>
        </w:rPr>
        <w:t xml:space="preserve"> colleges engage in learning development for underprepared students in </w:t>
      </w:r>
      <w:r w:rsidR="0010731D" w:rsidRPr="00393E31">
        <w:rPr>
          <w:rFonts w:ascii="Open Sans" w:hAnsi="Open Sans" w:cs="Open Sans"/>
          <w:bCs/>
          <w:sz w:val="20"/>
          <w:szCs w:val="20"/>
        </w:rPr>
        <w:t>methods that occur outside of a remedial course</w:t>
      </w:r>
      <w:r w:rsidR="00B25790" w:rsidRPr="00393E31">
        <w:rPr>
          <w:rFonts w:ascii="Open Sans" w:hAnsi="Open Sans" w:cs="Open Sans"/>
          <w:bCs/>
          <w:sz w:val="20"/>
          <w:szCs w:val="20"/>
        </w:rPr>
        <w:t xml:space="preserve"> (e.g. SAILS, or Seamless Alignment and Integrated Learning Support, offered to high school students </w:t>
      </w:r>
      <w:r w:rsidR="0010731D" w:rsidRPr="00393E31">
        <w:rPr>
          <w:rFonts w:ascii="Open Sans" w:hAnsi="Open Sans" w:cs="Open Sans"/>
          <w:bCs/>
          <w:sz w:val="20"/>
          <w:szCs w:val="20"/>
        </w:rPr>
        <w:t xml:space="preserve">by community colleges </w:t>
      </w:r>
      <w:r w:rsidR="00B25790" w:rsidRPr="00393E31">
        <w:rPr>
          <w:rFonts w:ascii="Open Sans" w:hAnsi="Open Sans" w:cs="Open Sans"/>
          <w:bCs/>
          <w:sz w:val="20"/>
          <w:szCs w:val="20"/>
        </w:rPr>
        <w:t xml:space="preserve">throughout the state). </w:t>
      </w:r>
      <w:r w:rsidR="000762A8" w:rsidRPr="00393E31">
        <w:rPr>
          <w:rFonts w:ascii="Open Sans" w:hAnsi="Open Sans" w:cs="Open Sans"/>
          <w:bCs/>
          <w:sz w:val="20"/>
          <w:szCs w:val="20"/>
        </w:rPr>
        <w:t>To recognize these innovative interventions, t</w:t>
      </w:r>
      <w:r w:rsidR="00B25790" w:rsidRPr="00393E31">
        <w:rPr>
          <w:rFonts w:ascii="Open Sans" w:hAnsi="Open Sans" w:cs="Open Sans"/>
          <w:bCs/>
          <w:sz w:val="20"/>
          <w:szCs w:val="20"/>
        </w:rPr>
        <w:t xml:space="preserve">he 2015-2020 </w:t>
      </w:r>
      <w:proofErr w:type="gramStart"/>
      <w:r w:rsidR="00B25790" w:rsidRPr="00393E31">
        <w:rPr>
          <w:rFonts w:ascii="Open Sans" w:hAnsi="Open Sans" w:cs="Open Sans"/>
          <w:bCs/>
          <w:sz w:val="20"/>
          <w:szCs w:val="20"/>
        </w:rPr>
        <w:t>model</w:t>
      </w:r>
      <w:proofErr w:type="gramEnd"/>
      <w:r w:rsidR="00B25790" w:rsidRPr="00393E31">
        <w:rPr>
          <w:rFonts w:ascii="Open Sans" w:hAnsi="Open Sans" w:cs="Open Sans"/>
          <w:bCs/>
          <w:sz w:val="20"/>
          <w:szCs w:val="20"/>
        </w:rPr>
        <w:t xml:space="preserve"> will instead reward community colleges with an applied premium when </w:t>
      </w:r>
      <w:r w:rsidR="00C346CE" w:rsidRPr="00393E31">
        <w:rPr>
          <w:rFonts w:ascii="Open Sans" w:hAnsi="Open Sans" w:cs="Open Sans"/>
          <w:bCs/>
          <w:sz w:val="20"/>
          <w:szCs w:val="20"/>
        </w:rPr>
        <w:t xml:space="preserve">academically underprepared </w:t>
      </w:r>
      <w:r w:rsidR="00B25790" w:rsidRPr="00393E31">
        <w:rPr>
          <w:rFonts w:ascii="Open Sans" w:hAnsi="Open Sans" w:cs="Open Sans"/>
          <w:bCs/>
          <w:sz w:val="20"/>
          <w:szCs w:val="20"/>
        </w:rPr>
        <w:t xml:space="preserve">students </w:t>
      </w:r>
      <w:r w:rsidR="00C346CE" w:rsidRPr="00393E31">
        <w:rPr>
          <w:rFonts w:ascii="Open Sans" w:hAnsi="Open Sans" w:cs="Open Sans"/>
          <w:bCs/>
          <w:sz w:val="20"/>
          <w:szCs w:val="20"/>
        </w:rPr>
        <w:t xml:space="preserve">attain </w:t>
      </w:r>
      <w:r w:rsidR="00B25790" w:rsidRPr="00393E31">
        <w:rPr>
          <w:rFonts w:ascii="Open Sans" w:hAnsi="Open Sans" w:cs="Open Sans"/>
          <w:bCs/>
          <w:sz w:val="20"/>
          <w:szCs w:val="20"/>
        </w:rPr>
        <w:t>differen</w:t>
      </w:r>
      <w:r w:rsidR="0010731D" w:rsidRPr="00393E31">
        <w:rPr>
          <w:rFonts w:ascii="Open Sans" w:hAnsi="Open Sans" w:cs="Open Sans"/>
          <w:bCs/>
          <w:sz w:val="20"/>
          <w:szCs w:val="20"/>
        </w:rPr>
        <w:t>t progression metrics or earn an award</w:t>
      </w:r>
      <w:r w:rsidR="00B25790" w:rsidRPr="00393E31">
        <w:rPr>
          <w:rFonts w:ascii="Open Sans" w:hAnsi="Open Sans" w:cs="Open Sans"/>
          <w:bCs/>
          <w:sz w:val="20"/>
          <w:szCs w:val="20"/>
        </w:rPr>
        <w:t>.</w:t>
      </w:r>
    </w:p>
    <w:p w:rsidR="00C346CE" w:rsidRPr="00393E31" w:rsidRDefault="00C346CE" w:rsidP="00C346CE">
      <w:pPr>
        <w:tabs>
          <w:tab w:val="center" w:pos="10098"/>
        </w:tabs>
        <w:jc w:val="both"/>
        <w:rPr>
          <w:rFonts w:ascii="Open Sans" w:hAnsi="Open Sans" w:cs="Open Sans"/>
          <w:bCs/>
          <w:i/>
          <w:sz w:val="20"/>
          <w:szCs w:val="20"/>
        </w:rPr>
      </w:pPr>
      <w:r w:rsidRPr="00393E31">
        <w:rPr>
          <w:rFonts w:ascii="Open Sans" w:hAnsi="Open Sans" w:cs="Open Sans"/>
          <w:bCs/>
          <w:i/>
          <w:sz w:val="20"/>
          <w:szCs w:val="20"/>
        </w:rPr>
        <w:t>University Sector</w:t>
      </w:r>
    </w:p>
    <w:p w:rsidR="00C346CE" w:rsidRPr="00393E31" w:rsidRDefault="007C4D5D" w:rsidP="00C346CE">
      <w:pPr>
        <w:tabs>
          <w:tab w:val="center" w:pos="10098"/>
        </w:tabs>
        <w:jc w:val="both"/>
        <w:rPr>
          <w:rFonts w:ascii="Open Sans" w:hAnsi="Open Sans" w:cs="Open Sans"/>
          <w:bCs/>
          <w:sz w:val="20"/>
          <w:szCs w:val="20"/>
        </w:rPr>
      </w:pPr>
      <w:r w:rsidRPr="00393E31">
        <w:rPr>
          <w:rFonts w:ascii="Open Sans" w:hAnsi="Open Sans" w:cs="Open Sans"/>
          <w:bCs/>
          <w:sz w:val="20"/>
          <w:szCs w:val="20"/>
        </w:rPr>
        <w:t>THEC identified</w:t>
      </w:r>
      <w:r w:rsidR="00C346CE" w:rsidRPr="00393E31">
        <w:rPr>
          <w:rFonts w:ascii="Open Sans" w:hAnsi="Open Sans" w:cs="Open Sans"/>
          <w:bCs/>
          <w:sz w:val="20"/>
          <w:szCs w:val="20"/>
        </w:rPr>
        <w:t xml:space="preserve"> the Transfers Out outcome from the university sector</w:t>
      </w:r>
      <w:r w:rsidRPr="00393E31">
        <w:rPr>
          <w:rFonts w:ascii="Open Sans" w:hAnsi="Open Sans" w:cs="Open Sans"/>
          <w:bCs/>
          <w:sz w:val="20"/>
          <w:szCs w:val="20"/>
        </w:rPr>
        <w:t xml:space="preserve"> as an outcome</w:t>
      </w:r>
      <w:r w:rsidR="00C346CE" w:rsidRPr="00393E31">
        <w:rPr>
          <w:rFonts w:ascii="Open Sans" w:hAnsi="Open Sans" w:cs="Open Sans"/>
          <w:bCs/>
          <w:sz w:val="20"/>
          <w:szCs w:val="20"/>
        </w:rPr>
        <w:t xml:space="preserve"> </w:t>
      </w:r>
      <w:r w:rsidRPr="00393E31">
        <w:rPr>
          <w:rFonts w:ascii="Open Sans" w:hAnsi="Open Sans" w:cs="Open Sans"/>
          <w:bCs/>
          <w:sz w:val="20"/>
          <w:szCs w:val="20"/>
        </w:rPr>
        <w:t>that did not necessarily represent</w:t>
      </w:r>
      <w:r w:rsidR="00C346CE" w:rsidRPr="00393E31">
        <w:rPr>
          <w:rFonts w:ascii="Open Sans" w:hAnsi="Open Sans" w:cs="Open Sans"/>
          <w:bCs/>
          <w:sz w:val="20"/>
          <w:szCs w:val="20"/>
        </w:rPr>
        <w:t xml:space="preserve"> a</w:t>
      </w:r>
      <w:r w:rsidR="000762A8" w:rsidRPr="00393E31">
        <w:rPr>
          <w:rFonts w:ascii="Open Sans" w:hAnsi="Open Sans" w:cs="Open Sans"/>
          <w:bCs/>
          <w:sz w:val="20"/>
          <w:szCs w:val="20"/>
        </w:rPr>
        <w:t>n accurate</w:t>
      </w:r>
      <w:r w:rsidR="00C346CE" w:rsidRPr="00393E31">
        <w:rPr>
          <w:rFonts w:ascii="Open Sans" w:hAnsi="Open Sans" w:cs="Open Sans"/>
          <w:bCs/>
          <w:sz w:val="20"/>
          <w:szCs w:val="20"/>
        </w:rPr>
        <w:t xml:space="preserve"> measurement of success at universities.</w:t>
      </w:r>
      <w:r w:rsidRPr="00393E31">
        <w:rPr>
          <w:rFonts w:ascii="Open Sans" w:hAnsi="Open Sans" w:cs="Open Sans"/>
          <w:bCs/>
          <w:sz w:val="20"/>
          <w:szCs w:val="20"/>
        </w:rPr>
        <w:t xml:space="preserve"> Because of this, the outcome will be removed from the university model for 2015-2020.</w:t>
      </w:r>
    </w:p>
    <w:p w:rsidR="0020702B" w:rsidRPr="00393E31" w:rsidRDefault="0020702B" w:rsidP="00C346CE">
      <w:pPr>
        <w:tabs>
          <w:tab w:val="center" w:pos="10098"/>
        </w:tabs>
        <w:jc w:val="both"/>
        <w:rPr>
          <w:rFonts w:ascii="Open Sans" w:hAnsi="Open Sans" w:cs="Open Sans"/>
          <w:bCs/>
          <w:sz w:val="20"/>
          <w:szCs w:val="20"/>
        </w:rPr>
      </w:pPr>
      <w:r w:rsidRPr="00393E31">
        <w:rPr>
          <w:rFonts w:ascii="Open Sans" w:hAnsi="Open Sans" w:cs="Open Sans"/>
          <w:bCs/>
          <w:sz w:val="20"/>
          <w:szCs w:val="20"/>
        </w:rPr>
        <w:t>To encourage on-time completion</w:t>
      </w:r>
      <w:r w:rsidR="000762A8" w:rsidRPr="00393E31">
        <w:rPr>
          <w:rFonts w:ascii="Open Sans" w:hAnsi="Open Sans" w:cs="Open Sans"/>
          <w:bCs/>
          <w:sz w:val="20"/>
          <w:szCs w:val="20"/>
        </w:rPr>
        <w:t xml:space="preserve"> at the university sector,</w:t>
      </w:r>
      <w:r w:rsidRPr="00393E31">
        <w:rPr>
          <w:rFonts w:ascii="Open Sans" w:hAnsi="Open Sans" w:cs="Open Sans"/>
          <w:bCs/>
          <w:sz w:val="20"/>
          <w:szCs w:val="20"/>
        </w:rPr>
        <w:t xml:space="preserve"> the 24-, 48- and 72-credit hour progression metrics will change to 30-, 60- and 90-credit hour progression metrics.</w:t>
      </w:r>
      <w:r w:rsidR="000762A8" w:rsidRPr="00393E31">
        <w:rPr>
          <w:rFonts w:ascii="Open Sans" w:hAnsi="Open Sans" w:cs="Open Sans"/>
          <w:bCs/>
          <w:sz w:val="20"/>
          <w:szCs w:val="20"/>
        </w:rPr>
        <w:t xml:space="preserve"> These progression points better represent the number of hours students must </w:t>
      </w:r>
      <w:r w:rsidR="0011786E" w:rsidRPr="00393E31">
        <w:rPr>
          <w:rFonts w:ascii="Open Sans" w:hAnsi="Open Sans" w:cs="Open Sans"/>
          <w:bCs/>
          <w:sz w:val="20"/>
          <w:szCs w:val="20"/>
        </w:rPr>
        <w:t>earn</w:t>
      </w:r>
      <w:r w:rsidR="000762A8" w:rsidRPr="00393E31">
        <w:rPr>
          <w:rFonts w:ascii="Open Sans" w:hAnsi="Open Sans" w:cs="Open Sans"/>
          <w:bCs/>
          <w:sz w:val="20"/>
          <w:szCs w:val="20"/>
        </w:rPr>
        <w:t xml:space="preserve"> within an academic year to complete a bachelor’s degree in four years.</w:t>
      </w:r>
    </w:p>
    <w:p w:rsidR="00C346CE" w:rsidRPr="00393E31" w:rsidRDefault="0020702B" w:rsidP="00C346CE">
      <w:pPr>
        <w:tabs>
          <w:tab w:val="center" w:pos="10098"/>
        </w:tabs>
        <w:jc w:val="both"/>
        <w:rPr>
          <w:rFonts w:ascii="Open Sans" w:hAnsi="Open Sans" w:cs="Open Sans"/>
          <w:bCs/>
          <w:sz w:val="20"/>
          <w:szCs w:val="20"/>
        </w:rPr>
      </w:pPr>
      <w:r w:rsidRPr="00393E31">
        <w:rPr>
          <w:rFonts w:ascii="Open Sans" w:hAnsi="Open Sans" w:cs="Open Sans"/>
          <w:bCs/>
          <w:sz w:val="20"/>
          <w:szCs w:val="20"/>
        </w:rPr>
        <w:t>Finally, a</w:t>
      </w:r>
      <w:r w:rsidR="00C346CE" w:rsidRPr="00393E31">
        <w:rPr>
          <w:rFonts w:ascii="Open Sans" w:hAnsi="Open Sans" w:cs="Open Sans"/>
          <w:bCs/>
          <w:sz w:val="20"/>
          <w:szCs w:val="20"/>
        </w:rPr>
        <w:t xml:space="preserve">s in the community college sector, the university sector’s Degrees per 100 FTE </w:t>
      </w:r>
      <w:proofErr w:type="gramStart"/>
      <w:r w:rsidR="00C346CE" w:rsidRPr="00393E31">
        <w:rPr>
          <w:rFonts w:ascii="Open Sans" w:hAnsi="Open Sans" w:cs="Open Sans"/>
          <w:bCs/>
          <w:sz w:val="20"/>
          <w:szCs w:val="20"/>
        </w:rPr>
        <w:t>outcome</w:t>
      </w:r>
      <w:proofErr w:type="gramEnd"/>
      <w:r w:rsidR="00C346CE" w:rsidRPr="00393E31">
        <w:rPr>
          <w:rFonts w:ascii="Open Sans" w:hAnsi="Open Sans" w:cs="Open Sans"/>
          <w:bCs/>
          <w:sz w:val="20"/>
          <w:szCs w:val="20"/>
        </w:rPr>
        <w:t xml:space="preserve"> will </w:t>
      </w:r>
      <w:r w:rsidR="000762A8" w:rsidRPr="00393E31">
        <w:rPr>
          <w:rFonts w:ascii="Open Sans" w:hAnsi="Open Sans" w:cs="Open Sans"/>
          <w:bCs/>
          <w:sz w:val="20"/>
          <w:szCs w:val="20"/>
        </w:rPr>
        <w:t>be refined</w:t>
      </w:r>
      <w:r w:rsidR="00C346CE" w:rsidRPr="00393E31">
        <w:rPr>
          <w:rFonts w:ascii="Open Sans" w:hAnsi="Open Sans" w:cs="Open Sans"/>
          <w:bCs/>
          <w:sz w:val="20"/>
          <w:szCs w:val="20"/>
        </w:rPr>
        <w:t xml:space="preserve"> </w:t>
      </w:r>
      <w:r w:rsidR="002F1B51" w:rsidRPr="00393E31">
        <w:rPr>
          <w:rFonts w:ascii="Open Sans" w:hAnsi="Open Sans" w:cs="Open Sans"/>
          <w:bCs/>
          <w:sz w:val="20"/>
          <w:szCs w:val="20"/>
        </w:rPr>
        <w:t xml:space="preserve">within the FTE metric </w:t>
      </w:r>
      <w:r w:rsidR="00C346CE" w:rsidRPr="00393E31">
        <w:rPr>
          <w:rFonts w:ascii="Open Sans" w:hAnsi="Open Sans" w:cs="Open Sans"/>
          <w:bCs/>
          <w:sz w:val="20"/>
          <w:szCs w:val="20"/>
        </w:rPr>
        <w:t>to recognize only degree-seeking students.</w:t>
      </w:r>
    </w:p>
    <w:p w:rsidR="00C346CE" w:rsidRPr="00393E31" w:rsidRDefault="00C346CE" w:rsidP="00C346CE">
      <w:pPr>
        <w:tabs>
          <w:tab w:val="center" w:pos="10098"/>
        </w:tabs>
        <w:jc w:val="both"/>
        <w:rPr>
          <w:rFonts w:ascii="Open Sans" w:hAnsi="Open Sans" w:cs="Open Sans"/>
          <w:b/>
          <w:bCs/>
          <w:sz w:val="20"/>
          <w:szCs w:val="20"/>
          <w:u w:val="single"/>
        </w:rPr>
      </w:pPr>
      <w:r w:rsidRPr="00393E31">
        <w:rPr>
          <w:rFonts w:ascii="Open Sans" w:hAnsi="Open Sans" w:cs="Open Sans"/>
          <w:b/>
          <w:bCs/>
          <w:sz w:val="20"/>
          <w:szCs w:val="20"/>
          <w:u w:val="single"/>
        </w:rPr>
        <w:t>Focus Populations</w:t>
      </w:r>
      <w:r w:rsidR="002F1B51" w:rsidRPr="00393E31">
        <w:rPr>
          <w:rFonts w:ascii="Open Sans" w:hAnsi="Open Sans" w:cs="Open Sans"/>
          <w:b/>
          <w:bCs/>
          <w:sz w:val="20"/>
          <w:szCs w:val="20"/>
          <w:u w:val="single"/>
        </w:rPr>
        <w:t xml:space="preserve"> &amp; Premiums</w:t>
      </w:r>
    </w:p>
    <w:p w:rsidR="00B25790" w:rsidRPr="00393E31" w:rsidRDefault="002F1B51" w:rsidP="00586B9D">
      <w:pPr>
        <w:tabs>
          <w:tab w:val="center" w:pos="10098"/>
        </w:tabs>
        <w:jc w:val="both"/>
        <w:rPr>
          <w:rFonts w:ascii="Open Sans" w:hAnsi="Open Sans" w:cs="Open Sans"/>
          <w:bCs/>
          <w:sz w:val="20"/>
          <w:szCs w:val="20"/>
        </w:rPr>
      </w:pPr>
      <w:r w:rsidRPr="00393E31">
        <w:rPr>
          <w:rFonts w:ascii="Open Sans" w:hAnsi="Open Sans" w:cs="Open Sans"/>
          <w:bCs/>
          <w:sz w:val="20"/>
          <w:szCs w:val="20"/>
        </w:rPr>
        <w:t xml:space="preserve">The 2010-2015 </w:t>
      </w:r>
      <w:proofErr w:type="gramStart"/>
      <w:r w:rsidRPr="00393E31">
        <w:rPr>
          <w:rFonts w:ascii="Open Sans" w:hAnsi="Open Sans" w:cs="Open Sans"/>
          <w:bCs/>
          <w:sz w:val="20"/>
          <w:szCs w:val="20"/>
        </w:rPr>
        <w:t>model</w:t>
      </w:r>
      <w:proofErr w:type="gramEnd"/>
      <w:r w:rsidRPr="00393E31">
        <w:rPr>
          <w:rFonts w:ascii="Open Sans" w:hAnsi="Open Sans" w:cs="Open Sans"/>
          <w:bCs/>
          <w:sz w:val="20"/>
          <w:szCs w:val="20"/>
        </w:rPr>
        <w:t xml:space="preserve"> applied a premium of 40 percent to an institution’s progression metrics and awards (certificates, associates and bachelors) whenever a low-income student or an adult</w:t>
      </w:r>
      <w:r w:rsidR="00B74353" w:rsidRPr="00393E31">
        <w:rPr>
          <w:rFonts w:ascii="Open Sans" w:hAnsi="Open Sans" w:cs="Open Sans"/>
          <w:bCs/>
          <w:sz w:val="20"/>
          <w:szCs w:val="20"/>
        </w:rPr>
        <w:t xml:space="preserve"> persisted or completed.</w:t>
      </w:r>
      <w:r w:rsidR="00B52741" w:rsidRPr="00393E31">
        <w:rPr>
          <w:rFonts w:ascii="Open Sans" w:hAnsi="Open Sans" w:cs="Open Sans"/>
          <w:bCs/>
          <w:sz w:val="20"/>
          <w:szCs w:val="20"/>
        </w:rPr>
        <w:t xml:space="preserve"> The</w:t>
      </w:r>
      <w:r w:rsidR="0011786E" w:rsidRPr="00393E31">
        <w:rPr>
          <w:rFonts w:ascii="Open Sans" w:hAnsi="Open Sans" w:cs="Open Sans"/>
          <w:bCs/>
          <w:sz w:val="20"/>
          <w:szCs w:val="20"/>
        </w:rPr>
        <w:t>se</w:t>
      </w:r>
      <w:r w:rsidR="00B52741" w:rsidRPr="00393E31">
        <w:rPr>
          <w:rFonts w:ascii="Open Sans" w:hAnsi="Open Sans" w:cs="Open Sans"/>
          <w:bCs/>
          <w:sz w:val="20"/>
          <w:szCs w:val="20"/>
        </w:rPr>
        <w:t xml:space="preserve"> two</w:t>
      </w:r>
      <w:r w:rsidRPr="00393E31">
        <w:rPr>
          <w:rFonts w:ascii="Open Sans" w:hAnsi="Open Sans" w:cs="Open Sans"/>
          <w:bCs/>
          <w:sz w:val="20"/>
          <w:szCs w:val="20"/>
        </w:rPr>
        <w:t xml:space="preserve"> populations of students were recognized as “subpopulations.” In the 2015-2020 </w:t>
      </w:r>
      <w:proofErr w:type="gramStart"/>
      <w:r w:rsidRPr="00393E31">
        <w:rPr>
          <w:rFonts w:ascii="Open Sans" w:hAnsi="Open Sans" w:cs="Open Sans"/>
          <w:bCs/>
          <w:sz w:val="20"/>
          <w:szCs w:val="20"/>
        </w:rPr>
        <w:t>model</w:t>
      </w:r>
      <w:proofErr w:type="gramEnd"/>
      <w:r w:rsidR="0011786E" w:rsidRPr="00393E31">
        <w:rPr>
          <w:rFonts w:ascii="Open Sans" w:hAnsi="Open Sans" w:cs="Open Sans"/>
          <w:bCs/>
          <w:sz w:val="20"/>
          <w:szCs w:val="20"/>
        </w:rPr>
        <w:t>,</w:t>
      </w:r>
      <w:r w:rsidRPr="00393E31">
        <w:rPr>
          <w:rFonts w:ascii="Open Sans" w:hAnsi="Open Sans" w:cs="Open Sans"/>
          <w:bCs/>
          <w:sz w:val="20"/>
          <w:szCs w:val="20"/>
        </w:rPr>
        <w:t xml:space="preserve"> the</w:t>
      </w:r>
      <w:r w:rsidR="000762A8" w:rsidRPr="00393E31">
        <w:rPr>
          <w:rFonts w:ascii="Open Sans" w:hAnsi="Open Sans" w:cs="Open Sans"/>
          <w:bCs/>
          <w:sz w:val="20"/>
          <w:szCs w:val="20"/>
        </w:rPr>
        <w:t>se groups of students</w:t>
      </w:r>
      <w:r w:rsidRPr="00393E31">
        <w:rPr>
          <w:rFonts w:ascii="Open Sans" w:hAnsi="Open Sans" w:cs="Open Sans"/>
          <w:bCs/>
          <w:sz w:val="20"/>
          <w:szCs w:val="20"/>
        </w:rPr>
        <w:t xml:space="preserve"> will instead be referred to as “focus populations,” to highlight the significance of their</w:t>
      </w:r>
      <w:r w:rsidR="000762A8" w:rsidRPr="00393E31">
        <w:rPr>
          <w:rFonts w:ascii="Open Sans" w:hAnsi="Open Sans" w:cs="Open Sans"/>
          <w:bCs/>
          <w:sz w:val="20"/>
          <w:szCs w:val="20"/>
        </w:rPr>
        <w:t xml:space="preserve"> success to completion initiatives across Tennessee.</w:t>
      </w:r>
    </w:p>
    <w:p w:rsidR="00B52741" w:rsidRPr="00393E31" w:rsidRDefault="002F1B51" w:rsidP="00586B9D">
      <w:pPr>
        <w:tabs>
          <w:tab w:val="center" w:pos="10098"/>
        </w:tabs>
        <w:jc w:val="both"/>
        <w:rPr>
          <w:rFonts w:ascii="Open Sans" w:hAnsi="Open Sans" w:cs="Open Sans"/>
          <w:bCs/>
          <w:sz w:val="20"/>
          <w:szCs w:val="20"/>
        </w:rPr>
      </w:pPr>
      <w:r w:rsidRPr="00393E31">
        <w:rPr>
          <w:rFonts w:ascii="Open Sans" w:hAnsi="Open Sans" w:cs="Open Sans"/>
          <w:bCs/>
          <w:sz w:val="20"/>
          <w:szCs w:val="20"/>
        </w:rPr>
        <w:t>As discussed above</w:t>
      </w:r>
      <w:r w:rsidR="0011786E" w:rsidRPr="00393E31">
        <w:rPr>
          <w:rFonts w:ascii="Open Sans" w:hAnsi="Open Sans" w:cs="Open Sans"/>
          <w:bCs/>
          <w:sz w:val="20"/>
          <w:szCs w:val="20"/>
        </w:rPr>
        <w:t>,</w:t>
      </w:r>
      <w:r w:rsidRPr="00393E31">
        <w:rPr>
          <w:rFonts w:ascii="Open Sans" w:hAnsi="Open Sans" w:cs="Open Sans"/>
          <w:bCs/>
          <w:sz w:val="20"/>
          <w:szCs w:val="20"/>
        </w:rPr>
        <w:t xml:space="preserve"> an additional focus population will be </w:t>
      </w:r>
      <w:r w:rsidR="000762A8" w:rsidRPr="00393E31">
        <w:rPr>
          <w:rFonts w:ascii="Open Sans" w:hAnsi="Open Sans" w:cs="Open Sans"/>
          <w:bCs/>
          <w:sz w:val="20"/>
          <w:szCs w:val="20"/>
        </w:rPr>
        <w:t>added to</w:t>
      </w:r>
      <w:r w:rsidRPr="00393E31">
        <w:rPr>
          <w:rFonts w:ascii="Open Sans" w:hAnsi="Open Sans" w:cs="Open Sans"/>
          <w:bCs/>
          <w:sz w:val="20"/>
          <w:szCs w:val="20"/>
        </w:rPr>
        <w:t xml:space="preserve"> the community college sector: Academically Underprepared. A student </w:t>
      </w:r>
      <w:r w:rsidR="000762A8" w:rsidRPr="00393E31">
        <w:rPr>
          <w:rFonts w:ascii="Open Sans" w:hAnsi="Open Sans" w:cs="Open Sans"/>
          <w:bCs/>
          <w:sz w:val="20"/>
          <w:szCs w:val="20"/>
        </w:rPr>
        <w:t>is identified as</w:t>
      </w:r>
      <w:r w:rsidRPr="00393E31">
        <w:rPr>
          <w:rFonts w:ascii="Open Sans" w:hAnsi="Open Sans" w:cs="Open Sans"/>
          <w:bCs/>
          <w:sz w:val="20"/>
          <w:szCs w:val="20"/>
        </w:rPr>
        <w:t xml:space="preserve"> academically underprepared if s/he meets one of three criteria: the community college identifies the student as </w:t>
      </w:r>
      <w:r w:rsidR="009260DD" w:rsidRPr="00393E31">
        <w:rPr>
          <w:rFonts w:ascii="Open Sans" w:hAnsi="Open Sans" w:cs="Open Sans"/>
          <w:bCs/>
          <w:sz w:val="20"/>
          <w:szCs w:val="20"/>
        </w:rPr>
        <w:t>requiring remediation</w:t>
      </w:r>
      <w:r w:rsidR="00B52741" w:rsidRPr="00393E31">
        <w:rPr>
          <w:rFonts w:ascii="Open Sans" w:hAnsi="Open Sans" w:cs="Open Sans"/>
          <w:bCs/>
          <w:sz w:val="20"/>
          <w:szCs w:val="20"/>
        </w:rPr>
        <w:t xml:space="preserve">; a student scores an 18 or below on the ACT Composite; or a student scores an 18 or below on the ACT Reading or Mathematics </w:t>
      </w:r>
      <w:proofErr w:type="gramStart"/>
      <w:r w:rsidR="00B52741" w:rsidRPr="00393E31">
        <w:rPr>
          <w:rFonts w:ascii="Open Sans" w:hAnsi="Open Sans" w:cs="Open Sans"/>
          <w:bCs/>
          <w:sz w:val="20"/>
          <w:szCs w:val="20"/>
        </w:rPr>
        <w:t>component,</w:t>
      </w:r>
      <w:proofErr w:type="gramEnd"/>
      <w:r w:rsidR="00B52741" w:rsidRPr="00393E31">
        <w:rPr>
          <w:rFonts w:ascii="Open Sans" w:hAnsi="Open Sans" w:cs="Open Sans"/>
          <w:bCs/>
          <w:sz w:val="20"/>
          <w:szCs w:val="20"/>
        </w:rPr>
        <w:t xml:space="preserve"> or a 17 or below on the ACT Writing component.</w:t>
      </w:r>
    </w:p>
    <w:p w:rsidR="00B52741" w:rsidRPr="00393E31" w:rsidRDefault="00B52741" w:rsidP="00586B9D">
      <w:pPr>
        <w:tabs>
          <w:tab w:val="center" w:pos="10098"/>
        </w:tabs>
        <w:jc w:val="both"/>
        <w:rPr>
          <w:rFonts w:ascii="Open Sans" w:hAnsi="Open Sans" w:cs="Open Sans"/>
          <w:bCs/>
          <w:sz w:val="20"/>
          <w:szCs w:val="20"/>
        </w:rPr>
      </w:pPr>
      <w:r w:rsidRPr="00393E31">
        <w:rPr>
          <w:rFonts w:ascii="Open Sans" w:hAnsi="Open Sans" w:cs="Open Sans"/>
          <w:bCs/>
          <w:sz w:val="20"/>
          <w:szCs w:val="20"/>
        </w:rPr>
        <w:lastRenderedPageBreak/>
        <w:t xml:space="preserve">Discussion ensued </w:t>
      </w:r>
      <w:r w:rsidR="0010731D" w:rsidRPr="00393E31">
        <w:rPr>
          <w:rFonts w:ascii="Open Sans" w:hAnsi="Open Sans" w:cs="Open Sans"/>
          <w:bCs/>
          <w:sz w:val="20"/>
          <w:szCs w:val="20"/>
        </w:rPr>
        <w:t>with</w:t>
      </w:r>
      <w:r w:rsidRPr="00393E31">
        <w:rPr>
          <w:rFonts w:ascii="Open Sans" w:hAnsi="Open Sans" w:cs="Open Sans"/>
          <w:bCs/>
          <w:sz w:val="20"/>
          <w:szCs w:val="20"/>
        </w:rPr>
        <w:t>in the FRC and during the Quarterly Commission meeting as to</w:t>
      </w:r>
      <w:r w:rsidR="0010731D" w:rsidRPr="00393E31">
        <w:rPr>
          <w:rFonts w:ascii="Open Sans" w:hAnsi="Open Sans" w:cs="Open Sans"/>
          <w:bCs/>
          <w:sz w:val="20"/>
          <w:szCs w:val="20"/>
        </w:rPr>
        <w:t xml:space="preserve"> whether </w:t>
      </w:r>
      <w:r w:rsidRPr="00393E31">
        <w:rPr>
          <w:rFonts w:ascii="Open Sans" w:hAnsi="Open Sans" w:cs="Open Sans"/>
          <w:bCs/>
          <w:sz w:val="20"/>
          <w:szCs w:val="20"/>
        </w:rPr>
        <w:t>universities should also be rewarded for success with academically underprepared students. After in-depth discussion with all stakeholders, THEC</w:t>
      </w:r>
      <w:r w:rsidR="0094157C" w:rsidRPr="00393E31">
        <w:rPr>
          <w:rFonts w:ascii="Open Sans" w:hAnsi="Open Sans" w:cs="Open Sans"/>
          <w:bCs/>
          <w:sz w:val="20"/>
          <w:szCs w:val="20"/>
        </w:rPr>
        <w:t xml:space="preserve"> decided to study the issue further and will</w:t>
      </w:r>
      <w:r w:rsidRPr="00393E31">
        <w:rPr>
          <w:rFonts w:ascii="Open Sans" w:hAnsi="Open Sans" w:cs="Open Sans"/>
          <w:bCs/>
          <w:sz w:val="20"/>
          <w:szCs w:val="20"/>
        </w:rPr>
        <w:t xml:space="preserve"> not include academically underprepared as a focus population for universities at this time.</w:t>
      </w:r>
    </w:p>
    <w:p w:rsidR="0010731D" w:rsidRPr="00393E31" w:rsidRDefault="0094157C" w:rsidP="00586B9D">
      <w:pPr>
        <w:tabs>
          <w:tab w:val="center" w:pos="10098"/>
        </w:tabs>
        <w:jc w:val="both"/>
        <w:rPr>
          <w:rFonts w:ascii="Open Sans" w:hAnsi="Open Sans" w:cs="Open Sans"/>
          <w:bCs/>
          <w:sz w:val="20"/>
          <w:szCs w:val="20"/>
        </w:rPr>
      </w:pPr>
      <w:r w:rsidRPr="00393E31">
        <w:rPr>
          <w:rFonts w:ascii="Open Sans" w:hAnsi="Open Sans" w:cs="Open Sans"/>
          <w:bCs/>
          <w:sz w:val="20"/>
          <w:szCs w:val="20"/>
        </w:rPr>
        <w:t>Finally, the FRC recommended</w:t>
      </w:r>
      <w:r w:rsidR="00B52741" w:rsidRPr="00393E31">
        <w:rPr>
          <w:rFonts w:ascii="Open Sans" w:hAnsi="Open Sans" w:cs="Open Sans"/>
          <w:bCs/>
          <w:sz w:val="20"/>
          <w:szCs w:val="20"/>
        </w:rPr>
        <w:t xml:space="preserve"> to</w:t>
      </w:r>
      <w:r w:rsidRPr="00393E31">
        <w:rPr>
          <w:rFonts w:ascii="Open Sans" w:hAnsi="Open Sans" w:cs="Open Sans"/>
          <w:bCs/>
          <w:sz w:val="20"/>
          <w:szCs w:val="20"/>
        </w:rPr>
        <w:t xml:space="preserve"> THEC that the 40 percent </w:t>
      </w:r>
      <w:r w:rsidR="00B52741" w:rsidRPr="00393E31">
        <w:rPr>
          <w:rFonts w:ascii="Open Sans" w:hAnsi="Open Sans" w:cs="Open Sans"/>
          <w:bCs/>
          <w:sz w:val="20"/>
          <w:szCs w:val="20"/>
        </w:rPr>
        <w:t xml:space="preserve">premium </w:t>
      </w:r>
      <w:r w:rsidRPr="00393E31">
        <w:rPr>
          <w:rFonts w:ascii="Open Sans" w:hAnsi="Open Sans" w:cs="Open Sans"/>
          <w:bCs/>
          <w:sz w:val="20"/>
          <w:szCs w:val="20"/>
        </w:rPr>
        <w:t xml:space="preserve">level be increased </w:t>
      </w:r>
      <w:r w:rsidR="003A5FFB" w:rsidRPr="00393E31">
        <w:rPr>
          <w:rFonts w:ascii="Open Sans" w:hAnsi="Open Sans" w:cs="Open Sans"/>
          <w:bCs/>
          <w:sz w:val="20"/>
          <w:szCs w:val="20"/>
        </w:rPr>
        <w:t>based on</w:t>
      </w:r>
      <w:r w:rsidRPr="00393E31">
        <w:rPr>
          <w:rFonts w:ascii="Open Sans" w:hAnsi="Open Sans" w:cs="Open Sans"/>
          <w:bCs/>
          <w:sz w:val="20"/>
          <w:szCs w:val="20"/>
        </w:rPr>
        <w:t xml:space="preserve"> feedback</w:t>
      </w:r>
      <w:r w:rsidR="003A5FFB" w:rsidRPr="00393E31">
        <w:rPr>
          <w:rFonts w:ascii="Open Sans" w:hAnsi="Open Sans" w:cs="Open Sans"/>
          <w:bCs/>
          <w:sz w:val="20"/>
          <w:szCs w:val="20"/>
        </w:rPr>
        <w:t xml:space="preserve"> from campus officials</w:t>
      </w:r>
      <w:r w:rsidR="00B52741" w:rsidRPr="00393E31">
        <w:rPr>
          <w:rFonts w:ascii="Open Sans" w:hAnsi="Open Sans" w:cs="Open Sans"/>
          <w:bCs/>
          <w:sz w:val="20"/>
          <w:szCs w:val="20"/>
        </w:rPr>
        <w:t xml:space="preserve"> throughout the 2010-2015 cycle </w:t>
      </w:r>
      <w:r w:rsidR="003A5FFB" w:rsidRPr="00393E31">
        <w:rPr>
          <w:rFonts w:ascii="Open Sans" w:hAnsi="Open Sans" w:cs="Open Sans"/>
          <w:bCs/>
          <w:sz w:val="20"/>
          <w:szCs w:val="20"/>
        </w:rPr>
        <w:t xml:space="preserve">who believed </w:t>
      </w:r>
      <w:r w:rsidRPr="00393E31">
        <w:rPr>
          <w:rFonts w:ascii="Open Sans" w:hAnsi="Open Sans" w:cs="Open Sans"/>
          <w:bCs/>
          <w:sz w:val="20"/>
          <w:szCs w:val="20"/>
        </w:rPr>
        <w:t>a higher premium level would be more appropriate</w:t>
      </w:r>
      <w:r w:rsidR="00B52741" w:rsidRPr="00393E31">
        <w:rPr>
          <w:rFonts w:ascii="Open Sans" w:hAnsi="Open Sans" w:cs="Open Sans"/>
          <w:bCs/>
          <w:sz w:val="20"/>
          <w:szCs w:val="20"/>
        </w:rPr>
        <w:t xml:space="preserve">. The 2015-2020 model will employ </w:t>
      </w:r>
      <w:r w:rsidR="00B52741" w:rsidRPr="00393E31">
        <w:rPr>
          <w:rFonts w:ascii="Open Sans" w:hAnsi="Open Sans" w:cs="Open Sans"/>
          <w:bCs/>
          <w:i/>
          <w:sz w:val="20"/>
          <w:szCs w:val="20"/>
        </w:rPr>
        <w:t xml:space="preserve">elevated </w:t>
      </w:r>
      <w:r w:rsidR="00B52741" w:rsidRPr="00393E31">
        <w:rPr>
          <w:rFonts w:ascii="Open Sans" w:hAnsi="Open Sans" w:cs="Open Sans"/>
          <w:bCs/>
          <w:sz w:val="20"/>
          <w:szCs w:val="20"/>
        </w:rPr>
        <w:t xml:space="preserve">and </w:t>
      </w:r>
      <w:r w:rsidR="00B52741" w:rsidRPr="00393E31">
        <w:rPr>
          <w:rFonts w:ascii="Open Sans" w:hAnsi="Open Sans" w:cs="Open Sans"/>
          <w:bCs/>
          <w:i/>
          <w:sz w:val="20"/>
          <w:szCs w:val="20"/>
        </w:rPr>
        <w:t xml:space="preserve">graduated </w:t>
      </w:r>
      <w:r w:rsidR="00B52741" w:rsidRPr="00393E31">
        <w:rPr>
          <w:rFonts w:ascii="Open Sans" w:hAnsi="Open Sans" w:cs="Open Sans"/>
          <w:bCs/>
          <w:sz w:val="20"/>
          <w:szCs w:val="20"/>
        </w:rPr>
        <w:t>premium</w:t>
      </w:r>
      <w:r w:rsidR="003A5FFB" w:rsidRPr="00393E31">
        <w:rPr>
          <w:rFonts w:ascii="Open Sans" w:hAnsi="Open Sans" w:cs="Open Sans"/>
          <w:bCs/>
          <w:sz w:val="20"/>
          <w:szCs w:val="20"/>
        </w:rPr>
        <w:t xml:space="preserve"> levels</w:t>
      </w:r>
      <w:r w:rsidR="00B52741" w:rsidRPr="00393E31">
        <w:rPr>
          <w:rFonts w:ascii="Open Sans" w:hAnsi="Open Sans" w:cs="Open Sans"/>
          <w:bCs/>
          <w:sz w:val="20"/>
          <w:szCs w:val="20"/>
        </w:rPr>
        <w:t>: students who qualify for one focus population will garner an 80 percent premium; students who qualify for two will garner a 100 percent premium; and students who qualify for three</w:t>
      </w:r>
      <w:r w:rsidR="003A5FFB" w:rsidRPr="00393E31">
        <w:rPr>
          <w:rFonts w:ascii="Open Sans" w:hAnsi="Open Sans" w:cs="Open Sans"/>
          <w:bCs/>
          <w:sz w:val="20"/>
          <w:szCs w:val="20"/>
        </w:rPr>
        <w:t xml:space="preserve"> </w:t>
      </w:r>
      <w:r w:rsidR="00B52741" w:rsidRPr="00393E31">
        <w:rPr>
          <w:rFonts w:ascii="Open Sans" w:hAnsi="Open Sans" w:cs="Open Sans"/>
          <w:bCs/>
          <w:sz w:val="20"/>
          <w:szCs w:val="20"/>
        </w:rPr>
        <w:t>—</w:t>
      </w:r>
      <w:r w:rsidR="003A5FFB" w:rsidRPr="00393E31">
        <w:rPr>
          <w:rFonts w:ascii="Open Sans" w:hAnsi="Open Sans" w:cs="Open Sans"/>
          <w:bCs/>
          <w:sz w:val="20"/>
          <w:szCs w:val="20"/>
        </w:rPr>
        <w:t xml:space="preserve"> </w:t>
      </w:r>
      <w:r w:rsidR="00B52741" w:rsidRPr="00393E31">
        <w:rPr>
          <w:rFonts w:ascii="Open Sans" w:hAnsi="Open Sans" w:cs="Open Sans"/>
          <w:bCs/>
          <w:sz w:val="20"/>
          <w:szCs w:val="20"/>
        </w:rPr>
        <w:t>at community colleges only</w:t>
      </w:r>
      <w:r w:rsidR="003A5FFB" w:rsidRPr="00393E31">
        <w:rPr>
          <w:rFonts w:ascii="Open Sans" w:hAnsi="Open Sans" w:cs="Open Sans"/>
          <w:bCs/>
          <w:sz w:val="20"/>
          <w:szCs w:val="20"/>
        </w:rPr>
        <w:t xml:space="preserve"> </w:t>
      </w:r>
      <w:r w:rsidR="00B52741" w:rsidRPr="00393E31">
        <w:rPr>
          <w:rFonts w:ascii="Open Sans" w:hAnsi="Open Sans" w:cs="Open Sans"/>
          <w:bCs/>
          <w:sz w:val="20"/>
          <w:szCs w:val="20"/>
        </w:rPr>
        <w:t>—</w:t>
      </w:r>
      <w:r w:rsidR="003A5FFB" w:rsidRPr="00393E31">
        <w:rPr>
          <w:rFonts w:ascii="Open Sans" w:hAnsi="Open Sans" w:cs="Open Sans"/>
          <w:bCs/>
          <w:sz w:val="20"/>
          <w:szCs w:val="20"/>
        </w:rPr>
        <w:t xml:space="preserve"> </w:t>
      </w:r>
      <w:r w:rsidR="00B52741" w:rsidRPr="00393E31">
        <w:rPr>
          <w:rFonts w:ascii="Open Sans" w:hAnsi="Open Sans" w:cs="Open Sans"/>
          <w:bCs/>
          <w:sz w:val="20"/>
          <w:szCs w:val="20"/>
        </w:rPr>
        <w:t>will garner a 120 percent premium.</w:t>
      </w:r>
    </w:p>
    <w:p w:rsidR="002156E5" w:rsidRPr="00393E31" w:rsidRDefault="002156E5">
      <w:pPr>
        <w:rPr>
          <w:rFonts w:ascii="Open Sans" w:hAnsi="Open Sans" w:cs="Open Sans"/>
          <w:b/>
          <w:sz w:val="20"/>
          <w:szCs w:val="20"/>
          <w:u w:val="single"/>
        </w:rPr>
      </w:pPr>
      <w:r w:rsidRPr="00393E31">
        <w:rPr>
          <w:rFonts w:ascii="Open Sans" w:hAnsi="Open Sans" w:cs="Open Sans"/>
          <w:b/>
          <w:sz w:val="20"/>
          <w:szCs w:val="20"/>
          <w:u w:val="single"/>
        </w:rPr>
        <w:t>Weights</w:t>
      </w:r>
    </w:p>
    <w:p w:rsidR="004954BA" w:rsidRPr="00393E31" w:rsidRDefault="000A1A43" w:rsidP="000559B3">
      <w:pPr>
        <w:rPr>
          <w:rFonts w:ascii="Open Sans" w:hAnsi="Open Sans" w:cs="Open Sans"/>
          <w:sz w:val="20"/>
          <w:szCs w:val="20"/>
        </w:rPr>
      </w:pPr>
      <w:r w:rsidRPr="00393E31">
        <w:rPr>
          <w:rFonts w:ascii="Open Sans" w:hAnsi="Open Sans" w:cs="Open Sans"/>
          <w:sz w:val="20"/>
          <w:szCs w:val="20"/>
        </w:rPr>
        <w:t>CCTA stipulates that outcomes must be weighted to reflect mission differentiation. During the formula review process</w:t>
      </w:r>
      <w:r w:rsidR="000F1A33" w:rsidRPr="00393E31">
        <w:rPr>
          <w:rFonts w:ascii="Open Sans" w:hAnsi="Open Sans" w:cs="Open Sans"/>
          <w:sz w:val="20"/>
          <w:szCs w:val="20"/>
        </w:rPr>
        <w:t>,</w:t>
      </w:r>
      <w:r w:rsidRPr="00393E31">
        <w:rPr>
          <w:rFonts w:ascii="Open Sans" w:hAnsi="Open Sans" w:cs="Open Sans"/>
          <w:sz w:val="20"/>
          <w:szCs w:val="20"/>
        </w:rPr>
        <w:t xml:space="preserve"> college presidents</w:t>
      </w:r>
      <w:r w:rsidR="000F1A33" w:rsidRPr="00393E31">
        <w:rPr>
          <w:rFonts w:ascii="Open Sans" w:hAnsi="Open Sans" w:cs="Open Sans"/>
          <w:sz w:val="20"/>
          <w:szCs w:val="20"/>
        </w:rPr>
        <w:t xml:space="preserve"> and chancellors were asked to prioritize the 2015-2020 outcomes and to provide narratives </w:t>
      </w:r>
      <w:r w:rsidR="008A585A" w:rsidRPr="00393E31">
        <w:rPr>
          <w:rFonts w:ascii="Open Sans" w:hAnsi="Open Sans" w:cs="Open Sans"/>
          <w:sz w:val="20"/>
          <w:szCs w:val="20"/>
        </w:rPr>
        <w:t>describing how the priorities reflect</w:t>
      </w:r>
      <w:r w:rsidR="000F1A33" w:rsidRPr="00393E31">
        <w:rPr>
          <w:rFonts w:ascii="Open Sans" w:hAnsi="Open Sans" w:cs="Open Sans"/>
          <w:sz w:val="20"/>
          <w:szCs w:val="20"/>
        </w:rPr>
        <w:t xml:space="preserve"> their ins</w:t>
      </w:r>
      <w:r w:rsidR="0094157C" w:rsidRPr="00393E31">
        <w:rPr>
          <w:rFonts w:ascii="Open Sans" w:hAnsi="Open Sans" w:cs="Open Sans"/>
          <w:sz w:val="20"/>
          <w:szCs w:val="20"/>
        </w:rPr>
        <w:t>titutions’ missions. The University of Tennessee and Tennessee Board of Regents systems</w:t>
      </w:r>
      <w:r w:rsidR="000F1A33" w:rsidRPr="00393E31">
        <w:rPr>
          <w:rFonts w:ascii="Open Sans" w:hAnsi="Open Sans" w:cs="Open Sans"/>
          <w:sz w:val="20"/>
          <w:szCs w:val="20"/>
        </w:rPr>
        <w:t xml:space="preserve"> </w:t>
      </w:r>
      <w:r w:rsidR="008A585A" w:rsidRPr="00393E31">
        <w:rPr>
          <w:rFonts w:ascii="Open Sans" w:hAnsi="Open Sans" w:cs="Open Sans"/>
          <w:sz w:val="20"/>
          <w:szCs w:val="20"/>
        </w:rPr>
        <w:t>also reviewed their respective institutions</w:t>
      </w:r>
      <w:r w:rsidR="003A5FFB" w:rsidRPr="00393E31">
        <w:rPr>
          <w:rFonts w:ascii="Open Sans" w:hAnsi="Open Sans" w:cs="Open Sans"/>
          <w:sz w:val="20"/>
          <w:szCs w:val="20"/>
        </w:rPr>
        <w:t>’ responses</w:t>
      </w:r>
      <w:r w:rsidR="008A585A" w:rsidRPr="00393E31">
        <w:rPr>
          <w:rFonts w:ascii="Open Sans" w:hAnsi="Open Sans" w:cs="Open Sans"/>
          <w:sz w:val="20"/>
          <w:szCs w:val="20"/>
        </w:rPr>
        <w:t xml:space="preserve"> to verify and validate the</w:t>
      </w:r>
      <w:r w:rsidR="003A5FFB" w:rsidRPr="00393E31">
        <w:rPr>
          <w:rFonts w:ascii="Open Sans" w:hAnsi="Open Sans" w:cs="Open Sans"/>
          <w:sz w:val="20"/>
          <w:szCs w:val="20"/>
        </w:rPr>
        <w:t xml:space="preserve"> campus</w:t>
      </w:r>
      <w:r w:rsidR="009260DD" w:rsidRPr="00393E31">
        <w:rPr>
          <w:rFonts w:ascii="Open Sans" w:hAnsi="Open Sans" w:cs="Open Sans"/>
          <w:sz w:val="20"/>
          <w:szCs w:val="20"/>
        </w:rPr>
        <w:t>es’</w:t>
      </w:r>
      <w:r w:rsidR="008A585A" w:rsidRPr="00393E31">
        <w:rPr>
          <w:rFonts w:ascii="Open Sans" w:hAnsi="Open Sans" w:cs="Open Sans"/>
          <w:sz w:val="20"/>
          <w:szCs w:val="20"/>
        </w:rPr>
        <w:t xml:space="preserve"> priorities.</w:t>
      </w:r>
    </w:p>
    <w:p w:rsidR="000559B3" w:rsidRPr="00393E31" w:rsidRDefault="0038378D" w:rsidP="000559B3">
      <w:pPr>
        <w:rPr>
          <w:rFonts w:ascii="Open Sans" w:hAnsi="Open Sans" w:cs="Open Sans"/>
          <w:sz w:val="20"/>
          <w:szCs w:val="20"/>
        </w:rPr>
      </w:pPr>
      <w:r w:rsidRPr="00393E31">
        <w:rPr>
          <w:rFonts w:ascii="Open Sans" w:hAnsi="Open Sans" w:cs="Open Sans"/>
          <w:sz w:val="20"/>
          <w:szCs w:val="20"/>
        </w:rPr>
        <w:t>Weights at universities are based on a combination of the prioritized outcomes and o</w:t>
      </w:r>
      <w:r w:rsidR="0010731D" w:rsidRPr="00393E31">
        <w:rPr>
          <w:rFonts w:ascii="Open Sans" w:hAnsi="Open Sans" w:cs="Open Sans"/>
          <w:sz w:val="20"/>
          <w:szCs w:val="20"/>
        </w:rPr>
        <w:t xml:space="preserve">n </w:t>
      </w:r>
      <w:r w:rsidRPr="00393E31">
        <w:rPr>
          <w:rFonts w:ascii="Open Sans" w:hAnsi="Open Sans" w:cs="Open Sans"/>
          <w:sz w:val="20"/>
          <w:szCs w:val="20"/>
        </w:rPr>
        <w:t xml:space="preserve">Carnegie classification. </w:t>
      </w:r>
      <w:r w:rsidR="008A585A" w:rsidRPr="00393E31">
        <w:rPr>
          <w:rFonts w:ascii="Open Sans" w:hAnsi="Open Sans" w:cs="Open Sans"/>
          <w:sz w:val="20"/>
          <w:szCs w:val="20"/>
        </w:rPr>
        <w:t>In the community college sector w</w:t>
      </w:r>
      <w:r w:rsidR="000559B3" w:rsidRPr="00393E31">
        <w:rPr>
          <w:rFonts w:ascii="Open Sans" w:hAnsi="Open Sans" w:cs="Open Sans"/>
          <w:sz w:val="20"/>
          <w:szCs w:val="20"/>
        </w:rPr>
        <w:t xml:space="preserve">eights are largely based on institutional mission. </w:t>
      </w:r>
      <w:r w:rsidRPr="00393E31">
        <w:rPr>
          <w:rFonts w:ascii="Open Sans" w:hAnsi="Open Sans" w:cs="Open Sans"/>
          <w:sz w:val="20"/>
          <w:szCs w:val="20"/>
        </w:rPr>
        <w:t>O</w:t>
      </w:r>
      <w:r w:rsidR="0010731D" w:rsidRPr="00393E31">
        <w:rPr>
          <w:rFonts w:ascii="Open Sans" w:hAnsi="Open Sans" w:cs="Open Sans"/>
          <w:sz w:val="20"/>
          <w:szCs w:val="20"/>
        </w:rPr>
        <w:t xml:space="preserve">fficials from </w:t>
      </w:r>
      <w:r w:rsidR="000559B3" w:rsidRPr="00393E31">
        <w:rPr>
          <w:rFonts w:ascii="Open Sans" w:hAnsi="Open Sans" w:cs="Open Sans"/>
          <w:sz w:val="20"/>
          <w:szCs w:val="20"/>
        </w:rPr>
        <w:t>T</w:t>
      </w:r>
      <w:r w:rsidR="0010731D" w:rsidRPr="00393E31">
        <w:rPr>
          <w:rFonts w:ascii="Open Sans" w:hAnsi="Open Sans" w:cs="Open Sans"/>
          <w:sz w:val="20"/>
          <w:szCs w:val="20"/>
        </w:rPr>
        <w:t>BR</w:t>
      </w:r>
      <w:r w:rsidR="000559B3" w:rsidRPr="00393E31">
        <w:rPr>
          <w:rFonts w:ascii="Open Sans" w:hAnsi="Open Sans" w:cs="Open Sans"/>
          <w:sz w:val="20"/>
          <w:szCs w:val="20"/>
        </w:rPr>
        <w:t xml:space="preserve"> recommended that weights for certain outcomes be prioritized and standardized across the community college sector to reflect the needs of</w:t>
      </w:r>
      <w:r w:rsidR="003A5FFB" w:rsidRPr="00393E31">
        <w:rPr>
          <w:rFonts w:ascii="Open Sans" w:hAnsi="Open Sans" w:cs="Open Sans"/>
          <w:sz w:val="20"/>
          <w:szCs w:val="20"/>
        </w:rPr>
        <w:t xml:space="preserve"> statewide</w:t>
      </w:r>
      <w:r w:rsidR="000559B3" w:rsidRPr="00393E31">
        <w:rPr>
          <w:rFonts w:ascii="Open Sans" w:hAnsi="Open Sans" w:cs="Open Sans"/>
          <w:sz w:val="20"/>
          <w:szCs w:val="20"/>
        </w:rPr>
        <w:t xml:space="preserve"> </w:t>
      </w:r>
      <w:r w:rsidR="003A5FFB" w:rsidRPr="00393E31">
        <w:rPr>
          <w:rFonts w:ascii="Open Sans" w:hAnsi="Open Sans" w:cs="Open Sans"/>
          <w:sz w:val="20"/>
          <w:szCs w:val="20"/>
        </w:rPr>
        <w:t xml:space="preserve">completion initiatives, </w:t>
      </w:r>
      <w:r w:rsidR="00FA17CC" w:rsidRPr="00393E31">
        <w:rPr>
          <w:rFonts w:ascii="Open Sans" w:hAnsi="Open Sans" w:cs="Open Sans"/>
          <w:sz w:val="20"/>
          <w:szCs w:val="20"/>
        </w:rPr>
        <w:t xml:space="preserve">including </w:t>
      </w:r>
      <w:r w:rsidR="000559B3" w:rsidRPr="00393E31">
        <w:rPr>
          <w:rFonts w:ascii="Open Sans" w:hAnsi="Open Sans" w:cs="Open Sans"/>
          <w:sz w:val="20"/>
          <w:szCs w:val="20"/>
        </w:rPr>
        <w:t xml:space="preserve">Drive to 55 and </w:t>
      </w:r>
      <w:r w:rsidRPr="00393E31">
        <w:rPr>
          <w:rFonts w:ascii="Open Sans" w:hAnsi="Open Sans" w:cs="Open Sans"/>
          <w:sz w:val="20"/>
          <w:szCs w:val="20"/>
        </w:rPr>
        <w:t>CCTA</w:t>
      </w:r>
      <w:r w:rsidR="003A5FFB" w:rsidRPr="00393E31">
        <w:rPr>
          <w:rFonts w:ascii="Open Sans" w:hAnsi="Open Sans" w:cs="Open Sans"/>
          <w:sz w:val="20"/>
          <w:szCs w:val="20"/>
        </w:rPr>
        <w:t>:</w:t>
      </w:r>
      <w:r w:rsidR="000559B3" w:rsidRPr="00393E31">
        <w:rPr>
          <w:rFonts w:ascii="Open Sans" w:hAnsi="Open Sans" w:cs="Open Sans"/>
          <w:sz w:val="20"/>
          <w:szCs w:val="20"/>
        </w:rPr>
        <w:t xml:space="preserve"> </w:t>
      </w:r>
      <w:r w:rsidR="0010731D" w:rsidRPr="00393E31">
        <w:rPr>
          <w:rFonts w:ascii="Open Sans" w:hAnsi="Open Sans" w:cs="Open Sans"/>
          <w:bCs/>
          <w:sz w:val="20"/>
          <w:szCs w:val="20"/>
        </w:rPr>
        <w:t>A</w:t>
      </w:r>
      <w:r w:rsidR="000559B3" w:rsidRPr="00393E31">
        <w:rPr>
          <w:rFonts w:ascii="Open Sans" w:hAnsi="Open Sans" w:cs="Open Sans"/>
          <w:bCs/>
          <w:sz w:val="20"/>
          <w:szCs w:val="20"/>
        </w:rPr>
        <w:t>ssociate</w:t>
      </w:r>
      <w:r w:rsidR="003A5FFB" w:rsidRPr="00393E31">
        <w:rPr>
          <w:rFonts w:ascii="Open Sans" w:hAnsi="Open Sans" w:cs="Open Sans"/>
          <w:bCs/>
          <w:sz w:val="20"/>
          <w:szCs w:val="20"/>
        </w:rPr>
        <w:t xml:space="preserve"> degree</w:t>
      </w:r>
      <w:r w:rsidR="000559B3" w:rsidRPr="00393E31">
        <w:rPr>
          <w:rFonts w:ascii="Open Sans" w:hAnsi="Open Sans" w:cs="Open Sans"/>
          <w:bCs/>
          <w:sz w:val="20"/>
          <w:szCs w:val="20"/>
        </w:rPr>
        <w:t xml:space="preserve">s </w:t>
      </w:r>
      <w:r w:rsidR="000559B3" w:rsidRPr="00393E31">
        <w:rPr>
          <w:rFonts w:ascii="Open Sans" w:hAnsi="Open Sans" w:cs="Open Sans"/>
          <w:sz w:val="20"/>
          <w:szCs w:val="20"/>
        </w:rPr>
        <w:t>are weighted at 22.5</w:t>
      </w:r>
      <w:r w:rsidR="00B74353" w:rsidRPr="00393E31">
        <w:rPr>
          <w:rFonts w:ascii="Open Sans" w:hAnsi="Open Sans" w:cs="Open Sans"/>
          <w:sz w:val="20"/>
          <w:szCs w:val="20"/>
        </w:rPr>
        <w:t xml:space="preserve"> percent;</w:t>
      </w:r>
      <w:r w:rsidR="000559B3" w:rsidRPr="00393E31">
        <w:rPr>
          <w:rFonts w:ascii="Open Sans" w:hAnsi="Open Sans" w:cs="Open Sans"/>
          <w:sz w:val="20"/>
          <w:szCs w:val="20"/>
        </w:rPr>
        <w:t xml:space="preserve"> </w:t>
      </w:r>
      <w:r w:rsidR="000559B3" w:rsidRPr="00393E31">
        <w:rPr>
          <w:rFonts w:ascii="Open Sans" w:hAnsi="Open Sans" w:cs="Open Sans"/>
          <w:bCs/>
          <w:sz w:val="20"/>
          <w:szCs w:val="20"/>
        </w:rPr>
        <w:t xml:space="preserve">progression metrics </w:t>
      </w:r>
      <w:r w:rsidR="000559B3" w:rsidRPr="00393E31">
        <w:rPr>
          <w:rFonts w:ascii="Open Sans" w:hAnsi="Open Sans" w:cs="Open Sans"/>
          <w:sz w:val="20"/>
          <w:szCs w:val="20"/>
        </w:rPr>
        <w:t>sum to 15</w:t>
      </w:r>
      <w:r w:rsidR="00B74353" w:rsidRPr="00393E31">
        <w:rPr>
          <w:rFonts w:ascii="Open Sans" w:hAnsi="Open Sans" w:cs="Open Sans"/>
          <w:sz w:val="20"/>
          <w:szCs w:val="20"/>
        </w:rPr>
        <w:t xml:space="preserve"> percent</w:t>
      </w:r>
      <w:r w:rsidR="000559B3" w:rsidRPr="00393E31">
        <w:rPr>
          <w:rFonts w:ascii="Open Sans" w:hAnsi="Open Sans" w:cs="Open Sans"/>
          <w:sz w:val="20"/>
          <w:szCs w:val="20"/>
        </w:rPr>
        <w:t xml:space="preserve"> for all community colleges; and </w:t>
      </w:r>
      <w:r w:rsidR="0010731D" w:rsidRPr="00393E31">
        <w:rPr>
          <w:rFonts w:ascii="Open Sans" w:hAnsi="Open Sans" w:cs="Open Sans"/>
          <w:bCs/>
          <w:sz w:val="20"/>
          <w:szCs w:val="20"/>
        </w:rPr>
        <w:t xml:space="preserve">Long-term </w:t>
      </w:r>
      <w:r w:rsidR="000559B3" w:rsidRPr="00393E31">
        <w:rPr>
          <w:rFonts w:ascii="Open Sans" w:hAnsi="Open Sans" w:cs="Open Sans"/>
          <w:sz w:val="20"/>
          <w:szCs w:val="20"/>
        </w:rPr>
        <w:t xml:space="preserve">and </w:t>
      </w:r>
      <w:r w:rsidR="0010731D" w:rsidRPr="00393E31">
        <w:rPr>
          <w:rFonts w:ascii="Open Sans" w:hAnsi="Open Sans" w:cs="Open Sans"/>
          <w:bCs/>
          <w:sz w:val="20"/>
          <w:szCs w:val="20"/>
        </w:rPr>
        <w:t>Short-term c</w:t>
      </w:r>
      <w:r w:rsidR="000559B3" w:rsidRPr="00393E31">
        <w:rPr>
          <w:rFonts w:ascii="Open Sans" w:hAnsi="Open Sans" w:cs="Open Sans"/>
          <w:bCs/>
          <w:sz w:val="20"/>
          <w:szCs w:val="20"/>
        </w:rPr>
        <w:t xml:space="preserve">ertificates </w:t>
      </w:r>
      <w:r w:rsidR="000559B3" w:rsidRPr="00393E31">
        <w:rPr>
          <w:rFonts w:ascii="Open Sans" w:hAnsi="Open Sans" w:cs="Open Sans"/>
          <w:sz w:val="20"/>
          <w:szCs w:val="20"/>
        </w:rPr>
        <w:t>sum to 20</w:t>
      </w:r>
      <w:r w:rsidR="00B74353" w:rsidRPr="00393E31">
        <w:rPr>
          <w:rFonts w:ascii="Open Sans" w:hAnsi="Open Sans" w:cs="Open Sans"/>
          <w:sz w:val="20"/>
          <w:szCs w:val="20"/>
        </w:rPr>
        <w:t xml:space="preserve"> percent</w:t>
      </w:r>
      <w:r w:rsidR="000559B3" w:rsidRPr="00393E31">
        <w:rPr>
          <w:rFonts w:ascii="Open Sans" w:hAnsi="Open Sans" w:cs="Open Sans"/>
          <w:sz w:val="20"/>
          <w:szCs w:val="20"/>
        </w:rPr>
        <w:t>, with differentiation between the two certificate types based on institutional priority and historical performance.</w:t>
      </w:r>
      <w:r w:rsidRPr="00393E31">
        <w:rPr>
          <w:rFonts w:ascii="Open Sans" w:hAnsi="Open Sans" w:cs="Open Sans"/>
          <w:sz w:val="20"/>
          <w:szCs w:val="20"/>
        </w:rPr>
        <w:t xml:space="preserve"> See Appendix </w:t>
      </w:r>
      <w:r w:rsidR="0010731D" w:rsidRPr="00393E31">
        <w:rPr>
          <w:rFonts w:ascii="Open Sans" w:hAnsi="Open Sans" w:cs="Open Sans"/>
          <w:sz w:val="20"/>
          <w:szCs w:val="20"/>
        </w:rPr>
        <w:t>E</w:t>
      </w:r>
      <w:r w:rsidRPr="00393E31">
        <w:rPr>
          <w:rFonts w:ascii="Open Sans" w:hAnsi="Open Sans" w:cs="Open Sans"/>
          <w:sz w:val="20"/>
          <w:szCs w:val="20"/>
        </w:rPr>
        <w:t xml:space="preserve"> for each institution’s weight structure.</w:t>
      </w:r>
    </w:p>
    <w:p w:rsidR="002156E5" w:rsidRPr="00393E31" w:rsidRDefault="002156E5">
      <w:pPr>
        <w:rPr>
          <w:rFonts w:ascii="Open Sans" w:hAnsi="Open Sans" w:cs="Open Sans"/>
          <w:b/>
          <w:sz w:val="20"/>
          <w:szCs w:val="20"/>
          <w:u w:val="single"/>
        </w:rPr>
      </w:pPr>
      <w:r w:rsidRPr="00393E31">
        <w:rPr>
          <w:rFonts w:ascii="Open Sans" w:hAnsi="Open Sans" w:cs="Open Sans"/>
          <w:b/>
          <w:sz w:val="20"/>
          <w:szCs w:val="20"/>
          <w:u w:val="single"/>
        </w:rPr>
        <w:t>Removal of Salary Monetization</w:t>
      </w:r>
      <w:r w:rsidR="0038378D" w:rsidRPr="00393E31">
        <w:rPr>
          <w:rFonts w:ascii="Open Sans" w:hAnsi="Open Sans" w:cs="Open Sans"/>
          <w:b/>
          <w:sz w:val="20"/>
          <w:szCs w:val="20"/>
          <w:u w:val="single"/>
        </w:rPr>
        <w:t xml:space="preserve"> and </w:t>
      </w:r>
      <w:r w:rsidRPr="00393E31">
        <w:rPr>
          <w:rFonts w:ascii="Open Sans" w:hAnsi="Open Sans" w:cs="Open Sans"/>
          <w:b/>
          <w:sz w:val="20"/>
          <w:szCs w:val="20"/>
          <w:u w:val="single"/>
        </w:rPr>
        <w:t>Out-of-State Tuition</w:t>
      </w:r>
    </w:p>
    <w:p w:rsidR="00520A48" w:rsidRPr="00393E31" w:rsidRDefault="00520A48">
      <w:pPr>
        <w:rPr>
          <w:rFonts w:ascii="Open Sans" w:hAnsi="Open Sans" w:cs="Open Sans"/>
          <w:bCs/>
          <w:sz w:val="20"/>
          <w:szCs w:val="20"/>
        </w:rPr>
      </w:pPr>
      <w:r w:rsidRPr="00393E31">
        <w:rPr>
          <w:rFonts w:ascii="Open Sans" w:hAnsi="Open Sans" w:cs="Open Sans"/>
          <w:bCs/>
          <w:sz w:val="20"/>
          <w:szCs w:val="20"/>
        </w:rPr>
        <w:t xml:space="preserve">In the 2010-2015 </w:t>
      </w:r>
      <w:proofErr w:type="gramStart"/>
      <w:r w:rsidRPr="00393E31">
        <w:rPr>
          <w:rFonts w:ascii="Open Sans" w:hAnsi="Open Sans" w:cs="Open Sans"/>
          <w:bCs/>
          <w:sz w:val="20"/>
          <w:szCs w:val="20"/>
        </w:rPr>
        <w:t>model</w:t>
      </w:r>
      <w:proofErr w:type="gramEnd"/>
      <w:r w:rsidR="008C05C5" w:rsidRPr="00393E31">
        <w:rPr>
          <w:rFonts w:ascii="Open Sans" w:hAnsi="Open Sans" w:cs="Open Sans"/>
          <w:bCs/>
          <w:sz w:val="20"/>
          <w:szCs w:val="20"/>
        </w:rPr>
        <w:t>,</w:t>
      </w:r>
      <w:r w:rsidRPr="00393E31">
        <w:rPr>
          <w:rFonts w:ascii="Open Sans" w:hAnsi="Open Sans" w:cs="Open Sans"/>
          <w:bCs/>
          <w:sz w:val="20"/>
          <w:szCs w:val="20"/>
        </w:rPr>
        <w:t xml:space="preserve"> each institution’s total weighted outcomes were monetized using a salary multiplier based on institutional peer data collected by the Southern Regional Education Board. Members of the FRC proposed removing the </w:t>
      </w:r>
      <w:r w:rsidR="00000587" w:rsidRPr="00393E31">
        <w:rPr>
          <w:rFonts w:ascii="Open Sans" w:hAnsi="Open Sans" w:cs="Open Sans"/>
          <w:bCs/>
          <w:sz w:val="20"/>
          <w:szCs w:val="20"/>
        </w:rPr>
        <w:t xml:space="preserve">multiplier since it introduced </w:t>
      </w:r>
      <w:r w:rsidR="0094157C" w:rsidRPr="00393E31">
        <w:rPr>
          <w:rFonts w:ascii="Open Sans" w:hAnsi="Open Sans" w:cs="Open Sans"/>
          <w:bCs/>
          <w:sz w:val="20"/>
          <w:szCs w:val="20"/>
        </w:rPr>
        <w:t>unwanted volatility</w:t>
      </w:r>
      <w:r w:rsidRPr="00393E31">
        <w:rPr>
          <w:rFonts w:ascii="Open Sans" w:hAnsi="Open Sans" w:cs="Open Sans"/>
          <w:bCs/>
          <w:sz w:val="20"/>
          <w:szCs w:val="20"/>
        </w:rPr>
        <w:t xml:space="preserve"> from other states’ salary policies</w:t>
      </w:r>
      <w:r w:rsidR="00000587" w:rsidRPr="00393E31">
        <w:rPr>
          <w:rFonts w:ascii="Open Sans" w:hAnsi="Open Sans" w:cs="Open Sans"/>
          <w:bCs/>
          <w:sz w:val="20"/>
          <w:szCs w:val="20"/>
        </w:rPr>
        <w:t xml:space="preserve"> and therefore shifted state funding based on changes to the SREB median faculty salary rather than outcome production</w:t>
      </w:r>
      <w:r w:rsidRPr="00393E31">
        <w:rPr>
          <w:rFonts w:ascii="Open Sans" w:hAnsi="Open Sans" w:cs="Open Sans"/>
          <w:bCs/>
          <w:sz w:val="20"/>
          <w:szCs w:val="20"/>
        </w:rPr>
        <w:t>. The 201</w:t>
      </w:r>
      <w:r w:rsidR="0010731D" w:rsidRPr="00393E31">
        <w:rPr>
          <w:rFonts w:ascii="Open Sans" w:hAnsi="Open Sans" w:cs="Open Sans"/>
          <w:bCs/>
          <w:sz w:val="20"/>
          <w:szCs w:val="20"/>
        </w:rPr>
        <w:t xml:space="preserve">5-2020 </w:t>
      </w:r>
      <w:proofErr w:type="gramStart"/>
      <w:r w:rsidR="0010731D" w:rsidRPr="00393E31">
        <w:rPr>
          <w:rFonts w:ascii="Open Sans" w:hAnsi="Open Sans" w:cs="Open Sans"/>
          <w:bCs/>
          <w:sz w:val="20"/>
          <w:szCs w:val="20"/>
        </w:rPr>
        <w:t>model</w:t>
      </w:r>
      <w:proofErr w:type="gramEnd"/>
      <w:r w:rsidR="0010731D" w:rsidRPr="00393E31">
        <w:rPr>
          <w:rFonts w:ascii="Open Sans" w:hAnsi="Open Sans" w:cs="Open Sans"/>
          <w:bCs/>
          <w:sz w:val="20"/>
          <w:szCs w:val="20"/>
        </w:rPr>
        <w:t xml:space="preserve"> will no longer rely</w:t>
      </w:r>
      <w:r w:rsidRPr="00393E31">
        <w:rPr>
          <w:rFonts w:ascii="Open Sans" w:hAnsi="Open Sans" w:cs="Open Sans"/>
          <w:bCs/>
          <w:sz w:val="20"/>
          <w:szCs w:val="20"/>
        </w:rPr>
        <w:t xml:space="preserve"> on a salary multiplier to monetize the outcomes.</w:t>
      </w:r>
    </w:p>
    <w:p w:rsidR="00520A48" w:rsidRPr="00393E31" w:rsidRDefault="00520A48">
      <w:pPr>
        <w:rPr>
          <w:rFonts w:ascii="Open Sans" w:hAnsi="Open Sans" w:cs="Open Sans"/>
          <w:bCs/>
          <w:sz w:val="20"/>
          <w:szCs w:val="20"/>
        </w:rPr>
      </w:pPr>
      <w:r w:rsidRPr="00393E31">
        <w:rPr>
          <w:rFonts w:ascii="Open Sans" w:hAnsi="Open Sans" w:cs="Open Sans"/>
          <w:bCs/>
          <w:sz w:val="20"/>
          <w:szCs w:val="20"/>
        </w:rPr>
        <w:t xml:space="preserve">The 2010-2015 </w:t>
      </w:r>
      <w:proofErr w:type="gramStart"/>
      <w:r w:rsidRPr="00393E31">
        <w:rPr>
          <w:rFonts w:ascii="Open Sans" w:hAnsi="Open Sans" w:cs="Open Sans"/>
          <w:bCs/>
          <w:sz w:val="20"/>
          <w:szCs w:val="20"/>
        </w:rPr>
        <w:t>model</w:t>
      </w:r>
      <w:proofErr w:type="gramEnd"/>
      <w:r w:rsidRPr="00393E31">
        <w:rPr>
          <w:rFonts w:ascii="Open Sans" w:hAnsi="Open Sans" w:cs="Open Sans"/>
          <w:bCs/>
          <w:sz w:val="20"/>
          <w:szCs w:val="20"/>
        </w:rPr>
        <w:t xml:space="preserve"> also deducted out-of-state tuition from each institution based on the </w:t>
      </w:r>
      <w:r w:rsidR="007575A2" w:rsidRPr="00393E31">
        <w:rPr>
          <w:rFonts w:ascii="Open Sans" w:hAnsi="Open Sans" w:cs="Open Sans"/>
          <w:bCs/>
          <w:sz w:val="20"/>
          <w:szCs w:val="20"/>
        </w:rPr>
        <w:t>number</w:t>
      </w:r>
      <w:r w:rsidRPr="00393E31">
        <w:rPr>
          <w:rFonts w:ascii="Open Sans" w:hAnsi="Open Sans" w:cs="Open Sans"/>
          <w:bCs/>
          <w:sz w:val="20"/>
          <w:szCs w:val="20"/>
        </w:rPr>
        <w:t xml:space="preserve"> of </w:t>
      </w:r>
      <w:r w:rsidR="0010731D" w:rsidRPr="00393E31">
        <w:rPr>
          <w:rFonts w:ascii="Open Sans" w:hAnsi="Open Sans" w:cs="Open Sans"/>
          <w:bCs/>
          <w:sz w:val="20"/>
          <w:szCs w:val="20"/>
        </w:rPr>
        <w:t xml:space="preserve">full-time equivalent </w:t>
      </w:r>
      <w:r w:rsidRPr="00393E31">
        <w:rPr>
          <w:rFonts w:ascii="Open Sans" w:hAnsi="Open Sans" w:cs="Open Sans"/>
          <w:bCs/>
          <w:sz w:val="20"/>
          <w:szCs w:val="20"/>
        </w:rPr>
        <w:t xml:space="preserve">students identified by the state </w:t>
      </w:r>
      <w:r w:rsidR="003A5FFB" w:rsidRPr="00393E31">
        <w:rPr>
          <w:rFonts w:ascii="Open Sans" w:hAnsi="Open Sans" w:cs="Open Sans"/>
          <w:bCs/>
          <w:sz w:val="20"/>
          <w:szCs w:val="20"/>
        </w:rPr>
        <w:t>as</w:t>
      </w:r>
      <w:r w:rsidRPr="00393E31">
        <w:rPr>
          <w:rFonts w:ascii="Open Sans" w:hAnsi="Open Sans" w:cs="Open Sans"/>
          <w:bCs/>
          <w:sz w:val="20"/>
          <w:szCs w:val="20"/>
        </w:rPr>
        <w:t xml:space="preserve"> paying out-of-state tuition.</w:t>
      </w:r>
      <w:r w:rsidR="007575A2" w:rsidRPr="00393E31">
        <w:rPr>
          <w:rFonts w:ascii="Open Sans" w:hAnsi="Open Sans" w:cs="Open Sans"/>
          <w:bCs/>
          <w:sz w:val="20"/>
          <w:szCs w:val="20"/>
        </w:rPr>
        <w:t xml:space="preserve"> Members of the FRC suggested that the deduction discouraged institutions from en</w:t>
      </w:r>
      <w:r w:rsidR="0010731D" w:rsidRPr="00393E31">
        <w:rPr>
          <w:rFonts w:ascii="Open Sans" w:hAnsi="Open Sans" w:cs="Open Sans"/>
          <w:bCs/>
          <w:sz w:val="20"/>
          <w:szCs w:val="20"/>
        </w:rPr>
        <w:t xml:space="preserve">rolling out-of-state students — students who as </w:t>
      </w:r>
      <w:r w:rsidR="003A5FFB" w:rsidRPr="00393E31">
        <w:rPr>
          <w:rFonts w:ascii="Open Sans" w:hAnsi="Open Sans" w:cs="Open Sans"/>
          <w:bCs/>
          <w:sz w:val="20"/>
          <w:szCs w:val="20"/>
        </w:rPr>
        <w:t>degree completers</w:t>
      </w:r>
      <w:r w:rsidR="0010731D" w:rsidRPr="00393E31">
        <w:rPr>
          <w:rFonts w:ascii="Open Sans" w:hAnsi="Open Sans" w:cs="Open Sans"/>
          <w:bCs/>
          <w:sz w:val="20"/>
          <w:szCs w:val="20"/>
        </w:rPr>
        <w:t xml:space="preserve"> would contribute to</w:t>
      </w:r>
      <w:r w:rsidR="007575A2" w:rsidRPr="00393E31">
        <w:rPr>
          <w:rFonts w:ascii="Open Sans" w:hAnsi="Open Sans" w:cs="Open Sans"/>
          <w:bCs/>
          <w:sz w:val="20"/>
          <w:szCs w:val="20"/>
        </w:rPr>
        <w:t xml:space="preserve"> the state economy</w:t>
      </w:r>
      <w:r w:rsidR="0010731D" w:rsidRPr="00393E31">
        <w:rPr>
          <w:rFonts w:ascii="Open Sans" w:hAnsi="Open Sans" w:cs="Open Sans"/>
          <w:bCs/>
          <w:sz w:val="20"/>
          <w:szCs w:val="20"/>
        </w:rPr>
        <w:t xml:space="preserve"> </w:t>
      </w:r>
      <w:r w:rsidR="007575A2" w:rsidRPr="00393E31">
        <w:rPr>
          <w:rFonts w:ascii="Open Sans" w:hAnsi="Open Sans" w:cs="Open Sans"/>
          <w:bCs/>
          <w:sz w:val="20"/>
          <w:szCs w:val="20"/>
        </w:rPr>
        <w:t xml:space="preserve">as well as the Drive to 55 initiative. The 2015-2020 </w:t>
      </w:r>
      <w:proofErr w:type="gramStart"/>
      <w:r w:rsidR="007575A2" w:rsidRPr="00393E31">
        <w:rPr>
          <w:rFonts w:ascii="Open Sans" w:hAnsi="Open Sans" w:cs="Open Sans"/>
          <w:bCs/>
          <w:sz w:val="20"/>
          <w:szCs w:val="20"/>
        </w:rPr>
        <w:t>model</w:t>
      </w:r>
      <w:proofErr w:type="gramEnd"/>
      <w:r w:rsidR="007575A2" w:rsidRPr="00393E31">
        <w:rPr>
          <w:rFonts w:ascii="Open Sans" w:hAnsi="Open Sans" w:cs="Open Sans"/>
          <w:bCs/>
          <w:sz w:val="20"/>
          <w:szCs w:val="20"/>
        </w:rPr>
        <w:t xml:space="preserve"> therefore excludes the out-of-state tuition deduction.</w:t>
      </w:r>
    </w:p>
    <w:p w:rsidR="000559B3" w:rsidRPr="00393E31" w:rsidRDefault="000559B3" w:rsidP="000559B3">
      <w:pPr>
        <w:rPr>
          <w:rFonts w:ascii="Open Sans" w:hAnsi="Open Sans" w:cs="Open Sans"/>
          <w:b/>
          <w:sz w:val="20"/>
          <w:szCs w:val="20"/>
          <w:u w:val="single"/>
        </w:rPr>
      </w:pPr>
      <w:r w:rsidRPr="00393E31">
        <w:rPr>
          <w:rFonts w:ascii="Open Sans" w:hAnsi="Open Sans" w:cs="Open Sans"/>
          <w:b/>
          <w:sz w:val="20"/>
          <w:szCs w:val="20"/>
          <w:u w:val="single"/>
        </w:rPr>
        <w:lastRenderedPageBreak/>
        <w:t>Scales</w:t>
      </w:r>
    </w:p>
    <w:p w:rsidR="007575A2" w:rsidRPr="00393E31" w:rsidRDefault="000559B3" w:rsidP="007575A2">
      <w:pPr>
        <w:rPr>
          <w:rFonts w:ascii="Open Sans" w:hAnsi="Open Sans" w:cs="Open Sans"/>
          <w:sz w:val="20"/>
          <w:szCs w:val="20"/>
        </w:rPr>
      </w:pPr>
      <w:r w:rsidRPr="00393E31">
        <w:rPr>
          <w:rFonts w:ascii="Open Sans" w:hAnsi="Open Sans" w:cs="Open Sans"/>
          <w:sz w:val="20"/>
          <w:szCs w:val="20"/>
        </w:rPr>
        <w:t>In addition to serving the purpose of comparing outcomes of varying magnitudes (e.g. Research and Services in the millions to Doctoral/Law Degrees in the dozens), the 2010-</w:t>
      </w:r>
      <w:r w:rsidR="0010731D" w:rsidRPr="00393E31">
        <w:rPr>
          <w:rFonts w:ascii="Open Sans" w:hAnsi="Open Sans" w:cs="Open Sans"/>
          <w:sz w:val="20"/>
          <w:szCs w:val="20"/>
        </w:rPr>
        <w:t>20</w:t>
      </w:r>
      <w:r w:rsidRPr="00393E31">
        <w:rPr>
          <w:rFonts w:ascii="Open Sans" w:hAnsi="Open Sans" w:cs="Open Sans"/>
          <w:sz w:val="20"/>
          <w:szCs w:val="20"/>
        </w:rPr>
        <w:t>15 scales were used in part to help calibrate the new outcomes-based funding formula to the old enrollment-based funding formula. This decision required the use of estimated values for scales.</w:t>
      </w:r>
    </w:p>
    <w:p w:rsidR="000559B3" w:rsidRPr="00393E31" w:rsidRDefault="00F32FF4" w:rsidP="007575A2">
      <w:pPr>
        <w:rPr>
          <w:rFonts w:ascii="Open Sans" w:hAnsi="Open Sans" w:cs="Open Sans"/>
          <w:sz w:val="20"/>
          <w:szCs w:val="20"/>
        </w:rPr>
      </w:pPr>
      <w:r w:rsidRPr="00393E31">
        <w:rPr>
          <w:rFonts w:ascii="Open Sans" w:hAnsi="Open Sans" w:cs="Open Sans"/>
          <w:bCs/>
          <w:sz w:val="20"/>
          <w:szCs w:val="20"/>
        </w:rPr>
        <w:t>With t</w:t>
      </w:r>
      <w:r w:rsidR="007575A2" w:rsidRPr="00393E31">
        <w:rPr>
          <w:rFonts w:ascii="Open Sans" w:hAnsi="Open Sans" w:cs="Open Sans"/>
          <w:bCs/>
          <w:sz w:val="20"/>
          <w:szCs w:val="20"/>
        </w:rPr>
        <w:t xml:space="preserve">he </w:t>
      </w:r>
      <w:r w:rsidRPr="00393E31">
        <w:rPr>
          <w:rFonts w:ascii="Open Sans" w:hAnsi="Open Sans" w:cs="Open Sans"/>
          <w:bCs/>
          <w:sz w:val="20"/>
          <w:szCs w:val="20"/>
        </w:rPr>
        <w:t xml:space="preserve">reworking of the </w:t>
      </w:r>
      <w:r w:rsidR="007575A2" w:rsidRPr="00393E31">
        <w:rPr>
          <w:rFonts w:ascii="Open Sans" w:hAnsi="Open Sans" w:cs="Open Sans"/>
          <w:bCs/>
          <w:sz w:val="20"/>
          <w:szCs w:val="20"/>
        </w:rPr>
        <w:t xml:space="preserve">underlying structure of the 2015-2020 </w:t>
      </w:r>
      <w:proofErr w:type="gramStart"/>
      <w:r w:rsidR="007575A2" w:rsidRPr="00393E31">
        <w:rPr>
          <w:rFonts w:ascii="Open Sans" w:hAnsi="Open Sans" w:cs="Open Sans"/>
          <w:bCs/>
          <w:sz w:val="20"/>
          <w:szCs w:val="20"/>
        </w:rPr>
        <w:t>model</w:t>
      </w:r>
      <w:proofErr w:type="gramEnd"/>
      <w:r w:rsidR="007575A2" w:rsidRPr="00393E31">
        <w:rPr>
          <w:rFonts w:ascii="Open Sans" w:hAnsi="Open Sans" w:cs="Open Sans"/>
          <w:bCs/>
          <w:sz w:val="20"/>
          <w:szCs w:val="20"/>
        </w:rPr>
        <w:t xml:space="preserve"> to allow for the removal of salary monetization</w:t>
      </w:r>
      <w:r w:rsidRPr="00393E31">
        <w:rPr>
          <w:rFonts w:ascii="Open Sans" w:hAnsi="Open Sans" w:cs="Open Sans"/>
          <w:sz w:val="20"/>
          <w:szCs w:val="20"/>
        </w:rPr>
        <w:t>,</w:t>
      </w:r>
      <w:r w:rsidR="00B74353" w:rsidRPr="00393E31">
        <w:rPr>
          <w:rFonts w:ascii="Open Sans" w:hAnsi="Open Sans" w:cs="Open Sans"/>
          <w:sz w:val="20"/>
          <w:szCs w:val="20"/>
        </w:rPr>
        <w:t xml:space="preserve"> the model can </w:t>
      </w:r>
      <w:r w:rsidR="00BC507C" w:rsidRPr="00393E31">
        <w:rPr>
          <w:rFonts w:ascii="Open Sans" w:hAnsi="Open Sans" w:cs="Open Sans"/>
          <w:sz w:val="20"/>
          <w:szCs w:val="20"/>
        </w:rPr>
        <w:t xml:space="preserve">now </w:t>
      </w:r>
      <w:r w:rsidR="00B74353" w:rsidRPr="00393E31">
        <w:rPr>
          <w:rFonts w:ascii="Open Sans" w:hAnsi="Open Sans" w:cs="Open Sans"/>
          <w:sz w:val="20"/>
          <w:szCs w:val="20"/>
        </w:rPr>
        <w:t>be calibrated without the use of scales</w:t>
      </w:r>
      <w:r w:rsidR="007575A2" w:rsidRPr="00393E31">
        <w:rPr>
          <w:rFonts w:ascii="Open Sans" w:hAnsi="Open Sans" w:cs="Open Sans"/>
          <w:sz w:val="20"/>
          <w:szCs w:val="20"/>
        </w:rPr>
        <w:t xml:space="preserve"> and mathematically-derived scales</w:t>
      </w:r>
      <w:r w:rsidRPr="00393E31">
        <w:rPr>
          <w:rFonts w:ascii="Open Sans" w:hAnsi="Open Sans" w:cs="Open Sans"/>
          <w:sz w:val="20"/>
          <w:szCs w:val="20"/>
        </w:rPr>
        <w:t xml:space="preserve"> </w:t>
      </w:r>
      <w:r w:rsidR="008631CE" w:rsidRPr="00393E31">
        <w:rPr>
          <w:rFonts w:ascii="Open Sans" w:hAnsi="Open Sans" w:cs="Open Sans"/>
          <w:sz w:val="20"/>
          <w:szCs w:val="20"/>
        </w:rPr>
        <w:t>can</w:t>
      </w:r>
      <w:r w:rsidR="00BC507C" w:rsidRPr="00393E31">
        <w:rPr>
          <w:rFonts w:ascii="Open Sans" w:hAnsi="Open Sans" w:cs="Open Sans"/>
          <w:sz w:val="20"/>
          <w:szCs w:val="20"/>
        </w:rPr>
        <w:t xml:space="preserve"> be implemented</w:t>
      </w:r>
      <w:r w:rsidRPr="00393E31">
        <w:rPr>
          <w:rFonts w:ascii="Open Sans" w:hAnsi="Open Sans" w:cs="Open Sans"/>
          <w:sz w:val="20"/>
          <w:szCs w:val="20"/>
        </w:rPr>
        <w:t>.</w:t>
      </w:r>
    </w:p>
    <w:p w:rsidR="009E415C" w:rsidRPr="00393E31" w:rsidRDefault="007575A2" w:rsidP="000559B3">
      <w:pPr>
        <w:rPr>
          <w:rFonts w:ascii="Open Sans" w:hAnsi="Open Sans" w:cs="Open Sans"/>
          <w:sz w:val="20"/>
          <w:szCs w:val="20"/>
        </w:rPr>
      </w:pPr>
      <w:r w:rsidRPr="00393E31">
        <w:rPr>
          <w:rFonts w:ascii="Open Sans" w:hAnsi="Open Sans" w:cs="Open Sans"/>
          <w:sz w:val="20"/>
          <w:szCs w:val="20"/>
        </w:rPr>
        <w:t>The 2015-2020 model uses a</w:t>
      </w:r>
      <w:r w:rsidR="009E415C" w:rsidRPr="00393E31">
        <w:rPr>
          <w:rFonts w:ascii="Open Sans" w:hAnsi="Open Sans" w:cs="Open Sans"/>
          <w:sz w:val="20"/>
          <w:szCs w:val="20"/>
        </w:rPr>
        <w:t>n</w:t>
      </w:r>
      <w:r w:rsidRPr="00393E31">
        <w:rPr>
          <w:rFonts w:ascii="Open Sans" w:hAnsi="Open Sans" w:cs="Open Sans"/>
          <w:sz w:val="20"/>
          <w:szCs w:val="20"/>
        </w:rPr>
        <w:t xml:space="preserve"> historic</w:t>
      </w:r>
      <w:r w:rsidR="0010731D" w:rsidRPr="00393E31">
        <w:rPr>
          <w:rFonts w:ascii="Open Sans" w:hAnsi="Open Sans" w:cs="Open Sans"/>
          <w:sz w:val="20"/>
          <w:szCs w:val="20"/>
        </w:rPr>
        <w:t xml:space="preserve"> data set (</w:t>
      </w:r>
      <w:r w:rsidRPr="00393E31">
        <w:rPr>
          <w:rFonts w:ascii="Open Sans" w:hAnsi="Open Sans" w:cs="Open Sans"/>
          <w:sz w:val="20"/>
          <w:szCs w:val="20"/>
        </w:rPr>
        <w:t>a ten-year history</w:t>
      </w:r>
      <w:r w:rsidR="00F32FF4" w:rsidRPr="00393E31">
        <w:rPr>
          <w:rFonts w:ascii="Open Sans" w:hAnsi="Open Sans" w:cs="Open Sans"/>
          <w:sz w:val="20"/>
          <w:szCs w:val="20"/>
        </w:rPr>
        <w:t xml:space="preserve"> for most outcomes</w:t>
      </w:r>
      <w:r w:rsidRPr="00393E31">
        <w:rPr>
          <w:rFonts w:ascii="Open Sans" w:hAnsi="Open Sans" w:cs="Open Sans"/>
          <w:sz w:val="20"/>
          <w:szCs w:val="20"/>
        </w:rPr>
        <w:t>)</w:t>
      </w:r>
      <w:r w:rsidR="009E415C" w:rsidRPr="00393E31">
        <w:rPr>
          <w:rFonts w:ascii="Open Sans" w:hAnsi="Open Sans" w:cs="Open Sans"/>
          <w:sz w:val="20"/>
          <w:szCs w:val="20"/>
        </w:rPr>
        <w:t xml:space="preserve"> to determine the average standard deviations </w:t>
      </w:r>
      <w:r w:rsidR="00F32FF4" w:rsidRPr="00393E31">
        <w:rPr>
          <w:rFonts w:ascii="Open Sans" w:hAnsi="Open Sans" w:cs="Open Sans"/>
          <w:sz w:val="20"/>
          <w:szCs w:val="20"/>
        </w:rPr>
        <w:t xml:space="preserve">of all outcomes </w:t>
      </w:r>
      <w:r w:rsidR="009E415C" w:rsidRPr="00393E31">
        <w:rPr>
          <w:rFonts w:ascii="Open Sans" w:hAnsi="Open Sans" w:cs="Open Sans"/>
          <w:sz w:val="20"/>
          <w:szCs w:val="20"/>
        </w:rPr>
        <w:t xml:space="preserve">across each sector. These averages were used in determining the scales. Most outcomes use the exact mathematically-derived scales while a few are altered to provide parity between the sectors or to reflect observed </w:t>
      </w:r>
      <w:r w:rsidR="0010731D" w:rsidRPr="00393E31">
        <w:rPr>
          <w:rFonts w:ascii="Open Sans" w:hAnsi="Open Sans" w:cs="Open Sans"/>
          <w:sz w:val="20"/>
          <w:szCs w:val="20"/>
        </w:rPr>
        <w:t>and</w:t>
      </w:r>
      <w:r w:rsidR="009E415C" w:rsidRPr="00393E31">
        <w:rPr>
          <w:rFonts w:ascii="Open Sans" w:hAnsi="Open Sans" w:cs="Open Sans"/>
          <w:sz w:val="20"/>
          <w:szCs w:val="20"/>
        </w:rPr>
        <w:t xml:space="preserve"> anticipated volatility.</w:t>
      </w:r>
    </w:p>
    <w:p w:rsidR="009E415C" w:rsidRPr="00393E31" w:rsidRDefault="009E415C" w:rsidP="009E415C">
      <w:pPr>
        <w:tabs>
          <w:tab w:val="center" w:pos="10098"/>
        </w:tabs>
        <w:jc w:val="both"/>
        <w:rPr>
          <w:rFonts w:ascii="Open Sans" w:hAnsi="Open Sans" w:cs="Open Sans"/>
          <w:bCs/>
          <w:sz w:val="20"/>
          <w:szCs w:val="20"/>
        </w:rPr>
      </w:pPr>
      <w:r w:rsidRPr="00393E31">
        <w:rPr>
          <w:rFonts w:ascii="Open Sans" w:hAnsi="Open Sans" w:cs="Open Sans"/>
          <w:bCs/>
          <w:sz w:val="20"/>
          <w:szCs w:val="20"/>
        </w:rPr>
        <w:t xml:space="preserve">The process used to analyze and review changes to the outcomes model allowed all stakeholders to play a significant role in creating the 2015-2020 model. This model does not differ greatly from the 2010-2015 </w:t>
      </w:r>
      <w:proofErr w:type="gramStart"/>
      <w:r w:rsidRPr="00393E31">
        <w:rPr>
          <w:rFonts w:ascii="Open Sans" w:hAnsi="Open Sans" w:cs="Open Sans"/>
          <w:bCs/>
          <w:sz w:val="20"/>
          <w:szCs w:val="20"/>
        </w:rPr>
        <w:t>model</w:t>
      </w:r>
      <w:proofErr w:type="gramEnd"/>
      <w:r w:rsidR="008C05C5" w:rsidRPr="00393E31">
        <w:rPr>
          <w:rFonts w:ascii="Open Sans" w:hAnsi="Open Sans" w:cs="Open Sans"/>
          <w:bCs/>
          <w:sz w:val="20"/>
          <w:szCs w:val="20"/>
        </w:rPr>
        <w:t>,</w:t>
      </w:r>
      <w:r w:rsidRPr="00393E31">
        <w:rPr>
          <w:rFonts w:ascii="Open Sans" w:hAnsi="Open Sans" w:cs="Open Sans"/>
          <w:bCs/>
          <w:sz w:val="20"/>
          <w:szCs w:val="20"/>
        </w:rPr>
        <w:t xml:space="preserve"> but more effectively rewards institutions for outcome success while reflecting the input from these stakeholders.</w:t>
      </w:r>
      <w:r w:rsidR="003A5FFB" w:rsidRPr="00393E31">
        <w:rPr>
          <w:rFonts w:ascii="Open Sans" w:hAnsi="Open Sans" w:cs="Open Sans"/>
          <w:bCs/>
          <w:sz w:val="20"/>
          <w:szCs w:val="20"/>
        </w:rPr>
        <w:t xml:space="preserve"> </w:t>
      </w:r>
    </w:p>
    <w:p w:rsidR="005D5F53" w:rsidRDefault="005D5F53">
      <w:pPr>
        <w:rPr>
          <w:sz w:val="24"/>
          <w:szCs w:val="24"/>
        </w:rPr>
        <w:sectPr w:rsidR="005D5F53" w:rsidSect="005D5F53">
          <w:pgSz w:w="12240" w:h="15840" w:code="1"/>
          <w:pgMar w:top="1440" w:right="1440" w:bottom="1440" w:left="1440" w:header="0" w:footer="1008" w:gutter="0"/>
          <w:cols w:space="720"/>
          <w:titlePg/>
          <w:docGrid w:linePitch="272"/>
        </w:sectPr>
      </w:pPr>
    </w:p>
    <w:p w:rsidR="0020702B" w:rsidRPr="00393E31" w:rsidRDefault="0020702B" w:rsidP="0020702B">
      <w:pPr>
        <w:tabs>
          <w:tab w:val="center" w:pos="10098"/>
        </w:tabs>
        <w:spacing w:after="0" w:line="240" w:lineRule="auto"/>
        <w:jc w:val="center"/>
        <w:rPr>
          <w:rFonts w:ascii="Open Sans" w:eastAsia="Times New Roman" w:hAnsi="Open Sans" w:cs="Open Sans"/>
          <w:b/>
          <w:bCs/>
          <w:sz w:val="20"/>
          <w:szCs w:val="20"/>
        </w:rPr>
      </w:pPr>
      <w:r w:rsidRPr="00393E31">
        <w:rPr>
          <w:rFonts w:ascii="Open Sans" w:eastAsia="Times New Roman" w:hAnsi="Open Sans" w:cs="Open Sans"/>
          <w:b/>
          <w:bCs/>
          <w:sz w:val="20"/>
          <w:szCs w:val="20"/>
        </w:rPr>
        <w:lastRenderedPageBreak/>
        <w:t>Appendix A</w:t>
      </w:r>
    </w:p>
    <w:tbl>
      <w:tblPr>
        <w:tblW w:w="13761" w:type="dxa"/>
        <w:tblInd w:w="93" w:type="dxa"/>
        <w:tblLook w:val="04A0" w:firstRow="1" w:lastRow="0" w:firstColumn="1" w:lastColumn="0" w:noHBand="0" w:noVBand="1"/>
      </w:tblPr>
      <w:tblGrid>
        <w:gridCol w:w="2734"/>
        <w:gridCol w:w="4655"/>
        <w:gridCol w:w="6372"/>
      </w:tblGrid>
      <w:tr w:rsidR="0020702B" w:rsidRPr="00393E31" w:rsidTr="00CC6A38">
        <w:trPr>
          <w:trHeight w:val="390"/>
        </w:trPr>
        <w:tc>
          <w:tcPr>
            <w:tcW w:w="13761" w:type="dxa"/>
            <w:gridSpan w:val="3"/>
            <w:tcBorders>
              <w:top w:val="nil"/>
              <w:left w:val="nil"/>
              <w:bottom w:val="nil"/>
              <w:right w:val="nil"/>
            </w:tcBorders>
            <w:shd w:val="clear" w:color="auto" w:fill="auto"/>
            <w:noWrap/>
            <w:vAlign w:val="bottom"/>
            <w:hideMark/>
          </w:tcPr>
          <w:p w:rsidR="0020702B" w:rsidRPr="00393E31" w:rsidRDefault="0020702B" w:rsidP="0020702B">
            <w:pPr>
              <w:spacing w:after="0" w:line="240" w:lineRule="auto"/>
              <w:jc w:val="center"/>
              <w:rPr>
                <w:rFonts w:ascii="Open Sans" w:eastAsia="Times New Roman" w:hAnsi="Open Sans" w:cs="Open Sans"/>
                <w:b/>
                <w:bCs/>
                <w:color w:val="000000"/>
                <w:sz w:val="20"/>
                <w:szCs w:val="20"/>
              </w:rPr>
            </w:pPr>
            <w:r w:rsidRPr="00393E31">
              <w:rPr>
                <w:rFonts w:ascii="Open Sans" w:eastAsia="Times New Roman" w:hAnsi="Open Sans" w:cs="Open Sans"/>
                <w:b/>
                <w:bCs/>
                <w:color w:val="000000"/>
                <w:sz w:val="20"/>
                <w:szCs w:val="20"/>
              </w:rPr>
              <w:t>THEC 2015-20 Formula Review Committee</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b/>
                <w:bCs/>
                <w:color w:val="000000"/>
                <w:sz w:val="20"/>
                <w:szCs w:val="20"/>
              </w:rPr>
            </w:pPr>
            <w:r w:rsidRPr="00393E31">
              <w:rPr>
                <w:rFonts w:ascii="Open Sans" w:eastAsia="Times New Roman" w:hAnsi="Open Sans" w:cs="Open Sans"/>
                <w:b/>
                <w:bCs/>
                <w:color w:val="000000"/>
                <w:sz w:val="20"/>
                <w:szCs w:val="20"/>
              </w:rPr>
              <w:t>Name</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b/>
                <w:bCs/>
                <w:color w:val="000000"/>
                <w:sz w:val="20"/>
                <w:szCs w:val="20"/>
              </w:rPr>
            </w:pPr>
            <w:r w:rsidRPr="00393E31">
              <w:rPr>
                <w:rFonts w:ascii="Open Sans" w:eastAsia="Times New Roman" w:hAnsi="Open Sans" w:cs="Open Sans"/>
                <w:b/>
                <w:bCs/>
                <w:color w:val="000000"/>
                <w:sz w:val="20"/>
                <w:szCs w:val="20"/>
              </w:rPr>
              <w:t>Institution</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b/>
                <w:bCs/>
                <w:color w:val="000000"/>
                <w:sz w:val="20"/>
                <w:szCs w:val="20"/>
              </w:rPr>
            </w:pPr>
            <w:r w:rsidRPr="00393E31">
              <w:rPr>
                <w:rFonts w:ascii="Open Sans" w:eastAsia="Times New Roman" w:hAnsi="Open Sans" w:cs="Open Sans"/>
                <w:b/>
                <w:bCs/>
                <w:color w:val="000000"/>
                <w:sz w:val="20"/>
                <w:szCs w:val="20"/>
              </w:rPr>
              <w:t>Title</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Chad Brooks</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 xml:space="preserve">Austin </w:t>
            </w:r>
            <w:proofErr w:type="spellStart"/>
            <w:r w:rsidRPr="00393E31">
              <w:rPr>
                <w:rFonts w:ascii="Open Sans" w:eastAsia="Times New Roman" w:hAnsi="Open Sans" w:cs="Open Sans"/>
                <w:color w:val="000000"/>
                <w:sz w:val="20"/>
                <w:szCs w:val="20"/>
              </w:rPr>
              <w:t>Peay</w:t>
            </w:r>
            <w:proofErr w:type="spellEnd"/>
            <w:r w:rsidRPr="00393E31">
              <w:rPr>
                <w:rFonts w:ascii="Open Sans" w:eastAsia="Times New Roman" w:hAnsi="Open Sans" w:cs="Open Sans"/>
                <w:color w:val="000000"/>
                <w:sz w:val="20"/>
                <w:szCs w:val="20"/>
              </w:rPr>
              <w:t xml:space="preserve"> State University </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Professor of Biology</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Cynthia Brooks</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Tennessee State University</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Vice President for Business and Finance</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Richard Brown</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University of Tennessee, Chattanooga</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Executive Vice Chancellor for Finance and Operations</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Crystal Collins</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THEC Staff</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Director of Fiscal Policy Analysis</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Evan Cope</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THEC Commission</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Chair of Commission</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Will Cromer</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Governor's Office</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Director of Policy and Research</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Betty Dandridge Johnson</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THEC Staff</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Associate Executive Director for Academic Affairs</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Russ Deaton</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THEC Staff</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Interim Executive Director</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 xml:space="preserve">Tristan </w:t>
            </w:r>
            <w:proofErr w:type="spellStart"/>
            <w:r w:rsidRPr="00393E31">
              <w:rPr>
                <w:rFonts w:ascii="Open Sans" w:eastAsia="Times New Roman" w:hAnsi="Open Sans" w:cs="Open Sans"/>
                <w:color w:val="000000"/>
                <w:sz w:val="20"/>
                <w:szCs w:val="20"/>
              </w:rPr>
              <w:t>Denley</w:t>
            </w:r>
            <w:proofErr w:type="spellEnd"/>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Tennessee Board of Regents</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Vice Chancellor for Academics</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Steven Gentile</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THEC Staff</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Director of Fiscal Policy Research</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Danny Gibbs</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Roane State Community College</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Executive Vice President for Business and Finance</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Tr</w:t>
            </w:r>
            <w:r w:rsidR="00B74353" w:rsidRPr="00393E31">
              <w:rPr>
                <w:rFonts w:ascii="Open Sans" w:eastAsia="Times New Roman" w:hAnsi="Open Sans" w:cs="Open Sans"/>
                <w:color w:val="000000"/>
                <w:sz w:val="20"/>
                <w:szCs w:val="20"/>
              </w:rPr>
              <w:t>e</w:t>
            </w:r>
            <w:r w:rsidRPr="00393E31">
              <w:rPr>
                <w:rFonts w:ascii="Open Sans" w:eastAsia="Times New Roman" w:hAnsi="Open Sans" w:cs="Open Sans"/>
                <w:color w:val="000000"/>
                <w:sz w:val="20"/>
                <w:szCs w:val="20"/>
              </w:rPr>
              <w:t xml:space="preserve"> Hargett</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Secretary of State</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Secretary of State</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Sharon Hayes</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THEC Commission</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Commissioner</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Katie High</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University of Tennessee System</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Vice President for Academic Affairs and Student Success</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Nate Johnson</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Postsecondary Analytics</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Consultant</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David Lillard</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Treasurer</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 xml:space="preserve">Treasurer </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Kenyatta Lovett</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Tennessee Board of Regents</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Assistant Vice Chancellor for Community College Initiatives</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Teri Maddox</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Dyersburg State Community College</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Vice President for the College</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Susan Martin</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University of Tennessee, Knoxville</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Provost and Senior Vice President</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Warren Nichols</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Tennessee Board of Regents</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Vice Chancellor of Community Colleges</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Butch Peccolo</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University of Tennessee System</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Chief Financial Officer</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David Rudd</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University of Memphis</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President</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Dale Sims</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Tennessee Board of Regents</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Vice Chancellor for Business and Finance</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Janet Smith</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Columbia State Community College</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President</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Greg Turner</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Department of Finance and Administration</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Education and THDA Coordinator</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Justin Wilson</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Comptroller</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Comptroller</w:t>
            </w:r>
          </w:p>
        </w:tc>
      </w:tr>
      <w:tr w:rsidR="0020702B" w:rsidRPr="00393E31" w:rsidTr="00CC6A38">
        <w:trPr>
          <w:trHeight w:val="300"/>
        </w:trPr>
        <w:tc>
          <w:tcPr>
            <w:tcW w:w="273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David Wright</w:t>
            </w:r>
          </w:p>
        </w:tc>
        <w:tc>
          <w:tcPr>
            <w:tcW w:w="4655"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THEC Staff</w:t>
            </w:r>
          </w:p>
        </w:tc>
        <w:tc>
          <w:tcPr>
            <w:tcW w:w="6372"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20"/>
                <w:szCs w:val="20"/>
              </w:rPr>
            </w:pPr>
            <w:r w:rsidRPr="00393E31">
              <w:rPr>
                <w:rFonts w:ascii="Open Sans" w:eastAsia="Times New Roman" w:hAnsi="Open Sans" w:cs="Open Sans"/>
                <w:color w:val="000000"/>
                <w:sz w:val="20"/>
                <w:szCs w:val="20"/>
              </w:rPr>
              <w:t>Associate Executive Director for Strategic PPR</w:t>
            </w:r>
          </w:p>
        </w:tc>
      </w:tr>
    </w:tbl>
    <w:p w:rsidR="0020702B" w:rsidRPr="0020702B" w:rsidRDefault="003A5FFB" w:rsidP="0020702B">
      <w:pPr>
        <w:tabs>
          <w:tab w:val="center" w:pos="10098"/>
        </w:tabs>
        <w:spacing w:after="0" w:line="240" w:lineRule="auto"/>
        <w:jc w:val="both"/>
        <w:rPr>
          <w:rFonts w:eastAsia="Times New Roman" w:cs="Times New Roman"/>
          <w:bCs/>
          <w:color w:val="FF0000"/>
        </w:rPr>
      </w:pPr>
      <w:r>
        <w:rPr>
          <w:rFonts w:eastAsia="Times New Roman" w:cs="Times New Roman"/>
          <w:bCs/>
          <w:color w:val="FF0000"/>
        </w:rPr>
        <w:t xml:space="preserve">  </w:t>
      </w:r>
      <w:r w:rsidR="0020702B" w:rsidRPr="0020702B">
        <w:rPr>
          <w:rFonts w:eastAsia="Times New Roman" w:cs="Times New Roman"/>
          <w:bCs/>
          <w:color w:val="FF0000"/>
        </w:rPr>
        <w:t xml:space="preserve"> </w:t>
      </w:r>
    </w:p>
    <w:p w:rsidR="0020702B" w:rsidRPr="00393E31" w:rsidRDefault="0020702B" w:rsidP="0020702B">
      <w:pPr>
        <w:tabs>
          <w:tab w:val="center" w:pos="10098"/>
        </w:tabs>
        <w:spacing w:after="0" w:line="240" w:lineRule="auto"/>
        <w:jc w:val="center"/>
        <w:rPr>
          <w:rFonts w:ascii="Open Sans" w:eastAsia="Times New Roman" w:hAnsi="Open Sans" w:cs="Open Sans"/>
          <w:b/>
          <w:bCs/>
          <w:sz w:val="18"/>
          <w:szCs w:val="18"/>
        </w:rPr>
      </w:pPr>
      <w:r w:rsidRPr="00393E31">
        <w:rPr>
          <w:rFonts w:ascii="Open Sans" w:eastAsia="Times New Roman" w:hAnsi="Open Sans" w:cs="Open Sans"/>
          <w:b/>
          <w:bCs/>
          <w:sz w:val="18"/>
          <w:szCs w:val="18"/>
        </w:rPr>
        <w:lastRenderedPageBreak/>
        <w:t>Appendix B</w:t>
      </w:r>
    </w:p>
    <w:p w:rsidR="0020702B" w:rsidRPr="00393E31" w:rsidRDefault="0020702B" w:rsidP="0020702B">
      <w:pPr>
        <w:tabs>
          <w:tab w:val="center" w:pos="10098"/>
        </w:tabs>
        <w:spacing w:after="0" w:line="240" w:lineRule="auto"/>
        <w:jc w:val="both"/>
        <w:rPr>
          <w:rFonts w:ascii="Open Sans" w:eastAsia="Times New Roman" w:hAnsi="Open Sans" w:cs="Open Sans"/>
          <w:bCs/>
          <w:color w:val="FF0000"/>
          <w:sz w:val="18"/>
          <w:szCs w:val="18"/>
        </w:rPr>
      </w:pPr>
    </w:p>
    <w:tbl>
      <w:tblPr>
        <w:tblW w:w="13181" w:type="dxa"/>
        <w:tblInd w:w="93" w:type="dxa"/>
        <w:tblLook w:val="04A0" w:firstRow="1" w:lastRow="0" w:firstColumn="1" w:lastColumn="0" w:noHBand="0" w:noVBand="1"/>
      </w:tblPr>
      <w:tblGrid>
        <w:gridCol w:w="3168"/>
        <w:gridCol w:w="4104"/>
        <w:gridCol w:w="5748"/>
        <w:gridCol w:w="161"/>
      </w:tblGrid>
      <w:tr w:rsidR="0020702B" w:rsidRPr="00393E31" w:rsidTr="00CC6A38">
        <w:trPr>
          <w:gridAfter w:val="1"/>
          <w:wAfter w:w="161" w:type="dxa"/>
          <w:trHeight w:val="80"/>
        </w:trPr>
        <w:tc>
          <w:tcPr>
            <w:tcW w:w="13020" w:type="dxa"/>
            <w:gridSpan w:val="3"/>
            <w:tcBorders>
              <w:top w:val="nil"/>
              <w:left w:val="nil"/>
              <w:bottom w:val="nil"/>
              <w:right w:val="nil"/>
            </w:tcBorders>
            <w:shd w:val="clear" w:color="auto" w:fill="auto"/>
            <w:noWrap/>
            <w:vAlign w:val="bottom"/>
            <w:hideMark/>
          </w:tcPr>
          <w:p w:rsidR="0020702B" w:rsidRPr="00393E31" w:rsidRDefault="0020702B" w:rsidP="0020702B">
            <w:pPr>
              <w:spacing w:after="0" w:line="240" w:lineRule="auto"/>
              <w:jc w:val="center"/>
              <w:rPr>
                <w:rFonts w:ascii="Open Sans" w:eastAsia="Times New Roman" w:hAnsi="Open Sans" w:cs="Open Sans"/>
                <w:b/>
                <w:bCs/>
                <w:color w:val="000000"/>
                <w:sz w:val="18"/>
                <w:szCs w:val="18"/>
              </w:rPr>
            </w:pPr>
            <w:r w:rsidRPr="00393E31">
              <w:rPr>
                <w:rFonts w:ascii="Open Sans" w:eastAsia="Times New Roman" w:hAnsi="Open Sans" w:cs="Open Sans"/>
                <w:b/>
                <w:bCs/>
                <w:color w:val="000000"/>
                <w:sz w:val="18"/>
                <w:szCs w:val="18"/>
              </w:rPr>
              <w:t>Statutory Formula Review Committee</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b/>
                <w:bCs/>
                <w:color w:val="000000"/>
                <w:sz w:val="18"/>
                <w:szCs w:val="18"/>
              </w:rPr>
            </w:pPr>
            <w:r w:rsidRPr="00393E31">
              <w:rPr>
                <w:rFonts w:ascii="Open Sans" w:eastAsia="Times New Roman" w:hAnsi="Open Sans" w:cs="Open Sans"/>
                <w:b/>
                <w:bCs/>
                <w:color w:val="000000"/>
                <w:sz w:val="18"/>
                <w:szCs w:val="18"/>
              </w:rPr>
              <w:t>Name</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b/>
                <w:bCs/>
                <w:color w:val="000000"/>
                <w:sz w:val="18"/>
                <w:szCs w:val="18"/>
              </w:rPr>
            </w:pPr>
            <w:r w:rsidRPr="00393E31">
              <w:rPr>
                <w:rFonts w:ascii="Open Sans" w:eastAsia="Times New Roman" w:hAnsi="Open Sans" w:cs="Open Sans"/>
                <w:b/>
                <w:bCs/>
                <w:color w:val="000000"/>
                <w:sz w:val="18"/>
                <w:szCs w:val="18"/>
              </w:rPr>
              <w:t>Institution</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b/>
                <w:bCs/>
                <w:color w:val="000000"/>
                <w:sz w:val="18"/>
                <w:szCs w:val="18"/>
              </w:rPr>
            </w:pPr>
            <w:r w:rsidRPr="00393E31">
              <w:rPr>
                <w:rFonts w:ascii="Open Sans" w:eastAsia="Times New Roman" w:hAnsi="Open Sans" w:cs="Open Sans"/>
                <w:b/>
                <w:bCs/>
                <w:color w:val="000000"/>
                <w:sz w:val="18"/>
                <w:szCs w:val="18"/>
              </w:rPr>
              <w:t>Title</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Representative Harry Brooks</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House of Representatives</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Chair, House Education Administration &amp; Planning Committee</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Russ Deaton</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Tennessee Higher Education Commission</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Interim Executive Director</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 xml:space="preserve">Joe </w:t>
            </w:r>
            <w:proofErr w:type="spellStart"/>
            <w:r w:rsidRPr="00393E31">
              <w:rPr>
                <w:rFonts w:ascii="Open Sans" w:eastAsia="Times New Roman" w:hAnsi="Open Sans" w:cs="Open Sans"/>
                <w:color w:val="000000"/>
                <w:sz w:val="18"/>
                <w:szCs w:val="18"/>
              </w:rPr>
              <w:t>DiPietro</w:t>
            </w:r>
            <w:proofErr w:type="spellEnd"/>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University of Tennessee</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President</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 xml:space="preserve">Representative John </w:t>
            </w:r>
            <w:proofErr w:type="spellStart"/>
            <w:r w:rsidRPr="00393E31">
              <w:rPr>
                <w:rFonts w:ascii="Open Sans" w:eastAsia="Times New Roman" w:hAnsi="Open Sans" w:cs="Open Sans"/>
                <w:color w:val="000000"/>
                <w:sz w:val="18"/>
                <w:szCs w:val="18"/>
              </w:rPr>
              <w:t>Forgety</w:t>
            </w:r>
            <w:proofErr w:type="spellEnd"/>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House of Representatives</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Chair, House Education Instruction &amp; Programs Committee</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Senator Dolores Gresham</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Senate</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Chair, Senate Education Committee</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Cathy Higgins</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Office of Legislative Budget Analysis</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House Budget Analysis Director</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Larry Martin</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Department of Finance and Administration</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Commissioner</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Senator Randy McNally</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Senate</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Chair, Senate Finance, Ways &amp; Means Committee</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John Morgan</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Tennessee Board of Regents</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Chancellor</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Rick Nicholson</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Office of Legislative Budget Analysis</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Senate Budget Analysis Director</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Representative Charles Sargent</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House of Representatives</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Chair, House Finance, Ways &amp; Means Committee</w:t>
            </w:r>
          </w:p>
        </w:tc>
      </w:tr>
      <w:tr w:rsidR="0020702B" w:rsidRPr="00393E31" w:rsidTr="00CC6A38">
        <w:trPr>
          <w:trHeight w:val="300"/>
        </w:trPr>
        <w:tc>
          <w:tcPr>
            <w:tcW w:w="3168"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Justin Wilson</w:t>
            </w:r>
          </w:p>
        </w:tc>
        <w:tc>
          <w:tcPr>
            <w:tcW w:w="4104" w:type="dxa"/>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Comptroller</w:t>
            </w:r>
          </w:p>
        </w:tc>
        <w:tc>
          <w:tcPr>
            <w:tcW w:w="5909" w:type="dxa"/>
            <w:gridSpan w:val="2"/>
            <w:tcBorders>
              <w:top w:val="nil"/>
              <w:left w:val="nil"/>
              <w:bottom w:val="nil"/>
              <w:right w:val="nil"/>
            </w:tcBorders>
            <w:shd w:val="clear" w:color="auto" w:fill="auto"/>
            <w:noWrap/>
            <w:vAlign w:val="bottom"/>
            <w:hideMark/>
          </w:tcPr>
          <w:p w:rsidR="0020702B" w:rsidRPr="00393E31" w:rsidRDefault="0020702B" w:rsidP="0020702B">
            <w:pPr>
              <w:spacing w:after="0" w:line="240" w:lineRule="auto"/>
              <w:rPr>
                <w:rFonts w:ascii="Open Sans" w:eastAsia="Times New Roman" w:hAnsi="Open Sans" w:cs="Open Sans"/>
                <w:color w:val="000000"/>
                <w:sz w:val="18"/>
                <w:szCs w:val="18"/>
              </w:rPr>
            </w:pPr>
            <w:r w:rsidRPr="00393E31">
              <w:rPr>
                <w:rFonts w:ascii="Open Sans" w:eastAsia="Times New Roman" w:hAnsi="Open Sans" w:cs="Open Sans"/>
                <w:color w:val="000000"/>
                <w:sz w:val="18"/>
                <w:szCs w:val="18"/>
              </w:rPr>
              <w:t>Comptroller</w:t>
            </w:r>
          </w:p>
        </w:tc>
      </w:tr>
    </w:tbl>
    <w:p w:rsidR="0020702B" w:rsidRPr="00393E31" w:rsidRDefault="0020702B" w:rsidP="0020702B">
      <w:pPr>
        <w:tabs>
          <w:tab w:val="center" w:pos="10098"/>
        </w:tabs>
        <w:spacing w:after="0" w:line="240" w:lineRule="auto"/>
        <w:jc w:val="both"/>
        <w:rPr>
          <w:rFonts w:ascii="Open Sans" w:eastAsia="Times New Roman" w:hAnsi="Open Sans" w:cs="Open Sans"/>
          <w:bCs/>
          <w:color w:val="FF0000"/>
          <w:sz w:val="18"/>
          <w:szCs w:val="18"/>
        </w:rPr>
        <w:sectPr w:rsidR="0020702B" w:rsidRPr="00393E31" w:rsidSect="00CC6A38">
          <w:pgSz w:w="15840" w:h="12240" w:orient="landscape" w:code="1"/>
          <w:pgMar w:top="1440" w:right="1440" w:bottom="1440" w:left="1440" w:header="0" w:footer="1008" w:gutter="0"/>
          <w:paperSrc w:first="15" w:other="15"/>
          <w:cols w:space="720"/>
          <w:titlePg/>
          <w:docGrid w:linePitch="272"/>
        </w:sectPr>
      </w:pPr>
    </w:p>
    <w:p w:rsidR="0020702B" w:rsidRPr="00393E31" w:rsidRDefault="0020702B" w:rsidP="0020702B">
      <w:pPr>
        <w:pStyle w:val="NoSpacing"/>
        <w:jc w:val="center"/>
        <w:rPr>
          <w:rFonts w:ascii="Open Sans" w:hAnsi="Open Sans" w:cs="Open Sans"/>
          <w:b/>
          <w:sz w:val="20"/>
          <w:szCs w:val="20"/>
        </w:rPr>
      </w:pPr>
      <w:r w:rsidRPr="00393E31">
        <w:rPr>
          <w:rFonts w:ascii="Open Sans" w:hAnsi="Open Sans" w:cs="Open Sans"/>
          <w:b/>
          <w:sz w:val="20"/>
          <w:szCs w:val="20"/>
        </w:rPr>
        <w:lastRenderedPageBreak/>
        <w:t>Appendix C</w:t>
      </w:r>
    </w:p>
    <w:p w:rsidR="0020702B" w:rsidRPr="00393E31" w:rsidRDefault="0020702B" w:rsidP="0020702B">
      <w:pPr>
        <w:pStyle w:val="NoSpacing"/>
        <w:jc w:val="center"/>
        <w:rPr>
          <w:rFonts w:ascii="Open Sans" w:hAnsi="Open Sans" w:cs="Open Sans"/>
          <w:b/>
          <w:sz w:val="20"/>
          <w:szCs w:val="20"/>
        </w:rPr>
      </w:pPr>
    </w:p>
    <w:p w:rsidR="0020702B" w:rsidRPr="00393E31" w:rsidRDefault="0020702B" w:rsidP="0020702B">
      <w:pPr>
        <w:pStyle w:val="NoSpacing"/>
        <w:jc w:val="center"/>
        <w:rPr>
          <w:rFonts w:ascii="Open Sans" w:hAnsi="Open Sans" w:cs="Open Sans"/>
          <w:b/>
          <w:sz w:val="20"/>
          <w:szCs w:val="20"/>
        </w:rPr>
      </w:pPr>
      <w:r w:rsidRPr="00393E31">
        <w:rPr>
          <w:rFonts w:ascii="Open Sans" w:hAnsi="Open Sans" w:cs="Open Sans"/>
          <w:b/>
          <w:sz w:val="20"/>
          <w:szCs w:val="20"/>
        </w:rPr>
        <w:t>2015-20 Higher Education Funding Formula Proposed Changes</w:t>
      </w:r>
    </w:p>
    <w:p w:rsidR="0020702B" w:rsidRPr="00393E31" w:rsidRDefault="0020702B" w:rsidP="0020702B">
      <w:pPr>
        <w:pStyle w:val="NoSpacing"/>
        <w:rPr>
          <w:rFonts w:ascii="Open Sans" w:hAnsi="Open Sans" w:cs="Open Sans"/>
          <w:sz w:val="20"/>
          <w:szCs w:val="20"/>
        </w:rPr>
      </w:pPr>
    </w:p>
    <w:p w:rsidR="0020702B" w:rsidRPr="00393E31" w:rsidRDefault="0020702B" w:rsidP="0020702B">
      <w:pPr>
        <w:pStyle w:val="NoSpacing"/>
        <w:rPr>
          <w:rFonts w:ascii="Open Sans" w:hAnsi="Open Sans" w:cs="Open Sans"/>
          <w:sz w:val="20"/>
          <w:szCs w:val="20"/>
        </w:rPr>
      </w:pPr>
      <w:r w:rsidRPr="00393E31">
        <w:rPr>
          <w:rFonts w:ascii="Open Sans" w:hAnsi="Open Sans" w:cs="Open Sans"/>
          <w:sz w:val="20"/>
          <w:szCs w:val="20"/>
        </w:rPr>
        <w:t>The higher education outcomes-based funding formula is made up of three major elements: outcome metrics, institutional mission weights, and focus populations. Below is a summary of the changes to the formula.</w:t>
      </w:r>
    </w:p>
    <w:p w:rsidR="0020702B" w:rsidRPr="00393E31" w:rsidRDefault="0020702B" w:rsidP="0020702B">
      <w:pPr>
        <w:pStyle w:val="NoSpacing"/>
        <w:rPr>
          <w:rFonts w:ascii="Open Sans" w:hAnsi="Open Sans" w:cs="Open Sans"/>
          <w:sz w:val="20"/>
          <w:szCs w:val="20"/>
        </w:rPr>
      </w:pPr>
    </w:p>
    <w:p w:rsidR="0020702B" w:rsidRPr="00393E31" w:rsidRDefault="0020702B" w:rsidP="0020702B">
      <w:pPr>
        <w:pStyle w:val="NoSpacing"/>
        <w:rPr>
          <w:rFonts w:ascii="Open Sans" w:hAnsi="Open Sans" w:cs="Open Sans"/>
          <w:b/>
          <w:sz w:val="20"/>
          <w:szCs w:val="20"/>
          <w:u w:val="single"/>
        </w:rPr>
      </w:pPr>
      <w:r w:rsidRPr="00393E31">
        <w:rPr>
          <w:rFonts w:ascii="Open Sans" w:hAnsi="Open Sans" w:cs="Open Sans"/>
          <w:b/>
          <w:sz w:val="20"/>
          <w:szCs w:val="20"/>
          <w:u w:val="single"/>
        </w:rPr>
        <w:t>Proposed Changes to Outcome Metrics</w:t>
      </w:r>
    </w:p>
    <w:p w:rsidR="0020702B" w:rsidRPr="00393E31" w:rsidRDefault="0020702B" w:rsidP="0020702B">
      <w:pPr>
        <w:pStyle w:val="NoSpacing"/>
        <w:rPr>
          <w:rFonts w:ascii="Open Sans" w:hAnsi="Open Sans" w:cs="Open Sans"/>
          <w:i/>
          <w:sz w:val="20"/>
          <w:szCs w:val="20"/>
        </w:rPr>
      </w:pPr>
    </w:p>
    <w:p w:rsidR="0020702B" w:rsidRPr="00393E31" w:rsidRDefault="0020702B" w:rsidP="0020702B">
      <w:pPr>
        <w:pStyle w:val="NoSpacing"/>
        <w:rPr>
          <w:rFonts w:ascii="Open Sans" w:hAnsi="Open Sans" w:cs="Open Sans"/>
          <w:sz w:val="20"/>
          <w:szCs w:val="20"/>
        </w:rPr>
      </w:pPr>
      <w:r w:rsidRPr="00393E31">
        <w:rPr>
          <w:rFonts w:ascii="Open Sans" w:hAnsi="Open Sans" w:cs="Open Sans"/>
          <w:i/>
          <w:sz w:val="20"/>
          <w:szCs w:val="20"/>
        </w:rPr>
        <w:t xml:space="preserve">Community College Model </w:t>
      </w:r>
      <w:r w:rsidRPr="00393E31">
        <w:rPr>
          <w:rFonts w:ascii="Open Sans" w:hAnsi="Open Sans" w:cs="Open Sans"/>
          <w:sz w:val="20"/>
          <w:szCs w:val="20"/>
        </w:rPr>
        <w:t>— Community colleges would be measured by a suite of outcomes very similar to the current version of the funding formula. Short-term certificates would undergo a definitional change and remedial and developmental success would be removed as an outcome metric, replaced with a subpopulation premium focused on academically underprepared students.</w:t>
      </w:r>
    </w:p>
    <w:p w:rsidR="0020702B" w:rsidRPr="00393E31" w:rsidRDefault="0020702B" w:rsidP="0020702B">
      <w:pPr>
        <w:pStyle w:val="NoSpacing"/>
        <w:rPr>
          <w:rFonts w:ascii="Open Sans" w:hAnsi="Open Sans" w:cs="Open Sans"/>
          <w:i/>
          <w:sz w:val="20"/>
          <w:szCs w:val="20"/>
        </w:rPr>
      </w:pPr>
    </w:p>
    <w:p w:rsidR="0020702B" w:rsidRPr="00393E31" w:rsidRDefault="0020702B" w:rsidP="0020702B">
      <w:pPr>
        <w:pStyle w:val="NoSpacing"/>
        <w:rPr>
          <w:rFonts w:ascii="Open Sans" w:hAnsi="Open Sans" w:cs="Open Sans"/>
          <w:sz w:val="20"/>
          <w:szCs w:val="20"/>
        </w:rPr>
      </w:pPr>
      <w:r w:rsidRPr="00393E31">
        <w:rPr>
          <w:rFonts w:ascii="Open Sans" w:hAnsi="Open Sans" w:cs="Open Sans"/>
          <w:i/>
          <w:sz w:val="20"/>
          <w:szCs w:val="20"/>
        </w:rPr>
        <w:t xml:space="preserve">University Model </w:t>
      </w:r>
      <w:r w:rsidRPr="00393E31">
        <w:rPr>
          <w:rFonts w:ascii="Open Sans" w:hAnsi="Open Sans" w:cs="Open Sans"/>
          <w:sz w:val="20"/>
          <w:szCs w:val="20"/>
        </w:rPr>
        <w:t>— Universities also would have very similar outcomes in the next iteration of the funding formula. The progression metrics would change from 24/48/72 semester hours to 30/60/90 semester hours and the transfer-out metric would be removed.</w:t>
      </w:r>
    </w:p>
    <w:p w:rsidR="000442DA" w:rsidRPr="00393E31" w:rsidRDefault="000442DA" w:rsidP="0020702B">
      <w:pPr>
        <w:pStyle w:val="NoSpacing"/>
        <w:rPr>
          <w:rFonts w:ascii="Open Sans" w:hAnsi="Open Sans" w:cs="Open Sans"/>
          <w:sz w:val="20"/>
          <w:szCs w:val="20"/>
        </w:rPr>
      </w:pPr>
    </w:p>
    <w:p w:rsidR="0020702B" w:rsidRPr="00393E31" w:rsidRDefault="0020702B" w:rsidP="0020702B">
      <w:pPr>
        <w:pStyle w:val="NoSpacing"/>
        <w:rPr>
          <w:rFonts w:ascii="Open Sans" w:hAnsi="Open Sans" w:cs="Open Sans"/>
          <w:sz w:val="20"/>
          <w:szCs w:val="20"/>
        </w:rPr>
      </w:pPr>
      <w:r w:rsidRPr="00393E31">
        <w:rPr>
          <w:rFonts w:ascii="Open Sans" w:hAnsi="Open Sans" w:cs="Open Sans"/>
          <w:sz w:val="20"/>
          <w:szCs w:val="20"/>
        </w:rPr>
        <w:t>In both sectors</w:t>
      </w:r>
      <w:r w:rsidR="000442DA" w:rsidRPr="00393E31">
        <w:rPr>
          <w:rFonts w:ascii="Open Sans" w:hAnsi="Open Sans" w:cs="Open Sans"/>
          <w:sz w:val="20"/>
          <w:szCs w:val="20"/>
        </w:rPr>
        <w:t>,</w:t>
      </w:r>
      <w:r w:rsidRPr="00393E31">
        <w:rPr>
          <w:rFonts w:ascii="Open Sans" w:hAnsi="Open Sans" w:cs="Open Sans"/>
          <w:sz w:val="20"/>
          <w:szCs w:val="20"/>
        </w:rPr>
        <w:t xml:space="preserve"> the Degrees/Awards per Full-time Enrollment metrics will change so that full-time enrollment (FTE) only includes students who are degree-seeking. In the current model all undergraduate students, whether degree-seeking or not, are included. </w:t>
      </w:r>
    </w:p>
    <w:p w:rsidR="0020702B" w:rsidRPr="00393E31" w:rsidRDefault="0020702B" w:rsidP="0020702B">
      <w:pPr>
        <w:pStyle w:val="NoSpacing"/>
        <w:rPr>
          <w:rFonts w:ascii="Open Sans" w:hAnsi="Open Sans" w:cs="Open Sans"/>
          <w:sz w:val="20"/>
          <w:szCs w:val="20"/>
          <w:u w:val="single"/>
        </w:rPr>
      </w:pPr>
    </w:p>
    <w:p w:rsidR="0020702B" w:rsidRPr="00393E31" w:rsidRDefault="0020702B" w:rsidP="0020702B">
      <w:pPr>
        <w:pStyle w:val="NoSpacing"/>
        <w:rPr>
          <w:rFonts w:ascii="Open Sans" w:hAnsi="Open Sans" w:cs="Open Sans"/>
          <w:b/>
          <w:sz w:val="20"/>
          <w:szCs w:val="20"/>
          <w:u w:val="single"/>
        </w:rPr>
      </w:pPr>
      <w:r w:rsidRPr="00393E31">
        <w:rPr>
          <w:rFonts w:ascii="Open Sans" w:hAnsi="Open Sans" w:cs="Open Sans"/>
          <w:b/>
          <w:sz w:val="20"/>
          <w:szCs w:val="20"/>
          <w:u w:val="single"/>
        </w:rPr>
        <w:t>Proposed Changes to Mission Weights</w:t>
      </w:r>
    </w:p>
    <w:p w:rsidR="0020702B" w:rsidRPr="00393E31" w:rsidRDefault="0020702B" w:rsidP="0020702B">
      <w:pPr>
        <w:pStyle w:val="NoSpacing"/>
        <w:rPr>
          <w:rFonts w:ascii="Open Sans" w:hAnsi="Open Sans" w:cs="Open Sans"/>
          <w:sz w:val="20"/>
          <w:szCs w:val="20"/>
          <w:u w:val="single"/>
        </w:rPr>
      </w:pPr>
    </w:p>
    <w:p w:rsidR="0020702B" w:rsidRPr="00393E31" w:rsidRDefault="0020702B" w:rsidP="0020702B">
      <w:pPr>
        <w:pStyle w:val="NoSpacing"/>
        <w:rPr>
          <w:rFonts w:ascii="Open Sans" w:hAnsi="Open Sans" w:cs="Open Sans"/>
          <w:sz w:val="20"/>
          <w:szCs w:val="20"/>
        </w:rPr>
      </w:pPr>
      <w:r w:rsidRPr="00393E31">
        <w:rPr>
          <w:rFonts w:ascii="Open Sans" w:hAnsi="Open Sans" w:cs="Open Sans"/>
          <w:sz w:val="20"/>
          <w:szCs w:val="20"/>
        </w:rPr>
        <w:t xml:space="preserve">All chancellors and presidents were asked to prioritize outcomes based on institutional mission. These prioritized outcomes were presented to the Formula Review Committee (FRC) for analysis and feedback. During this process, conversations between THEC and TBR led to a policy recommendation to standardize the weights for certain outcomes across the community college sector in order to create a unified system-wide response to the needs of Drive to 55 and the Complete College Tennessee Act. University weights would continue to be grounded in Carnegie classification. </w:t>
      </w:r>
    </w:p>
    <w:p w:rsidR="0020702B" w:rsidRPr="00393E31" w:rsidRDefault="0020702B" w:rsidP="0020702B">
      <w:pPr>
        <w:pStyle w:val="NoSpacing"/>
        <w:rPr>
          <w:rFonts w:ascii="Open Sans" w:hAnsi="Open Sans" w:cs="Open Sans"/>
          <w:sz w:val="20"/>
          <w:szCs w:val="20"/>
          <w:u w:val="single"/>
        </w:rPr>
      </w:pPr>
    </w:p>
    <w:p w:rsidR="0020702B" w:rsidRPr="00393E31" w:rsidRDefault="0020702B" w:rsidP="0020702B">
      <w:pPr>
        <w:pStyle w:val="NoSpacing"/>
        <w:rPr>
          <w:rFonts w:ascii="Open Sans" w:hAnsi="Open Sans" w:cs="Open Sans"/>
          <w:b/>
          <w:sz w:val="20"/>
          <w:szCs w:val="20"/>
          <w:u w:val="single"/>
        </w:rPr>
      </w:pPr>
      <w:r w:rsidRPr="00393E31">
        <w:rPr>
          <w:rFonts w:ascii="Open Sans" w:hAnsi="Open Sans" w:cs="Open Sans"/>
          <w:b/>
          <w:sz w:val="20"/>
          <w:szCs w:val="20"/>
          <w:u w:val="single"/>
        </w:rPr>
        <w:t>Proposed Changes to Focus Populations (formally called Subpopulations)</w:t>
      </w:r>
    </w:p>
    <w:p w:rsidR="0020702B" w:rsidRPr="00393E31" w:rsidRDefault="0020702B" w:rsidP="0020702B">
      <w:pPr>
        <w:pStyle w:val="NoSpacing"/>
        <w:rPr>
          <w:rFonts w:ascii="Open Sans" w:hAnsi="Open Sans" w:cs="Open Sans"/>
          <w:i/>
          <w:sz w:val="20"/>
          <w:szCs w:val="20"/>
        </w:rPr>
      </w:pPr>
    </w:p>
    <w:p w:rsidR="0020702B" w:rsidRPr="00393E31" w:rsidRDefault="0020702B" w:rsidP="0020702B">
      <w:pPr>
        <w:pStyle w:val="NoSpacing"/>
        <w:rPr>
          <w:rFonts w:ascii="Open Sans" w:hAnsi="Open Sans" w:cs="Open Sans"/>
          <w:sz w:val="20"/>
          <w:szCs w:val="20"/>
        </w:rPr>
      </w:pPr>
      <w:r w:rsidRPr="00393E31">
        <w:rPr>
          <w:rFonts w:ascii="Open Sans" w:hAnsi="Open Sans" w:cs="Open Sans"/>
          <w:i/>
          <w:sz w:val="20"/>
          <w:szCs w:val="20"/>
        </w:rPr>
        <w:t xml:space="preserve">Community College and University Models </w:t>
      </w:r>
      <w:r w:rsidRPr="00393E31">
        <w:rPr>
          <w:rFonts w:ascii="Open Sans" w:hAnsi="Open Sans" w:cs="Open Sans"/>
          <w:sz w:val="20"/>
          <w:szCs w:val="20"/>
        </w:rPr>
        <w:t>— A premium level will be applied to the progression and undergraduate completion metrics for students who are low-income (qualify for the Pell Grant), adults (25 years or older) or, in the community college sector only, identified as academically underprepared.</w:t>
      </w:r>
    </w:p>
    <w:p w:rsidR="0020702B" w:rsidRPr="00393E31" w:rsidRDefault="0020702B" w:rsidP="0020702B">
      <w:pPr>
        <w:pStyle w:val="NoSpacing"/>
        <w:rPr>
          <w:rFonts w:ascii="Open Sans" w:hAnsi="Open Sans" w:cs="Open Sans"/>
          <w:i/>
          <w:sz w:val="20"/>
          <w:szCs w:val="20"/>
        </w:rPr>
      </w:pPr>
    </w:p>
    <w:p w:rsidR="0020702B" w:rsidRPr="00393E31" w:rsidRDefault="0020702B" w:rsidP="0020702B">
      <w:pPr>
        <w:pStyle w:val="NoSpacing"/>
        <w:rPr>
          <w:rFonts w:ascii="Open Sans" w:hAnsi="Open Sans" w:cs="Open Sans"/>
          <w:sz w:val="20"/>
          <w:szCs w:val="20"/>
        </w:rPr>
      </w:pPr>
      <w:r w:rsidRPr="00393E31">
        <w:rPr>
          <w:rFonts w:ascii="Open Sans" w:hAnsi="Open Sans" w:cs="Open Sans"/>
          <w:i/>
          <w:sz w:val="20"/>
          <w:szCs w:val="20"/>
        </w:rPr>
        <w:t xml:space="preserve">Premium Levels </w:t>
      </w:r>
      <w:r w:rsidRPr="00393E31">
        <w:rPr>
          <w:rFonts w:ascii="Open Sans" w:hAnsi="Open Sans" w:cs="Open Sans"/>
          <w:sz w:val="20"/>
          <w:szCs w:val="20"/>
        </w:rPr>
        <w:t>— Premiums will be differentiated based on the number of focus populations for which a student qualifies. The first subpopulation would garner an 80 percent premium, the second would garner an additional 20 percent, and the third (in the community college sector only) would garner another 20 percent.</w:t>
      </w:r>
    </w:p>
    <w:p w:rsidR="0020702B" w:rsidRPr="00393E31" w:rsidRDefault="0020702B" w:rsidP="0020702B">
      <w:pPr>
        <w:pStyle w:val="NoSpacing"/>
        <w:rPr>
          <w:rFonts w:ascii="Open Sans" w:hAnsi="Open Sans" w:cs="Open Sans"/>
          <w:sz w:val="20"/>
          <w:szCs w:val="20"/>
          <w:u w:val="single"/>
        </w:rPr>
      </w:pPr>
    </w:p>
    <w:p w:rsidR="00393E31" w:rsidRDefault="00393E31" w:rsidP="0020702B">
      <w:pPr>
        <w:pStyle w:val="NoSpacing"/>
        <w:rPr>
          <w:rFonts w:ascii="Open Sans" w:hAnsi="Open Sans" w:cs="Open Sans"/>
          <w:b/>
          <w:sz w:val="20"/>
          <w:szCs w:val="20"/>
          <w:u w:val="single"/>
        </w:rPr>
      </w:pPr>
    </w:p>
    <w:p w:rsidR="00393E31" w:rsidRDefault="00393E31" w:rsidP="0020702B">
      <w:pPr>
        <w:pStyle w:val="NoSpacing"/>
        <w:rPr>
          <w:rFonts w:ascii="Open Sans" w:hAnsi="Open Sans" w:cs="Open Sans"/>
          <w:b/>
          <w:sz w:val="20"/>
          <w:szCs w:val="20"/>
          <w:u w:val="single"/>
        </w:rPr>
      </w:pPr>
    </w:p>
    <w:p w:rsidR="0020702B" w:rsidRPr="00393E31" w:rsidRDefault="0020702B" w:rsidP="0020702B">
      <w:pPr>
        <w:pStyle w:val="NoSpacing"/>
        <w:rPr>
          <w:rFonts w:ascii="Open Sans" w:hAnsi="Open Sans" w:cs="Open Sans"/>
          <w:b/>
          <w:sz w:val="20"/>
          <w:szCs w:val="20"/>
          <w:u w:val="single"/>
        </w:rPr>
      </w:pPr>
      <w:r w:rsidRPr="00393E31">
        <w:rPr>
          <w:rFonts w:ascii="Open Sans" w:hAnsi="Open Sans" w:cs="Open Sans"/>
          <w:b/>
          <w:sz w:val="20"/>
          <w:szCs w:val="20"/>
          <w:u w:val="single"/>
        </w:rPr>
        <w:lastRenderedPageBreak/>
        <w:t>Proposed Additional Changes to the Model</w:t>
      </w:r>
    </w:p>
    <w:p w:rsidR="0020702B" w:rsidRPr="00393E31" w:rsidRDefault="0020702B" w:rsidP="0020702B">
      <w:pPr>
        <w:pStyle w:val="NoSpacing"/>
        <w:rPr>
          <w:rFonts w:ascii="Open Sans" w:hAnsi="Open Sans" w:cs="Open Sans"/>
          <w:b/>
          <w:sz w:val="20"/>
          <w:szCs w:val="20"/>
          <w:u w:val="single"/>
        </w:rPr>
      </w:pPr>
    </w:p>
    <w:p w:rsidR="0020702B" w:rsidRPr="00393E31" w:rsidRDefault="0020702B" w:rsidP="0020702B">
      <w:pPr>
        <w:pStyle w:val="NoSpacing"/>
        <w:rPr>
          <w:rFonts w:ascii="Open Sans" w:hAnsi="Open Sans" w:cs="Open Sans"/>
          <w:sz w:val="20"/>
          <w:szCs w:val="20"/>
        </w:rPr>
      </w:pPr>
      <w:r w:rsidRPr="00393E31">
        <w:rPr>
          <w:rFonts w:ascii="Open Sans" w:hAnsi="Open Sans" w:cs="Open Sans"/>
          <w:sz w:val="20"/>
          <w:szCs w:val="20"/>
        </w:rPr>
        <w:t>The 2015-2020 Outcomes-Based Funding Formula will exclude the out-of-state tuition deduction. This change will result in state funding no longer shifting due to changes in out of state enrollment levels. Furthermore, tuition border county legislation will no longer impact the funding formula.</w:t>
      </w:r>
      <w:r w:rsidR="003A5FFB" w:rsidRPr="00393E31">
        <w:rPr>
          <w:rFonts w:ascii="Open Sans" w:hAnsi="Open Sans" w:cs="Open Sans"/>
          <w:sz w:val="20"/>
          <w:szCs w:val="20"/>
        </w:rPr>
        <w:t xml:space="preserve"> </w:t>
      </w:r>
      <w:r w:rsidRPr="00393E31">
        <w:rPr>
          <w:rFonts w:ascii="Open Sans" w:hAnsi="Open Sans" w:cs="Open Sans"/>
          <w:sz w:val="20"/>
          <w:szCs w:val="20"/>
        </w:rPr>
        <w:t>Additionally, the FRC also discussed no longer using an SREB salary multiplier, thus removing the state funding movement based on changes to the SREB median faculty salary rather than outcome pr</w:t>
      </w:r>
      <w:r w:rsidR="00000587" w:rsidRPr="00393E31">
        <w:rPr>
          <w:rFonts w:ascii="Open Sans" w:hAnsi="Open Sans" w:cs="Open Sans"/>
          <w:sz w:val="20"/>
          <w:szCs w:val="20"/>
        </w:rPr>
        <w:t>oduction. The Quality Assurance</w:t>
      </w:r>
      <w:r w:rsidRPr="00393E31">
        <w:rPr>
          <w:rFonts w:ascii="Open Sans" w:hAnsi="Open Sans" w:cs="Open Sans"/>
          <w:sz w:val="20"/>
          <w:szCs w:val="20"/>
        </w:rPr>
        <w:t xml:space="preserve"> program, which was reviewed separately, and the fixed cost components would remain largely unchanged.</w:t>
      </w:r>
    </w:p>
    <w:p w:rsidR="00000587" w:rsidRPr="00393E31" w:rsidRDefault="00000587" w:rsidP="0020702B">
      <w:pPr>
        <w:pStyle w:val="NoSpacing"/>
        <w:rPr>
          <w:rFonts w:ascii="Open Sans" w:hAnsi="Open Sans" w:cs="Open Sans"/>
          <w:sz w:val="20"/>
          <w:szCs w:val="20"/>
        </w:rPr>
      </w:pPr>
    </w:p>
    <w:p w:rsidR="00000587" w:rsidRDefault="00000587"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Default="00393E31" w:rsidP="0020702B">
      <w:pPr>
        <w:pStyle w:val="NoSpacing"/>
        <w:rPr>
          <w:rFonts w:ascii="Open Sans" w:hAnsi="Open Sans" w:cs="Open Sans"/>
          <w:sz w:val="20"/>
          <w:szCs w:val="20"/>
        </w:rPr>
      </w:pPr>
    </w:p>
    <w:p w:rsidR="00393E31" w:rsidRPr="00393E31" w:rsidRDefault="00393E31" w:rsidP="0020702B">
      <w:pPr>
        <w:pStyle w:val="NoSpacing"/>
        <w:rPr>
          <w:rFonts w:ascii="Open Sans" w:hAnsi="Open Sans" w:cs="Open Sans"/>
          <w:sz w:val="20"/>
          <w:szCs w:val="20"/>
        </w:rPr>
      </w:pPr>
    </w:p>
    <w:tbl>
      <w:tblPr>
        <w:tblW w:w="9120" w:type="dxa"/>
        <w:tblInd w:w="93" w:type="dxa"/>
        <w:tblLook w:val="04A0" w:firstRow="1" w:lastRow="0" w:firstColumn="1" w:lastColumn="0" w:noHBand="0" w:noVBand="1"/>
      </w:tblPr>
      <w:tblGrid>
        <w:gridCol w:w="4080"/>
        <w:gridCol w:w="960"/>
        <w:gridCol w:w="4080"/>
      </w:tblGrid>
      <w:tr w:rsidR="00000587" w:rsidRPr="00000587" w:rsidTr="00CC6A38">
        <w:trPr>
          <w:trHeight w:val="180"/>
        </w:trPr>
        <w:tc>
          <w:tcPr>
            <w:tcW w:w="9120" w:type="dxa"/>
            <w:gridSpan w:val="3"/>
            <w:tcBorders>
              <w:top w:val="nil"/>
              <w:left w:val="nil"/>
              <w:bottom w:val="nil"/>
              <w:right w:val="nil"/>
            </w:tcBorders>
            <w:shd w:val="clear" w:color="auto" w:fill="auto"/>
            <w:noWrap/>
            <w:vAlign w:val="bottom"/>
          </w:tcPr>
          <w:p w:rsidR="00000587" w:rsidRPr="00393E31" w:rsidRDefault="00000587" w:rsidP="00000587">
            <w:pPr>
              <w:spacing w:after="0" w:line="240" w:lineRule="auto"/>
              <w:jc w:val="center"/>
              <w:rPr>
                <w:rFonts w:ascii="Open Sans" w:eastAsia="Times New Roman" w:hAnsi="Open Sans" w:cs="Open Sans"/>
                <w:b/>
                <w:bCs/>
                <w:color w:val="000000"/>
                <w:sz w:val="17"/>
                <w:szCs w:val="17"/>
              </w:rPr>
            </w:pPr>
          </w:p>
          <w:p w:rsidR="00000587" w:rsidRPr="00393E31" w:rsidRDefault="00000587" w:rsidP="005D5F53">
            <w:pPr>
              <w:spacing w:after="0" w:line="240" w:lineRule="auto"/>
              <w:jc w:val="center"/>
              <w:rPr>
                <w:rFonts w:ascii="Open Sans" w:eastAsia="Times New Roman" w:hAnsi="Open Sans" w:cs="Open Sans"/>
                <w:b/>
                <w:bCs/>
                <w:color w:val="000000"/>
                <w:sz w:val="17"/>
                <w:szCs w:val="17"/>
              </w:rPr>
            </w:pPr>
            <w:r w:rsidRPr="00393E31">
              <w:rPr>
                <w:rFonts w:ascii="Open Sans" w:eastAsia="Times New Roman" w:hAnsi="Open Sans" w:cs="Open Sans"/>
                <w:b/>
                <w:bCs/>
                <w:color w:val="000000"/>
                <w:sz w:val="17"/>
                <w:szCs w:val="17"/>
              </w:rPr>
              <w:lastRenderedPageBreak/>
              <w:t xml:space="preserve">Appendix </w:t>
            </w:r>
            <w:r w:rsidR="005D5F53" w:rsidRPr="00393E31">
              <w:rPr>
                <w:rFonts w:ascii="Open Sans" w:eastAsia="Times New Roman" w:hAnsi="Open Sans" w:cs="Open Sans"/>
                <w:b/>
                <w:bCs/>
                <w:color w:val="000000"/>
                <w:sz w:val="17"/>
                <w:szCs w:val="17"/>
              </w:rPr>
              <w:t>D</w:t>
            </w:r>
          </w:p>
        </w:tc>
      </w:tr>
      <w:tr w:rsidR="00000587" w:rsidRPr="00000587" w:rsidTr="00CC6A38">
        <w:trPr>
          <w:trHeight w:val="423"/>
        </w:trPr>
        <w:tc>
          <w:tcPr>
            <w:tcW w:w="9120" w:type="dxa"/>
            <w:gridSpan w:val="3"/>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center"/>
              <w:rPr>
                <w:rFonts w:ascii="Open Sans" w:eastAsia="Times New Roman" w:hAnsi="Open Sans" w:cs="Open Sans"/>
                <w:b/>
                <w:bCs/>
                <w:color w:val="000000"/>
                <w:sz w:val="17"/>
                <w:szCs w:val="17"/>
              </w:rPr>
            </w:pPr>
            <w:r w:rsidRPr="00393E31">
              <w:rPr>
                <w:rFonts w:ascii="Open Sans" w:eastAsia="Times New Roman" w:hAnsi="Open Sans" w:cs="Open Sans"/>
                <w:b/>
                <w:bCs/>
                <w:color w:val="000000"/>
                <w:sz w:val="17"/>
                <w:szCs w:val="17"/>
              </w:rPr>
              <w:lastRenderedPageBreak/>
              <w:t>Outcomes-Based Funding Formula Changes: Outcomes and Focus Populations</w:t>
            </w:r>
          </w:p>
        </w:tc>
      </w:tr>
      <w:tr w:rsidR="00000587" w:rsidRPr="00000587" w:rsidTr="00CC6A38">
        <w:trPr>
          <w:trHeight w:val="8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r>
      <w:tr w:rsidR="00000587" w:rsidRPr="00000587" w:rsidTr="00CC6A38">
        <w:trPr>
          <w:trHeight w:val="80"/>
        </w:trPr>
        <w:tc>
          <w:tcPr>
            <w:tcW w:w="4080" w:type="dxa"/>
            <w:tcBorders>
              <w:top w:val="nil"/>
              <w:left w:val="nil"/>
              <w:bottom w:val="single" w:sz="4" w:space="0" w:color="auto"/>
              <w:right w:val="nil"/>
            </w:tcBorders>
            <w:shd w:val="clear" w:color="auto" w:fill="auto"/>
            <w:noWrap/>
            <w:vAlign w:val="bottom"/>
            <w:hideMark/>
          </w:tcPr>
          <w:p w:rsidR="00000587" w:rsidRPr="00393E31" w:rsidRDefault="00000587" w:rsidP="00000587">
            <w:pPr>
              <w:spacing w:after="0" w:line="240" w:lineRule="auto"/>
              <w:jc w:val="center"/>
              <w:rPr>
                <w:rFonts w:ascii="Open Sans" w:eastAsia="Times New Roman" w:hAnsi="Open Sans" w:cs="Open Sans"/>
                <w:b/>
                <w:bCs/>
                <w:color w:val="000000"/>
                <w:sz w:val="17"/>
                <w:szCs w:val="17"/>
              </w:rPr>
            </w:pPr>
            <w:r w:rsidRPr="00393E31">
              <w:rPr>
                <w:rFonts w:ascii="Open Sans" w:eastAsia="Times New Roman" w:hAnsi="Open Sans" w:cs="Open Sans"/>
                <w:b/>
                <w:bCs/>
                <w:color w:val="000000"/>
                <w:sz w:val="17"/>
                <w:szCs w:val="17"/>
              </w:rPr>
              <w:t>2010-2015 Formula Model</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single" w:sz="4" w:space="0" w:color="auto"/>
              <w:right w:val="nil"/>
            </w:tcBorders>
            <w:shd w:val="clear" w:color="auto" w:fill="auto"/>
            <w:noWrap/>
            <w:vAlign w:val="bottom"/>
            <w:hideMark/>
          </w:tcPr>
          <w:p w:rsidR="00000587" w:rsidRPr="00393E31" w:rsidRDefault="00000587" w:rsidP="00000587">
            <w:pPr>
              <w:spacing w:after="0" w:line="240" w:lineRule="auto"/>
              <w:jc w:val="center"/>
              <w:rPr>
                <w:rFonts w:ascii="Open Sans" w:eastAsia="Times New Roman" w:hAnsi="Open Sans" w:cs="Open Sans"/>
                <w:b/>
                <w:bCs/>
                <w:color w:val="000000"/>
                <w:sz w:val="17"/>
                <w:szCs w:val="17"/>
              </w:rPr>
            </w:pPr>
            <w:r w:rsidRPr="00393E31">
              <w:rPr>
                <w:rFonts w:ascii="Open Sans" w:eastAsia="Times New Roman" w:hAnsi="Open Sans" w:cs="Open Sans"/>
                <w:b/>
                <w:bCs/>
                <w:color w:val="000000"/>
                <w:sz w:val="17"/>
                <w:szCs w:val="17"/>
              </w:rPr>
              <w:t>2015-2020 Outcomes Model</w:t>
            </w:r>
          </w:p>
        </w:tc>
      </w:tr>
      <w:tr w:rsidR="00000587" w:rsidRPr="00000587" w:rsidTr="00CC6A38">
        <w:trPr>
          <w:trHeight w:val="7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rPr>
            </w:pP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rPr>
            </w:pPr>
          </w:p>
        </w:tc>
      </w:tr>
      <w:tr w:rsidR="00000587" w:rsidRPr="00000587" w:rsidTr="00CC6A38">
        <w:trPr>
          <w:trHeight w:val="387"/>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u w:val="single"/>
              </w:rPr>
            </w:pPr>
            <w:r w:rsidRPr="00393E31">
              <w:rPr>
                <w:rFonts w:ascii="Open Sans" w:eastAsia="Times New Roman" w:hAnsi="Open Sans" w:cs="Open Sans"/>
                <w:b/>
                <w:bCs/>
                <w:color w:val="000000"/>
                <w:sz w:val="17"/>
                <w:szCs w:val="17"/>
                <w:u w:val="single"/>
              </w:rPr>
              <w:t>Community College Outcomes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u w:val="single"/>
              </w:rPr>
            </w:pPr>
            <w:r w:rsidRPr="00393E31">
              <w:rPr>
                <w:rFonts w:ascii="Open Sans" w:eastAsia="Times New Roman" w:hAnsi="Open Sans" w:cs="Open Sans"/>
                <w:b/>
                <w:bCs/>
                <w:color w:val="000000"/>
                <w:sz w:val="17"/>
                <w:szCs w:val="17"/>
                <w:u w:val="single"/>
              </w:rPr>
              <w:t>Community College Outcomes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Students Accumulating 12 hrs</w:t>
            </w:r>
            <w:r w:rsidR="00F32FF4" w:rsidRPr="00393E31">
              <w:rPr>
                <w:rFonts w:ascii="Open Sans" w:eastAsia="Times New Roman" w:hAnsi="Open Sans" w:cs="Open Sans"/>
                <w:color w:val="000000"/>
                <w:sz w:val="17"/>
                <w:szCs w:val="17"/>
              </w:rPr>
              <w:t>.</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Students Accumulating 12 hrs</w:t>
            </w:r>
            <w:r w:rsidR="00F32FF4" w:rsidRPr="00393E31">
              <w:rPr>
                <w:rFonts w:ascii="Open Sans" w:eastAsia="Times New Roman" w:hAnsi="Open Sans" w:cs="Open Sans"/>
                <w:color w:val="000000"/>
                <w:sz w:val="17"/>
                <w:szCs w:val="17"/>
              </w:rPr>
              <w:t>.</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Students Accumulating 24 hrs</w:t>
            </w:r>
            <w:r w:rsidR="00F32FF4" w:rsidRPr="00393E31">
              <w:rPr>
                <w:rFonts w:ascii="Open Sans" w:eastAsia="Times New Roman" w:hAnsi="Open Sans" w:cs="Open Sans"/>
                <w:color w:val="000000"/>
                <w:sz w:val="17"/>
                <w:szCs w:val="17"/>
              </w:rPr>
              <w:t>.</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Students Accumulating 24 hrs</w:t>
            </w:r>
            <w:r w:rsidR="00F32FF4" w:rsidRPr="00393E31">
              <w:rPr>
                <w:rFonts w:ascii="Open Sans" w:eastAsia="Times New Roman" w:hAnsi="Open Sans" w:cs="Open Sans"/>
                <w:color w:val="000000"/>
                <w:sz w:val="17"/>
                <w:szCs w:val="17"/>
              </w:rPr>
              <w:t>.</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Students Accumulating 36 hrs</w:t>
            </w:r>
            <w:r w:rsidR="00F32FF4" w:rsidRPr="00393E31">
              <w:rPr>
                <w:rFonts w:ascii="Open Sans" w:eastAsia="Times New Roman" w:hAnsi="Open Sans" w:cs="Open Sans"/>
                <w:color w:val="000000"/>
                <w:sz w:val="17"/>
                <w:szCs w:val="17"/>
              </w:rPr>
              <w:t>.</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Students Accumulating 36 hrs</w:t>
            </w:r>
            <w:r w:rsidR="00F32FF4" w:rsidRPr="00393E31">
              <w:rPr>
                <w:rFonts w:ascii="Open Sans" w:eastAsia="Times New Roman" w:hAnsi="Open Sans" w:cs="Open Sans"/>
                <w:color w:val="000000"/>
                <w:sz w:val="17"/>
                <w:szCs w:val="17"/>
              </w:rPr>
              <w:t>.</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Dual Enrollment</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Dual Enrollment</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Associates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Associates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Long-term Certificates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Long-term Certificates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Short-term Certificates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i/>
                <w:iCs/>
                <w:color w:val="000000"/>
                <w:sz w:val="17"/>
                <w:szCs w:val="17"/>
              </w:rPr>
            </w:pPr>
            <w:r w:rsidRPr="00393E31">
              <w:rPr>
                <w:rFonts w:ascii="Open Sans" w:eastAsia="Times New Roman" w:hAnsi="Open Sans" w:cs="Open Sans"/>
                <w:b/>
                <w:bCs/>
                <w:i/>
                <w:iCs/>
                <w:color w:val="000000"/>
                <w:sz w:val="17"/>
                <w:szCs w:val="17"/>
              </w:rPr>
              <w:t>Short-term Certificates</w:t>
            </w:r>
            <w:r w:rsidRPr="00393E31">
              <w:rPr>
                <w:rFonts w:ascii="Open Sans" w:eastAsia="Times New Roman" w:hAnsi="Open Sans" w:cs="Open Sans"/>
                <w:b/>
                <w:bCs/>
                <w:i/>
                <w:iCs/>
                <w:color w:val="000000"/>
                <w:sz w:val="17"/>
                <w:szCs w:val="17"/>
                <w:vertAlign w:val="superscript"/>
              </w:rPr>
              <w:t>1</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Job Placements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Job Placements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Remedial &amp; Development Success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color w:val="000000"/>
                <w:sz w:val="17"/>
                <w:szCs w:val="17"/>
              </w:rPr>
            </w:pPr>
            <w:r w:rsidRPr="00393E31">
              <w:rPr>
                <w:rFonts w:ascii="Open Sans" w:eastAsia="Times New Roman" w:hAnsi="Open Sans" w:cs="Open Sans"/>
                <w:b/>
                <w:bCs/>
                <w:strike/>
                <w:color w:val="000000"/>
                <w:sz w:val="17"/>
                <w:szCs w:val="17"/>
              </w:rPr>
              <w:t>Remedial &amp; Development Success</w:t>
            </w:r>
            <w:r w:rsidRPr="00393E31">
              <w:rPr>
                <w:rFonts w:ascii="Open Sans" w:eastAsia="Times New Roman" w:hAnsi="Open Sans" w:cs="Open Sans"/>
                <w:b/>
                <w:bCs/>
                <w:color w:val="000000"/>
                <w:sz w:val="17"/>
                <w:szCs w:val="17"/>
                <w:vertAlign w:val="superscript"/>
              </w:rPr>
              <w:t>2</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Transfers out with 12 hrs</w:t>
            </w:r>
            <w:r w:rsidR="00F32FF4" w:rsidRPr="00393E31">
              <w:rPr>
                <w:rFonts w:ascii="Open Sans" w:eastAsia="Times New Roman" w:hAnsi="Open Sans" w:cs="Open Sans"/>
                <w:color w:val="000000"/>
                <w:sz w:val="17"/>
                <w:szCs w:val="17"/>
              </w:rPr>
              <w:t>.</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Transfers out with 12 hrs</w:t>
            </w:r>
            <w:r w:rsidR="00F32FF4" w:rsidRPr="00393E31">
              <w:rPr>
                <w:rFonts w:ascii="Open Sans" w:eastAsia="Times New Roman" w:hAnsi="Open Sans" w:cs="Open Sans"/>
                <w:color w:val="000000"/>
                <w:sz w:val="17"/>
                <w:szCs w:val="17"/>
              </w:rPr>
              <w:t>.</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Workforce Training</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Workforce Training</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Awards per 100 FTE</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i/>
                <w:iCs/>
                <w:color w:val="000000"/>
                <w:sz w:val="17"/>
                <w:szCs w:val="17"/>
              </w:rPr>
            </w:pPr>
            <w:r w:rsidRPr="00393E31">
              <w:rPr>
                <w:rFonts w:ascii="Open Sans" w:eastAsia="Times New Roman" w:hAnsi="Open Sans" w:cs="Open Sans"/>
                <w:b/>
                <w:bCs/>
                <w:i/>
                <w:iCs/>
                <w:color w:val="000000"/>
                <w:sz w:val="17"/>
                <w:szCs w:val="17"/>
              </w:rPr>
              <w:t>Awards per 100 FTE</w:t>
            </w:r>
            <w:r w:rsidRPr="00393E31">
              <w:rPr>
                <w:rFonts w:ascii="Open Sans" w:eastAsia="Times New Roman" w:hAnsi="Open Sans" w:cs="Open Sans"/>
                <w:b/>
                <w:bCs/>
                <w:i/>
                <w:iCs/>
                <w:color w:val="000000"/>
                <w:sz w:val="17"/>
                <w:szCs w:val="17"/>
                <w:vertAlign w:val="superscript"/>
              </w:rPr>
              <w:t>3</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i/>
                <w:iCs/>
                <w:color w:val="000000"/>
                <w:sz w:val="17"/>
                <w:szCs w:val="17"/>
              </w:rPr>
            </w:pP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i/>
                <w:iCs/>
                <w:color w:val="000000"/>
                <w:sz w:val="17"/>
                <w:szCs w:val="17"/>
              </w:rPr>
            </w:pPr>
          </w:p>
        </w:tc>
      </w:tr>
      <w:tr w:rsidR="00000587" w:rsidRPr="00000587" w:rsidTr="00CC6A38">
        <w:trPr>
          <w:trHeight w:val="468"/>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u w:val="single"/>
              </w:rPr>
            </w:pPr>
            <w:r w:rsidRPr="00393E31">
              <w:rPr>
                <w:rFonts w:ascii="Open Sans" w:eastAsia="Times New Roman" w:hAnsi="Open Sans" w:cs="Open Sans"/>
                <w:b/>
                <w:bCs/>
                <w:color w:val="000000"/>
                <w:sz w:val="17"/>
                <w:szCs w:val="17"/>
                <w:u w:val="single"/>
              </w:rPr>
              <w:t>University Outcomes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u w:val="single"/>
              </w:rPr>
            </w:pPr>
            <w:r w:rsidRPr="00393E31">
              <w:rPr>
                <w:rFonts w:ascii="Open Sans" w:eastAsia="Times New Roman" w:hAnsi="Open Sans" w:cs="Open Sans"/>
                <w:b/>
                <w:bCs/>
                <w:color w:val="000000"/>
                <w:sz w:val="17"/>
                <w:szCs w:val="17"/>
                <w:u w:val="single"/>
              </w:rPr>
              <w:t>University Outcomes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Students Accumulating 24 hrs</w:t>
            </w:r>
            <w:r w:rsidR="00F32FF4" w:rsidRPr="00393E31">
              <w:rPr>
                <w:rFonts w:ascii="Open Sans" w:eastAsia="Times New Roman" w:hAnsi="Open Sans" w:cs="Open Sans"/>
                <w:color w:val="000000"/>
                <w:sz w:val="17"/>
                <w:szCs w:val="17"/>
              </w:rPr>
              <w:t>.</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i/>
                <w:iCs/>
                <w:color w:val="000000"/>
                <w:sz w:val="17"/>
                <w:szCs w:val="17"/>
              </w:rPr>
            </w:pPr>
            <w:r w:rsidRPr="00393E31">
              <w:rPr>
                <w:rFonts w:ascii="Open Sans" w:eastAsia="Times New Roman" w:hAnsi="Open Sans" w:cs="Open Sans"/>
                <w:b/>
                <w:bCs/>
                <w:i/>
                <w:iCs/>
                <w:color w:val="000000"/>
                <w:sz w:val="17"/>
                <w:szCs w:val="17"/>
              </w:rPr>
              <w:t>Students Accumulating 30 hrs</w:t>
            </w:r>
            <w:r w:rsidR="00F32FF4" w:rsidRPr="00393E31">
              <w:rPr>
                <w:rFonts w:ascii="Open Sans" w:eastAsia="Times New Roman" w:hAnsi="Open Sans" w:cs="Open Sans"/>
                <w:b/>
                <w:bCs/>
                <w:i/>
                <w:iCs/>
                <w:color w:val="000000"/>
                <w:sz w:val="17"/>
                <w:szCs w:val="17"/>
              </w:rPr>
              <w:t>.</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Students Accumulating 48 hrs</w:t>
            </w:r>
            <w:r w:rsidR="00F32FF4" w:rsidRPr="00393E31">
              <w:rPr>
                <w:rFonts w:ascii="Open Sans" w:eastAsia="Times New Roman" w:hAnsi="Open Sans" w:cs="Open Sans"/>
                <w:color w:val="000000"/>
                <w:sz w:val="17"/>
                <w:szCs w:val="17"/>
              </w:rPr>
              <w:t>.</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i/>
                <w:iCs/>
                <w:color w:val="000000"/>
                <w:sz w:val="17"/>
                <w:szCs w:val="17"/>
              </w:rPr>
            </w:pPr>
            <w:r w:rsidRPr="00393E31">
              <w:rPr>
                <w:rFonts w:ascii="Open Sans" w:eastAsia="Times New Roman" w:hAnsi="Open Sans" w:cs="Open Sans"/>
                <w:b/>
                <w:bCs/>
                <w:i/>
                <w:iCs/>
                <w:color w:val="000000"/>
                <w:sz w:val="17"/>
                <w:szCs w:val="17"/>
              </w:rPr>
              <w:t>Students Accumulating 60 hrs</w:t>
            </w:r>
            <w:r w:rsidR="00F32FF4" w:rsidRPr="00393E31">
              <w:rPr>
                <w:rFonts w:ascii="Open Sans" w:eastAsia="Times New Roman" w:hAnsi="Open Sans" w:cs="Open Sans"/>
                <w:b/>
                <w:bCs/>
                <w:i/>
                <w:iCs/>
                <w:color w:val="000000"/>
                <w:sz w:val="17"/>
                <w:szCs w:val="17"/>
              </w:rPr>
              <w:t>.</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Students Accumulating 72 hrs</w:t>
            </w:r>
            <w:r w:rsidR="00F32FF4" w:rsidRPr="00393E31">
              <w:rPr>
                <w:rFonts w:ascii="Open Sans" w:eastAsia="Times New Roman" w:hAnsi="Open Sans" w:cs="Open Sans"/>
                <w:color w:val="000000"/>
                <w:sz w:val="17"/>
                <w:szCs w:val="17"/>
              </w:rPr>
              <w:t>.</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i/>
                <w:iCs/>
                <w:color w:val="000000"/>
                <w:sz w:val="17"/>
                <w:szCs w:val="17"/>
              </w:rPr>
            </w:pPr>
            <w:r w:rsidRPr="00393E31">
              <w:rPr>
                <w:rFonts w:ascii="Open Sans" w:eastAsia="Times New Roman" w:hAnsi="Open Sans" w:cs="Open Sans"/>
                <w:b/>
                <w:bCs/>
                <w:i/>
                <w:iCs/>
                <w:color w:val="000000"/>
                <w:sz w:val="17"/>
                <w:szCs w:val="17"/>
              </w:rPr>
              <w:t>Students Accumulating 90 hrs</w:t>
            </w:r>
            <w:r w:rsidR="00F32FF4" w:rsidRPr="00393E31">
              <w:rPr>
                <w:rFonts w:ascii="Open Sans" w:eastAsia="Times New Roman" w:hAnsi="Open Sans" w:cs="Open Sans"/>
                <w:b/>
                <w:bCs/>
                <w:i/>
                <w:iCs/>
                <w:color w:val="000000"/>
                <w:sz w:val="17"/>
                <w:szCs w:val="17"/>
              </w:rPr>
              <w:t>.</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Bachelors and Associates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Bachelors and Associates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Masters/Ed Specialist Degrees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Masters/Ed Specialist Degrees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Doctoral / Law Degrees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Doctoral / Law Degrees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Research and Service</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Research and Service</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Transfers Out with 12 hrs</w:t>
            </w:r>
            <w:r w:rsidR="00F32FF4" w:rsidRPr="00393E31">
              <w:rPr>
                <w:rFonts w:ascii="Open Sans" w:eastAsia="Times New Roman" w:hAnsi="Open Sans" w:cs="Open Sans"/>
                <w:color w:val="000000"/>
                <w:sz w:val="17"/>
                <w:szCs w:val="17"/>
              </w:rPr>
              <w:t>.</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color w:val="000000"/>
                <w:sz w:val="17"/>
                <w:szCs w:val="17"/>
              </w:rPr>
            </w:pPr>
            <w:r w:rsidRPr="00393E31">
              <w:rPr>
                <w:rFonts w:ascii="Open Sans" w:eastAsia="Times New Roman" w:hAnsi="Open Sans" w:cs="Open Sans"/>
                <w:b/>
                <w:bCs/>
                <w:strike/>
                <w:color w:val="000000"/>
                <w:sz w:val="17"/>
                <w:szCs w:val="17"/>
              </w:rPr>
              <w:t>Transfers Out with 12 hrs</w:t>
            </w:r>
            <w:r w:rsidR="00F32FF4" w:rsidRPr="00393E31">
              <w:rPr>
                <w:rFonts w:ascii="Open Sans" w:eastAsia="Times New Roman" w:hAnsi="Open Sans" w:cs="Open Sans"/>
                <w:b/>
                <w:bCs/>
                <w:strike/>
                <w:color w:val="000000"/>
                <w:sz w:val="17"/>
                <w:szCs w:val="17"/>
              </w:rPr>
              <w:t>.</w:t>
            </w:r>
            <w:r w:rsidRPr="00393E31">
              <w:rPr>
                <w:rFonts w:ascii="Open Sans" w:eastAsia="Times New Roman" w:hAnsi="Open Sans" w:cs="Open Sans"/>
                <w:b/>
                <w:bCs/>
                <w:color w:val="000000"/>
                <w:sz w:val="17"/>
                <w:szCs w:val="17"/>
                <w:vertAlign w:val="superscript"/>
              </w:rPr>
              <w:t>2</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Degrees per 100 FTE</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i/>
                <w:iCs/>
                <w:color w:val="000000"/>
                <w:sz w:val="17"/>
                <w:szCs w:val="17"/>
              </w:rPr>
            </w:pPr>
            <w:r w:rsidRPr="00393E31">
              <w:rPr>
                <w:rFonts w:ascii="Open Sans" w:eastAsia="Times New Roman" w:hAnsi="Open Sans" w:cs="Open Sans"/>
                <w:b/>
                <w:bCs/>
                <w:i/>
                <w:iCs/>
                <w:color w:val="000000"/>
                <w:sz w:val="17"/>
                <w:szCs w:val="17"/>
              </w:rPr>
              <w:t>Degrees per 100 FTE</w:t>
            </w:r>
            <w:r w:rsidRPr="00393E31">
              <w:rPr>
                <w:rFonts w:ascii="Open Sans" w:eastAsia="Times New Roman" w:hAnsi="Open Sans" w:cs="Open Sans"/>
                <w:b/>
                <w:bCs/>
                <w:i/>
                <w:iCs/>
                <w:color w:val="000000"/>
                <w:sz w:val="17"/>
                <w:szCs w:val="17"/>
                <w:vertAlign w:val="superscript"/>
              </w:rPr>
              <w:t>3</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Six-Year Graduation Rate</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Six-Year Graduation Rate</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p>
        </w:tc>
      </w:tr>
      <w:tr w:rsidR="00000587" w:rsidRPr="00000587" w:rsidTr="00CC6A38">
        <w:trPr>
          <w:trHeight w:val="423"/>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u w:val="single"/>
              </w:rPr>
            </w:pPr>
            <w:r w:rsidRPr="00393E31">
              <w:rPr>
                <w:rFonts w:ascii="Open Sans" w:eastAsia="Times New Roman" w:hAnsi="Open Sans" w:cs="Open Sans"/>
                <w:b/>
                <w:bCs/>
                <w:color w:val="000000"/>
                <w:sz w:val="17"/>
                <w:szCs w:val="17"/>
                <w:u w:val="single"/>
              </w:rPr>
              <w:t>Subpopulations (Both Sectors)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u w:val="single"/>
              </w:rPr>
            </w:pPr>
            <w:r w:rsidRPr="00393E31">
              <w:rPr>
                <w:rFonts w:ascii="Open Sans" w:eastAsia="Times New Roman" w:hAnsi="Open Sans" w:cs="Open Sans"/>
                <w:b/>
                <w:bCs/>
                <w:i/>
                <w:iCs/>
                <w:color w:val="000000"/>
                <w:sz w:val="17"/>
                <w:szCs w:val="17"/>
                <w:u w:val="single"/>
              </w:rPr>
              <w:t>Focus Populations</w:t>
            </w:r>
            <w:r w:rsidRPr="00393E31">
              <w:rPr>
                <w:rFonts w:ascii="Open Sans" w:eastAsia="Times New Roman" w:hAnsi="Open Sans" w:cs="Open Sans"/>
                <w:b/>
                <w:bCs/>
                <w:color w:val="000000"/>
                <w:sz w:val="17"/>
                <w:szCs w:val="17"/>
                <w:u w:val="single"/>
              </w:rPr>
              <w:t xml:space="preserve"> (Both Sectors)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Adults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Adults</w:t>
            </w:r>
          </w:p>
        </w:tc>
      </w:tr>
      <w:tr w:rsidR="00000587" w:rsidRPr="00000587" w:rsidTr="00CC6A38">
        <w:trPr>
          <w:trHeight w:val="20"/>
        </w:trPr>
        <w:tc>
          <w:tcPr>
            <w:tcW w:w="4080" w:type="dxa"/>
            <w:tcBorders>
              <w:top w:val="nil"/>
              <w:left w:val="nil"/>
              <w:bottom w:val="nil"/>
              <w:right w:val="nil"/>
            </w:tcBorders>
            <w:shd w:val="clear" w:color="auto" w:fill="auto"/>
            <w:noWrap/>
            <w:vAlign w:val="bottom"/>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Low-Income</w:t>
            </w:r>
          </w:p>
        </w:tc>
        <w:tc>
          <w:tcPr>
            <w:tcW w:w="960" w:type="dxa"/>
            <w:tcBorders>
              <w:top w:val="nil"/>
              <w:left w:val="nil"/>
              <w:bottom w:val="nil"/>
              <w:right w:val="nil"/>
            </w:tcBorders>
            <w:shd w:val="clear" w:color="auto" w:fill="auto"/>
            <w:noWrap/>
            <w:vAlign w:val="bottom"/>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Low-Income</w:t>
            </w:r>
          </w:p>
        </w:tc>
      </w:tr>
      <w:tr w:rsidR="00000587" w:rsidRPr="00393E31" w:rsidTr="00CC6A38">
        <w:trPr>
          <w:gridAfter w:val="1"/>
          <w:wAfter w:w="4080" w:type="dxa"/>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r>
      <w:tr w:rsidR="00000587" w:rsidRPr="00393E31" w:rsidTr="00CC6A38">
        <w:trPr>
          <w:gridAfter w:val="1"/>
          <w:wAfter w:w="4080" w:type="dxa"/>
          <w:trHeight w:val="20"/>
        </w:trPr>
        <w:tc>
          <w:tcPr>
            <w:tcW w:w="4080" w:type="dxa"/>
            <w:tcBorders>
              <w:top w:val="nil"/>
              <w:left w:val="nil"/>
              <w:bottom w:val="nil"/>
              <w:right w:val="nil"/>
            </w:tcBorders>
            <w:shd w:val="clear" w:color="auto" w:fill="auto"/>
            <w:noWrap/>
            <w:vAlign w:val="bottom"/>
          </w:tcPr>
          <w:p w:rsidR="00000587" w:rsidRPr="00393E31" w:rsidRDefault="00000587" w:rsidP="00000587">
            <w:pPr>
              <w:spacing w:after="0" w:line="240" w:lineRule="auto"/>
              <w:jc w:val="right"/>
              <w:rPr>
                <w:rFonts w:ascii="Open Sans" w:eastAsia="Times New Roman" w:hAnsi="Open Sans" w:cs="Open Sans"/>
                <w:color w:val="000000"/>
                <w:sz w:val="17"/>
                <w:szCs w:val="17"/>
              </w:rPr>
            </w:pPr>
          </w:p>
        </w:tc>
        <w:tc>
          <w:tcPr>
            <w:tcW w:w="960" w:type="dxa"/>
            <w:tcBorders>
              <w:top w:val="nil"/>
              <w:left w:val="nil"/>
              <w:bottom w:val="nil"/>
              <w:right w:val="nil"/>
            </w:tcBorders>
            <w:shd w:val="clear" w:color="auto" w:fill="auto"/>
            <w:noWrap/>
            <w:vAlign w:val="bottom"/>
          </w:tcPr>
          <w:p w:rsidR="00000587" w:rsidRPr="00393E31" w:rsidRDefault="00000587" w:rsidP="00000587">
            <w:pPr>
              <w:spacing w:after="0" w:line="240" w:lineRule="auto"/>
              <w:rPr>
                <w:rFonts w:ascii="Open Sans" w:eastAsia="Times New Roman" w:hAnsi="Open Sans" w:cs="Open Sans"/>
                <w:color w:val="000000"/>
                <w:sz w:val="17"/>
                <w:szCs w:val="17"/>
              </w:rPr>
            </w:pPr>
          </w:p>
        </w:tc>
      </w:tr>
      <w:tr w:rsidR="00000587" w:rsidRPr="00000587" w:rsidTr="00CC6A38">
        <w:trPr>
          <w:trHeight w:val="20"/>
        </w:trPr>
        <w:tc>
          <w:tcPr>
            <w:tcW w:w="4080" w:type="dxa"/>
            <w:tcBorders>
              <w:top w:val="nil"/>
              <w:left w:val="nil"/>
              <w:bottom w:val="nil"/>
              <w:right w:val="nil"/>
            </w:tcBorders>
            <w:shd w:val="clear" w:color="auto" w:fill="auto"/>
            <w:noWrap/>
            <w:vAlign w:val="bottom"/>
          </w:tcPr>
          <w:p w:rsidR="00000587" w:rsidRPr="00393E31" w:rsidRDefault="00000587" w:rsidP="00000587">
            <w:pPr>
              <w:spacing w:after="0" w:line="240" w:lineRule="auto"/>
              <w:jc w:val="right"/>
              <w:rPr>
                <w:rFonts w:ascii="Open Sans" w:eastAsia="Times New Roman" w:hAnsi="Open Sans" w:cs="Open Sans"/>
                <w:color w:val="000000"/>
                <w:sz w:val="17"/>
                <w:szCs w:val="17"/>
              </w:rPr>
            </w:pPr>
          </w:p>
        </w:tc>
        <w:tc>
          <w:tcPr>
            <w:tcW w:w="960" w:type="dxa"/>
            <w:tcBorders>
              <w:top w:val="nil"/>
              <w:left w:val="nil"/>
              <w:bottom w:val="nil"/>
              <w:right w:val="nil"/>
            </w:tcBorders>
            <w:shd w:val="clear" w:color="auto" w:fill="auto"/>
            <w:noWrap/>
            <w:vAlign w:val="bottom"/>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tcPr>
          <w:p w:rsidR="00000587" w:rsidRPr="00393E31" w:rsidRDefault="00000587" w:rsidP="00000587">
            <w:pPr>
              <w:spacing w:after="0" w:line="240" w:lineRule="auto"/>
              <w:rPr>
                <w:rFonts w:ascii="Open Sans" w:eastAsia="Times New Roman" w:hAnsi="Open Sans" w:cs="Open Sans"/>
                <w:b/>
                <w:bCs/>
                <w:iCs/>
                <w:color w:val="000000"/>
                <w:sz w:val="17"/>
                <w:szCs w:val="17"/>
                <w:u w:val="single"/>
              </w:rPr>
            </w:pPr>
            <w:r w:rsidRPr="00393E31">
              <w:rPr>
                <w:rFonts w:ascii="Open Sans" w:eastAsia="Times New Roman" w:hAnsi="Open Sans" w:cs="Open Sans"/>
                <w:b/>
                <w:bCs/>
                <w:iCs/>
                <w:color w:val="000000"/>
                <w:sz w:val="17"/>
                <w:szCs w:val="17"/>
                <w:u w:val="single"/>
              </w:rPr>
              <w:t>Focus Population (Community College Only)</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b/>
                <w:bCs/>
                <w:i/>
                <w:iCs/>
                <w:color w:val="000000"/>
                <w:sz w:val="17"/>
                <w:szCs w:val="17"/>
              </w:rPr>
            </w:pPr>
            <w:r w:rsidRPr="00393E31">
              <w:rPr>
                <w:rFonts w:ascii="Open Sans" w:eastAsia="Times New Roman" w:hAnsi="Open Sans" w:cs="Open Sans"/>
                <w:b/>
                <w:bCs/>
                <w:i/>
                <w:iCs/>
                <w:color w:val="000000"/>
                <w:sz w:val="17"/>
                <w:szCs w:val="17"/>
              </w:rPr>
              <w:t>Academically Underprepared</w:t>
            </w:r>
            <w:r w:rsidRPr="00393E31">
              <w:rPr>
                <w:rFonts w:ascii="Open Sans" w:eastAsia="Times New Roman" w:hAnsi="Open Sans" w:cs="Open Sans"/>
                <w:b/>
                <w:bCs/>
                <w:i/>
                <w:iCs/>
                <w:color w:val="000000"/>
                <w:sz w:val="17"/>
                <w:szCs w:val="17"/>
                <w:vertAlign w:val="superscript"/>
              </w:rPr>
              <w:t xml:space="preserve">4 </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p>
        </w:tc>
      </w:tr>
      <w:tr w:rsidR="00000587" w:rsidRPr="00000587" w:rsidTr="00CC6A38">
        <w:trPr>
          <w:trHeight w:val="36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u w:val="single"/>
              </w:rPr>
            </w:pPr>
            <w:r w:rsidRPr="00393E31">
              <w:rPr>
                <w:rFonts w:ascii="Open Sans" w:eastAsia="Times New Roman" w:hAnsi="Open Sans" w:cs="Open Sans"/>
                <w:b/>
                <w:bCs/>
                <w:color w:val="000000"/>
                <w:sz w:val="17"/>
                <w:szCs w:val="17"/>
                <w:u w:val="single"/>
              </w:rPr>
              <w:t>Subpopulation Premiums</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b/>
                <w:bCs/>
                <w:color w:val="000000"/>
                <w:sz w:val="17"/>
                <w:szCs w:val="17"/>
                <w:u w:val="single"/>
              </w:rPr>
            </w:pPr>
            <w:r w:rsidRPr="00393E31">
              <w:rPr>
                <w:rFonts w:ascii="Open Sans" w:eastAsia="Times New Roman" w:hAnsi="Open Sans" w:cs="Open Sans"/>
                <w:b/>
                <w:bCs/>
                <w:color w:val="000000"/>
                <w:sz w:val="17"/>
                <w:szCs w:val="17"/>
                <w:u w:val="single"/>
              </w:rPr>
              <w:t>Focus Population Premiums</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40% for Each Population</w:t>
            </w: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80% for One Focus Population</w:t>
            </w:r>
          </w:p>
        </w:tc>
      </w:tr>
      <w:tr w:rsidR="00000587" w:rsidRPr="00000587" w:rsidTr="00CC6A38">
        <w:trPr>
          <w:trHeight w:val="20"/>
        </w:trPr>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p>
        </w:tc>
        <w:tc>
          <w:tcPr>
            <w:tcW w:w="96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100% for Two Focus Populations</w:t>
            </w:r>
          </w:p>
        </w:tc>
      </w:tr>
      <w:tr w:rsidR="00000587" w:rsidRPr="00000587" w:rsidTr="00CC6A38">
        <w:trPr>
          <w:trHeight w:val="20"/>
        </w:trPr>
        <w:tc>
          <w:tcPr>
            <w:tcW w:w="4080" w:type="dxa"/>
            <w:tcBorders>
              <w:top w:val="nil"/>
              <w:left w:val="nil"/>
              <w:bottom w:val="single" w:sz="4" w:space="0" w:color="auto"/>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 </w:t>
            </w:r>
          </w:p>
        </w:tc>
        <w:tc>
          <w:tcPr>
            <w:tcW w:w="960" w:type="dxa"/>
            <w:tcBorders>
              <w:top w:val="nil"/>
              <w:left w:val="nil"/>
              <w:bottom w:val="single" w:sz="4" w:space="0" w:color="auto"/>
              <w:right w:val="nil"/>
            </w:tcBorders>
            <w:shd w:val="clear" w:color="auto" w:fill="auto"/>
            <w:noWrap/>
            <w:vAlign w:val="bottom"/>
            <w:hideMark/>
          </w:tcPr>
          <w:p w:rsidR="00000587" w:rsidRPr="00393E31" w:rsidRDefault="00000587" w:rsidP="00000587">
            <w:pPr>
              <w:spacing w:after="0" w:line="240" w:lineRule="auto"/>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 </w:t>
            </w:r>
          </w:p>
        </w:tc>
        <w:tc>
          <w:tcPr>
            <w:tcW w:w="4080" w:type="dxa"/>
            <w:tcBorders>
              <w:top w:val="nil"/>
              <w:left w:val="nil"/>
              <w:bottom w:val="single" w:sz="4" w:space="0" w:color="auto"/>
              <w:right w:val="nil"/>
            </w:tcBorders>
            <w:shd w:val="clear" w:color="auto" w:fill="auto"/>
            <w:noWrap/>
            <w:vAlign w:val="bottom"/>
            <w:hideMark/>
          </w:tcPr>
          <w:p w:rsidR="00000587" w:rsidRPr="00393E31" w:rsidRDefault="00000587" w:rsidP="00000587">
            <w:pPr>
              <w:spacing w:after="0" w:line="240" w:lineRule="auto"/>
              <w:jc w:val="right"/>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120% for Three Focus Populations</w:t>
            </w:r>
          </w:p>
        </w:tc>
      </w:tr>
      <w:tr w:rsidR="00000587" w:rsidRPr="00000587" w:rsidTr="00CC6A38">
        <w:trPr>
          <w:trHeight w:val="220"/>
        </w:trPr>
        <w:tc>
          <w:tcPr>
            <w:tcW w:w="9120" w:type="dxa"/>
            <w:gridSpan w:val="3"/>
            <w:tcBorders>
              <w:top w:val="nil"/>
              <w:left w:val="nil"/>
              <w:bottom w:val="nil"/>
              <w:right w:val="nil"/>
            </w:tcBorders>
            <w:shd w:val="clear" w:color="auto" w:fill="auto"/>
            <w:vAlign w:val="center"/>
          </w:tcPr>
          <w:p w:rsidR="00000587" w:rsidRPr="00393E31" w:rsidRDefault="00000587" w:rsidP="00000587">
            <w:pPr>
              <w:spacing w:after="0" w:line="240" w:lineRule="auto"/>
              <w:rPr>
                <w:rFonts w:ascii="Open Sans" w:eastAsia="Times New Roman" w:hAnsi="Open Sans" w:cs="Open Sans"/>
                <w:color w:val="000000"/>
                <w:sz w:val="17"/>
                <w:szCs w:val="17"/>
              </w:rPr>
            </w:pPr>
          </w:p>
        </w:tc>
      </w:tr>
      <w:tr w:rsidR="00000587" w:rsidRPr="00000587" w:rsidTr="00CC6A38">
        <w:trPr>
          <w:trHeight w:val="245"/>
        </w:trPr>
        <w:tc>
          <w:tcPr>
            <w:tcW w:w="9120" w:type="dxa"/>
            <w:gridSpan w:val="3"/>
            <w:vMerge w:val="restart"/>
            <w:tcBorders>
              <w:top w:val="nil"/>
              <w:left w:val="nil"/>
              <w:bottom w:val="nil"/>
              <w:right w:val="nil"/>
            </w:tcBorders>
            <w:shd w:val="clear" w:color="auto" w:fill="auto"/>
            <w:vAlign w:val="center"/>
            <w:hideMark/>
          </w:tcPr>
          <w:p w:rsidR="00000587" w:rsidRPr="00393E31" w:rsidRDefault="00000587" w:rsidP="00F32FF4">
            <w:pPr>
              <w:spacing w:after="0" w:line="240" w:lineRule="auto"/>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 xml:space="preserve">1 - In the 2010-2015 model only short-term certificates (those requiring fewer than 24 semester credit hours) that represent the highest award earned at the time of a student's stop-out were counted. In the 2015-2020 </w:t>
            </w:r>
            <w:proofErr w:type="gramStart"/>
            <w:r w:rsidRPr="00393E31">
              <w:rPr>
                <w:rFonts w:ascii="Open Sans" w:eastAsia="Times New Roman" w:hAnsi="Open Sans" w:cs="Open Sans"/>
                <w:color w:val="000000"/>
                <w:sz w:val="17"/>
                <w:szCs w:val="17"/>
              </w:rPr>
              <w:t>model</w:t>
            </w:r>
            <w:proofErr w:type="gramEnd"/>
            <w:r w:rsidRPr="00393E31">
              <w:rPr>
                <w:rFonts w:ascii="Open Sans" w:eastAsia="Times New Roman" w:hAnsi="Open Sans" w:cs="Open Sans"/>
                <w:color w:val="000000"/>
                <w:sz w:val="17"/>
                <w:szCs w:val="17"/>
              </w:rPr>
              <w:t xml:space="preserve"> all </w:t>
            </w:r>
            <w:r w:rsidRPr="00393E31">
              <w:rPr>
                <w:rFonts w:ascii="Open Sans" w:eastAsia="Times New Roman" w:hAnsi="Open Sans" w:cs="Open Sans"/>
                <w:i/>
                <w:iCs/>
                <w:color w:val="000000"/>
                <w:sz w:val="17"/>
                <w:szCs w:val="17"/>
              </w:rPr>
              <w:t>technical</w:t>
            </w:r>
            <w:r w:rsidRPr="00393E31">
              <w:rPr>
                <w:rFonts w:ascii="Open Sans" w:eastAsia="Times New Roman" w:hAnsi="Open Sans" w:cs="Open Sans"/>
                <w:color w:val="000000"/>
                <w:sz w:val="17"/>
                <w:szCs w:val="17"/>
              </w:rPr>
              <w:t xml:space="preserve"> short-term certificates will be counted, regardless of whether a student stops-out or continues </w:t>
            </w:r>
            <w:r w:rsidR="00F32FF4" w:rsidRPr="00393E31">
              <w:rPr>
                <w:rFonts w:ascii="Open Sans" w:eastAsia="Times New Roman" w:hAnsi="Open Sans" w:cs="Open Sans"/>
                <w:color w:val="000000"/>
                <w:sz w:val="17"/>
                <w:szCs w:val="17"/>
              </w:rPr>
              <w:t>to be enrolled</w:t>
            </w:r>
            <w:r w:rsidRPr="00393E31">
              <w:rPr>
                <w:rFonts w:ascii="Open Sans" w:eastAsia="Times New Roman" w:hAnsi="Open Sans" w:cs="Open Sans"/>
                <w:color w:val="000000"/>
                <w:sz w:val="17"/>
                <w:szCs w:val="17"/>
              </w:rPr>
              <w:t xml:space="preserve">. Certificates defined as </w:t>
            </w:r>
            <w:r w:rsidRPr="00393E31">
              <w:rPr>
                <w:rFonts w:ascii="Open Sans" w:eastAsia="Times New Roman" w:hAnsi="Open Sans" w:cs="Open Sans"/>
                <w:i/>
                <w:iCs/>
                <w:color w:val="000000"/>
                <w:sz w:val="17"/>
                <w:szCs w:val="17"/>
              </w:rPr>
              <w:t>academic</w:t>
            </w:r>
            <w:r w:rsidRPr="00393E31">
              <w:rPr>
                <w:rFonts w:ascii="Open Sans" w:eastAsia="Times New Roman" w:hAnsi="Open Sans" w:cs="Open Sans"/>
                <w:color w:val="000000"/>
                <w:sz w:val="17"/>
                <w:szCs w:val="17"/>
              </w:rPr>
              <w:t xml:space="preserve"> are not counted as they are intended for transfer.</w:t>
            </w:r>
          </w:p>
        </w:tc>
      </w:tr>
      <w:tr w:rsidR="00000587" w:rsidRPr="00000587" w:rsidTr="00CC6A38">
        <w:trPr>
          <w:trHeight w:val="245"/>
        </w:trPr>
        <w:tc>
          <w:tcPr>
            <w:tcW w:w="9120" w:type="dxa"/>
            <w:gridSpan w:val="3"/>
            <w:vMerge/>
            <w:tcBorders>
              <w:top w:val="nil"/>
              <w:left w:val="nil"/>
              <w:bottom w:val="nil"/>
              <w:right w:val="nil"/>
            </w:tcBorders>
            <w:vAlign w:val="center"/>
            <w:hideMark/>
          </w:tcPr>
          <w:p w:rsidR="00000587" w:rsidRPr="00393E31" w:rsidRDefault="00000587" w:rsidP="00000587">
            <w:pPr>
              <w:spacing w:after="0" w:line="240" w:lineRule="auto"/>
              <w:rPr>
                <w:rFonts w:ascii="Open Sans" w:eastAsia="Times New Roman" w:hAnsi="Open Sans" w:cs="Open Sans"/>
                <w:color w:val="000000"/>
                <w:sz w:val="17"/>
                <w:szCs w:val="17"/>
              </w:rPr>
            </w:pPr>
          </w:p>
        </w:tc>
      </w:tr>
      <w:tr w:rsidR="00000587" w:rsidRPr="00000587" w:rsidTr="00CC6A38">
        <w:trPr>
          <w:trHeight w:val="245"/>
        </w:trPr>
        <w:tc>
          <w:tcPr>
            <w:tcW w:w="9120" w:type="dxa"/>
            <w:gridSpan w:val="3"/>
            <w:vMerge/>
            <w:tcBorders>
              <w:top w:val="nil"/>
              <w:left w:val="nil"/>
              <w:bottom w:val="nil"/>
              <w:right w:val="nil"/>
            </w:tcBorders>
            <w:vAlign w:val="center"/>
            <w:hideMark/>
          </w:tcPr>
          <w:p w:rsidR="00000587" w:rsidRPr="00393E31" w:rsidRDefault="00000587" w:rsidP="00000587">
            <w:pPr>
              <w:spacing w:after="0" w:line="240" w:lineRule="auto"/>
              <w:rPr>
                <w:rFonts w:ascii="Open Sans" w:eastAsia="Times New Roman" w:hAnsi="Open Sans" w:cs="Open Sans"/>
                <w:color w:val="000000"/>
                <w:sz w:val="17"/>
                <w:szCs w:val="17"/>
              </w:rPr>
            </w:pPr>
          </w:p>
        </w:tc>
      </w:tr>
      <w:tr w:rsidR="00000587" w:rsidRPr="00000587" w:rsidTr="00CC6A38">
        <w:trPr>
          <w:trHeight w:val="20"/>
        </w:trPr>
        <w:tc>
          <w:tcPr>
            <w:tcW w:w="4080" w:type="dxa"/>
            <w:tcBorders>
              <w:top w:val="nil"/>
              <w:left w:val="nil"/>
              <w:bottom w:val="nil"/>
              <w:right w:val="nil"/>
            </w:tcBorders>
            <w:shd w:val="clear" w:color="auto" w:fill="auto"/>
            <w:vAlign w:val="center"/>
            <w:hideMark/>
          </w:tcPr>
          <w:p w:rsidR="00000587" w:rsidRPr="00393E31" w:rsidRDefault="00000587" w:rsidP="00000587">
            <w:pPr>
              <w:spacing w:after="0" w:line="240" w:lineRule="auto"/>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2 - Outcome removed from consideration.</w:t>
            </w:r>
          </w:p>
        </w:tc>
        <w:tc>
          <w:tcPr>
            <w:tcW w:w="960" w:type="dxa"/>
            <w:tcBorders>
              <w:top w:val="nil"/>
              <w:left w:val="nil"/>
              <w:bottom w:val="nil"/>
              <w:right w:val="nil"/>
            </w:tcBorders>
            <w:shd w:val="clear" w:color="auto" w:fill="auto"/>
            <w:vAlign w:val="center"/>
            <w:hideMark/>
          </w:tcPr>
          <w:p w:rsidR="00000587" w:rsidRPr="00393E31" w:rsidRDefault="00000587" w:rsidP="00000587">
            <w:pPr>
              <w:spacing w:after="0" w:line="240" w:lineRule="auto"/>
              <w:rPr>
                <w:rFonts w:ascii="Open Sans" w:eastAsia="Times New Roman" w:hAnsi="Open Sans" w:cs="Open Sans"/>
                <w:color w:val="000000"/>
                <w:sz w:val="17"/>
                <w:szCs w:val="17"/>
              </w:rPr>
            </w:pPr>
          </w:p>
        </w:tc>
        <w:tc>
          <w:tcPr>
            <w:tcW w:w="4080" w:type="dxa"/>
            <w:tcBorders>
              <w:top w:val="nil"/>
              <w:left w:val="nil"/>
              <w:bottom w:val="nil"/>
              <w:right w:val="nil"/>
            </w:tcBorders>
            <w:shd w:val="clear" w:color="auto" w:fill="auto"/>
            <w:vAlign w:val="center"/>
            <w:hideMark/>
          </w:tcPr>
          <w:p w:rsidR="00000587" w:rsidRPr="00393E31" w:rsidRDefault="00000587" w:rsidP="00000587">
            <w:pPr>
              <w:spacing w:after="0" w:line="240" w:lineRule="auto"/>
              <w:rPr>
                <w:rFonts w:ascii="Open Sans" w:eastAsia="Times New Roman" w:hAnsi="Open Sans" w:cs="Open Sans"/>
                <w:color w:val="000000"/>
                <w:sz w:val="17"/>
                <w:szCs w:val="17"/>
              </w:rPr>
            </w:pPr>
          </w:p>
        </w:tc>
      </w:tr>
      <w:tr w:rsidR="00000587" w:rsidRPr="00000587" w:rsidTr="00CC6A38">
        <w:trPr>
          <w:trHeight w:val="245"/>
        </w:trPr>
        <w:tc>
          <w:tcPr>
            <w:tcW w:w="9120" w:type="dxa"/>
            <w:gridSpan w:val="3"/>
            <w:vMerge w:val="restart"/>
            <w:tcBorders>
              <w:top w:val="nil"/>
              <w:left w:val="nil"/>
              <w:bottom w:val="nil"/>
              <w:right w:val="nil"/>
            </w:tcBorders>
            <w:shd w:val="clear" w:color="auto" w:fill="auto"/>
            <w:vAlign w:val="bottom"/>
            <w:hideMark/>
          </w:tcPr>
          <w:p w:rsidR="00000587" w:rsidRPr="00393E31" w:rsidRDefault="00000587" w:rsidP="00F32FF4">
            <w:pPr>
              <w:spacing w:after="0" w:line="240" w:lineRule="auto"/>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 xml:space="preserve">3 - In the 2010-2015 </w:t>
            </w:r>
            <w:proofErr w:type="gramStart"/>
            <w:r w:rsidRPr="00393E31">
              <w:rPr>
                <w:rFonts w:ascii="Open Sans" w:eastAsia="Times New Roman" w:hAnsi="Open Sans" w:cs="Open Sans"/>
                <w:color w:val="000000"/>
                <w:sz w:val="17"/>
                <w:szCs w:val="17"/>
              </w:rPr>
              <w:t>model</w:t>
            </w:r>
            <w:proofErr w:type="gramEnd"/>
            <w:r w:rsidRPr="00393E31">
              <w:rPr>
                <w:rFonts w:ascii="Open Sans" w:eastAsia="Times New Roman" w:hAnsi="Open Sans" w:cs="Open Sans"/>
                <w:color w:val="000000"/>
                <w:sz w:val="17"/>
                <w:szCs w:val="17"/>
              </w:rPr>
              <w:t xml:space="preserve"> both non-degree-seeking and degree-seeking undergraduate students were included in the full-time enrollment (FTE) metric.</w:t>
            </w:r>
            <w:r w:rsidR="00F32FF4" w:rsidRPr="00393E31">
              <w:rPr>
                <w:rFonts w:ascii="Open Sans" w:eastAsia="Times New Roman" w:hAnsi="Open Sans" w:cs="Open Sans"/>
                <w:color w:val="000000"/>
                <w:sz w:val="17"/>
                <w:szCs w:val="17"/>
              </w:rPr>
              <w:t xml:space="preserve"> Due to refinements in the data,</w:t>
            </w:r>
            <w:r w:rsidRPr="00393E31">
              <w:rPr>
                <w:rFonts w:ascii="Open Sans" w:eastAsia="Times New Roman" w:hAnsi="Open Sans" w:cs="Open Sans"/>
                <w:color w:val="000000"/>
                <w:sz w:val="17"/>
                <w:szCs w:val="17"/>
              </w:rPr>
              <w:t xml:space="preserve"> only degree-seeking undergraduate students are included in the FTE metric</w:t>
            </w:r>
            <w:r w:rsidR="00F32FF4" w:rsidRPr="00393E31">
              <w:rPr>
                <w:rFonts w:ascii="Open Sans" w:eastAsia="Times New Roman" w:hAnsi="Open Sans" w:cs="Open Sans"/>
                <w:color w:val="000000"/>
                <w:sz w:val="17"/>
                <w:szCs w:val="17"/>
              </w:rPr>
              <w:t xml:space="preserve"> in the 2015-2020 model</w:t>
            </w:r>
            <w:r w:rsidRPr="00393E31">
              <w:rPr>
                <w:rFonts w:ascii="Open Sans" w:eastAsia="Times New Roman" w:hAnsi="Open Sans" w:cs="Open Sans"/>
                <w:color w:val="000000"/>
                <w:sz w:val="17"/>
                <w:szCs w:val="17"/>
              </w:rPr>
              <w:t>.</w:t>
            </w:r>
          </w:p>
        </w:tc>
      </w:tr>
      <w:tr w:rsidR="00000587" w:rsidRPr="00000587" w:rsidTr="00CC6A38">
        <w:trPr>
          <w:trHeight w:val="245"/>
        </w:trPr>
        <w:tc>
          <w:tcPr>
            <w:tcW w:w="9120" w:type="dxa"/>
            <w:gridSpan w:val="3"/>
            <w:vMerge/>
            <w:tcBorders>
              <w:top w:val="nil"/>
              <w:left w:val="nil"/>
              <w:bottom w:val="nil"/>
              <w:right w:val="nil"/>
            </w:tcBorders>
            <w:vAlign w:val="center"/>
            <w:hideMark/>
          </w:tcPr>
          <w:p w:rsidR="00000587" w:rsidRPr="00393E31" w:rsidRDefault="00000587" w:rsidP="00000587">
            <w:pPr>
              <w:spacing w:after="0" w:line="240" w:lineRule="auto"/>
              <w:rPr>
                <w:rFonts w:ascii="Open Sans" w:eastAsia="Times New Roman" w:hAnsi="Open Sans" w:cs="Open Sans"/>
                <w:color w:val="000000"/>
                <w:sz w:val="17"/>
                <w:szCs w:val="17"/>
              </w:rPr>
            </w:pPr>
          </w:p>
        </w:tc>
      </w:tr>
      <w:tr w:rsidR="00000587" w:rsidRPr="00000587" w:rsidTr="00CC6A38">
        <w:trPr>
          <w:trHeight w:val="245"/>
        </w:trPr>
        <w:tc>
          <w:tcPr>
            <w:tcW w:w="9120" w:type="dxa"/>
            <w:gridSpan w:val="3"/>
            <w:vMerge/>
            <w:tcBorders>
              <w:top w:val="nil"/>
              <w:left w:val="nil"/>
              <w:bottom w:val="nil"/>
              <w:right w:val="nil"/>
            </w:tcBorders>
            <w:vAlign w:val="center"/>
            <w:hideMark/>
          </w:tcPr>
          <w:p w:rsidR="00000587" w:rsidRPr="00393E31" w:rsidRDefault="00000587" w:rsidP="00000587">
            <w:pPr>
              <w:spacing w:after="0" w:line="240" w:lineRule="auto"/>
              <w:rPr>
                <w:rFonts w:ascii="Open Sans" w:eastAsia="Times New Roman" w:hAnsi="Open Sans" w:cs="Open Sans"/>
                <w:color w:val="000000"/>
                <w:sz w:val="17"/>
                <w:szCs w:val="17"/>
              </w:rPr>
            </w:pPr>
          </w:p>
        </w:tc>
      </w:tr>
      <w:tr w:rsidR="00000587" w:rsidRPr="00000587" w:rsidTr="00CC6A38">
        <w:trPr>
          <w:trHeight w:val="220"/>
        </w:trPr>
        <w:tc>
          <w:tcPr>
            <w:tcW w:w="9120" w:type="dxa"/>
            <w:gridSpan w:val="3"/>
            <w:tcBorders>
              <w:top w:val="nil"/>
              <w:left w:val="nil"/>
              <w:bottom w:val="nil"/>
              <w:right w:val="nil"/>
            </w:tcBorders>
            <w:shd w:val="clear" w:color="auto" w:fill="auto"/>
            <w:hideMark/>
          </w:tcPr>
          <w:p w:rsidR="00000587" w:rsidRPr="00393E31" w:rsidRDefault="00000587" w:rsidP="00000587">
            <w:pPr>
              <w:spacing w:after="0" w:line="240" w:lineRule="auto"/>
              <w:rPr>
                <w:rFonts w:ascii="Open Sans" w:eastAsia="Times New Roman" w:hAnsi="Open Sans" w:cs="Open Sans"/>
                <w:color w:val="000000"/>
                <w:sz w:val="17"/>
                <w:szCs w:val="17"/>
              </w:rPr>
            </w:pPr>
            <w:r w:rsidRPr="00393E31">
              <w:rPr>
                <w:rFonts w:ascii="Open Sans" w:eastAsia="Times New Roman" w:hAnsi="Open Sans" w:cs="Open Sans"/>
                <w:color w:val="000000"/>
                <w:sz w:val="17"/>
                <w:szCs w:val="17"/>
              </w:rPr>
              <w:t>4 – Defined as students who either required remediation; scored an 18 or below on the ACT Composite, ACT Mathematics or ACT Reading</w:t>
            </w:r>
            <w:r w:rsidR="00F32FF4" w:rsidRPr="00393E31">
              <w:rPr>
                <w:rFonts w:ascii="Open Sans" w:eastAsia="Times New Roman" w:hAnsi="Open Sans" w:cs="Open Sans"/>
                <w:color w:val="000000"/>
                <w:sz w:val="17"/>
                <w:szCs w:val="17"/>
              </w:rPr>
              <w:t xml:space="preserve"> component</w:t>
            </w:r>
            <w:r w:rsidRPr="00393E31">
              <w:rPr>
                <w:rFonts w:ascii="Open Sans" w:eastAsia="Times New Roman" w:hAnsi="Open Sans" w:cs="Open Sans"/>
                <w:color w:val="000000"/>
                <w:sz w:val="17"/>
                <w:szCs w:val="17"/>
              </w:rPr>
              <w:t>; or scored a 17 or below on the ACT Writing component.</w:t>
            </w:r>
          </w:p>
        </w:tc>
      </w:tr>
    </w:tbl>
    <w:p w:rsidR="005D5F53" w:rsidRDefault="005D5F53" w:rsidP="00000587">
      <w:pPr>
        <w:spacing w:after="0" w:line="240" w:lineRule="auto"/>
        <w:rPr>
          <w:rFonts w:eastAsia="Times New Roman" w:cs="Times New Roman"/>
          <w:color w:val="000000"/>
          <w:sz w:val="18"/>
          <w:szCs w:val="20"/>
        </w:rPr>
        <w:sectPr w:rsidR="005D5F53" w:rsidSect="005D5F53">
          <w:pgSz w:w="12240" w:h="15840"/>
          <w:pgMar w:top="1440" w:right="1440" w:bottom="1440" w:left="1440" w:header="720" w:footer="720" w:gutter="0"/>
          <w:cols w:space="720"/>
          <w:docGrid w:linePitch="360"/>
        </w:sectPr>
      </w:pPr>
    </w:p>
    <w:tbl>
      <w:tblPr>
        <w:tblW w:w="9120" w:type="dxa"/>
        <w:tblInd w:w="93" w:type="dxa"/>
        <w:tblLook w:val="04A0" w:firstRow="1" w:lastRow="0" w:firstColumn="1" w:lastColumn="0" w:noHBand="0" w:noVBand="1"/>
      </w:tblPr>
      <w:tblGrid>
        <w:gridCol w:w="9120"/>
      </w:tblGrid>
      <w:tr w:rsidR="00000587" w:rsidRPr="00000587" w:rsidTr="00CC6A38">
        <w:trPr>
          <w:trHeight w:val="220"/>
        </w:trPr>
        <w:tc>
          <w:tcPr>
            <w:tcW w:w="9120" w:type="dxa"/>
            <w:tcBorders>
              <w:top w:val="nil"/>
              <w:left w:val="nil"/>
              <w:bottom w:val="nil"/>
              <w:right w:val="nil"/>
            </w:tcBorders>
            <w:vAlign w:val="center"/>
            <w:hideMark/>
          </w:tcPr>
          <w:p w:rsidR="00000587" w:rsidRPr="00000587" w:rsidRDefault="00000587" w:rsidP="00000587">
            <w:pPr>
              <w:spacing w:after="0" w:line="240" w:lineRule="auto"/>
              <w:rPr>
                <w:rFonts w:eastAsia="Times New Roman" w:cs="Times New Roman"/>
                <w:color w:val="000000"/>
                <w:sz w:val="18"/>
                <w:szCs w:val="20"/>
              </w:rPr>
            </w:pPr>
          </w:p>
        </w:tc>
      </w:tr>
      <w:tr w:rsidR="0020702B" w:rsidRPr="00DA7AF9" w:rsidTr="005D5F53">
        <w:trPr>
          <w:trHeight w:val="74"/>
        </w:trPr>
        <w:tc>
          <w:tcPr>
            <w:tcW w:w="9120" w:type="dxa"/>
            <w:tcBorders>
              <w:top w:val="nil"/>
              <w:left w:val="nil"/>
              <w:bottom w:val="nil"/>
              <w:right w:val="nil"/>
            </w:tcBorders>
            <w:vAlign w:val="center"/>
            <w:hideMark/>
          </w:tcPr>
          <w:p w:rsidR="0020702B" w:rsidRPr="00DA7AF9" w:rsidRDefault="0020702B" w:rsidP="00CC6A38">
            <w:pPr>
              <w:rPr>
                <w:rFonts w:ascii="Calibri" w:hAnsi="Calibri"/>
                <w:color w:val="000000"/>
                <w:sz w:val="18"/>
              </w:rPr>
            </w:pPr>
          </w:p>
        </w:tc>
      </w:tr>
    </w:tbl>
    <w:p w:rsidR="00000587" w:rsidRPr="00393E31" w:rsidRDefault="005D5F53" w:rsidP="005D5F53">
      <w:pPr>
        <w:jc w:val="center"/>
        <w:rPr>
          <w:rFonts w:ascii="Open Sans" w:hAnsi="Open Sans" w:cs="Open Sans"/>
          <w:b/>
          <w:sz w:val="16"/>
          <w:szCs w:val="16"/>
        </w:rPr>
      </w:pPr>
      <w:r w:rsidRPr="00393E31">
        <w:rPr>
          <w:rFonts w:ascii="Open Sans" w:hAnsi="Open Sans" w:cs="Open Sans"/>
          <w:b/>
          <w:sz w:val="16"/>
          <w:szCs w:val="16"/>
        </w:rPr>
        <w:t>Ap</w:t>
      </w:r>
      <w:r w:rsidR="00000587" w:rsidRPr="00393E31">
        <w:rPr>
          <w:rFonts w:ascii="Open Sans" w:hAnsi="Open Sans" w:cs="Open Sans"/>
          <w:b/>
          <w:sz w:val="16"/>
          <w:szCs w:val="16"/>
        </w:rPr>
        <w:t xml:space="preserve">pendix </w:t>
      </w:r>
      <w:r w:rsidRPr="00393E31">
        <w:rPr>
          <w:rFonts w:ascii="Open Sans" w:hAnsi="Open Sans" w:cs="Open Sans"/>
          <w:b/>
          <w:sz w:val="16"/>
          <w:szCs w:val="16"/>
        </w:rPr>
        <w:t>E</w:t>
      </w:r>
    </w:p>
    <w:tbl>
      <w:tblPr>
        <w:tblpPr w:leftFromText="180" w:rightFromText="180" w:vertAnchor="page" w:horzAnchor="margin" w:tblpXSpec="center" w:tblpY="2269"/>
        <w:tblW w:w="12240" w:type="dxa"/>
        <w:tblLook w:val="04A0" w:firstRow="1" w:lastRow="0" w:firstColumn="1" w:lastColumn="0" w:noHBand="0" w:noVBand="1"/>
      </w:tblPr>
      <w:tblGrid>
        <w:gridCol w:w="2785"/>
        <w:gridCol w:w="100"/>
        <w:gridCol w:w="672"/>
        <w:gridCol w:w="104"/>
        <w:gridCol w:w="668"/>
        <w:gridCol w:w="100"/>
        <w:gridCol w:w="672"/>
        <w:gridCol w:w="104"/>
        <w:gridCol w:w="668"/>
        <w:gridCol w:w="102"/>
        <w:gridCol w:w="670"/>
        <w:gridCol w:w="102"/>
        <w:gridCol w:w="670"/>
        <w:gridCol w:w="98"/>
        <w:gridCol w:w="674"/>
        <w:gridCol w:w="105"/>
        <w:gridCol w:w="667"/>
        <w:gridCol w:w="103"/>
        <w:gridCol w:w="669"/>
        <w:gridCol w:w="102"/>
        <w:gridCol w:w="670"/>
        <w:gridCol w:w="102"/>
        <w:gridCol w:w="670"/>
        <w:gridCol w:w="102"/>
        <w:gridCol w:w="670"/>
        <w:gridCol w:w="102"/>
        <w:gridCol w:w="670"/>
        <w:gridCol w:w="95"/>
      </w:tblGrid>
      <w:tr w:rsidR="00000587" w:rsidRPr="00393E31" w:rsidTr="00CC6A38">
        <w:trPr>
          <w:trHeight w:val="315"/>
        </w:trPr>
        <w:tc>
          <w:tcPr>
            <w:tcW w:w="12240" w:type="dxa"/>
            <w:gridSpan w:val="28"/>
            <w:tcBorders>
              <w:top w:val="nil"/>
              <w:left w:val="nil"/>
              <w:right w:val="nil"/>
            </w:tcBorders>
            <w:shd w:val="clear" w:color="auto" w:fill="auto"/>
            <w:noWrap/>
            <w:vAlign w:val="bottom"/>
          </w:tcPr>
          <w:p w:rsidR="00000587" w:rsidRPr="00393E31" w:rsidRDefault="00000587"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Community College Weights</w:t>
            </w:r>
          </w:p>
        </w:tc>
      </w:tr>
      <w:tr w:rsidR="000559B3" w:rsidRPr="00393E31" w:rsidTr="005D5F53">
        <w:trPr>
          <w:trHeight w:val="315"/>
        </w:trPr>
        <w:tc>
          <w:tcPr>
            <w:tcW w:w="2880" w:type="dxa"/>
            <w:gridSpan w:val="2"/>
            <w:tcBorders>
              <w:left w:val="nil"/>
              <w:bottom w:val="single" w:sz="4" w:space="0" w:color="auto"/>
              <w:right w:val="nil"/>
            </w:tcBorders>
            <w:shd w:val="clear" w:color="auto" w:fill="auto"/>
            <w:noWrap/>
            <w:vAlign w:val="bottom"/>
            <w:hideMark/>
          </w:tcPr>
          <w:p w:rsidR="000559B3" w:rsidRPr="00393E31" w:rsidRDefault="00000587" w:rsidP="000559B3">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Outcomes</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CHSCC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CLSCC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COSCC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DSCC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JSCC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MSCC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NASCC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NESCC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PSCC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RSCC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STCC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VSCC</w:t>
            </w:r>
          </w:p>
        </w:tc>
        <w:tc>
          <w:tcPr>
            <w:tcW w:w="720" w:type="dxa"/>
            <w:gridSpan w:val="2"/>
            <w:tcBorders>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WSCC</w:t>
            </w:r>
          </w:p>
        </w:tc>
      </w:tr>
      <w:tr w:rsidR="000559B3" w:rsidRPr="00393E31" w:rsidTr="005D5F53">
        <w:trPr>
          <w:trHeight w:val="315"/>
        </w:trPr>
        <w:tc>
          <w:tcPr>
            <w:tcW w:w="2880" w:type="dxa"/>
            <w:gridSpan w:val="2"/>
            <w:tcBorders>
              <w:top w:val="nil"/>
              <w:left w:val="nil"/>
              <w:bottom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Students Accumulating 12 hrs</w:t>
            </w:r>
            <w:r w:rsidR="00F32FF4" w:rsidRPr="00393E31">
              <w:rPr>
                <w:rFonts w:ascii="Open Sans" w:eastAsia="Times New Roman" w:hAnsi="Open Sans" w:cs="Open Sans"/>
                <w:sz w:val="16"/>
                <w:szCs w:val="16"/>
              </w:rPr>
              <w:t>.</w:t>
            </w:r>
          </w:p>
        </w:tc>
        <w:tc>
          <w:tcPr>
            <w:tcW w:w="720" w:type="dxa"/>
            <w:gridSpan w:val="2"/>
            <w:tcBorders>
              <w:top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720" w:type="dxa"/>
            <w:gridSpan w:val="2"/>
            <w:tcBorders>
              <w:top w:val="nil"/>
              <w:left w:val="nil"/>
              <w:bottom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r>
      <w:tr w:rsidR="000559B3" w:rsidRPr="00393E31" w:rsidTr="005D5F53">
        <w:trPr>
          <w:trHeight w:val="315"/>
        </w:trPr>
        <w:tc>
          <w:tcPr>
            <w:tcW w:w="2880" w:type="dxa"/>
            <w:gridSpan w:val="2"/>
            <w:tcBorders>
              <w:top w:val="nil"/>
              <w:left w:val="nil"/>
              <w:bottom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Students Accumulating 24 hrs</w:t>
            </w:r>
            <w:r w:rsidR="00F32FF4" w:rsidRPr="00393E31">
              <w:rPr>
                <w:rFonts w:ascii="Open Sans" w:eastAsia="Times New Roman" w:hAnsi="Open Sans" w:cs="Open Sans"/>
                <w:sz w:val="16"/>
                <w:szCs w:val="16"/>
              </w:rPr>
              <w:t>.</w:t>
            </w:r>
          </w:p>
        </w:tc>
        <w:tc>
          <w:tcPr>
            <w:tcW w:w="720" w:type="dxa"/>
            <w:gridSpan w:val="2"/>
            <w:tcBorders>
              <w:top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r>
      <w:tr w:rsidR="000559B3" w:rsidRPr="00393E31" w:rsidTr="005D5F53">
        <w:trPr>
          <w:trHeight w:val="315"/>
        </w:trPr>
        <w:tc>
          <w:tcPr>
            <w:tcW w:w="2880" w:type="dxa"/>
            <w:gridSpan w:val="2"/>
            <w:tcBorders>
              <w:top w:val="nil"/>
              <w:left w:val="nil"/>
              <w:bottom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Students Accumulating 36 hrs</w:t>
            </w:r>
            <w:r w:rsidR="00F32FF4" w:rsidRPr="00393E31">
              <w:rPr>
                <w:rFonts w:ascii="Open Sans" w:eastAsia="Times New Roman" w:hAnsi="Open Sans" w:cs="Open Sans"/>
                <w:sz w:val="16"/>
                <w:szCs w:val="16"/>
              </w:rPr>
              <w:t>.</w:t>
            </w:r>
          </w:p>
        </w:tc>
        <w:tc>
          <w:tcPr>
            <w:tcW w:w="720" w:type="dxa"/>
            <w:gridSpan w:val="2"/>
            <w:tcBorders>
              <w:top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c>
          <w:tcPr>
            <w:tcW w:w="720" w:type="dxa"/>
            <w:gridSpan w:val="2"/>
            <w:tcBorders>
              <w:top w:val="nil"/>
              <w:lef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7.0%</w:t>
            </w:r>
          </w:p>
        </w:tc>
      </w:tr>
      <w:tr w:rsidR="000559B3" w:rsidRPr="00393E31" w:rsidTr="004954BA">
        <w:trPr>
          <w:trHeight w:val="315"/>
        </w:trPr>
        <w:tc>
          <w:tcPr>
            <w:tcW w:w="288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Dual Enrollment</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top w:val="nil"/>
              <w:left w:val="nil"/>
              <w:bottom w:val="nil"/>
              <w:right w:val="nil"/>
            </w:tcBorders>
            <w:shd w:val="clear" w:color="auto" w:fill="auto"/>
            <w:noWrap/>
            <w:vAlign w:val="bottom"/>
            <w:hideMark/>
          </w:tcPr>
          <w:p w:rsidR="000559B3" w:rsidRPr="00393E31" w:rsidRDefault="00393E31" w:rsidP="00393E31">
            <w:pPr>
              <w:spacing w:after="0" w:line="240" w:lineRule="auto"/>
              <w:jc w:val="right"/>
              <w:rPr>
                <w:rFonts w:ascii="Open Sans" w:eastAsia="Times New Roman" w:hAnsi="Open Sans" w:cs="Open Sans"/>
                <w:sz w:val="16"/>
                <w:szCs w:val="16"/>
              </w:rPr>
            </w:pPr>
            <w:r>
              <w:rPr>
                <w:rFonts w:ascii="Open Sans" w:eastAsia="Times New Roman" w:hAnsi="Open Sans" w:cs="Open Sans"/>
                <w:sz w:val="16"/>
                <w:szCs w:val="16"/>
              </w:rPr>
              <w:t>7.5%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393E31">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w:t>
            </w:r>
            <w:r w:rsidR="00393E31">
              <w:rPr>
                <w:rFonts w:ascii="Open Sans" w:eastAsia="Times New Roman" w:hAnsi="Open Sans" w:cs="Open Sans"/>
                <w:sz w:val="16"/>
                <w:szCs w:val="16"/>
              </w:rPr>
              <w:t>2.5</w:t>
            </w:r>
            <w:r w:rsidRPr="00393E31">
              <w:rPr>
                <w:rFonts w:ascii="Open Sans" w:eastAsia="Times New Roman" w:hAnsi="Open Sans" w:cs="Open Sans"/>
                <w:sz w:val="16"/>
                <w:szCs w:val="16"/>
              </w:rPr>
              <w:t>%</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r>
      <w:tr w:rsidR="000559B3" w:rsidRPr="00393E31" w:rsidTr="005D5F53">
        <w:trPr>
          <w:trHeight w:val="315"/>
        </w:trPr>
        <w:tc>
          <w:tcPr>
            <w:tcW w:w="2880" w:type="dxa"/>
            <w:gridSpan w:val="2"/>
            <w:tcBorders>
              <w:top w:val="nil"/>
              <w:left w:val="nil"/>
              <w:bottom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Associates</w:t>
            </w:r>
          </w:p>
        </w:tc>
        <w:tc>
          <w:tcPr>
            <w:tcW w:w="720" w:type="dxa"/>
            <w:gridSpan w:val="2"/>
            <w:tcBorders>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720" w:type="dxa"/>
            <w:gridSpan w:val="2"/>
            <w:tcBorders>
              <w:lef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r>
      <w:tr w:rsidR="000559B3" w:rsidRPr="00393E31" w:rsidTr="005D5F53">
        <w:trPr>
          <w:trHeight w:val="315"/>
        </w:trPr>
        <w:tc>
          <w:tcPr>
            <w:tcW w:w="2880" w:type="dxa"/>
            <w:gridSpan w:val="2"/>
            <w:tcBorders>
              <w:top w:val="nil"/>
              <w:left w:val="nil"/>
              <w:bottom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1-2 Year Certificates</w:t>
            </w:r>
          </w:p>
        </w:tc>
        <w:tc>
          <w:tcPr>
            <w:tcW w:w="720" w:type="dxa"/>
            <w:gridSpan w:val="2"/>
            <w:tcBorders>
              <w:top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17.5%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12.5%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2.5%</w:t>
            </w:r>
          </w:p>
        </w:tc>
      </w:tr>
      <w:tr w:rsidR="000559B3" w:rsidRPr="00393E31" w:rsidTr="005D5F53">
        <w:trPr>
          <w:trHeight w:val="315"/>
        </w:trPr>
        <w:tc>
          <w:tcPr>
            <w:tcW w:w="2880" w:type="dxa"/>
            <w:gridSpan w:val="2"/>
            <w:tcBorders>
              <w:top w:val="nil"/>
              <w:left w:val="nil"/>
              <w:bottom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&lt;1yr Certificates</w:t>
            </w:r>
          </w:p>
        </w:tc>
        <w:tc>
          <w:tcPr>
            <w:tcW w:w="720" w:type="dxa"/>
            <w:gridSpan w:val="2"/>
            <w:tcBorders>
              <w:top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17.5%</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2.5%</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20.0%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20.0%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17.5%</w:t>
            </w:r>
          </w:p>
        </w:tc>
        <w:tc>
          <w:tcPr>
            <w:tcW w:w="720" w:type="dxa"/>
            <w:gridSpan w:val="2"/>
            <w:tcBorders>
              <w:top w:val="nil"/>
              <w:left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top w:val="nil"/>
              <w:lef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17.5%</w:t>
            </w:r>
          </w:p>
        </w:tc>
      </w:tr>
      <w:tr w:rsidR="000559B3" w:rsidRPr="00393E31" w:rsidTr="005D5F53">
        <w:trPr>
          <w:trHeight w:val="315"/>
        </w:trPr>
        <w:tc>
          <w:tcPr>
            <w:tcW w:w="288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Job Placements</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left w:val="nil"/>
              <w:bottom w:val="nil"/>
              <w:right w:val="nil"/>
            </w:tcBorders>
            <w:shd w:val="clear" w:color="auto" w:fill="auto"/>
            <w:noWrap/>
            <w:vAlign w:val="bottom"/>
            <w:hideMark/>
          </w:tcPr>
          <w:p w:rsidR="000559B3" w:rsidRPr="00393E31" w:rsidRDefault="00393E31" w:rsidP="000559B3">
            <w:pPr>
              <w:spacing w:after="0" w:line="240" w:lineRule="auto"/>
              <w:jc w:val="right"/>
              <w:rPr>
                <w:rFonts w:ascii="Open Sans" w:eastAsia="Times New Roman" w:hAnsi="Open Sans" w:cs="Open Sans"/>
                <w:sz w:val="16"/>
                <w:szCs w:val="16"/>
              </w:rPr>
            </w:pPr>
            <w:r>
              <w:rPr>
                <w:rFonts w:ascii="Open Sans" w:eastAsia="Times New Roman" w:hAnsi="Open Sans" w:cs="Open Sans"/>
                <w:sz w:val="16"/>
                <w:szCs w:val="16"/>
              </w:rPr>
              <w:t>7.5</w:t>
            </w:r>
            <w:r w:rsidR="000559B3" w:rsidRPr="00393E31">
              <w:rPr>
                <w:rFonts w:ascii="Open Sans" w:eastAsia="Times New Roman" w:hAnsi="Open Sans" w:cs="Open Sans"/>
                <w:sz w:val="16"/>
                <w:szCs w:val="16"/>
              </w:rPr>
              <w:t>%</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r>
      <w:tr w:rsidR="000559B3" w:rsidRPr="00393E31" w:rsidTr="004954BA">
        <w:trPr>
          <w:trHeight w:val="315"/>
        </w:trPr>
        <w:tc>
          <w:tcPr>
            <w:tcW w:w="288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Transfers Out with 12 hrs</w:t>
            </w:r>
            <w:r w:rsidR="00F32FF4" w:rsidRPr="00393E31">
              <w:rPr>
                <w:rFonts w:ascii="Open Sans" w:eastAsia="Times New Roman" w:hAnsi="Open Sans" w:cs="Open Sans"/>
                <w:sz w:val="16"/>
                <w:szCs w:val="16"/>
              </w:rPr>
              <w:t>.</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393E31" w:rsidP="000559B3">
            <w:pPr>
              <w:spacing w:after="0" w:line="240" w:lineRule="auto"/>
              <w:jc w:val="right"/>
              <w:rPr>
                <w:rFonts w:ascii="Open Sans" w:eastAsia="Times New Roman" w:hAnsi="Open Sans" w:cs="Open Sans"/>
                <w:sz w:val="16"/>
                <w:szCs w:val="16"/>
              </w:rPr>
            </w:pPr>
            <w:r>
              <w:rPr>
                <w:rFonts w:ascii="Open Sans" w:eastAsia="Times New Roman" w:hAnsi="Open Sans" w:cs="Open Sans"/>
                <w:sz w:val="16"/>
                <w:szCs w:val="16"/>
              </w:rPr>
              <w:t>12.5</w:t>
            </w:r>
            <w:r w:rsidR="000559B3" w:rsidRPr="00393E31">
              <w:rPr>
                <w:rFonts w:ascii="Open Sans" w:eastAsia="Times New Roman" w:hAnsi="Open Sans" w:cs="Open Sans"/>
                <w:sz w:val="16"/>
                <w:szCs w:val="16"/>
              </w:rPr>
              <w:t>%</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r>
      <w:tr w:rsidR="000559B3" w:rsidRPr="00393E31" w:rsidTr="004954BA">
        <w:trPr>
          <w:trHeight w:val="315"/>
        </w:trPr>
        <w:tc>
          <w:tcPr>
            <w:tcW w:w="288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Workforce Training (Contact Hours)</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720" w:type="dxa"/>
            <w:gridSpan w:val="2"/>
            <w:tcBorders>
              <w:top w:val="nil"/>
              <w:left w:val="nil"/>
              <w:bottom w:val="nil"/>
              <w:right w:val="nil"/>
            </w:tcBorders>
            <w:shd w:val="clear" w:color="auto" w:fill="auto"/>
            <w:noWrap/>
            <w:vAlign w:val="bottom"/>
            <w:hideMark/>
          </w:tcPr>
          <w:p w:rsidR="000559B3" w:rsidRPr="00393E31" w:rsidRDefault="00393E31" w:rsidP="000559B3">
            <w:pPr>
              <w:spacing w:after="0" w:line="240" w:lineRule="auto"/>
              <w:jc w:val="right"/>
              <w:rPr>
                <w:rFonts w:ascii="Open Sans" w:eastAsia="Times New Roman" w:hAnsi="Open Sans" w:cs="Open Sans"/>
                <w:sz w:val="16"/>
                <w:szCs w:val="16"/>
              </w:rPr>
            </w:pPr>
            <w:r>
              <w:rPr>
                <w:rFonts w:ascii="Open Sans" w:eastAsia="Times New Roman" w:hAnsi="Open Sans" w:cs="Open Sans"/>
                <w:sz w:val="16"/>
                <w:szCs w:val="16"/>
              </w:rPr>
              <w:t>10.0</w:t>
            </w:r>
            <w:r w:rsidR="000559B3" w:rsidRPr="00393E31">
              <w:rPr>
                <w:rFonts w:ascii="Open Sans" w:eastAsia="Times New Roman" w:hAnsi="Open Sans" w:cs="Open Sans"/>
                <w:sz w:val="16"/>
                <w:szCs w:val="16"/>
              </w:rPr>
              <w:t>%</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393E31">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w:t>
            </w:r>
            <w:r w:rsidR="00393E31">
              <w:rPr>
                <w:rFonts w:ascii="Open Sans" w:eastAsia="Times New Roman" w:hAnsi="Open Sans" w:cs="Open Sans"/>
                <w:sz w:val="16"/>
                <w:szCs w:val="16"/>
              </w:rPr>
              <w:t>2.5</w:t>
            </w:r>
            <w:r w:rsidRPr="00393E31">
              <w:rPr>
                <w:rFonts w:ascii="Open Sans" w:eastAsia="Times New Roman" w:hAnsi="Open Sans" w:cs="Open Sans"/>
                <w:sz w:val="16"/>
                <w:szCs w:val="16"/>
              </w:rPr>
              <w:t>%</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r>
      <w:tr w:rsidR="000559B3" w:rsidRPr="00393E31" w:rsidTr="004954BA">
        <w:trPr>
          <w:trHeight w:val="315"/>
        </w:trPr>
        <w:tc>
          <w:tcPr>
            <w:tcW w:w="288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Awards per 100 FTE</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720" w:type="dxa"/>
            <w:gridSpan w:val="2"/>
            <w:tcBorders>
              <w:top w:val="nil"/>
              <w:left w:val="nil"/>
              <w:bottom w:val="single" w:sz="4" w:space="0" w:color="auto"/>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r>
      <w:tr w:rsidR="000559B3" w:rsidRPr="00393E31" w:rsidTr="004954BA">
        <w:trPr>
          <w:gridAfter w:val="1"/>
          <w:wAfter w:w="95" w:type="dxa"/>
          <w:trHeight w:val="315"/>
        </w:trPr>
        <w:tc>
          <w:tcPr>
            <w:tcW w:w="2785" w:type="dxa"/>
            <w:tcBorders>
              <w:top w:val="nil"/>
              <w:left w:val="nil"/>
              <w:bottom w:val="nil"/>
              <w:right w:val="nil"/>
            </w:tcBorders>
            <w:shd w:val="clear" w:color="auto" w:fill="auto"/>
            <w:noWrap/>
            <w:vAlign w:val="bottom"/>
            <w:hideMark/>
          </w:tcPr>
          <w:p w:rsidR="000559B3" w:rsidRPr="00393E31" w:rsidRDefault="000559B3" w:rsidP="000559B3">
            <w:pPr>
              <w:spacing w:after="0" w:line="240" w:lineRule="auto"/>
              <w:jc w:val="right"/>
              <w:rPr>
                <w:rFonts w:ascii="Open Sans" w:eastAsia="Times New Roman" w:hAnsi="Open Sans" w:cs="Open Sans"/>
                <w:b/>
                <w:bCs/>
                <w:color w:val="FF0000"/>
                <w:sz w:val="16"/>
                <w:szCs w:val="16"/>
              </w:rPr>
            </w:pP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720" w:type="dxa"/>
            <w:gridSpan w:val="2"/>
            <w:tcBorders>
              <w:top w:val="nil"/>
              <w:left w:val="nil"/>
              <w:bottom w:val="nil"/>
              <w:right w:val="nil"/>
            </w:tcBorders>
            <w:shd w:val="clear" w:color="auto" w:fill="auto"/>
            <w:noWrap/>
            <w:vAlign w:val="bottom"/>
            <w:hideMark/>
          </w:tcPr>
          <w:p w:rsidR="000559B3" w:rsidRPr="00393E31" w:rsidRDefault="000559B3" w:rsidP="001A3897">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r>
    </w:tbl>
    <w:p w:rsidR="002156E5" w:rsidRPr="00393E31" w:rsidRDefault="002156E5" w:rsidP="000559B3">
      <w:pPr>
        <w:rPr>
          <w:rFonts w:ascii="Open Sans" w:hAnsi="Open Sans" w:cs="Open Sans"/>
          <w:sz w:val="16"/>
          <w:szCs w:val="16"/>
        </w:rPr>
      </w:pPr>
    </w:p>
    <w:tbl>
      <w:tblPr>
        <w:tblW w:w="12650" w:type="dxa"/>
        <w:tblInd w:w="108" w:type="dxa"/>
        <w:tblLook w:val="04A0" w:firstRow="1" w:lastRow="0" w:firstColumn="1" w:lastColumn="0" w:noHBand="0" w:noVBand="1"/>
      </w:tblPr>
      <w:tblGrid>
        <w:gridCol w:w="3206"/>
        <w:gridCol w:w="1049"/>
        <w:gridCol w:w="1049"/>
        <w:gridCol w:w="1049"/>
        <w:gridCol w:w="1049"/>
        <w:gridCol w:w="1049"/>
        <w:gridCol w:w="1049"/>
        <w:gridCol w:w="1049"/>
        <w:gridCol w:w="1049"/>
        <w:gridCol w:w="1052"/>
      </w:tblGrid>
      <w:tr w:rsidR="005D5F53" w:rsidRPr="00393E31" w:rsidTr="00CC6A38">
        <w:trPr>
          <w:trHeight w:val="278"/>
        </w:trPr>
        <w:tc>
          <w:tcPr>
            <w:tcW w:w="12650" w:type="dxa"/>
            <w:gridSpan w:val="10"/>
            <w:tcBorders>
              <w:top w:val="nil"/>
              <w:left w:val="nil"/>
              <w:right w:val="nil"/>
            </w:tcBorders>
            <w:shd w:val="clear" w:color="auto" w:fill="auto"/>
            <w:noWrap/>
            <w:vAlign w:val="bottom"/>
          </w:tcPr>
          <w:p w:rsidR="005D5F53" w:rsidRPr="00393E31" w:rsidRDefault="005D5F53"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University Weights</w:t>
            </w:r>
          </w:p>
        </w:tc>
      </w:tr>
      <w:tr w:rsidR="004954BA" w:rsidRPr="00393E31" w:rsidTr="00CC6A38">
        <w:trPr>
          <w:trHeight w:val="278"/>
        </w:trPr>
        <w:tc>
          <w:tcPr>
            <w:tcW w:w="3206" w:type="dxa"/>
            <w:tcBorders>
              <w:left w:val="nil"/>
              <w:bottom w:val="single" w:sz="4" w:space="0" w:color="auto"/>
              <w:right w:val="nil"/>
            </w:tcBorders>
            <w:shd w:val="clear" w:color="auto" w:fill="auto"/>
            <w:noWrap/>
            <w:vAlign w:val="bottom"/>
            <w:hideMark/>
          </w:tcPr>
          <w:p w:rsidR="004954BA" w:rsidRPr="00393E31" w:rsidRDefault="004954BA" w:rsidP="005D5F53">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Outcome</w:t>
            </w:r>
          </w:p>
        </w:tc>
        <w:tc>
          <w:tcPr>
            <w:tcW w:w="1049" w:type="dxa"/>
            <w:tcBorders>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UTM</w:t>
            </w:r>
          </w:p>
        </w:tc>
        <w:tc>
          <w:tcPr>
            <w:tcW w:w="1049" w:type="dxa"/>
            <w:tcBorders>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APSU</w:t>
            </w:r>
          </w:p>
        </w:tc>
        <w:tc>
          <w:tcPr>
            <w:tcW w:w="1049" w:type="dxa"/>
            <w:tcBorders>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TTU</w:t>
            </w:r>
          </w:p>
        </w:tc>
        <w:tc>
          <w:tcPr>
            <w:tcW w:w="1049" w:type="dxa"/>
            <w:tcBorders>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UTC</w:t>
            </w:r>
          </w:p>
        </w:tc>
        <w:tc>
          <w:tcPr>
            <w:tcW w:w="1049" w:type="dxa"/>
            <w:tcBorders>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MTSU</w:t>
            </w:r>
          </w:p>
        </w:tc>
        <w:tc>
          <w:tcPr>
            <w:tcW w:w="1049" w:type="dxa"/>
            <w:tcBorders>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ETSU</w:t>
            </w:r>
          </w:p>
        </w:tc>
        <w:tc>
          <w:tcPr>
            <w:tcW w:w="1049" w:type="dxa"/>
            <w:tcBorders>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TSU</w:t>
            </w:r>
          </w:p>
        </w:tc>
        <w:tc>
          <w:tcPr>
            <w:tcW w:w="1049" w:type="dxa"/>
            <w:tcBorders>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UM</w:t>
            </w:r>
          </w:p>
        </w:tc>
        <w:tc>
          <w:tcPr>
            <w:tcW w:w="1051" w:type="dxa"/>
            <w:tcBorders>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center"/>
              <w:rPr>
                <w:rFonts w:ascii="Open Sans" w:eastAsia="Times New Roman" w:hAnsi="Open Sans" w:cs="Open Sans"/>
                <w:b/>
                <w:bCs/>
                <w:sz w:val="16"/>
                <w:szCs w:val="16"/>
              </w:rPr>
            </w:pPr>
            <w:r w:rsidRPr="00393E31">
              <w:rPr>
                <w:rFonts w:ascii="Open Sans" w:eastAsia="Times New Roman" w:hAnsi="Open Sans" w:cs="Open Sans"/>
                <w:b/>
                <w:bCs/>
                <w:sz w:val="16"/>
                <w:szCs w:val="16"/>
              </w:rPr>
              <w:t>UTK</w:t>
            </w:r>
          </w:p>
        </w:tc>
      </w:tr>
      <w:tr w:rsidR="004954BA" w:rsidRPr="00393E31" w:rsidTr="00CC6A38">
        <w:trPr>
          <w:trHeight w:val="278"/>
        </w:trPr>
        <w:tc>
          <w:tcPr>
            <w:tcW w:w="3206"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Students Accumulating 30 hrs</w:t>
            </w:r>
            <w:r w:rsidR="00F32FF4" w:rsidRPr="00393E31">
              <w:rPr>
                <w:rFonts w:ascii="Open Sans" w:eastAsia="Times New Roman" w:hAnsi="Open Sans" w:cs="Open Sans"/>
                <w:sz w:val="16"/>
                <w:szCs w:val="16"/>
              </w:rPr>
              <w:t>.</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4.0%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4.0%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4.0%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6.0%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4.0%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w:t>
            </w:r>
          </w:p>
        </w:tc>
        <w:tc>
          <w:tcPr>
            <w:tcW w:w="1051"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2.0%</w:t>
            </w:r>
          </w:p>
        </w:tc>
      </w:tr>
      <w:tr w:rsidR="004954BA" w:rsidRPr="00393E31" w:rsidTr="00CC6A38">
        <w:trPr>
          <w:trHeight w:val="278"/>
        </w:trPr>
        <w:tc>
          <w:tcPr>
            <w:tcW w:w="3206"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Students Accumulating 60 hrs</w:t>
            </w:r>
            <w:r w:rsidR="00F32FF4" w:rsidRPr="00393E31">
              <w:rPr>
                <w:rFonts w:ascii="Open Sans" w:eastAsia="Times New Roman" w:hAnsi="Open Sans" w:cs="Open Sans"/>
                <w:sz w:val="16"/>
                <w:szCs w:val="16"/>
              </w:rPr>
              <w:t>.</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6.0%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4.5%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6.0%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6.0%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4.5%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6.0%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4.5%</w:t>
            </w:r>
          </w:p>
        </w:tc>
        <w:tc>
          <w:tcPr>
            <w:tcW w:w="1051"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4.0%</w:t>
            </w:r>
          </w:p>
        </w:tc>
      </w:tr>
      <w:tr w:rsidR="004954BA" w:rsidRPr="00393E31" w:rsidTr="00CC6A38">
        <w:trPr>
          <w:trHeight w:val="278"/>
        </w:trPr>
        <w:tc>
          <w:tcPr>
            <w:tcW w:w="3206"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Students Accumulating 90 hrs</w:t>
            </w:r>
            <w:r w:rsidR="00F32FF4" w:rsidRPr="00393E31">
              <w:rPr>
                <w:rFonts w:ascii="Open Sans" w:eastAsia="Times New Roman" w:hAnsi="Open Sans" w:cs="Open Sans"/>
                <w:sz w:val="16"/>
                <w:szCs w:val="16"/>
              </w:rPr>
              <w:t>.</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9.0%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1051"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6.5%</w:t>
            </w:r>
          </w:p>
        </w:tc>
      </w:tr>
      <w:tr w:rsidR="004954BA" w:rsidRPr="00393E31" w:rsidTr="00CC6A38">
        <w:trPr>
          <w:trHeight w:val="278"/>
        </w:trPr>
        <w:tc>
          <w:tcPr>
            <w:tcW w:w="3206"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Bachelors and Associates</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30.0%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27.5%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22.5%</w:t>
            </w:r>
          </w:p>
        </w:tc>
        <w:tc>
          <w:tcPr>
            <w:tcW w:w="1051"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20.0%</w:t>
            </w:r>
          </w:p>
        </w:tc>
      </w:tr>
      <w:tr w:rsidR="004954BA" w:rsidRPr="00393E31" w:rsidTr="00CC6A38">
        <w:trPr>
          <w:trHeight w:val="278"/>
        </w:trPr>
        <w:tc>
          <w:tcPr>
            <w:tcW w:w="3206"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Masters/Ed Specialist Degrees</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12.5%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51"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r>
      <w:tr w:rsidR="004954BA" w:rsidRPr="00393E31" w:rsidTr="00CC6A38">
        <w:trPr>
          <w:trHeight w:val="278"/>
        </w:trPr>
        <w:tc>
          <w:tcPr>
            <w:tcW w:w="3206"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Doctoral / Law Degrees</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51"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12.5%</w:t>
            </w:r>
          </w:p>
        </w:tc>
      </w:tr>
      <w:tr w:rsidR="004954BA" w:rsidRPr="00393E31" w:rsidTr="00CC6A38">
        <w:trPr>
          <w:trHeight w:val="278"/>
        </w:trPr>
        <w:tc>
          <w:tcPr>
            <w:tcW w:w="3206"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Research and Service</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51"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12.5%</w:t>
            </w:r>
          </w:p>
        </w:tc>
      </w:tr>
      <w:tr w:rsidR="004954BA" w:rsidRPr="00393E31" w:rsidTr="00CC6A38">
        <w:trPr>
          <w:trHeight w:val="278"/>
        </w:trPr>
        <w:tc>
          <w:tcPr>
            <w:tcW w:w="3206"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Degrees per 100 FTE</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17.5%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7.5%</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12.5%</w:t>
            </w:r>
          </w:p>
        </w:tc>
        <w:tc>
          <w:tcPr>
            <w:tcW w:w="1049" w:type="dxa"/>
            <w:tcBorders>
              <w:top w:val="nil"/>
              <w:left w:val="nil"/>
              <w:bottom w:val="nil"/>
              <w:right w:val="nil"/>
            </w:tcBorders>
            <w:shd w:val="clear" w:color="auto" w:fill="auto"/>
            <w:noWrap/>
            <w:vAlign w:val="bottom"/>
            <w:hideMark/>
          </w:tcPr>
          <w:p w:rsidR="004954BA" w:rsidRPr="00393E31" w:rsidRDefault="00E4483A" w:rsidP="00E4483A">
            <w:pPr>
              <w:spacing w:after="0" w:line="240" w:lineRule="auto"/>
              <w:jc w:val="right"/>
              <w:rPr>
                <w:rFonts w:ascii="Open Sans" w:eastAsia="Times New Roman" w:hAnsi="Open Sans" w:cs="Open Sans"/>
                <w:sz w:val="16"/>
                <w:szCs w:val="16"/>
              </w:rPr>
            </w:pPr>
            <w:r>
              <w:rPr>
                <w:rFonts w:ascii="Open Sans" w:eastAsia="Times New Roman" w:hAnsi="Open Sans" w:cs="Open Sans"/>
                <w:sz w:val="16"/>
                <w:szCs w:val="16"/>
              </w:rPr>
              <w:t>10.0</w:t>
            </w:r>
            <w:r w:rsidR="004954BA" w:rsidRPr="00393E31">
              <w:rPr>
                <w:rFonts w:ascii="Open Sans" w:eastAsia="Times New Roman" w:hAnsi="Open Sans" w:cs="Open Sans"/>
                <w:sz w:val="16"/>
                <w:szCs w:val="16"/>
              </w:rPr>
              <w:t>%</w:t>
            </w:r>
          </w:p>
        </w:tc>
        <w:tc>
          <w:tcPr>
            <w:tcW w:w="1051"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17.5%</w:t>
            </w:r>
          </w:p>
        </w:tc>
      </w:tr>
      <w:tr w:rsidR="004954BA" w:rsidRPr="00393E31" w:rsidTr="00CC6A38">
        <w:trPr>
          <w:trHeight w:val="278"/>
        </w:trPr>
        <w:tc>
          <w:tcPr>
            <w:tcW w:w="3206" w:type="dxa"/>
            <w:tcBorders>
              <w:top w:val="nil"/>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Six-Year Graduation Rate</w:t>
            </w:r>
          </w:p>
        </w:tc>
        <w:tc>
          <w:tcPr>
            <w:tcW w:w="1049" w:type="dxa"/>
            <w:tcBorders>
              <w:top w:val="nil"/>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20.0%</w:t>
            </w:r>
          </w:p>
        </w:tc>
        <w:tc>
          <w:tcPr>
            <w:tcW w:w="1049" w:type="dxa"/>
            <w:tcBorders>
              <w:top w:val="nil"/>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49" w:type="dxa"/>
            <w:tcBorders>
              <w:top w:val="nil"/>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49" w:type="dxa"/>
            <w:tcBorders>
              <w:top w:val="nil"/>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c>
          <w:tcPr>
            <w:tcW w:w="1049" w:type="dxa"/>
            <w:tcBorders>
              <w:top w:val="nil"/>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10.0%</w:t>
            </w:r>
          </w:p>
        </w:tc>
        <w:tc>
          <w:tcPr>
            <w:tcW w:w="1049" w:type="dxa"/>
            <w:tcBorders>
              <w:top w:val="nil"/>
              <w:left w:val="nil"/>
              <w:bottom w:val="single" w:sz="4" w:space="0" w:color="auto"/>
              <w:right w:val="nil"/>
            </w:tcBorders>
            <w:shd w:val="clear" w:color="auto" w:fill="auto"/>
            <w:noWrap/>
            <w:vAlign w:val="bottom"/>
            <w:hideMark/>
          </w:tcPr>
          <w:p w:rsidR="004954BA" w:rsidRPr="00393E31" w:rsidRDefault="004954BA" w:rsidP="00E4483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w:t>
            </w:r>
            <w:r w:rsidR="00E4483A">
              <w:rPr>
                <w:rFonts w:ascii="Open Sans" w:eastAsia="Times New Roman" w:hAnsi="Open Sans" w:cs="Open Sans"/>
                <w:sz w:val="16"/>
                <w:szCs w:val="16"/>
              </w:rPr>
              <w:t>7</w:t>
            </w:r>
            <w:r w:rsidRPr="00393E31">
              <w:rPr>
                <w:rFonts w:ascii="Open Sans" w:eastAsia="Times New Roman" w:hAnsi="Open Sans" w:cs="Open Sans"/>
                <w:sz w:val="16"/>
                <w:szCs w:val="16"/>
              </w:rPr>
              <w:t>.</w:t>
            </w:r>
            <w:r w:rsidR="00E4483A">
              <w:rPr>
                <w:rFonts w:ascii="Open Sans" w:eastAsia="Times New Roman" w:hAnsi="Open Sans" w:cs="Open Sans"/>
                <w:sz w:val="16"/>
                <w:szCs w:val="16"/>
              </w:rPr>
              <w:t>5</w:t>
            </w:r>
            <w:r w:rsidRPr="00393E31">
              <w:rPr>
                <w:rFonts w:ascii="Open Sans" w:eastAsia="Times New Roman" w:hAnsi="Open Sans" w:cs="Open Sans"/>
                <w:sz w:val="16"/>
                <w:szCs w:val="16"/>
              </w:rPr>
              <w:t>%</w:t>
            </w:r>
          </w:p>
        </w:tc>
        <w:tc>
          <w:tcPr>
            <w:tcW w:w="1051" w:type="dxa"/>
            <w:tcBorders>
              <w:top w:val="nil"/>
              <w:left w:val="nil"/>
              <w:bottom w:val="single" w:sz="4" w:space="0" w:color="auto"/>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sz w:val="16"/>
                <w:szCs w:val="16"/>
              </w:rPr>
            </w:pPr>
            <w:r w:rsidRPr="00393E31">
              <w:rPr>
                <w:rFonts w:ascii="Open Sans" w:eastAsia="Times New Roman" w:hAnsi="Open Sans" w:cs="Open Sans"/>
                <w:sz w:val="16"/>
                <w:szCs w:val="16"/>
              </w:rPr>
              <w:t>15.0%</w:t>
            </w:r>
          </w:p>
        </w:tc>
      </w:tr>
      <w:tr w:rsidR="004954BA" w:rsidRPr="00393E31" w:rsidTr="00CC6A38">
        <w:trPr>
          <w:trHeight w:val="278"/>
        </w:trPr>
        <w:tc>
          <w:tcPr>
            <w:tcW w:w="3206"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color w:val="FF0000"/>
                <w:sz w:val="16"/>
                <w:szCs w:val="16"/>
              </w:rPr>
            </w:pP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1049"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c>
          <w:tcPr>
            <w:tcW w:w="1051" w:type="dxa"/>
            <w:tcBorders>
              <w:top w:val="nil"/>
              <w:left w:val="nil"/>
              <w:bottom w:val="nil"/>
              <w:right w:val="nil"/>
            </w:tcBorders>
            <w:shd w:val="clear" w:color="auto" w:fill="auto"/>
            <w:noWrap/>
            <w:vAlign w:val="bottom"/>
            <w:hideMark/>
          </w:tcPr>
          <w:p w:rsidR="004954BA" w:rsidRPr="00393E31" w:rsidRDefault="004954BA" w:rsidP="004954BA">
            <w:pPr>
              <w:spacing w:after="0" w:line="240" w:lineRule="auto"/>
              <w:jc w:val="right"/>
              <w:rPr>
                <w:rFonts w:ascii="Open Sans" w:eastAsia="Times New Roman" w:hAnsi="Open Sans" w:cs="Open Sans"/>
                <w:b/>
                <w:bCs/>
                <w:sz w:val="16"/>
                <w:szCs w:val="16"/>
              </w:rPr>
            </w:pPr>
            <w:r w:rsidRPr="00393E31">
              <w:rPr>
                <w:rFonts w:ascii="Open Sans" w:eastAsia="Times New Roman" w:hAnsi="Open Sans" w:cs="Open Sans"/>
                <w:b/>
                <w:bCs/>
                <w:sz w:val="16"/>
                <w:szCs w:val="16"/>
              </w:rPr>
              <w:t>100.0%</w:t>
            </w:r>
          </w:p>
        </w:tc>
      </w:tr>
    </w:tbl>
    <w:p w:rsidR="004954BA" w:rsidRPr="004954BA" w:rsidRDefault="004954BA" w:rsidP="00CC6A38">
      <w:pPr>
        <w:rPr>
          <w:sz w:val="16"/>
          <w:szCs w:val="16"/>
        </w:rPr>
      </w:pPr>
      <w:bookmarkStart w:id="0" w:name="_GoBack"/>
      <w:bookmarkEnd w:id="0"/>
    </w:p>
    <w:sectPr w:rsidR="004954BA" w:rsidRPr="004954BA" w:rsidSect="000559B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7C" w:rsidRDefault="00BC507C" w:rsidP="005D5F53">
      <w:pPr>
        <w:spacing w:after="0" w:line="240" w:lineRule="auto"/>
      </w:pPr>
      <w:r>
        <w:separator/>
      </w:r>
    </w:p>
  </w:endnote>
  <w:endnote w:type="continuationSeparator" w:id="0">
    <w:p w:rsidR="00BC507C" w:rsidRDefault="00BC507C" w:rsidP="005D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7C" w:rsidRDefault="00BC507C" w:rsidP="005D5F53">
      <w:pPr>
        <w:spacing w:after="0" w:line="240" w:lineRule="auto"/>
      </w:pPr>
      <w:r>
        <w:separator/>
      </w:r>
    </w:p>
  </w:footnote>
  <w:footnote w:type="continuationSeparator" w:id="0">
    <w:p w:rsidR="00BC507C" w:rsidRDefault="00BC507C" w:rsidP="005D5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E5"/>
    <w:rsid w:val="00000587"/>
    <w:rsid w:val="000442DA"/>
    <w:rsid w:val="00044A6B"/>
    <w:rsid w:val="000559B3"/>
    <w:rsid w:val="000762A8"/>
    <w:rsid w:val="00077DB6"/>
    <w:rsid w:val="00085282"/>
    <w:rsid w:val="000A1A43"/>
    <w:rsid w:val="000B5484"/>
    <w:rsid w:val="000C1B64"/>
    <w:rsid w:val="000F1A33"/>
    <w:rsid w:val="0010731D"/>
    <w:rsid w:val="0011786E"/>
    <w:rsid w:val="00156972"/>
    <w:rsid w:val="001A3897"/>
    <w:rsid w:val="0020702B"/>
    <w:rsid w:val="00207AF4"/>
    <w:rsid w:val="002156E5"/>
    <w:rsid w:val="00266BBA"/>
    <w:rsid w:val="0028378E"/>
    <w:rsid w:val="002C2237"/>
    <w:rsid w:val="002F1B51"/>
    <w:rsid w:val="00351DD0"/>
    <w:rsid w:val="0038378D"/>
    <w:rsid w:val="00387D55"/>
    <w:rsid w:val="00393E31"/>
    <w:rsid w:val="003A5FFB"/>
    <w:rsid w:val="004014A9"/>
    <w:rsid w:val="004954BA"/>
    <w:rsid w:val="004C2D94"/>
    <w:rsid w:val="00520A48"/>
    <w:rsid w:val="00572297"/>
    <w:rsid w:val="0057307A"/>
    <w:rsid w:val="00586B9D"/>
    <w:rsid w:val="005D5F53"/>
    <w:rsid w:val="006F4D18"/>
    <w:rsid w:val="007102EC"/>
    <w:rsid w:val="00710DCD"/>
    <w:rsid w:val="007575A2"/>
    <w:rsid w:val="007C4D5D"/>
    <w:rsid w:val="008631CE"/>
    <w:rsid w:val="008A585A"/>
    <w:rsid w:val="008C05C5"/>
    <w:rsid w:val="008C2D5D"/>
    <w:rsid w:val="009260DD"/>
    <w:rsid w:val="0094157C"/>
    <w:rsid w:val="00972C26"/>
    <w:rsid w:val="009D6B32"/>
    <w:rsid w:val="009E415C"/>
    <w:rsid w:val="00B25790"/>
    <w:rsid w:val="00B52741"/>
    <w:rsid w:val="00B74353"/>
    <w:rsid w:val="00BC507C"/>
    <w:rsid w:val="00C346CE"/>
    <w:rsid w:val="00CC6A38"/>
    <w:rsid w:val="00D50FB3"/>
    <w:rsid w:val="00D57F28"/>
    <w:rsid w:val="00DF7390"/>
    <w:rsid w:val="00E201DE"/>
    <w:rsid w:val="00E4483A"/>
    <w:rsid w:val="00E66BD2"/>
    <w:rsid w:val="00EF2FF9"/>
    <w:rsid w:val="00F32FF4"/>
    <w:rsid w:val="00F74AA1"/>
    <w:rsid w:val="00FA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B3"/>
    <w:rPr>
      <w:rFonts w:ascii="Tahoma" w:hAnsi="Tahoma" w:cs="Tahoma"/>
      <w:sz w:val="16"/>
      <w:szCs w:val="16"/>
    </w:rPr>
  </w:style>
  <w:style w:type="paragraph" w:styleId="ListParagraph">
    <w:name w:val="List Paragraph"/>
    <w:basedOn w:val="Normal"/>
    <w:uiPriority w:val="34"/>
    <w:qFormat/>
    <w:rsid w:val="0020702B"/>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20702B"/>
    <w:pPr>
      <w:spacing w:after="0" w:line="240" w:lineRule="auto"/>
    </w:pPr>
  </w:style>
  <w:style w:type="paragraph" w:styleId="Header">
    <w:name w:val="header"/>
    <w:basedOn w:val="Normal"/>
    <w:link w:val="HeaderChar"/>
    <w:uiPriority w:val="99"/>
    <w:unhideWhenUsed/>
    <w:rsid w:val="005D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53"/>
  </w:style>
  <w:style w:type="paragraph" w:styleId="Footer">
    <w:name w:val="footer"/>
    <w:basedOn w:val="Normal"/>
    <w:link w:val="FooterChar"/>
    <w:uiPriority w:val="99"/>
    <w:unhideWhenUsed/>
    <w:rsid w:val="005D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53"/>
  </w:style>
  <w:style w:type="character" w:styleId="CommentReference">
    <w:name w:val="annotation reference"/>
    <w:basedOn w:val="DefaultParagraphFont"/>
    <w:uiPriority w:val="99"/>
    <w:semiHidden/>
    <w:unhideWhenUsed/>
    <w:rsid w:val="0011786E"/>
    <w:rPr>
      <w:sz w:val="16"/>
      <w:szCs w:val="16"/>
    </w:rPr>
  </w:style>
  <w:style w:type="paragraph" w:styleId="CommentText">
    <w:name w:val="annotation text"/>
    <w:basedOn w:val="Normal"/>
    <w:link w:val="CommentTextChar"/>
    <w:uiPriority w:val="99"/>
    <w:semiHidden/>
    <w:unhideWhenUsed/>
    <w:rsid w:val="0011786E"/>
    <w:pPr>
      <w:spacing w:line="240" w:lineRule="auto"/>
    </w:pPr>
    <w:rPr>
      <w:sz w:val="20"/>
      <w:szCs w:val="20"/>
    </w:rPr>
  </w:style>
  <w:style w:type="character" w:customStyle="1" w:styleId="CommentTextChar">
    <w:name w:val="Comment Text Char"/>
    <w:basedOn w:val="DefaultParagraphFont"/>
    <w:link w:val="CommentText"/>
    <w:uiPriority w:val="99"/>
    <w:semiHidden/>
    <w:rsid w:val="0011786E"/>
    <w:rPr>
      <w:sz w:val="20"/>
      <w:szCs w:val="20"/>
    </w:rPr>
  </w:style>
  <w:style w:type="paragraph" w:styleId="CommentSubject">
    <w:name w:val="annotation subject"/>
    <w:basedOn w:val="CommentText"/>
    <w:next w:val="CommentText"/>
    <w:link w:val="CommentSubjectChar"/>
    <w:uiPriority w:val="99"/>
    <w:semiHidden/>
    <w:unhideWhenUsed/>
    <w:rsid w:val="0011786E"/>
    <w:rPr>
      <w:b/>
      <w:bCs/>
    </w:rPr>
  </w:style>
  <w:style w:type="character" w:customStyle="1" w:styleId="CommentSubjectChar">
    <w:name w:val="Comment Subject Char"/>
    <w:basedOn w:val="CommentTextChar"/>
    <w:link w:val="CommentSubject"/>
    <w:uiPriority w:val="99"/>
    <w:semiHidden/>
    <w:rsid w:val="001178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B3"/>
    <w:rPr>
      <w:rFonts w:ascii="Tahoma" w:hAnsi="Tahoma" w:cs="Tahoma"/>
      <w:sz w:val="16"/>
      <w:szCs w:val="16"/>
    </w:rPr>
  </w:style>
  <w:style w:type="paragraph" w:styleId="ListParagraph">
    <w:name w:val="List Paragraph"/>
    <w:basedOn w:val="Normal"/>
    <w:uiPriority w:val="34"/>
    <w:qFormat/>
    <w:rsid w:val="0020702B"/>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20702B"/>
    <w:pPr>
      <w:spacing w:after="0" w:line="240" w:lineRule="auto"/>
    </w:pPr>
  </w:style>
  <w:style w:type="paragraph" w:styleId="Header">
    <w:name w:val="header"/>
    <w:basedOn w:val="Normal"/>
    <w:link w:val="HeaderChar"/>
    <w:uiPriority w:val="99"/>
    <w:unhideWhenUsed/>
    <w:rsid w:val="005D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53"/>
  </w:style>
  <w:style w:type="paragraph" w:styleId="Footer">
    <w:name w:val="footer"/>
    <w:basedOn w:val="Normal"/>
    <w:link w:val="FooterChar"/>
    <w:uiPriority w:val="99"/>
    <w:unhideWhenUsed/>
    <w:rsid w:val="005D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53"/>
  </w:style>
  <w:style w:type="character" w:styleId="CommentReference">
    <w:name w:val="annotation reference"/>
    <w:basedOn w:val="DefaultParagraphFont"/>
    <w:uiPriority w:val="99"/>
    <w:semiHidden/>
    <w:unhideWhenUsed/>
    <w:rsid w:val="0011786E"/>
    <w:rPr>
      <w:sz w:val="16"/>
      <w:szCs w:val="16"/>
    </w:rPr>
  </w:style>
  <w:style w:type="paragraph" w:styleId="CommentText">
    <w:name w:val="annotation text"/>
    <w:basedOn w:val="Normal"/>
    <w:link w:val="CommentTextChar"/>
    <w:uiPriority w:val="99"/>
    <w:semiHidden/>
    <w:unhideWhenUsed/>
    <w:rsid w:val="0011786E"/>
    <w:pPr>
      <w:spacing w:line="240" w:lineRule="auto"/>
    </w:pPr>
    <w:rPr>
      <w:sz w:val="20"/>
      <w:szCs w:val="20"/>
    </w:rPr>
  </w:style>
  <w:style w:type="character" w:customStyle="1" w:styleId="CommentTextChar">
    <w:name w:val="Comment Text Char"/>
    <w:basedOn w:val="DefaultParagraphFont"/>
    <w:link w:val="CommentText"/>
    <w:uiPriority w:val="99"/>
    <w:semiHidden/>
    <w:rsid w:val="0011786E"/>
    <w:rPr>
      <w:sz w:val="20"/>
      <w:szCs w:val="20"/>
    </w:rPr>
  </w:style>
  <w:style w:type="paragraph" w:styleId="CommentSubject">
    <w:name w:val="annotation subject"/>
    <w:basedOn w:val="CommentText"/>
    <w:next w:val="CommentText"/>
    <w:link w:val="CommentSubjectChar"/>
    <w:uiPriority w:val="99"/>
    <w:semiHidden/>
    <w:unhideWhenUsed/>
    <w:rsid w:val="0011786E"/>
    <w:rPr>
      <w:b/>
      <w:bCs/>
    </w:rPr>
  </w:style>
  <w:style w:type="character" w:customStyle="1" w:styleId="CommentSubjectChar">
    <w:name w:val="Comment Subject Char"/>
    <w:basedOn w:val="CommentTextChar"/>
    <w:link w:val="CommentSubject"/>
    <w:uiPriority w:val="99"/>
    <w:semiHidden/>
    <w:rsid w:val="001178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0622">
      <w:bodyDiv w:val="1"/>
      <w:marLeft w:val="0"/>
      <w:marRight w:val="0"/>
      <w:marTop w:val="0"/>
      <w:marBottom w:val="0"/>
      <w:divBdr>
        <w:top w:val="none" w:sz="0" w:space="0" w:color="auto"/>
        <w:left w:val="none" w:sz="0" w:space="0" w:color="auto"/>
        <w:bottom w:val="none" w:sz="0" w:space="0" w:color="auto"/>
        <w:right w:val="none" w:sz="0" w:space="0" w:color="auto"/>
      </w:divBdr>
    </w:div>
    <w:div w:id="254555183">
      <w:bodyDiv w:val="1"/>
      <w:marLeft w:val="0"/>
      <w:marRight w:val="0"/>
      <w:marTop w:val="0"/>
      <w:marBottom w:val="0"/>
      <w:divBdr>
        <w:top w:val="none" w:sz="0" w:space="0" w:color="auto"/>
        <w:left w:val="none" w:sz="0" w:space="0" w:color="auto"/>
        <w:bottom w:val="none" w:sz="0" w:space="0" w:color="auto"/>
        <w:right w:val="none" w:sz="0" w:space="0" w:color="auto"/>
      </w:divBdr>
    </w:div>
    <w:div w:id="484590751">
      <w:bodyDiv w:val="1"/>
      <w:marLeft w:val="0"/>
      <w:marRight w:val="0"/>
      <w:marTop w:val="0"/>
      <w:marBottom w:val="0"/>
      <w:divBdr>
        <w:top w:val="none" w:sz="0" w:space="0" w:color="auto"/>
        <w:left w:val="none" w:sz="0" w:space="0" w:color="auto"/>
        <w:bottom w:val="none" w:sz="0" w:space="0" w:color="auto"/>
        <w:right w:val="none" w:sz="0" w:space="0" w:color="auto"/>
      </w:divBdr>
    </w:div>
    <w:div w:id="582951742">
      <w:bodyDiv w:val="1"/>
      <w:marLeft w:val="0"/>
      <w:marRight w:val="0"/>
      <w:marTop w:val="0"/>
      <w:marBottom w:val="0"/>
      <w:divBdr>
        <w:top w:val="none" w:sz="0" w:space="0" w:color="auto"/>
        <w:left w:val="none" w:sz="0" w:space="0" w:color="auto"/>
        <w:bottom w:val="none" w:sz="0" w:space="0" w:color="auto"/>
        <w:right w:val="none" w:sz="0" w:space="0" w:color="auto"/>
      </w:divBdr>
    </w:div>
    <w:div w:id="817958751">
      <w:bodyDiv w:val="1"/>
      <w:marLeft w:val="0"/>
      <w:marRight w:val="0"/>
      <w:marTop w:val="0"/>
      <w:marBottom w:val="0"/>
      <w:divBdr>
        <w:top w:val="none" w:sz="0" w:space="0" w:color="auto"/>
        <w:left w:val="none" w:sz="0" w:space="0" w:color="auto"/>
        <w:bottom w:val="none" w:sz="0" w:space="0" w:color="auto"/>
        <w:right w:val="none" w:sz="0" w:space="0" w:color="auto"/>
      </w:divBdr>
    </w:div>
    <w:div w:id="965311148">
      <w:bodyDiv w:val="1"/>
      <w:marLeft w:val="0"/>
      <w:marRight w:val="0"/>
      <w:marTop w:val="0"/>
      <w:marBottom w:val="0"/>
      <w:divBdr>
        <w:top w:val="none" w:sz="0" w:space="0" w:color="auto"/>
        <w:left w:val="none" w:sz="0" w:space="0" w:color="auto"/>
        <w:bottom w:val="none" w:sz="0" w:space="0" w:color="auto"/>
        <w:right w:val="none" w:sz="0" w:space="0" w:color="auto"/>
      </w:divBdr>
    </w:div>
    <w:div w:id="1083068864">
      <w:bodyDiv w:val="1"/>
      <w:marLeft w:val="0"/>
      <w:marRight w:val="0"/>
      <w:marTop w:val="0"/>
      <w:marBottom w:val="0"/>
      <w:divBdr>
        <w:top w:val="none" w:sz="0" w:space="0" w:color="auto"/>
        <w:left w:val="none" w:sz="0" w:space="0" w:color="auto"/>
        <w:bottom w:val="none" w:sz="0" w:space="0" w:color="auto"/>
        <w:right w:val="none" w:sz="0" w:space="0" w:color="auto"/>
      </w:divBdr>
    </w:div>
    <w:div w:id="1170561825">
      <w:bodyDiv w:val="1"/>
      <w:marLeft w:val="0"/>
      <w:marRight w:val="0"/>
      <w:marTop w:val="0"/>
      <w:marBottom w:val="0"/>
      <w:divBdr>
        <w:top w:val="none" w:sz="0" w:space="0" w:color="auto"/>
        <w:left w:val="none" w:sz="0" w:space="0" w:color="auto"/>
        <w:bottom w:val="none" w:sz="0" w:space="0" w:color="auto"/>
        <w:right w:val="none" w:sz="0" w:space="0" w:color="auto"/>
      </w:divBdr>
    </w:div>
    <w:div w:id="1329359463">
      <w:bodyDiv w:val="1"/>
      <w:marLeft w:val="0"/>
      <w:marRight w:val="0"/>
      <w:marTop w:val="0"/>
      <w:marBottom w:val="0"/>
      <w:divBdr>
        <w:top w:val="none" w:sz="0" w:space="0" w:color="auto"/>
        <w:left w:val="none" w:sz="0" w:space="0" w:color="auto"/>
        <w:bottom w:val="none" w:sz="0" w:space="0" w:color="auto"/>
        <w:right w:val="none" w:sz="0" w:space="0" w:color="auto"/>
      </w:divBdr>
    </w:div>
    <w:div w:id="17757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5E1F-CD39-4A5E-9A7E-C39421C3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Gentile</dc:creator>
  <cp:lastModifiedBy>Steven Gentile</cp:lastModifiedBy>
  <cp:revision>3</cp:revision>
  <cp:lastPrinted>2015-08-20T19:21:00Z</cp:lastPrinted>
  <dcterms:created xsi:type="dcterms:W3CDTF">2015-10-16T21:42:00Z</dcterms:created>
  <dcterms:modified xsi:type="dcterms:W3CDTF">2015-10-16T21:43:00Z</dcterms:modified>
</cp:coreProperties>
</file>