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85AF" w14:textId="4A6836E8" w:rsidR="003D5AD9" w:rsidRPr="00372AF5" w:rsidRDefault="00067825" w:rsidP="00404E55">
      <w:pPr>
        <w:pStyle w:val="Title"/>
        <w:spacing w:before="720" w:line="240" w:lineRule="auto"/>
        <w:rPr>
          <w:color w:val="C00000"/>
        </w:rPr>
      </w:pPr>
      <w:sdt>
        <w:sdtPr>
          <w:rPr>
            <w:color w:val="C00000"/>
            <w:szCs w:val="24"/>
          </w:rPr>
          <w:alias w:val="Title"/>
          <w:tag w:val="Add title here"/>
          <w:id w:val="1525905022"/>
          <w:placeholder>
            <w:docPart w:val="50EF3A9FD19C4FD297643B2F3F7665F2"/>
          </w:placeholder>
        </w:sdtPr>
        <w:sdtEndPr>
          <w:rPr>
            <w:szCs w:val="26"/>
          </w:rPr>
        </w:sdtEndPr>
        <w:sdtContent>
          <w:sdt>
            <w:sdtPr>
              <w:rPr>
                <w:color w:val="C00000"/>
                <w:szCs w:val="24"/>
              </w:rPr>
              <w:alias w:val="Title"/>
              <w:tag w:val="Add title here"/>
              <w:id w:val="1060986826"/>
              <w:placeholder>
                <w:docPart w:val="3326D58430014D4AA217814A4E351681"/>
              </w:placeholder>
            </w:sdtPr>
            <w:sdtEndPr>
              <w:rPr>
                <w:szCs w:val="26"/>
              </w:rPr>
            </w:sdtEndPr>
            <w:sdtContent>
              <w:sdt>
                <w:sdtPr>
                  <w:rPr>
                    <w:color w:val="C00000"/>
                    <w:szCs w:val="24"/>
                  </w:rPr>
                  <w:alias w:val="Title"/>
                  <w:tag w:val="Add title here"/>
                  <w:id w:val="1094895833"/>
                  <w:placeholder>
                    <w:docPart w:val="B9AE84ECEBD343FDB45592F6ED9FA7F4"/>
                  </w:placeholder>
                </w:sdtPr>
                <w:sdtEndPr>
                  <w:rPr>
                    <w:rFonts w:ascii="Open Sans" w:hAnsi="Open Sans"/>
                    <w:szCs w:val="26"/>
                  </w:rPr>
                </w:sdtEndPr>
                <w:sdtContent>
                  <w:r w:rsidR="00585614" w:rsidRPr="005956E7">
                    <w:rPr>
                      <w:color w:val="D22730"/>
                      <w:szCs w:val="24"/>
                    </w:rPr>
                    <w:t>Development of a Research Maturity Model (RMM) for the Tennessee Department of Transportation’s Research and Innovation Program</w:t>
                  </w:r>
                </w:sdtContent>
              </w:sdt>
            </w:sdtContent>
          </w:sdt>
        </w:sdtContent>
      </w:sdt>
    </w:p>
    <w:p w14:paraId="2347C129" w14:textId="1A708C44" w:rsidR="0025638B" w:rsidRPr="00A6117B" w:rsidRDefault="00067825" w:rsidP="00A6117B">
      <w:pPr>
        <w:pStyle w:val="Subtitle"/>
        <w:rPr>
          <w:sz w:val="28"/>
          <w:szCs w:val="28"/>
        </w:rPr>
      </w:pPr>
      <w:sdt>
        <w:sdtPr>
          <w:rPr>
            <w:color w:val="FFFFFF" w:themeColor="background1"/>
            <w:sz w:val="22"/>
            <w:szCs w:val="22"/>
          </w:rPr>
          <w:alias w:val="RFP#"/>
          <w:tag w:val="RFP#"/>
          <w:id w:val="-1099090959"/>
          <w:placeholder>
            <w:docPart w:val="50EF3A9FD19C4FD297643B2F3F7665F2"/>
          </w:placeholder>
        </w:sdtPr>
        <w:sdtEndPr>
          <w:rPr>
            <w:color w:val="75787B"/>
            <w:sz w:val="28"/>
            <w:szCs w:val="28"/>
          </w:rPr>
        </w:sdtEndPr>
        <w:sdtContent>
          <w:sdt>
            <w:sdtPr>
              <w:rPr>
                <w:b/>
                <w:color w:val="76777A"/>
                <w:sz w:val="24"/>
                <w:szCs w:val="24"/>
              </w:rPr>
              <w:alias w:val="RFP#"/>
              <w:tag w:val="RFP#"/>
              <w:id w:val="-1674948000"/>
              <w:placeholder>
                <w:docPart w:val="A8475E9F6F074C97A990E4548E80B08E"/>
              </w:placeholder>
            </w:sdtPr>
            <w:sdtEndPr>
              <w:rPr>
                <w:sz w:val="28"/>
                <w:szCs w:val="28"/>
              </w:rPr>
            </w:sdtEndPr>
            <w:sdtContent>
              <w:r w:rsidR="00DE17CA" w:rsidRPr="00A6117B">
                <w:rPr>
                  <w:b/>
                  <w:bCs w:val="0"/>
                  <w:color w:val="76777A"/>
                  <w:sz w:val="28"/>
                  <w:szCs w:val="28"/>
                </w:rPr>
                <w:t>Problem Statement #15</w:t>
              </w:r>
            </w:sdtContent>
          </w:sdt>
        </w:sdtContent>
      </w:sdt>
      <w:r w:rsidR="00BB4CEF" w:rsidRPr="00C41EBC">
        <w:rPr>
          <w:noProof/>
          <w:color w:val="6E7073"/>
          <w:szCs w:val="24"/>
        </w:rPr>
        <mc:AlternateContent>
          <mc:Choice Requires="wpg">
            <w:drawing>
              <wp:anchor distT="0" distB="0" distL="114300" distR="114300" simplePos="0" relativeHeight="251655168" behindDoc="1" locked="0" layoutInCell="1" allowOverlap="1" wp14:anchorId="7975E8C0" wp14:editId="3EAE77D2">
                <wp:simplePos x="0" y="0"/>
                <wp:positionH relativeFrom="page">
                  <wp:posOffset>-1800225</wp:posOffset>
                </wp:positionH>
                <wp:positionV relativeFrom="page">
                  <wp:posOffset>5705475</wp:posOffset>
                </wp:positionV>
                <wp:extent cx="9991725" cy="1495425"/>
                <wp:effectExtent l="0" t="0" r="47625" b="47625"/>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991725" cy="1495425"/>
                          <a:chOff x="-20367" y="-247937"/>
                          <a:chExt cx="8530637" cy="1664997"/>
                        </a:xfrm>
                        <a:solidFill>
                          <a:srgbClr val="002D72"/>
                        </a:solidFill>
                      </wpg:grpSpPr>
                      <wps:wsp>
                        <wps:cNvPr id="22" name="Rectangle 6" title="Colored background"/>
                        <wps:cNvSpPr>
                          <a:spLocks noChangeArrowheads="1"/>
                        </wps:cNvSpPr>
                        <wps:spPr bwMode="auto">
                          <a:xfrm>
                            <a:off x="509270" y="-247937"/>
                            <a:ext cx="8001000" cy="1647825"/>
                          </a:xfrm>
                          <a:prstGeom prst="rect">
                            <a:avLst/>
                          </a:prstGeom>
                          <a:grpFill/>
                          <a:ln>
                            <a:noFill/>
                          </a:ln>
                          <a:effectLst/>
                        </wps:spPr>
                        <wps:bodyPr rot="0" vert="horz" wrap="square" lIns="91440" tIns="91440" rIns="91440" bIns="91440" anchor="t" anchorCtr="0" upright="1">
                          <a:noAutofit/>
                        </wps:bodyPr>
                      </wps:wsp>
                      <wps:wsp>
                        <wps:cNvPr id="15" name="Straight Connector 15">
                          <a:extLst>
                            <a:ext uri="{C183D7F6-B498-43B3-948B-1728B52AA6E4}">
                              <adec:decorative xmlns:adec="http://schemas.microsoft.com/office/drawing/2017/decorative" val="1"/>
                            </a:ext>
                          </a:extLst>
                        </wps:cNvPr>
                        <wps:cNvCnPr/>
                        <wps:spPr>
                          <a:xfrm>
                            <a:off x="-20367" y="1407524"/>
                            <a:ext cx="8530002" cy="9536"/>
                          </a:xfrm>
                          <a:prstGeom prst="line">
                            <a:avLst/>
                          </a:prstGeom>
                          <a:grpFill/>
                          <a:ln w="50800">
                            <a:solidFill>
                              <a:srgbClr val="D2273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CA4B83D" id="Group 27" o:spid="_x0000_s1026" alt="&quot;&quot;" style="position:absolute;margin-left:-141.75pt;margin-top:449.25pt;width:786.75pt;height:117.75pt;z-index:-251661312;mso-position-horizontal-relative:page;mso-position-vertical-relative:page;mso-width-relative:margin;mso-height-relative:margin" coordorigin="-203,-2479" coordsize="85306,16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">
                <v:rect id="Rectangle 6" o:spid="_x0000_s1027" style="position:absolute;left:5092;top:-2479;width:80010;height:1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" filled="f" stroked="f">
                  <v:textbox inset=",7.2pt,,7.2pt"/>
                </v:rect>
                <v:line id="Straight Connector 15" o:spid="_x0000_s1028" alt="&quot;&quot;" style="position:absolute;visibility:visible;mso-wrap-style:square" from="-203,14075" to="85096,1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" strokecolor="#d22730" strokeweight="4pt"/>
                <w10:wrap anchorx="page" anchory="page"/>
              </v:group>
            </w:pict>
          </mc:Fallback>
        </mc:AlternateContent>
      </w:r>
      <w:r w:rsidR="6EAB681C" w:rsidRPr="00C41EBC">
        <w:rPr>
          <w:color w:val="6E7073"/>
          <w:sz w:val="32"/>
          <w:szCs w:val="32"/>
        </w:rPr>
        <w:t xml:space="preserve"> </w:t>
      </w:r>
    </w:p>
    <w:p w14:paraId="39E7BA8A" w14:textId="0D97E55E" w:rsidR="0091122A" w:rsidRPr="00E540A9" w:rsidRDefault="0093239A" w:rsidP="00E540A9">
      <w:pPr>
        <w:spacing w:before="600" w:after="600"/>
        <w:rPr>
          <w:color w:val="75787B"/>
          <w:sz w:val="32"/>
          <w:szCs w:val="40"/>
        </w:rPr>
        <w:sectPr w:rsidR="0091122A" w:rsidRPr="00E540A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Pr>
          <w:noProof/>
          <w:color w:val="4BACC6" w:themeColor="accent5"/>
          <w:sz w:val="20"/>
          <w:szCs w:val="28"/>
        </w:rPr>
        <mc:AlternateContent>
          <mc:Choice Requires="wps">
            <w:drawing>
              <wp:anchor distT="0" distB="0" distL="114300" distR="114300" simplePos="0" relativeHeight="251669504" behindDoc="0" locked="0" layoutInCell="1" allowOverlap="1" wp14:anchorId="577C59AF" wp14:editId="5A4F5646">
                <wp:simplePos x="0" y="0"/>
                <wp:positionH relativeFrom="margin">
                  <wp:posOffset>0</wp:posOffset>
                </wp:positionH>
                <wp:positionV relativeFrom="page">
                  <wp:posOffset>6105525</wp:posOffset>
                </wp:positionV>
                <wp:extent cx="6029325" cy="902335"/>
                <wp:effectExtent l="0" t="0" r="0" b="0"/>
                <wp:wrapNone/>
                <wp:docPr id="309" name="Text Box 309"/>
                <wp:cNvGraphicFramePr/>
                <a:graphic xmlns:a="http://schemas.openxmlformats.org/drawingml/2006/main">
                  <a:graphicData uri="http://schemas.microsoft.com/office/word/2010/wordprocessingShape">
                    <wps:wsp>
                      <wps:cNvSpPr txBox="1"/>
                      <wps:spPr>
                        <a:xfrm>
                          <a:off x="0" y="0"/>
                          <a:ext cx="6029325" cy="902335"/>
                        </a:xfrm>
                        <a:prstGeom prst="rect">
                          <a:avLst/>
                        </a:prstGeom>
                        <a:noFill/>
                        <a:ln w="6350">
                          <a:noFill/>
                        </a:ln>
                      </wps:spPr>
                      <wps:txbx>
                        <w:txbxContent>
                          <w:p w14:paraId="15C33B89" w14:textId="6FDE3FEC" w:rsidR="0091122A" w:rsidRPr="00B71E76" w:rsidRDefault="00E8022E" w:rsidP="00396B56">
                            <w:pPr>
                              <w:spacing w:after="0"/>
                              <w:ind w:left="-180" w:right="30"/>
                              <w:rPr>
                                <w:sz w:val="64"/>
                                <w:szCs w:val="64"/>
                              </w:rPr>
                            </w:pPr>
                            <w:r w:rsidRPr="00B71E76">
                              <w:rPr>
                                <w:b/>
                                <w:bCs w:val="0"/>
                                <w:color w:val="FFFFFF" w:themeColor="background1"/>
                                <w:sz w:val="64"/>
                                <w:szCs w:val="64"/>
                              </w:rPr>
                              <w:t xml:space="preserve">Research </w:t>
                            </w:r>
                            <w:r w:rsidR="00B053C8" w:rsidRPr="00B71E76">
                              <w:rPr>
                                <w:b/>
                                <w:bCs w:val="0"/>
                                <w:color w:val="FFFFFF" w:themeColor="background1"/>
                                <w:sz w:val="64"/>
                                <w:szCs w:val="64"/>
                              </w:rPr>
                              <w:t>Problem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C59AF" id="_x0000_t202" coordsize="21600,21600" o:spt="202" path="m,l,21600r21600,l21600,xe">
                <v:stroke joinstyle="miter"/>
                <v:path gradientshapeok="t" o:connecttype="rect"/>
              </v:shapetype>
              <v:shape id="Text Box 309" o:spid="_x0000_s1026" type="#_x0000_t202" style="position:absolute;margin-left:0;margin-top:480.75pt;width:474.75pt;height:71.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" filled="f" stroked="f" strokeweight=".5pt">
                <v:textbox>
                  <w:txbxContent>
                    <w:p w14:paraId="15C33B89" w14:textId="6FDE3FEC" w:rsidR="0091122A" w:rsidRPr="00B71E76" w:rsidRDefault="00E8022E" w:rsidP="00396B56">
                      <w:pPr>
                        <w:spacing w:after="0"/>
                        <w:ind w:left="-180" w:right="30"/>
                        <w:rPr>
                          <w:sz w:val="64"/>
                          <w:szCs w:val="64"/>
                        </w:rPr>
                      </w:pPr>
                      <w:r w:rsidRPr="00B71E76">
                        <w:rPr>
                          <w:b/>
                          <w:bCs w:val="0"/>
                          <w:color w:val="FFFFFF" w:themeColor="background1"/>
                          <w:sz w:val="64"/>
                          <w:szCs w:val="64"/>
                        </w:rPr>
                        <w:t xml:space="preserve">Research </w:t>
                      </w:r>
                      <w:r w:rsidR="00B053C8" w:rsidRPr="00B71E76">
                        <w:rPr>
                          <w:b/>
                          <w:bCs w:val="0"/>
                          <w:color w:val="FFFFFF" w:themeColor="background1"/>
                          <w:sz w:val="64"/>
                          <w:szCs w:val="64"/>
                        </w:rPr>
                        <w:t>Problem Statement</w:t>
                      </w:r>
                    </w:p>
                  </w:txbxContent>
                </v:textbox>
                <w10:wrap anchorx="margin" anchory="page"/>
              </v:shape>
            </w:pict>
          </mc:Fallback>
        </mc:AlternateContent>
      </w:r>
      <w:r w:rsidR="008D66B5" w:rsidRPr="003B4302">
        <w:rPr>
          <w:noProof/>
          <w:color w:val="4BACC6" w:themeColor="accent5"/>
          <w:sz w:val="20"/>
          <w:szCs w:val="28"/>
        </w:rPr>
        <w:drawing>
          <wp:anchor distT="0" distB="0" distL="114300" distR="114300" simplePos="0" relativeHeight="251658243" behindDoc="0" locked="0" layoutInCell="1" allowOverlap="1" wp14:anchorId="28B3EE28" wp14:editId="1746F130">
            <wp:simplePos x="0" y="0"/>
            <wp:positionH relativeFrom="page">
              <wp:posOffset>5257800</wp:posOffset>
            </wp:positionH>
            <wp:positionV relativeFrom="page">
              <wp:posOffset>7581900</wp:posOffset>
            </wp:positionV>
            <wp:extent cx="2175510" cy="217551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starsart.eps"/>
                    <pic:cNvPicPr/>
                  </pic:nvPicPr>
                  <pic:blipFill>
                    <a:blip r:embed="rId17">
                      <a:alphaModFix amt="40000"/>
                      <a:extLst>
                        <a:ext uri="{28A0092B-C50C-407E-A947-70E740481C1C}">
                          <a14:useLocalDpi xmlns:a14="http://schemas.microsoft.com/office/drawing/2010/main" val="0"/>
                        </a:ext>
                      </a:extLst>
                    </a:blip>
                    <a:stretch>
                      <a:fillRect/>
                    </a:stretch>
                  </pic:blipFill>
                  <pic:spPr>
                    <a:xfrm>
                      <a:off x="0" y="0"/>
                      <a:ext cx="2175510" cy="21755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4="http://schemas.microsoft.com/office/drawing/2010/main" xmlns:adec="http://schemas.microsoft.com/office/drawing/2017/decorative" xmlns:arto="http://schemas.microsoft.com/office/word/2006/arto"/>
                      </a:ext>
                    </a:extLst>
                  </pic:spPr>
                </pic:pic>
              </a:graphicData>
            </a:graphic>
            <wp14:sizeRelH relativeFrom="page">
              <wp14:pctWidth>0</wp14:pctWidth>
            </wp14:sizeRelH>
            <wp14:sizeRelV relativeFrom="page">
              <wp14:pctHeight>0</wp14:pctHeight>
            </wp14:sizeRelV>
          </wp:anchor>
        </w:drawing>
      </w:r>
      <w:r w:rsidR="00BB4CEF">
        <w:rPr>
          <w:noProof/>
          <w:color w:val="4BACC6" w:themeColor="accent5"/>
          <w:sz w:val="20"/>
          <w:szCs w:val="28"/>
        </w:rPr>
        <mc:AlternateContent>
          <mc:Choice Requires="wps">
            <w:drawing>
              <wp:anchor distT="0" distB="0" distL="114300" distR="114300" simplePos="0" relativeHeight="251679744" behindDoc="0" locked="0" layoutInCell="1" allowOverlap="1" wp14:anchorId="673FA90C" wp14:editId="454B2808">
                <wp:simplePos x="0" y="0"/>
                <wp:positionH relativeFrom="column">
                  <wp:posOffset>-103505</wp:posOffset>
                </wp:positionH>
                <wp:positionV relativeFrom="page">
                  <wp:posOffset>7288530</wp:posOffset>
                </wp:positionV>
                <wp:extent cx="5830570" cy="356235"/>
                <wp:effectExtent l="0" t="0" r="0" b="5715"/>
                <wp:wrapNone/>
                <wp:docPr id="310" name="Text Box 310"/>
                <wp:cNvGraphicFramePr/>
                <a:graphic xmlns:a="http://schemas.openxmlformats.org/drawingml/2006/main">
                  <a:graphicData uri="http://schemas.microsoft.com/office/word/2010/wordprocessingShape">
                    <wps:wsp>
                      <wps:cNvSpPr txBox="1"/>
                      <wps:spPr>
                        <a:xfrm>
                          <a:off x="0" y="0"/>
                          <a:ext cx="5830570" cy="356235"/>
                        </a:xfrm>
                        <a:prstGeom prst="rect">
                          <a:avLst/>
                        </a:prstGeom>
                        <a:noFill/>
                        <a:ln w="6350">
                          <a:noFill/>
                        </a:ln>
                      </wps:spPr>
                      <wps:txbx>
                        <w:txbxContent>
                          <w:p w14:paraId="2480E8E6" w14:textId="77777777" w:rsidR="0091122A" w:rsidRPr="00C31DED" w:rsidRDefault="0091122A" w:rsidP="0091122A">
                            <w:pPr>
                              <w:rPr>
                                <w:b/>
                                <w:bCs w:val="0"/>
                                <w:color w:val="76777A"/>
                                <w:sz w:val="20"/>
                                <w:szCs w:val="20"/>
                              </w:rPr>
                            </w:pPr>
                            <w:r w:rsidRPr="00C31DED">
                              <w:rPr>
                                <w:b/>
                                <w:bCs w:val="0"/>
                                <w:color w:val="76777A"/>
                                <w:sz w:val="28"/>
                                <w:szCs w:val="28"/>
                              </w:rPr>
                              <w:t xml:space="preserve">Submitted to the Tennessee Department of Transportation </w:t>
                            </w:r>
                            <w:r w:rsidRPr="00C31DED">
                              <w:rPr>
                                <w:b/>
                                <w:bCs w:val="0"/>
                                <w:color w:val="76777A"/>
                                <w:sz w:val="28"/>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3FA90C" id="Text Box 310" o:spid="_x0000_s1027" type="#_x0000_t202" style="position:absolute;margin-left:-8.15pt;margin-top:573.9pt;width:459.1pt;height:28.05pt;z-index:25167974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" filled="f" stroked="f" strokeweight=".5pt">
                <v:textbox>
                  <w:txbxContent>
                    <w:p w14:paraId="2480E8E6" w14:textId="77777777" w:rsidR="0091122A" w:rsidRPr="00C31DED" w:rsidRDefault="0091122A" w:rsidP="0091122A">
                      <w:pPr>
                        <w:rPr>
                          <w:b/>
                          <w:bCs w:val="0"/>
                          <w:color w:val="76777A"/>
                          <w:sz w:val="20"/>
                          <w:szCs w:val="20"/>
                        </w:rPr>
                      </w:pPr>
                      <w:r w:rsidRPr="00C31DED">
                        <w:rPr>
                          <w:b/>
                          <w:bCs w:val="0"/>
                          <w:color w:val="76777A"/>
                          <w:sz w:val="28"/>
                          <w:szCs w:val="28"/>
                        </w:rPr>
                        <w:t xml:space="preserve">Submitted to the Tennessee Department of Transportation </w:t>
                      </w:r>
                      <w:r w:rsidRPr="00C31DED">
                        <w:rPr>
                          <w:b/>
                          <w:bCs w:val="0"/>
                          <w:color w:val="76777A"/>
                          <w:sz w:val="28"/>
                          <w:szCs w:val="36"/>
                        </w:rPr>
                        <w:t xml:space="preserve"> </w:t>
                      </w:r>
                    </w:p>
                  </w:txbxContent>
                </v:textbox>
                <w10:wrap anchory="page"/>
              </v:shape>
            </w:pict>
          </mc:Fallback>
        </mc:AlternateContent>
      </w:r>
    </w:p>
    <w:p w14:paraId="70EE0A39" w14:textId="69CE5253" w:rsidR="0091122A" w:rsidRPr="00967009" w:rsidRDefault="0091122A" w:rsidP="000A2610">
      <w:pPr>
        <w:pStyle w:val="Heading1"/>
        <w:rPr>
          <w:rStyle w:val="normaltextrun"/>
          <w:rFonts w:cs="Open Sans"/>
          <w:szCs w:val="22"/>
        </w:rPr>
      </w:pPr>
      <w:r w:rsidRPr="00967009">
        <w:rPr>
          <w:rStyle w:val="normaltextrun"/>
          <w:rFonts w:cs="Open Sans"/>
          <w:szCs w:val="22"/>
        </w:rPr>
        <w:lastRenderedPageBreak/>
        <w:t xml:space="preserve">Problem </w:t>
      </w:r>
      <w:r w:rsidR="00B053C8" w:rsidRPr="00967009">
        <w:rPr>
          <w:rStyle w:val="normaltextrun"/>
          <w:rFonts w:cs="Open Sans"/>
          <w:szCs w:val="22"/>
        </w:rPr>
        <w:t>Statement Title:</w:t>
      </w:r>
    </w:p>
    <w:sdt>
      <w:sdtPr>
        <w:rPr>
          <w:rStyle w:val="normaltextrun"/>
          <w:color w:val="000000"/>
          <w:szCs w:val="22"/>
          <w:bdr w:val="none" w:sz="0" w:space="0" w:color="auto" w:frame="1"/>
        </w:rPr>
        <w:id w:val="-201562320"/>
        <w:placeholder>
          <w:docPart w:val="DefaultPlaceholder_-1854013440"/>
        </w:placeholder>
      </w:sdtPr>
      <w:sdtEndPr>
        <w:rPr>
          <w:rStyle w:val="eop"/>
          <w:color w:val="002D72"/>
          <w:bdr w:val="none" w:sz="0" w:space="0" w:color="auto"/>
          <w:shd w:val="clear" w:color="auto" w:fill="FFFFFF"/>
        </w:rPr>
      </w:sdtEndPr>
      <w:sdtContent>
        <w:p w14:paraId="52790165" w14:textId="0447766E" w:rsidR="0091122A" w:rsidRPr="00967009" w:rsidRDefault="00E04BE6" w:rsidP="0091122A">
          <w:pPr>
            <w:rPr>
              <w:rStyle w:val="eop"/>
              <w:color w:val="002D72"/>
              <w:szCs w:val="22"/>
              <w:shd w:val="clear" w:color="auto" w:fill="FFFFFF"/>
            </w:rPr>
          </w:pPr>
          <w:r w:rsidRPr="005645BD">
            <w:rPr>
              <w:rStyle w:val="normaltextrun"/>
              <w:color w:val="000000"/>
              <w:szCs w:val="22"/>
              <w:bdr w:val="none" w:sz="0" w:space="0" w:color="auto" w:frame="1"/>
            </w:rPr>
            <w:t>Development of a Research Maturity Model (RMM) for TDOT’s Research and Innovation Program</w:t>
          </w:r>
          <w:r>
            <w:rPr>
              <w:rStyle w:val="normaltextrun"/>
              <w:color w:val="000000"/>
              <w:szCs w:val="22"/>
              <w:bdr w:val="none" w:sz="0" w:space="0" w:color="auto" w:frame="1"/>
            </w:rPr>
            <w:t>.</w:t>
          </w:r>
        </w:p>
      </w:sdtContent>
    </w:sdt>
    <w:p w14:paraId="38D66B60" w14:textId="10E737A6" w:rsidR="009D3132" w:rsidRPr="00967009" w:rsidRDefault="00B053C8" w:rsidP="000A2610">
      <w:pPr>
        <w:pStyle w:val="Heading1"/>
        <w:rPr>
          <w:rStyle w:val="normaltextrun"/>
          <w:rFonts w:cs="Open Sans"/>
          <w:szCs w:val="22"/>
        </w:rPr>
      </w:pPr>
      <w:r w:rsidRPr="00967009">
        <w:rPr>
          <w:rStyle w:val="normaltextrun"/>
          <w:rFonts w:cs="Open Sans"/>
          <w:szCs w:val="22"/>
        </w:rPr>
        <w:t>Research Problem Statement</w:t>
      </w:r>
      <w:r w:rsidR="009D3132" w:rsidRPr="00967009">
        <w:rPr>
          <w:rStyle w:val="normaltextrun"/>
          <w:rFonts w:cs="Open Sans"/>
          <w:szCs w:val="22"/>
        </w:rPr>
        <w:t>:</w:t>
      </w:r>
    </w:p>
    <w:p w14:paraId="6148FF30" w14:textId="77777777" w:rsidR="00E04BE6" w:rsidRPr="005645BD" w:rsidRDefault="00E04BE6" w:rsidP="00E04BE6">
      <w:pPr>
        <w:rPr>
          <w:rStyle w:val="normaltextrun"/>
          <w:color w:val="000000"/>
          <w:szCs w:val="22"/>
          <w:bdr w:val="none" w:sz="0" w:space="0" w:color="auto" w:frame="1"/>
        </w:rPr>
      </w:pPr>
      <w:r w:rsidRPr="005645BD">
        <w:rPr>
          <w:rStyle w:val="normaltextrun"/>
          <w:color w:val="000000"/>
          <w:szCs w:val="22"/>
          <w:bdr w:val="none" w:sz="0" w:space="0" w:color="auto" w:frame="1"/>
        </w:rPr>
        <w:t>The Tennessee Department of Transportation (TDOT) invests in research and innovation to improve safety, mobility, infrastructure condition, and system performance. However, recent agency reorganizations and turnover among key personnel have made it increasingly difficult for the Research &amp; Innovation Office (R&amp;IO) to maintain institutional knowledge and ensure consistent processes across the research lifecycle. These challenges contribute to variability in project oversight, inconsistent documentation, and uneven evaluation practices, and recurring administrative issues, most notably delays and errors in invoicing due to missing, unclear, or incorrect supporting documentation. These administrative inefficiencies impede timely payment, increase the burden on both TDOT and research partners, and create audit risks that must be minimized.</w:t>
      </w:r>
    </w:p>
    <w:p w14:paraId="4872BBEA" w14:textId="77777777" w:rsidR="00E04BE6" w:rsidRPr="005645BD" w:rsidRDefault="00E04BE6" w:rsidP="00E04BE6">
      <w:pPr>
        <w:rPr>
          <w:rStyle w:val="normaltextrun"/>
          <w:color w:val="000000"/>
          <w:szCs w:val="22"/>
          <w:bdr w:val="none" w:sz="0" w:space="0" w:color="auto" w:frame="1"/>
        </w:rPr>
      </w:pPr>
      <w:r w:rsidRPr="005645BD">
        <w:rPr>
          <w:rStyle w:val="normaltextrun"/>
          <w:color w:val="000000"/>
          <w:szCs w:val="22"/>
          <w:bdr w:val="none" w:sz="0" w:space="0" w:color="auto" w:frame="1"/>
        </w:rPr>
        <w:t>At the federal level, 23 CFR 420 Subpart B requires State DOTs to maintain a documented research management process, conduct periodic evaluations to ensure research activities remain effective and aligned with agency priorities, and perform ongoing program monitoring and reporting as a condition of receiving federal research funds. These federal requirements underscore the need for TDOT to strengthen both governance and operational processes, including administrative workflows such as invoicing accuracy, documentation consistency, and compliance-ready financial procedures.</w:t>
      </w:r>
    </w:p>
    <w:p w14:paraId="749FD3ED" w14:textId="77777777" w:rsidR="00E04BE6" w:rsidRPr="005645BD" w:rsidRDefault="00E04BE6" w:rsidP="00E04BE6">
      <w:pPr>
        <w:rPr>
          <w:rStyle w:val="normaltextrun"/>
          <w:color w:val="000000"/>
          <w:szCs w:val="22"/>
          <w:bdr w:val="none" w:sz="0" w:space="0" w:color="auto" w:frame="1"/>
        </w:rPr>
      </w:pPr>
      <w:r w:rsidRPr="005645BD">
        <w:rPr>
          <w:rStyle w:val="normaltextrun"/>
          <w:color w:val="000000"/>
          <w:szCs w:val="22"/>
          <w:bdr w:val="none" w:sz="0" w:space="0" w:color="auto" w:frame="1"/>
        </w:rPr>
        <w:t xml:space="preserve">A TDOT-specific Research Maturity Model (RMM) will provide a structured, evidence-based framework that addresses governance, performance management, and operational process gaps. It will enable TDOT to improve project selection, monitoring, evaluation, and administrative functions, while also supporting compliance with 23 CFR 420 and alignment with national best practices.  </w:t>
      </w:r>
    </w:p>
    <w:p w14:paraId="7C045CF0" w14:textId="2C198606" w:rsidR="00E540A9" w:rsidRPr="00967009" w:rsidRDefault="00B053C8" w:rsidP="000A2610">
      <w:pPr>
        <w:pStyle w:val="Heading1"/>
        <w:rPr>
          <w:rFonts w:cs="Open Sans"/>
          <w:szCs w:val="22"/>
        </w:rPr>
      </w:pPr>
      <w:r w:rsidRPr="00967009">
        <w:rPr>
          <w:rFonts w:cs="Open Sans"/>
          <w:szCs w:val="22"/>
        </w:rPr>
        <w:t>Literature Search Summary:</w:t>
      </w:r>
    </w:p>
    <w:sdt>
      <w:sdtPr>
        <w:rPr>
          <w:szCs w:val="22"/>
        </w:rPr>
        <w:id w:val="1336796300"/>
        <w:placeholder>
          <w:docPart w:val="DefaultPlaceholder_-1854013440"/>
        </w:placeholder>
      </w:sdtPr>
      <w:sdtEndPr/>
      <w:sdtContent>
        <w:sdt>
          <w:sdtPr>
            <w:rPr>
              <w:szCs w:val="22"/>
            </w:rPr>
            <w:id w:val="-1621059463"/>
            <w:placeholder>
              <w:docPart w:val="8AC2BB60E5604FD8A44F3431CB41A8AB"/>
            </w:placeholder>
          </w:sdtPr>
          <w:sdtEndPr/>
          <w:sdtContent>
            <w:p w14:paraId="62788DB5" w14:textId="77777777" w:rsidR="00E04BE6" w:rsidRPr="005645BD" w:rsidRDefault="00E04BE6" w:rsidP="00E04BE6">
              <w:pPr>
                <w:rPr>
                  <w:szCs w:val="22"/>
                </w:rPr>
              </w:pPr>
              <w:r w:rsidRPr="005645BD">
                <w:rPr>
                  <w:szCs w:val="22"/>
                </w:rPr>
                <w:t xml:space="preserve">A review of federal requirements shows that 23 CFR 420 Subpart B establishes the foundation for research program oversight by requiring each State DOT to implement a documented research management process, perform periodic evaluations, and conduct ongoing monitoring and reporting to ensure research activities remain effective and aligned with state and federal objectives. Complementing these federal mandates, national best practices from the Transportation Research Board (TRB) and the National Cooperative Highway Research Program (NCHRP) highlight the value of capability maturity-based frameworks in strengthening agency capabilities and improving program effectiveness. </w:t>
              </w:r>
            </w:p>
            <w:p w14:paraId="45E1421A" w14:textId="77777777" w:rsidR="00E04BE6" w:rsidRPr="005645BD" w:rsidRDefault="00E04BE6" w:rsidP="00E04BE6">
              <w:pPr>
                <w:rPr>
                  <w:szCs w:val="22"/>
                </w:rPr>
              </w:pPr>
              <w:r w:rsidRPr="005645BD">
                <w:rPr>
                  <w:szCs w:val="22"/>
                </w:rPr>
                <w:t xml:space="preserve">TRB’s work under the second Strategic Highway Research Program (SHRP2) advanced a Capability Maturity Model (CMM) for Transportation Systems Management &amp; Operations </w:t>
              </w:r>
              <w:r w:rsidRPr="005645BD">
                <w:rPr>
                  <w:szCs w:val="22"/>
                </w:rPr>
                <w:lastRenderedPageBreak/>
                <w:t xml:space="preserve">(TSM&amp;O), which provides a structured self-assessment approach across multiple dimensions of organizational capability, including culture, performance measurement, systems and technology, and organizational structure. The CMM enables agencies to identify gaps, benchmark their progress, and develop targeted improvement plans, demonstrating how maturity models can guide disciplined, stepwise capacity building. </w:t>
              </w:r>
            </w:p>
            <w:p w14:paraId="42F81737" w14:textId="437A8757" w:rsidR="00E540A9" w:rsidRPr="00967009" w:rsidRDefault="00E04BE6" w:rsidP="00E540A9">
              <w:pPr>
                <w:rPr>
                  <w:szCs w:val="22"/>
                </w:rPr>
              </w:pPr>
              <w:r w:rsidRPr="005645BD">
                <w:rPr>
                  <w:szCs w:val="22"/>
                </w:rPr>
                <w:t>Despite the widespread success of these nationally recognized maturity frameworks, no comparable, TDOT-specific RMM currently exists. Existing frameworks do not address research program governance, performance management, benefit-cost evaluation, or administrative processes such as invoicing, leaving a gap that this project will directly address by developing a Tennessee-specific research maturity model tailored to TDOT’s Research &amp; Innovation Program.</w:t>
              </w:r>
            </w:p>
          </w:sdtContent>
        </w:sdt>
      </w:sdtContent>
    </w:sdt>
    <w:p w14:paraId="10A25646" w14:textId="09F8FBD2" w:rsidR="00E540A9" w:rsidRPr="00967009" w:rsidRDefault="00B053C8" w:rsidP="000A2610">
      <w:pPr>
        <w:pStyle w:val="Heading1"/>
        <w:rPr>
          <w:rFonts w:cs="Open Sans"/>
          <w:szCs w:val="22"/>
        </w:rPr>
      </w:pPr>
      <w:r w:rsidRPr="00967009">
        <w:rPr>
          <w:rStyle w:val="Heading1Char"/>
          <w:rFonts w:cs="Open Sans"/>
          <w:b/>
          <w:bCs/>
          <w:szCs w:val="22"/>
        </w:rPr>
        <w:t>Research Objective:</w:t>
      </w:r>
    </w:p>
    <w:sdt>
      <w:sdtPr>
        <w:rPr>
          <w:rFonts w:ascii="Open Sans" w:eastAsiaTheme="minorHAnsi" w:hAnsi="Open Sans" w:cs="Open Sans"/>
          <w:bCs/>
          <w:color w:val="1D1F2A"/>
          <w:sz w:val="22"/>
          <w:szCs w:val="22"/>
        </w:rPr>
        <w:id w:val="474188864"/>
        <w:placeholder>
          <w:docPart w:val="DefaultPlaceholder_-1854013440"/>
        </w:placeholder>
      </w:sdtPr>
      <w:sdtEndPr/>
      <w:sdtContent>
        <w:sdt>
          <w:sdtPr>
            <w:rPr>
              <w:rFonts w:ascii="Open Sans" w:eastAsiaTheme="minorEastAsia" w:hAnsi="Open Sans" w:cs="Open Sans"/>
              <w:bCs/>
              <w:color w:val="1D1F2A"/>
              <w:sz w:val="22"/>
              <w:szCs w:val="22"/>
            </w:rPr>
            <w:id w:val="-741103579"/>
            <w:placeholder>
              <w:docPart w:val="D390DC4F7EFA423A9AE3469BE56C82C6"/>
            </w:placeholder>
          </w:sdtPr>
          <w:sdtEndPr/>
          <w:sdtContent>
            <w:p w14:paraId="7317DCF8" w14:textId="77777777" w:rsidR="00E04BE6" w:rsidRPr="00A55D18" w:rsidRDefault="00E04BE6" w:rsidP="00B472D4">
              <w:pPr>
                <w:pStyle w:val="NormalWeb"/>
                <w:spacing w:before="0" w:beforeAutospacing="0" w:after="240" w:afterAutospacing="0"/>
                <w:rPr>
                  <w:rFonts w:ascii="Open Sans" w:hAnsi="Open Sans" w:cs="Open Sans"/>
                  <w:sz w:val="22"/>
                  <w:szCs w:val="22"/>
                </w:rPr>
              </w:pPr>
              <w:r w:rsidRPr="00A55D18">
                <w:rPr>
                  <w:rFonts w:ascii="Open Sans" w:hAnsi="Open Sans" w:cs="Open Sans"/>
                  <w:sz w:val="22"/>
                  <w:szCs w:val="22"/>
                </w:rPr>
                <w:t>The objective of this research is to design and deliver a Research Maturity Model (RMM) and repeatable self-evaluation framework tailored to TDOT’s Research &amp; Innovation Program. The RMM will align with federal requirements under 23 CFR 420 Subpart B and national best practices to assess maturity in three core dimensions: Governance, Performance Management, and Operational Processes. The research will deliver a comprehensive set of practical tools that TDOT staff can apply using existing program records, enabling consistent, evidence-based assessment and continuous program improvement.</w:t>
              </w:r>
            </w:p>
            <w:p w14:paraId="75851CBD" w14:textId="77777777" w:rsidR="00E04BE6" w:rsidRPr="00A55D18" w:rsidRDefault="00E04BE6" w:rsidP="00B472D4">
              <w:pPr>
                <w:pStyle w:val="NormalWeb"/>
                <w:spacing w:before="0" w:beforeAutospacing="0" w:after="240" w:afterAutospacing="0"/>
                <w:rPr>
                  <w:rFonts w:ascii="Open Sans" w:hAnsi="Open Sans" w:cs="Open Sans"/>
                  <w:sz w:val="22"/>
                  <w:szCs w:val="22"/>
                </w:rPr>
              </w:pPr>
              <w:r w:rsidRPr="00A55D18">
                <w:rPr>
                  <w:rFonts w:ascii="Open Sans" w:hAnsi="Open Sans" w:cs="Open Sans"/>
                  <w:sz w:val="22"/>
                  <w:szCs w:val="22"/>
                </w:rPr>
                <w:t>Key technical objectives include:</w:t>
              </w:r>
            </w:p>
            <w:p w14:paraId="0EAC683D" w14:textId="77777777" w:rsidR="00E04BE6" w:rsidRPr="00A55D18" w:rsidRDefault="00E04BE6" w:rsidP="00B472D4">
              <w:pPr>
                <w:pStyle w:val="NoSpacing"/>
                <w:numPr>
                  <w:ilvl w:val="0"/>
                  <w:numId w:val="4"/>
                </w:numPr>
                <w:jc w:val="left"/>
                <w:rPr>
                  <w:b/>
                  <w:bCs w:val="0"/>
                  <w:sz w:val="22"/>
                  <w:szCs w:val="22"/>
                </w:rPr>
              </w:pPr>
              <w:r w:rsidRPr="00A55D18">
                <w:rPr>
                  <w:b/>
                  <w:bCs w:val="0"/>
                  <w:sz w:val="22"/>
                  <w:szCs w:val="22"/>
                </w:rPr>
                <w:t>Conducting Benchmarking and SWOT Analysis</w:t>
              </w:r>
            </w:p>
            <w:p w14:paraId="07279D18" w14:textId="77777777" w:rsidR="00E04BE6" w:rsidRPr="00A55D18" w:rsidRDefault="00E04BE6" w:rsidP="00B472D4">
              <w:pPr>
                <w:pStyle w:val="NoSpacing"/>
                <w:ind w:left="360"/>
                <w:jc w:val="left"/>
                <w:rPr>
                  <w:sz w:val="22"/>
                  <w:szCs w:val="22"/>
                </w:rPr>
              </w:pPr>
              <w:r w:rsidRPr="00A55D18">
                <w:rPr>
                  <w:sz w:val="22"/>
                  <w:szCs w:val="22"/>
                </w:rPr>
                <w:t>Benchmark TDOT’s governance, performance measurement, and administrative processes against peer state DOTs. Use benchmarking results to produce a SWOT analysis identifying strengths, weaknesses, opportunities, and threats linked to TDOT’s current research operations.</w:t>
              </w:r>
            </w:p>
            <w:p w14:paraId="15C24649" w14:textId="77777777" w:rsidR="00E04BE6" w:rsidRPr="005645BD" w:rsidRDefault="00E04BE6" w:rsidP="00B472D4">
              <w:pPr>
                <w:pStyle w:val="NoSpacing"/>
                <w:ind w:left="360"/>
                <w:jc w:val="left"/>
                <w:rPr>
                  <w:sz w:val="22"/>
                  <w:szCs w:val="22"/>
                </w:rPr>
              </w:pPr>
            </w:p>
            <w:p w14:paraId="590F2A92" w14:textId="77777777" w:rsidR="00E04BE6" w:rsidRPr="005645BD" w:rsidRDefault="00E04BE6" w:rsidP="00B472D4">
              <w:pPr>
                <w:pStyle w:val="NoSpacing"/>
                <w:numPr>
                  <w:ilvl w:val="0"/>
                  <w:numId w:val="4"/>
                </w:numPr>
                <w:jc w:val="left"/>
                <w:rPr>
                  <w:b/>
                  <w:bCs w:val="0"/>
                  <w:sz w:val="22"/>
                  <w:szCs w:val="22"/>
                </w:rPr>
              </w:pPr>
              <w:r w:rsidRPr="005645BD">
                <w:rPr>
                  <w:b/>
                  <w:bCs w:val="0"/>
                  <w:sz w:val="22"/>
                  <w:szCs w:val="22"/>
                </w:rPr>
                <w:t>Develop the TDOT-Specific RMM Framework</w:t>
              </w:r>
            </w:p>
            <w:p w14:paraId="35E10AE4" w14:textId="77777777" w:rsidR="00E04BE6" w:rsidRPr="005645BD" w:rsidRDefault="00E04BE6" w:rsidP="00B472D4">
              <w:pPr>
                <w:pStyle w:val="NoSpacing"/>
                <w:ind w:left="360"/>
                <w:jc w:val="left"/>
                <w:rPr>
                  <w:sz w:val="22"/>
                  <w:szCs w:val="22"/>
                </w:rPr>
              </w:pPr>
              <w:r w:rsidRPr="005645BD">
                <w:rPr>
                  <w:sz w:val="22"/>
                  <w:szCs w:val="22"/>
                </w:rPr>
                <w:t xml:space="preserve">Define maturity domains, maturity levels, evaluation factors, scoring logic, and evidence requirements across Governance, Performance Management, and Operational Processes (including invoicing, documentation quality, and project lifecycle management). </w:t>
              </w:r>
            </w:p>
            <w:p w14:paraId="156B9D3B" w14:textId="77777777" w:rsidR="00E04BE6" w:rsidRPr="005645BD" w:rsidRDefault="00E04BE6" w:rsidP="00B472D4">
              <w:pPr>
                <w:pStyle w:val="NoSpacing"/>
                <w:ind w:left="360"/>
                <w:jc w:val="left"/>
                <w:rPr>
                  <w:sz w:val="22"/>
                  <w:szCs w:val="22"/>
                </w:rPr>
              </w:pPr>
            </w:p>
            <w:p w14:paraId="5C7B9016" w14:textId="77777777" w:rsidR="00E04BE6" w:rsidRPr="005645BD" w:rsidRDefault="00E04BE6" w:rsidP="00B472D4">
              <w:pPr>
                <w:pStyle w:val="NoSpacing"/>
                <w:numPr>
                  <w:ilvl w:val="0"/>
                  <w:numId w:val="4"/>
                </w:numPr>
                <w:jc w:val="left"/>
                <w:rPr>
                  <w:b/>
                  <w:bCs w:val="0"/>
                  <w:sz w:val="22"/>
                  <w:szCs w:val="22"/>
                </w:rPr>
              </w:pPr>
              <w:r w:rsidRPr="005645BD">
                <w:rPr>
                  <w:b/>
                  <w:bCs w:val="0"/>
                  <w:sz w:val="22"/>
                  <w:szCs w:val="22"/>
                </w:rPr>
                <w:t>Create a Practical Self-Assessment Toolkit</w:t>
              </w:r>
            </w:p>
            <w:p w14:paraId="0B5389EA" w14:textId="77777777" w:rsidR="00E04BE6" w:rsidRPr="005645BD" w:rsidRDefault="00E04BE6" w:rsidP="00B472D4">
              <w:pPr>
                <w:pStyle w:val="NoSpacing"/>
                <w:ind w:left="360"/>
                <w:jc w:val="left"/>
                <w:rPr>
                  <w:sz w:val="22"/>
                  <w:szCs w:val="22"/>
                </w:rPr>
              </w:pPr>
              <w:r w:rsidRPr="005645BD">
                <w:rPr>
                  <w:sz w:val="22"/>
                  <w:szCs w:val="22"/>
                </w:rPr>
                <w:t>Deliver a complete, ready-to-use toolkit consisting of:</w:t>
              </w:r>
            </w:p>
            <w:p w14:paraId="1EDE9B65" w14:textId="77777777" w:rsidR="00E04BE6" w:rsidRPr="005645BD" w:rsidRDefault="00E04BE6" w:rsidP="00B472D4">
              <w:pPr>
                <w:pStyle w:val="NoSpacing"/>
                <w:numPr>
                  <w:ilvl w:val="0"/>
                  <w:numId w:val="5"/>
                </w:numPr>
                <w:jc w:val="left"/>
                <w:rPr>
                  <w:sz w:val="22"/>
                  <w:szCs w:val="22"/>
                </w:rPr>
              </w:pPr>
              <w:r w:rsidRPr="005645BD">
                <w:rPr>
                  <w:sz w:val="22"/>
                  <w:szCs w:val="22"/>
                </w:rPr>
                <w:t>Maturity scoring rubrics with level descriptors and evidence requirements</w:t>
              </w:r>
            </w:p>
            <w:p w14:paraId="5CFC2CCF" w14:textId="77777777" w:rsidR="00E04BE6" w:rsidRPr="005645BD" w:rsidRDefault="00E04BE6" w:rsidP="00B472D4">
              <w:pPr>
                <w:pStyle w:val="NoSpacing"/>
                <w:numPr>
                  <w:ilvl w:val="0"/>
                  <w:numId w:val="5"/>
                </w:numPr>
                <w:jc w:val="left"/>
                <w:rPr>
                  <w:sz w:val="22"/>
                  <w:szCs w:val="22"/>
                </w:rPr>
              </w:pPr>
              <w:r w:rsidRPr="005645BD">
                <w:rPr>
                  <w:sz w:val="22"/>
                  <w:szCs w:val="22"/>
                </w:rPr>
                <w:t>Governance decision-rights matrix and strategic alignment checklist</w:t>
              </w:r>
            </w:p>
            <w:p w14:paraId="514FE71A" w14:textId="77777777" w:rsidR="00E04BE6" w:rsidRPr="005645BD" w:rsidRDefault="00E04BE6" w:rsidP="00B472D4">
              <w:pPr>
                <w:pStyle w:val="NoSpacing"/>
                <w:numPr>
                  <w:ilvl w:val="0"/>
                  <w:numId w:val="5"/>
                </w:numPr>
                <w:jc w:val="left"/>
                <w:rPr>
                  <w:sz w:val="22"/>
                  <w:szCs w:val="22"/>
                </w:rPr>
              </w:pPr>
              <w:r w:rsidRPr="005645BD">
                <w:rPr>
                  <w:sz w:val="22"/>
                  <w:szCs w:val="22"/>
                </w:rPr>
                <w:t>23 CFR 420 compliance checklist for federal readiness and documentation</w:t>
              </w:r>
            </w:p>
            <w:p w14:paraId="0161AB7D" w14:textId="77777777" w:rsidR="00E04BE6" w:rsidRPr="005645BD" w:rsidRDefault="00E04BE6" w:rsidP="00B472D4">
              <w:pPr>
                <w:pStyle w:val="NoSpacing"/>
                <w:numPr>
                  <w:ilvl w:val="0"/>
                  <w:numId w:val="5"/>
                </w:numPr>
                <w:jc w:val="left"/>
                <w:rPr>
                  <w:sz w:val="22"/>
                  <w:szCs w:val="22"/>
                </w:rPr>
              </w:pPr>
              <w:r w:rsidRPr="005645BD">
                <w:rPr>
                  <w:sz w:val="22"/>
                  <w:szCs w:val="22"/>
                </w:rPr>
                <w:t xml:space="preserve">Project lifecycle process maps and standardized stage-gate workflow templates </w:t>
              </w:r>
            </w:p>
            <w:p w14:paraId="1AFC8220" w14:textId="77777777" w:rsidR="00E04BE6" w:rsidRPr="005645BD" w:rsidRDefault="00E04BE6" w:rsidP="00B472D4">
              <w:pPr>
                <w:pStyle w:val="NoSpacing"/>
                <w:numPr>
                  <w:ilvl w:val="0"/>
                  <w:numId w:val="5"/>
                </w:numPr>
                <w:jc w:val="left"/>
                <w:rPr>
                  <w:sz w:val="22"/>
                  <w:szCs w:val="22"/>
                </w:rPr>
              </w:pPr>
              <w:r w:rsidRPr="005645BD">
                <w:rPr>
                  <w:sz w:val="22"/>
                  <w:szCs w:val="22"/>
                </w:rPr>
                <w:lastRenderedPageBreak/>
                <w:t>Performance Management tools, including:</w:t>
              </w:r>
            </w:p>
            <w:p w14:paraId="6418C371" w14:textId="77777777" w:rsidR="00E04BE6" w:rsidRPr="005645BD" w:rsidRDefault="00E04BE6" w:rsidP="00B472D4">
              <w:pPr>
                <w:pStyle w:val="NoSpacing"/>
                <w:numPr>
                  <w:ilvl w:val="1"/>
                  <w:numId w:val="5"/>
                </w:numPr>
                <w:jc w:val="left"/>
                <w:rPr>
                  <w:sz w:val="22"/>
                  <w:szCs w:val="22"/>
                </w:rPr>
              </w:pPr>
              <w:r w:rsidRPr="005645BD">
                <w:rPr>
                  <w:sz w:val="22"/>
                  <w:szCs w:val="22"/>
                </w:rPr>
                <w:t>KPI dictionary with defined indicators and data sources</w:t>
              </w:r>
            </w:p>
            <w:p w14:paraId="250EA5C6" w14:textId="77777777" w:rsidR="00E04BE6" w:rsidRPr="005645BD" w:rsidRDefault="00E04BE6" w:rsidP="00B472D4">
              <w:pPr>
                <w:pStyle w:val="NoSpacing"/>
                <w:numPr>
                  <w:ilvl w:val="1"/>
                  <w:numId w:val="5"/>
                </w:numPr>
                <w:jc w:val="left"/>
                <w:rPr>
                  <w:sz w:val="22"/>
                  <w:szCs w:val="22"/>
                </w:rPr>
              </w:pPr>
              <w:r w:rsidRPr="005645BD">
                <w:rPr>
                  <w:sz w:val="22"/>
                  <w:szCs w:val="22"/>
                </w:rPr>
                <w:t>Implementation tracking forms</w:t>
              </w:r>
            </w:p>
            <w:p w14:paraId="3DFA6550" w14:textId="77777777" w:rsidR="00E04BE6" w:rsidRPr="005645BD" w:rsidRDefault="00E04BE6" w:rsidP="00B472D4">
              <w:pPr>
                <w:pStyle w:val="NoSpacing"/>
                <w:numPr>
                  <w:ilvl w:val="1"/>
                  <w:numId w:val="5"/>
                </w:numPr>
                <w:jc w:val="left"/>
                <w:rPr>
                  <w:sz w:val="22"/>
                  <w:szCs w:val="22"/>
                </w:rPr>
              </w:pPr>
              <w:r w:rsidRPr="005645BD">
                <w:rPr>
                  <w:sz w:val="22"/>
                  <w:szCs w:val="22"/>
                </w:rPr>
                <w:t>Outcome/impact measurement templates</w:t>
              </w:r>
            </w:p>
            <w:p w14:paraId="4A0D735F" w14:textId="77777777" w:rsidR="00E04BE6" w:rsidRPr="005645BD" w:rsidRDefault="00E04BE6" w:rsidP="00B472D4">
              <w:pPr>
                <w:pStyle w:val="NoSpacing"/>
                <w:numPr>
                  <w:ilvl w:val="1"/>
                  <w:numId w:val="5"/>
                </w:numPr>
                <w:jc w:val="left"/>
                <w:rPr>
                  <w:sz w:val="22"/>
                  <w:szCs w:val="22"/>
                </w:rPr>
              </w:pPr>
              <w:r w:rsidRPr="005645BD">
                <w:rPr>
                  <w:sz w:val="22"/>
                  <w:szCs w:val="22"/>
                </w:rPr>
                <w:t>Benefit-Cost Analysis (BCA) worksheets tailored to TDOT research</w:t>
              </w:r>
            </w:p>
            <w:p w14:paraId="010FDE07" w14:textId="77777777" w:rsidR="00E04BE6" w:rsidRPr="005645BD" w:rsidRDefault="00E04BE6" w:rsidP="00B472D4">
              <w:pPr>
                <w:pStyle w:val="NoSpacing"/>
                <w:numPr>
                  <w:ilvl w:val="0"/>
                  <w:numId w:val="5"/>
                </w:numPr>
                <w:jc w:val="left"/>
                <w:rPr>
                  <w:sz w:val="22"/>
                  <w:szCs w:val="22"/>
                </w:rPr>
              </w:pPr>
              <w:r w:rsidRPr="005645BD">
                <w:rPr>
                  <w:sz w:val="22"/>
                  <w:szCs w:val="22"/>
                </w:rPr>
                <w:t>Operational/Administrative tools; including:</w:t>
              </w:r>
            </w:p>
            <w:p w14:paraId="58C57634" w14:textId="77777777" w:rsidR="00E04BE6" w:rsidRPr="005645BD" w:rsidRDefault="00E04BE6" w:rsidP="00B472D4">
              <w:pPr>
                <w:pStyle w:val="NoSpacing"/>
                <w:numPr>
                  <w:ilvl w:val="1"/>
                  <w:numId w:val="5"/>
                </w:numPr>
                <w:jc w:val="left"/>
                <w:rPr>
                  <w:sz w:val="22"/>
                  <w:szCs w:val="22"/>
                </w:rPr>
              </w:pPr>
              <w:r w:rsidRPr="005645BD">
                <w:rPr>
                  <w:sz w:val="22"/>
                  <w:szCs w:val="22"/>
                </w:rPr>
                <w:t>Invoice documentation requirements checklist</w:t>
              </w:r>
            </w:p>
            <w:p w14:paraId="2A54838F" w14:textId="77777777" w:rsidR="00E04BE6" w:rsidRPr="005645BD" w:rsidRDefault="00E04BE6" w:rsidP="00B472D4">
              <w:pPr>
                <w:pStyle w:val="NoSpacing"/>
                <w:numPr>
                  <w:ilvl w:val="1"/>
                  <w:numId w:val="5"/>
                </w:numPr>
                <w:jc w:val="left"/>
                <w:rPr>
                  <w:sz w:val="22"/>
                  <w:szCs w:val="22"/>
                </w:rPr>
              </w:pPr>
              <w:r w:rsidRPr="005645BD">
                <w:rPr>
                  <w:sz w:val="22"/>
                  <w:szCs w:val="22"/>
                </w:rPr>
                <w:t>Invoice error-prevention guide</w:t>
              </w:r>
            </w:p>
            <w:p w14:paraId="0747BBA7" w14:textId="77777777" w:rsidR="00E04BE6" w:rsidRPr="005645BD" w:rsidRDefault="00E04BE6" w:rsidP="00B472D4">
              <w:pPr>
                <w:pStyle w:val="NoSpacing"/>
                <w:numPr>
                  <w:ilvl w:val="1"/>
                  <w:numId w:val="5"/>
                </w:numPr>
                <w:jc w:val="left"/>
                <w:rPr>
                  <w:sz w:val="22"/>
                  <w:szCs w:val="22"/>
                </w:rPr>
              </w:pPr>
              <w:r w:rsidRPr="005645BD">
                <w:rPr>
                  <w:sz w:val="22"/>
                  <w:szCs w:val="22"/>
                </w:rPr>
                <w:t>Invoice cycle-time monitoring sheet</w:t>
              </w:r>
            </w:p>
            <w:p w14:paraId="65F699B5" w14:textId="77777777" w:rsidR="00E04BE6" w:rsidRPr="005645BD" w:rsidRDefault="00E04BE6" w:rsidP="00B472D4">
              <w:pPr>
                <w:pStyle w:val="NoSpacing"/>
                <w:numPr>
                  <w:ilvl w:val="1"/>
                  <w:numId w:val="5"/>
                </w:numPr>
                <w:jc w:val="left"/>
                <w:rPr>
                  <w:sz w:val="22"/>
                  <w:szCs w:val="22"/>
                </w:rPr>
              </w:pPr>
              <w:r w:rsidRPr="005645BD">
                <w:rPr>
                  <w:sz w:val="22"/>
                  <w:szCs w:val="22"/>
                </w:rPr>
                <w:t>Returned-invoice tracking log</w:t>
              </w:r>
            </w:p>
            <w:p w14:paraId="40739CC1" w14:textId="77777777" w:rsidR="00E04BE6" w:rsidRPr="005645BD" w:rsidRDefault="00E04BE6" w:rsidP="00B472D4">
              <w:pPr>
                <w:pStyle w:val="NoSpacing"/>
                <w:numPr>
                  <w:ilvl w:val="0"/>
                  <w:numId w:val="5"/>
                </w:numPr>
                <w:jc w:val="left"/>
                <w:rPr>
                  <w:sz w:val="22"/>
                  <w:szCs w:val="22"/>
                </w:rPr>
              </w:pPr>
              <w:r w:rsidRPr="005645BD">
                <w:rPr>
                  <w:sz w:val="22"/>
                  <w:szCs w:val="22"/>
                </w:rPr>
                <w:t>Benchmarking matrices and SWOT templates based on TDOT’s maturity domains</w:t>
              </w:r>
            </w:p>
            <w:p w14:paraId="0639E78F" w14:textId="10952980" w:rsidR="00E04BE6" w:rsidRPr="00C019ED" w:rsidRDefault="00E04BE6" w:rsidP="00C019ED">
              <w:pPr>
                <w:pStyle w:val="NoSpacing"/>
                <w:numPr>
                  <w:ilvl w:val="0"/>
                  <w:numId w:val="5"/>
                </w:numPr>
                <w:jc w:val="left"/>
                <w:rPr>
                  <w:sz w:val="22"/>
                  <w:szCs w:val="22"/>
                </w:rPr>
              </w:pPr>
              <w:r w:rsidRPr="005645BD">
                <w:rPr>
                  <w:sz w:val="22"/>
                  <w:szCs w:val="22"/>
                </w:rPr>
                <w:t>Digital dashboard inputs (Excel or Power BI) for visualizing</w:t>
              </w:r>
              <w:r w:rsidR="00C019ED">
                <w:rPr>
                  <w:sz w:val="22"/>
                  <w:szCs w:val="22"/>
                </w:rPr>
                <w:t xml:space="preserve"> </w:t>
              </w:r>
              <w:r w:rsidRPr="00C019ED">
                <w:rPr>
                  <w:sz w:val="22"/>
                  <w:szCs w:val="22"/>
                </w:rPr>
                <w:t xml:space="preserve">maturity levels, KPIs, and administrative indicators </w:t>
              </w:r>
            </w:p>
            <w:p w14:paraId="7674FAE4" w14:textId="77777777" w:rsidR="00E04BE6" w:rsidRPr="005645BD" w:rsidRDefault="00E04BE6" w:rsidP="00B472D4">
              <w:pPr>
                <w:pStyle w:val="NoSpacing"/>
                <w:ind w:left="360"/>
                <w:jc w:val="left"/>
                <w:rPr>
                  <w:sz w:val="22"/>
                  <w:szCs w:val="22"/>
                </w:rPr>
              </w:pPr>
            </w:p>
            <w:p w14:paraId="00C9E189" w14:textId="77777777" w:rsidR="00E04BE6" w:rsidRPr="005645BD" w:rsidRDefault="00E04BE6" w:rsidP="00B472D4">
              <w:pPr>
                <w:pStyle w:val="NoSpacing"/>
                <w:numPr>
                  <w:ilvl w:val="0"/>
                  <w:numId w:val="4"/>
                </w:numPr>
                <w:jc w:val="left"/>
                <w:rPr>
                  <w:b/>
                  <w:bCs w:val="0"/>
                  <w:sz w:val="22"/>
                  <w:szCs w:val="22"/>
                </w:rPr>
              </w:pPr>
              <w:r w:rsidRPr="005645BD">
                <w:rPr>
                  <w:b/>
                  <w:bCs w:val="0"/>
                  <w:sz w:val="22"/>
                  <w:szCs w:val="22"/>
                </w:rPr>
                <w:t>Establish a Structured, Repeatable Assessment Process</w:t>
              </w:r>
            </w:p>
            <w:p w14:paraId="5BDDFD0A" w14:textId="77777777" w:rsidR="00E04BE6" w:rsidRPr="005645BD" w:rsidRDefault="00E04BE6" w:rsidP="00B472D4">
              <w:pPr>
                <w:pStyle w:val="NoSpacing"/>
                <w:ind w:left="360"/>
                <w:jc w:val="left"/>
                <w:rPr>
                  <w:sz w:val="22"/>
                  <w:szCs w:val="22"/>
                </w:rPr>
              </w:pPr>
              <w:r w:rsidRPr="005645BD">
                <w:rPr>
                  <w:sz w:val="22"/>
                  <w:szCs w:val="22"/>
                </w:rPr>
                <w:t>Define the cadence (annual, semi-annual, or quarterly), roles, data flows, documentation expectations, and reporting procedures needed to institutionalize the RMM as a core management activity.</w:t>
              </w:r>
            </w:p>
            <w:p w14:paraId="6E415248" w14:textId="77777777" w:rsidR="00E04BE6" w:rsidRPr="005645BD" w:rsidRDefault="00E04BE6" w:rsidP="00B472D4">
              <w:pPr>
                <w:pStyle w:val="NoSpacing"/>
                <w:ind w:left="360"/>
                <w:jc w:val="left"/>
                <w:rPr>
                  <w:sz w:val="22"/>
                  <w:szCs w:val="22"/>
                </w:rPr>
              </w:pPr>
            </w:p>
            <w:p w14:paraId="5AFE7DCE" w14:textId="77777777" w:rsidR="00E04BE6" w:rsidRPr="005645BD" w:rsidRDefault="00E04BE6" w:rsidP="00B472D4">
              <w:pPr>
                <w:pStyle w:val="NoSpacing"/>
                <w:numPr>
                  <w:ilvl w:val="0"/>
                  <w:numId w:val="4"/>
                </w:numPr>
                <w:jc w:val="left"/>
                <w:rPr>
                  <w:b/>
                  <w:bCs w:val="0"/>
                  <w:sz w:val="22"/>
                  <w:szCs w:val="22"/>
                </w:rPr>
              </w:pPr>
              <w:r w:rsidRPr="005645BD">
                <w:rPr>
                  <w:b/>
                  <w:bCs w:val="0"/>
                  <w:sz w:val="22"/>
                  <w:szCs w:val="22"/>
                </w:rPr>
                <w:t>Pilot Test and Finalize Implementation Roadmap</w:t>
              </w:r>
            </w:p>
            <w:p w14:paraId="0E3FE6CD" w14:textId="3D0E281E" w:rsidR="00E540A9" w:rsidRPr="00E04BE6" w:rsidRDefault="00E04BE6" w:rsidP="00B472D4">
              <w:pPr>
                <w:pStyle w:val="NoSpacing"/>
                <w:ind w:left="360"/>
                <w:jc w:val="left"/>
                <w:rPr>
                  <w:rFonts w:eastAsiaTheme="minorEastAsia"/>
                  <w:sz w:val="22"/>
                  <w:szCs w:val="22"/>
                </w:rPr>
              </w:pPr>
              <w:r w:rsidRPr="005645BD">
                <w:rPr>
                  <w:sz w:val="22"/>
                  <w:szCs w:val="22"/>
                </w:rPr>
                <w:t xml:space="preserve">Apply the RMM and toolkit to a representative sample of TDOT research activities. Use findings to refine the framework and develop a prioritized, actionable implementation roadmap identifying short-term, mid-term, and long-term improvement actions.    </w:t>
              </w:r>
            </w:p>
          </w:sdtContent>
        </w:sdt>
      </w:sdtContent>
    </w:sdt>
    <w:p w14:paraId="47282C05" w14:textId="78E67220" w:rsidR="0091122A" w:rsidRPr="00967009" w:rsidRDefault="00050EB1" w:rsidP="000A2610">
      <w:pPr>
        <w:pStyle w:val="Heading1"/>
        <w:rPr>
          <w:rFonts w:cs="Open Sans"/>
          <w:szCs w:val="22"/>
        </w:rPr>
      </w:pPr>
      <w:r w:rsidRPr="00967009">
        <w:rPr>
          <w:rFonts w:cs="Open Sans"/>
          <w:szCs w:val="22"/>
        </w:rPr>
        <w:t>Budget Estimate and Research Period:</w:t>
      </w:r>
    </w:p>
    <w:sdt>
      <w:sdtPr>
        <w:rPr>
          <w:rFonts w:eastAsiaTheme="minorEastAsia"/>
        </w:rPr>
        <w:id w:val="-537663640"/>
        <w:placeholder>
          <w:docPart w:val="DefaultPlaceholder_-1854013440"/>
        </w:placeholder>
      </w:sdtPr>
      <w:sdtEndPr/>
      <w:sdtContent>
        <w:p w14:paraId="4123DD9B" w14:textId="7B13E105" w:rsidR="00BF481F" w:rsidRPr="00BF481F" w:rsidRDefault="00BF481F" w:rsidP="00BF481F">
          <w:pPr>
            <w:rPr>
              <w:sz w:val="21"/>
            </w:rPr>
          </w:pPr>
          <w:r w:rsidRPr="00BF481F">
            <w:t>Project Duration: 18-30 months</w:t>
          </w:r>
        </w:p>
        <w:p w14:paraId="4D7B1BA8" w14:textId="3CE24B68" w:rsidR="0091122A" w:rsidRPr="00967009" w:rsidRDefault="00BF481F" w:rsidP="00BF481F">
          <w:r w:rsidRPr="00BF481F">
            <w:t>Estimated Budget: $150,000-$300,000</w:t>
          </w:r>
        </w:p>
      </w:sdtContent>
    </w:sdt>
    <w:p w14:paraId="15963CA8" w14:textId="603DD88B" w:rsidR="00E540A9" w:rsidRPr="00967009" w:rsidRDefault="00050EB1" w:rsidP="000A2610">
      <w:pPr>
        <w:pStyle w:val="Heading1"/>
        <w:rPr>
          <w:rFonts w:cs="Open Sans"/>
          <w:szCs w:val="22"/>
        </w:rPr>
      </w:pPr>
      <w:r w:rsidRPr="00967009">
        <w:rPr>
          <w:rFonts w:cs="Open Sans"/>
          <w:szCs w:val="22"/>
        </w:rPr>
        <w:t>Urgency</w:t>
      </w:r>
      <w:r w:rsidR="009D3132" w:rsidRPr="00967009">
        <w:rPr>
          <w:rFonts w:cs="Open Sans"/>
          <w:szCs w:val="22"/>
        </w:rPr>
        <w:t xml:space="preserve">, </w:t>
      </w:r>
      <w:r w:rsidR="00D333D0" w:rsidRPr="00967009">
        <w:rPr>
          <w:rFonts w:cs="Open Sans"/>
          <w:szCs w:val="22"/>
        </w:rPr>
        <w:t>Benefits,</w:t>
      </w:r>
      <w:r w:rsidRPr="00967009">
        <w:rPr>
          <w:rFonts w:cs="Open Sans"/>
          <w:szCs w:val="22"/>
        </w:rPr>
        <w:t xml:space="preserve"> and Implementation:</w:t>
      </w:r>
    </w:p>
    <w:sdt>
      <w:sdtPr>
        <w:rPr>
          <w:szCs w:val="22"/>
        </w:rPr>
        <w:id w:val="1900094960"/>
        <w:placeholder>
          <w:docPart w:val="DefaultPlaceholder_-1854013440"/>
        </w:placeholder>
      </w:sdtPr>
      <w:sdtEndPr/>
      <w:sdtContent>
        <w:sdt>
          <w:sdtPr>
            <w:rPr>
              <w:szCs w:val="22"/>
            </w:rPr>
            <w:id w:val="-1940136357"/>
            <w:placeholder>
              <w:docPart w:val="0DCEB65F05634F52967B62291D23C83A"/>
            </w:placeholder>
          </w:sdtPr>
          <w:sdtEndPr>
            <w:rPr>
              <w:b/>
            </w:rPr>
          </w:sdtEndPr>
          <w:sdtContent>
            <w:p w14:paraId="5160A38E" w14:textId="77777777" w:rsidR="00E04BE6" w:rsidRPr="005645BD" w:rsidRDefault="00E04BE6" w:rsidP="00E04BE6">
              <w:pPr>
                <w:rPr>
                  <w:b/>
                  <w:bCs w:val="0"/>
                  <w:szCs w:val="22"/>
                </w:rPr>
              </w:pPr>
              <w:r w:rsidRPr="005645BD">
                <w:rPr>
                  <w:b/>
                  <w:bCs w:val="0"/>
                  <w:szCs w:val="22"/>
                </w:rPr>
                <w:t>Urgency:</w:t>
              </w:r>
            </w:p>
            <w:p w14:paraId="036F5D39" w14:textId="77777777" w:rsidR="00E04BE6" w:rsidRPr="005645BD" w:rsidRDefault="00E04BE6" w:rsidP="00E04BE6">
              <w:pPr>
                <w:rPr>
                  <w:szCs w:val="22"/>
                </w:rPr>
              </w:pPr>
              <w:r w:rsidRPr="005645BD">
                <w:rPr>
                  <w:szCs w:val="22"/>
                </w:rPr>
                <w:t xml:space="preserve">Recent organizational changes and turnover within TDOT’s Research and Innovation Office (R&amp;IO) have created gaps in institutional knowledge, inconsistent application of project management practices, and recurring administrative challenges, especially related to invoicing accuracy, documentation quality, and processing times. These operational issues reduce efficiency, create payment delays, strain relationships with research partners, and increase audit and compliance risks. At the same time, 23 CFR 420 Subpart B requires State DOTs to maintain a documented research management process, conduct periodic evaluations, and perform ongoing program monitoring and reporting. Without a unified, systematic evaluation framework, TDOT faces increasing difficulty meeting these federal requirements while also ensuring research investments are strategically aligned, impactful, </w:t>
              </w:r>
              <w:r w:rsidRPr="005645BD">
                <w:rPr>
                  <w:szCs w:val="22"/>
                </w:rPr>
                <w:lastRenderedPageBreak/>
                <w:t>and efficiently administered. This creates an immediate need for a structured RMM that supports TDOT’s strategic goals, improves internal consistency, and builds long-term resilience within the program.</w:t>
              </w:r>
            </w:p>
            <w:p w14:paraId="625816FE" w14:textId="77777777" w:rsidR="00E04BE6" w:rsidRPr="005645BD" w:rsidRDefault="00E04BE6" w:rsidP="00E04BE6">
              <w:pPr>
                <w:rPr>
                  <w:b/>
                  <w:bCs w:val="0"/>
                  <w:szCs w:val="22"/>
                </w:rPr>
              </w:pPr>
              <w:r w:rsidRPr="005645BD">
                <w:rPr>
                  <w:b/>
                  <w:bCs w:val="0"/>
                  <w:szCs w:val="22"/>
                </w:rPr>
                <w:t>Benefits:</w:t>
              </w:r>
            </w:p>
            <w:p w14:paraId="6876EC75" w14:textId="77777777" w:rsidR="00E04BE6" w:rsidRPr="005645BD" w:rsidRDefault="00E04BE6" w:rsidP="00E04BE6">
              <w:pPr>
                <w:rPr>
                  <w:szCs w:val="22"/>
                </w:rPr>
              </w:pPr>
              <w:r w:rsidRPr="005645BD">
                <w:rPr>
                  <w:szCs w:val="22"/>
                </w:rPr>
                <w:t>The proposed RMM will strengthen TDOT’s research program across three interconnected areas:</w:t>
              </w:r>
            </w:p>
            <w:p w14:paraId="355A2AB5" w14:textId="77777777" w:rsidR="00E04BE6" w:rsidRPr="005645BD" w:rsidRDefault="00E04BE6" w:rsidP="00E04BE6">
              <w:pPr>
                <w:pStyle w:val="ListParagraph"/>
                <w:numPr>
                  <w:ilvl w:val="0"/>
                  <w:numId w:val="6"/>
                </w:numPr>
                <w:rPr>
                  <w:szCs w:val="22"/>
                </w:rPr>
              </w:pPr>
              <w:r w:rsidRPr="005645BD">
                <w:rPr>
                  <w:b/>
                  <w:bCs w:val="0"/>
                  <w:szCs w:val="22"/>
                </w:rPr>
                <w:t>Governance</w:t>
              </w:r>
              <w:r w:rsidRPr="005645BD">
                <w:rPr>
                  <w:szCs w:val="22"/>
                </w:rPr>
                <w:t>: Clearer decision-making authority, better alignment between research topics and agency priorities, improved resource allocation, and enhanced compliance with federal requirements, all contributing to stronger accountability and reduced organizational risk</w:t>
              </w:r>
            </w:p>
            <w:p w14:paraId="5F25324D" w14:textId="77777777" w:rsidR="00E04BE6" w:rsidRPr="005645BD" w:rsidRDefault="00E04BE6" w:rsidP="00E04BE6">
              <w:pPr>
                <w:pStyle w:val="ListParagraph"/>
                <w:numPr>
                  <w:ilvl w:val="0"/>
                  <w:numId w:val="6"/>
                </w:numPr>
                <w:rPr>
                  <w:szCs w:val="22"/>
                </w:rPr>
              </w:pPr>
              <w:r w:rsidRPr="005645BD">
                <w:rPr>
                  <w:b/>
                  <w:bCs w:val="0"/>
                  <w:szCs w:val="22"/>
                </w:rPr>
                <w:t>Performance Management</w:t>
              </w:r>
              <w:r w:rsidRPr="005645BD">
                <w:rPr>
                  <w:szCs w:val="22"/>
                </w:rPr>
                <w:t>: Standardized performance metrics and KPIs, consistent outcome and implementation tracking, and integration of benefit-cost analysis (BCA) to quantify project value. These improvements enable TDOT to demonstrate return on investment, improve transparency, support leadership decision-making, and drive continuous learning.</w:t>
              </w:r>
            </w:p>
            <w:p w14:paraId="310797EE" w14:textId="77777777" w:rsidR="00E04BE6" w:rsidRPr="005645BD" w:rsidRDefault="00E04BE6" w:rsidP="00E04BE6">
              <w:pPr>
                <w:pStyle w:val="ListParagraph"/>
                <w:numPr>
                  <w:ilvl w:val="0"/>
                  <w:numId w:val="6"/>
                </w:numPr>
                <w:rPr>
                  <w:szCs w:val="22"/>
                </w:rPr>
              </w:pPr>
              <w:r w:rsidRPr="0012018F">
                <w:rPr>
                  <w:b/>
                  <w:bCs w:val="0"/>
                  <w:szCs w:val="22"/>
                </w:rPr>
                <w:t>Operational Processes:</w:t>
              </w:r>
              <w:r w:rsidRPr="005645BD">
                <w:rPr>
                  <w:szCs w:val="22"/>
                </w:rPr>
                <w:t xml:space="preserve"> More consistent project lifecycle management, clearer documentation expectations, reduced administrative and invoicing errors, faster processing times, and improved coordination among research, contracts, and finance. These changes directly support cost savings, efficiency gains, reduced rework, improved customer service for research partners, and better audit readiness.</w:t>
              </w:r>
            </w:p>
            <w:p w14:paraId="0B5C44C7" w14:textId="77777777" w:rsidR="00E04BE6" w:rsidRPr="005645BD" w:rsidRDefault="00E04BE6" w:rsidP="00E04BE6">
              <w:pPr>
                <w:rPr>
                  <w:szCs w:val="22"/>
                </w:rPr>
              </w:pPr>
              <w:r w:rsidRPr="005645BD">
                <w:rPr>
                  <w:szCs w:val="22"/>
                </w:rPr>
                <w:t>Collectively, these benefits will lead to a more reliable, efficient, and strategically aligned research program that contributes to safety improvements, better mobility solutions, and improved transportation system performance across Tennessee.</w:t>
              </w:r>
            </w:p>
            <w:p w14:paraId="6DC74C6C" w14:textId="77777777" w:rsidR="00E04BE6" w:rsidRPr="005645BD" w:rsidRDefault="00E04BE6" w:rsidP="00E04BE6">
              <w:pPr>
                <w:rPr>
                  <w:b/>
                  <w:bCs w:val="0"/>
                  <w:szCs w:val="22"/>
                </w:rPr>
              </w:pPr>
              <w:r w:rsidRPr="005645BD">
                <w:rPr>
                  <w:b/>
                  <w:bCs w:val="0"/>
                  <w:szCs w:val="22"/>
                </w:rPr>
                <w:t>Implementation:</w:t>
              </w:r>
            </w:p>
            <w:p w14:paraId="11CBCC0A" w14:textId="77777777" w:rsidR="00E04BE6" w:rsidRPr="005645BD" w:rsidRDefault="00E04BE6" w:rsidP="00E04BE6">
              <w:pPr>
                <w:rPr>
                  <w:szCs w:val="22"/>
                </w:rPr>
              </w:pPr>
              <w:r w:rsidRPr="005645BD">
                <w:rPr>
                  <w:szCs w:val="22"/>
                </w:rPr>
                <w:t>These benefits will be realized through the delivery and application of a practical, ready-to-use RMM toolkit that integrates structured maturity assessments, benchmarking, and continuous improvement into TDOT’s workflows. The toolkit will include maturity scoring rubrics, process maps, KPI definitions, benefit-cost analysis worksheets, governance decision-rights matrices, standardized stage-gate templates, and comprehensive administrative tools such as invoice documentation checklists and cycle-time tracking forms. A digital dashboard will allow R&amp;IO staff and leadership to visualize maturity levels, monitor performance indicators, and identify bottlenecks or emerging risks.</w:t>
              </w:r>
            </w:p>
            <w:p w14:paraId="7BB8AF53" w14:textId="00194B5A" w:rsidR="0091122A" w:rsidRPr="00E04BE6" w:rsidRDefault="00E04BE6" w:rsidP="00E04BE6">
              <w:pPr>
                <w:rPr>
                  <w:b/>
                  <w:szCs w:val="22"/>
                </w:rPr>
              </w:pPr>
              <w:r w:rsidRPr="005645BD">
                <w:rPr>
                  <w:szCs w:val="22"/>
                </w:rPr>
                <w:t xml:space="preserve">Following the development and pilot assessment, TDOT staff will conduct annual, semi-annual, or quarterly self-assessment using existing program records, enabling consistent monitoring of progress over time. Assessment results will feed directly into a prioritized improvement roadmap, which will guide procedural updates, training needs, documentation improvements, and process standardization efforts. Through this structured implementation approach, TDOT will institutionalize continuous improvement, </w:t>
              </w:r>
              <w:r w:rsidRPr="005645BD">
                <w:rPr>
                  <w:szCs w:val="22"/>
                </w:rPr>
                <w:lastRenderedPageBreak/>
                <w:t xml:space="preserve">reduce administrative delays, enhance research impact, and ensure ongoing compliance with 23 CFR 420 and TDOT strategic priorities. </w:t>
              </w:r>
            </w:p>
          </w:sdtContent>
        </w:sdt>
      </w:sdtContent>
    </w:sdt>
    <w:p w14:paraId="423322DA" w14:textId="7DE73BE3" w:rsidR="00E540A9" w:rsidRPr="00967009" w:rsidRDefault="00050EB1" w:rsidP="00E540A9">
      <w:pPr>
        <w:pStyle w:val="Heading1"/>
        <w:rPr>
          <w:rFonts w:cs="Open Sans"/>
          <w:szCs w:val="22"/>
        </w:rPr>
      </w:pPr>
      <w:r w:rsidRPr="00967009">
        <w:rPr>
          <w:rFonts w:cs="Open Sans"/>
          <w:szCs w:val="22"/>
        </w:rPr>
        <w:t>Problem Statement Authors:</w:t>
      </w:r>
    </w:p>
    <w:p w14:paraId="2D8AE20E" w14:textId="5073BA75" w:rsidR="00B93FC4" w:rsidRDefault="00B93FC4" w:rsidP="00B93FC4">
      <w:r w:rsidRPr="001F6CDE">
        <w:rPr>
          <w:color w:val="auto"/>
        </w:rPr>
        <w:t>Stacy</w:t>
      </w:r>
      <w:r w:rsidRPr="005645BD">
        <w:t xml:space="preserve"> Carter</w:t>
      </w:r>
    </w:p>
    <w:p w14:paraId="49ED1521" w14:textId="0B99FCFB" w:rsidR="00E540A9" w:rsidRDefault="00EC5C3C" w:rsidP="00E540A9">
      <w:pPr>
        <w:pStyle w:val="Heading1"/>
        <w:rPr>
          <w:rFonts w:cs="Open Sans"/>
          <w:szCs w:val="22"/>
        </w:rPr>
      </w:pPr>
      <w:r w:rsidRPr="00967009">
        <w:rPr>
          <w:rFonts w:cs="Open Sans"/>
          <w:szCs w:val="22"/>
        </w:rPr>
        <w:t xml:space="preserve">TDOT Lead Staff: </w:t>
      </w:r>
    </w:p>
    <w:p w14:paraId="7DE46C81" w14:textId="02C50701" w:rsidR="003D0DE4" w:rsidRPr="003D0DE4" w:rsidRDefault="00B93FC4" w:rsidP="00B93FC4">
      <w:r w:rsidRPr="005645BD">
        <w:rPr>
          <w:bCs w:val="0"/>
          <w:color w:val="auto"/>
          <w:szCs w:val="22"/>
        </w:rPr>
        <w:t>Stacy Carter</w:t>
      </w:r>
    </w:p>
    <w:sectPr w:rsidR="003D0DE4" w:rsidRPr="003D0DE4" w:rsidSect="00B16E92">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B13D" w14:textId="77777777" w:rsidR="00D878C3" w:rsidRDefault="00D878C3" w:rsidP="003D5AD9">
      <w:pPr>
        <w:spacing w:after="0"/>
      </w:pPr>
      <w:r>
        <w:separator/>
      </w:r>
    </w:p>
  </w:endnote>
  <w:endnote w:type="continuationSeparator" w:id="0">
    <w:p w14:paraId="46D034E2" w14:textId="77777777" w:rsidR="00D878C3" w:rsidRDefault="00D878C3" w:rsidP="003D5AD9">
      <w:pPr>
        <w:spacing w:after="0"/>
      </w:pPr>
      <w:r>
        <w:continuationSeparator/>
      </w:r>
    </w:p>
  </w:endnote>
  <w:endnote w:type="continuationNotice" w:id="1">
    <w:p w14:paraId="0691F9D4" w14:textId="77777777" w:rsidR="00D878C3" w:rsidRDefault="00D878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07B7" w14:textId="77777777" w:rsidR="00431320" w:rsidRDefault="00431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2C13" w14:textId="20B20549" w:rsidR="0091122A" w:rsidRDefault="0091122A" w:rsidP="0091122A">
    <w:pPr>
      <w:pStyle w:val="Footer"/>
      <w:tabs>
        <w:tab w:val="clear" w:pos="4680"/>
        <w:tab w:val="clear" w:pos="9360"/>
        <w:tab w:val="left" w:pos="5060"/>
      </w:tabs>
      <w:ind w:left="-720"/>
    </w:pPr>
    <w:r>
      <w:rPr>
        <w:color w:val="75787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D08A" w14:textId="77777777" w:rsidR="00431320" w:rsidRDefault="004313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592290"/>
      <w:docPartObj>
        <w:docPartGallery w:val="Page Numbers (Bottom of Page)"/>
        <w:docPartUnique/>
      </w:docPartObj>
    </w:sdtPr>
    <w:sdtEndPr>
      <w:rPr>
        <w:color w:val="auto"/>
      </w:rPr>
    </w:sdtEndPr>
    <w:sdtContent>
      <w:p w14:paraId="6B36AA84" w14:textId="77777777" w:rsidR="00B16E92" w:rsidRPr="002547BE" w:rsidRDefault="00B16E92" w:rsidP="00B16E92">
        <w:pPr>
          <w:pStyle w:val="Footer"/>
          <w:jc w:val="center"/>
          <w:rPr>
            <w:color w:val="002D72"/>
          </w:rPr>
        </w:pPr>
        <w:r w:rsidRPr="002547BE">
          <w:rPr>
            <w:noProof/>
            <w:color w:val="002D72"/>
          </w:rPr>
          <mc:AlternateContent>
            <mc:Choice Requires="wps">
              <w:drawing>
                <wp:inline distT="0" distB="0" distL="0" distR="0" wp14:anchorId="32DC9512" wp14:editId="534F9E51">
                  <wp:extent cx="5467350" cy="54610"/>
                  <wp:effectExtent l="9525" t="19050" r="9525" b="12065"/>
                  <wp:docPr id="6" name="Flowchart: Decisio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w:pict>
                <v:shapetype id="_x0000_t110" coordsize="21600,21600" o:spt="110" path="m10800,l,10800,10800,21600,21600,10800xe" w14:anchorId="5968A6BE">
                  <v:stroke joinstyle="miter"/>
                  <v:path textboxrect="5400,5400,16200,16200" gradientshapeok="t" o:connecttype="rect"/>
                </v:shapetype>
                <v:shape id="Flowchart: Decision 6" style="width:430.5pt;height:4.3pt;visibility:visible;mso-wrap-style:square;mso-left-percent:-10001;mso-top-percent:-10001;mso-position-horizontal:absolute;mso-position-horizontal-relative:char;mso-position-vertical:absolute;mso-position-vertical-relative:line;mso-left-percent:-10001;mso-top-percent:-10001;v-text-anchor:top" alt="&quot;&quot;" o:spid="_x0000_s1026"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w10:anchorlock/>
                </v:shape>
              </w:pict>
            </mc:Fallback>
          </mc:AlternateContent>
        </w:r>
      </w:p>
      <w:p w14:paraId="7026DD46" w14:textId="0BD8F424" w:rsidR="0091122A" w:rsidRPr="00B16E92" w:rsidRDefault="00B16E92" w:rsidP="004172DF">
        <w:pPr>
          <w:pStyle w:val="Footer"/>
          <w:jc w:val="center"/>
          <w:rPr>
            <w:color w:val="auto"/>
          </w:rPr>
        </w:pPr>
        <w:r w:rsidRPr="00FE40DC">
          <w:rPr>
            <w:color w:val="auto"/>
          </w:rPr>
          <w:fldChar w:fldCharType="begin"/>
        </w:r>
        <w:r w:rsidRPr="00FE40DC">
          <w:rPr>
            <w:color w:val="auto"/>
          </w:rPr>
          <w:instrText xml:space="preserve"> PAGE    \* MERGEFORMAT </w:instrText>
        </w:r>
        <w:r w:rsidRPr="00FE40DC">
          <w:rPr>
            <w:color w:val="auto"/>
          </w:rPr>
          <w:fldChar w:fldCharType="separate"/>
        </w:r>
        <w:r>
          <w:rPr>
            <w:color w:val="auto"/>
          </w:rPr>
          <w:t>1</w:t>
        </w:r>
        <w:r w:rsidRPr="00FE40DC">
          <w:rPr>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528B" w14:textId="77777777" w:rsidR="00D878C3" w:rsidRDefault="00D878C3" w:rsidP="003D5AD9">
      <w:pPr>
        <w:spacing w:after="0"/>
      </w:pPr>
      <w:r>
        <w:separator/>
      </w:r>
    </w:p>
  </w:footnote>
  <w:footnote w:type="continuationSeparator" w:id="0">
    <w:p w14:paraId="0EF168DA" w14:textId="77777777" w:rsidR="00D878C3" w:rsidRDefault="00D878C3" w:rsidP="003D5AD9">
      <w:pPr>
        <w:spacing w:after="0"/>
      </w:pPr>
      <w:r>
        <w:continuationSeparator/>
      </w:r>
    </w:p>
  </w:footnote>
  <w:footnote w:type="continuationNotice" w:id="1">
    <w:p w14:paraId="4507D939" w14:textId="77777777" w:rsidR="00D878C3" w:rsidRDefault="00D878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A6AC" w14:textId="77777777" w:rsidR="00431320" w:rsidRDefault="00431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9726" w14:textId="5B358649" w:rsidR="003D5AD9" w:rsidRDefault="003D5AD9">
    <w:pPr>
      <w:pStyle w:val="Header"/>
    </w:pPr>
    <w:r>
      <w:rPr>
        <w:rFonts w:eastAsia="Times New Roman" w:cs="Times New Roman"/>
        <w:noProof/>
        <w:sz w:val="20"/>
        <w:szCs w:val="20"/>
      </w:rPr>
      <w:drawing>
        <wp:anchor distT="0" distB="0" distL="114300" distR="114300" simplePos="0" relativeHeight="251657728" behindDoc="0" locked="0" layoutInCell="1" allowOverlap="1" wp14:anchorId="2F6D8E8A" wp14:editId="7909E665">
          <wp:simplePos x="0" y="0"/>
          <wp:positionH relativeFrom="column">
            <wp:posOffset>4572000</wp:posOffset>
          </wp:positionH>
          <wp:positionV relativeFrom="page">
            <wp:posOffset>214630</wp:posOffset>
          </wp:positionV>
          <wp:extent cx="1340485" cy="585470"/>
          <wp:effectExtent l="0" t="0" r="0" b="5080"/>
          <wp:wrapSquare wrapText="bothSides"/>
          <wp:docPr id="306" name="Picture 306" descr="Logo of the Tennessee Department of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306" descr="Logo of the Tennessee Department of Transportation."/>
                  <pic:cNvPicPr/>
                </pic:nvPicPr>
                <pic:blipFill>
                  <a:blip r:embed="rId1">
                    <a:extLst>
                      <a:ext uri="{28A0092B-C50C-407E-A947-70E740481C1C}">
                        <a14:useLocalDpi xmlns:a14="http://schemas.microsoft.com/office/drawing/2010/main" val="0"/>
                      </a:ext>
                    </a:extLst>
                  </a:blip>
                  <a:stretch>
                    <a:fillRect/>
                  </a:stretch>
                </pic:blipFill>
                <pic:spPr>
                  <a:xfrm>
                    <a:off x="0" y="0"/>
                    <a:ext cx="1340485" cy="5854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46A7" w14:textId="77777777" w:rsidR="00431320" w:rsidRDefault="004313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2831" w14:textId="7BC3FEE1" w:rsidR="0091122A" w:rsidRDefault="00D12D71">
    <w:pPr>
      <w:pStyle w:val="Header"/>
    </w:pPr>
    <w:r>
      <w:rPr>
        <w:rFonts w:eastAsia="Times New Roman" w:cs="Times New Roman"/>
        <w:noProof/>
        <w:sz w:val="20"/>
        <w:szCs w:val="20"/>
      </w:rPr>
      <w:drawing>
        <wp:anchor distT="0" distB="0" distL="114300" distR="114300" simplePos="0" relativeHeight="251649024" behindDoc="1" locked="0" layoutInCell="1" allowOverlap="1" wp14:anchorId="29160968" wp14:editId="6862C65E">
          <wp:simplePos x="0" y="0"/>
          <wp:positionH relativeFrom="column">
            <wp:posOffset>4543425</wp:posOffset>
          </wp:positionH>
          <wp:positionV relativeFrom="page">
            <wp:posOffset>177165</wp:posOffset>
          </wp:positionV>
          <wp:extent cx="1362269" cy="595411"/>
          <wp:effectExtent l="0" t="0" r="0" b="0"/>
          <wp:wrapNone/>
          <wp:docPr id="5" name="Picture 5" descr="Logo of the Tennessee Department of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of the Tennessee Department of Transportation."/>
                  <pic:cNvPicPr/>
                </pic:nvPicPr>
                <pic:blipFill>
                  <a:blip r:embed="rId1">
                    <a:extLst>
                      <a:ext uri="{28A0092B-C50C-407E-A947-70E740481C1C}">
                        <a14:useLocalDpi xmlns:a14="http://schemas.microsoft.com/office/drawing/2010/main" val="0"/>
                      </a:ext>
                    </a:extLst>
                  </a:blip>
                  <a:stretch>
                    <a:fillRect/>
                  </a:stretch>
                </pic:blipFill>
                <pic:spPr>
                  <a:xfrm>
                    <a:off x="0" y="0"/>
                    <a:ext cx="1362269" cy="5954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079F8"/>
    <w:multiLevelType w:val="hybridMultilevel"/>
    <w:tmpl w:val="761202E8"/>
    <w:lvl w:ilvl="0" w:tplc="04090001">
      <w:start w:val="1"/>
      <w:numFmt w:val="bullet"/>
      <w:lvlText w:val=""/>
      <w:lvlJc w:val="left"/>
      <w:pPr>
        <w:ind w:left="1080" w:hanging="360"/>
      </w:pPr>
      <w:rPr>
        <w:rFonts w:ascii="Symbol" w:hAnsi="Symbol" w:hint="default"/>
      </w:rPr>
    </w:lvl>
    <w:lvl w:ilvl="1" w:tplc="39BAF1C6">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0F76D8"/>
    <w:multiLevelType w:val="hybridMultilevel"/>
    <w:tmpl w:val="3AD6A8D6"/>
    <w:lvl w:ilvl="0" w:tplc="CC92A79E">
      <w:start w:val="1"/>
      <w:numFmt w:val="decimal"/>
      <w:lvlText w:val="%1."/>
      <w:lvlJc w:val="left"/>
      <w:pPr>
        <w:ind w:left="1020" w:hanging="360"/>
      </w:pPr>
    </w:lvl>
    <w:lvl w:ilvl="1" w:tplc="F63E4B2C">
      <w:start w:val="1"/>
      <w:numFmt w:val="decimal"/>
      <w:lvlText w:val="%2."/>
      <w:lvlJc w:val="left"/>
      <w:pPr>
        <w:ind w:left="1020" w:hanging="360"/>
      </w:pPr>
    </w:lvl>
    <w:lvl w:ilvl="2" w:tplc="246CBB40">
      <w:start w:val="1"/>
      <w:numFmt w:val="decimal"/>
      <w:lvlText w:val="%3."/>
      <w:lvlJc w:val="left"/>
      <w:pPr>
        <w:ind w:left="1020" w:hanging="360"/>
      </w:pPr>
    </w:lvl>
    <w:lvl w:ilvl="3" w:tplc="FC2CE670">
      <w:start w:val="1"/>
      <w:numFmt w:val="decimal"/>
      <w:lvlText w:val="%4."/>
      <w:lvlJc w:val="left"/>
      <w:pPr>
        <w:ind w:left="1020" w:hanging="360"/>
      </w:pPr>
    </w:lvl>
    <w:lvl w:ilvl="4" w:tplc="16DC5C18">
      <w:start w:val="1"/>
      <w:numFmt w:val="decimal"/>
      <w:lvlText w:val="%5."/>
      <w:lvlJc w:val="left"/>
      <w:pPr>
        <w:ind w:left="1020" w:hanging="360"/>
      </w:pPr>
    </w:lvl>
    <w:lvl w:ilvl="5" w:tplc="62721916">
      <w:start w:val="1"/>
      <w:numFmt w:val="decimal"/>
      <w:lvlText w:val="%6."/>
      <w:lvlJc w:val="left"/>
      <w:pPr>
        <w:ind w:left="1020" w:hanging="360"/>
      </w:pPr>
    </w:lvl>
    <w:lvl w:ilvl="6" w:tplc="D6B8047C">
      <w:start w:val="1"/>
      <w:numFmt w:val="decimal"/>
      <w:lvlText w:val="%7."/>
      <w:lvlJc w:val="left"/>
      <w:pPr>
        <w:ind w:left="1020" w:hanging="360"/>
      </w:pPr>
    </w:lvl>
    <w:lvl w:ilvl="7" w:tplc="719E3A12">
      <w:start w:val="1"/>
      <w:numFmt w:val="decimal"/>
      <w:lvlText w:val="%8."/>
      <w:lvlJc w:val="left"/>
      <w:pPr>
        <w:ind w:left="1020" w:hanging="360"/>
      </w:pPr>
    </w:lvl>
    <w:lvl w:ilvl="8" w:tplc="498277F8">
      <w:start w:val="1"/>
      <w:numFmt w:val="decimal"/>
      <w:lvlText w:val="%9."/>
      <w:lvlJc w:val="left"/>
      <w:pPr>
        <w:ind w:left="1020" w:hanging="360"/>
      </w:pPr>
    </w:lvl>
  </w:abstractNum>
  <w:abstractNum w:abstractNumId="2" w15:restartNumberingAfterBreak="0">
    <w:nsid w:val="534833C8"/>
    <w:multiLevelType w:val="hybridMultilevel"/>
    <w:tmpl w:val="803C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32043B"/>
    <w:multiLevelType w:val="hybridMultilevel"/>
    <w:tmpl w:val="68667D3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AD68A1"/>
    <w:multiLevelType w:val="hybridMultilevel"/>
    <w:tmpl w:val="33F47786"/>
    <w:lvl w:ilvl="0" w:tplc="E03AB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1E74F8"/>
    <w:multiLevelType w:val="hybridMultilevel"/>
    <w:tmpl w:val="2BA4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648470">
    <w:abstractNumId w:val="4"/>
  </w:num>
  <w:num w:numId="2" w16cid:durableId="158279485">
    <w:abstractNumId w:val="3"/>
  </w:num>
  <w:num w:numId="3" w16cid:durableId="1680544243">
    <w:abstractNumId w:val="1"/>
  </w:num>
  <w:num w:numId="4" w16cid:durableId="1189610283">
    <w:abstractNumId w:val="2"/>
  </w:num>
  <w:num w:numId="5" w16cid:durableId="962420870">
    <w:abstractNumId w:val="0"/>
  </w:num>
  <w:num w:numId="6" w16cid:durableId="1112087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D9"/>
    <w:rsid w:val="0000793F"/>
    <w:rsid w:val="000379C6"/>
    <w:rsid w:val="00050EB1"/>
    <w:rsid w:val="00056F23"/>
    <w:rsid w:val="00064C39"/>
    <w:rsid w:val="00067825"/>
    <w:rsid w:val="00072E3B"/>
    <w:rsid w:val="000759F0"/>
    <w:rsid w:val="000A2610"/>
    <w:rsid w:val="000D02A5"/>
    <w:rsid w:val="000E32D6"/>
    <w:rsid w:val="000E7927"/>
    <w:rsid w:val="001025C0"/>
    <w:rsid w:val="0012018F"/>
    <w:rsid w:val="001227B0"/>
    <w:rsid w:val="00151A53"/>
    <w:rsid w:val="00164F15"/>
    <w:rsid w:val="00174C5C"/>
    <w:rsid w:val="001839AD"/>
    <w:rsid w:val="001858DC"/>
    <w:rsid w:val="00193C62"/>
    <w:rsid w:val="001949DC"/>
    <w:rsid w:val="001A3C8B"/>
    <w:rsid w:val="001A4926"/>
    <w:rsid w:val="001B3B30"/>
    <w:rsid w:val="001C1D77"/>
    <w:rsid w:val="001E61C4"/>
    <w:rsid w:val="001F6CDE"/>
    <w:rsid w:val="002128D2"/>
    <w:rsid w:val="002144A2"/>
    <w:rsid w:val="00236F38"/>
    <w:rsid w:val="00245549"/>
    <w:rsid w:val="002535E5"/>
    <w:rsid w:val="0025638B"/>
    <w:rsid w:val="00263DC8"/>
    <w:rsid w:val="00270024"/>
    <w:rsid w:val="002879E2"/>
    <w:rsid w:val="002C5AC6"/>
    <w:rsid w:val="002E60B8"/>
    <w:rsid w:val="00300267"/>
    <w:rsid w:val="00312975"/>
    <w:rsid w:val="00312B5A"/>
    <w:rsid w:val="0031A4EE"/>
    <w:rsid w:val="00332EA7"/>
    <w:rsid w:val="00336E6B"/>
    <w:rsid w:val="00364313"/>
    <w:rsid w:val="00394747"/>
    <w:rsid w:val="00396B56"/>
    <w:rsid w:val="003A0AEB"/>
    <w:rsid w:val="003D0862"/>
    <w:rsid w:val="003D0DE4"/>
    <w:rsid w:val="003D3616"/>
    <w:rsid w:val="003D3989"/>
    <w:rsid w:val="003D5AD9"/>
    <w:rsid w:val="003E5BC8"/>
    <w:rsid w:val="00404E55"/>
    <w:rsid w:val="0040548F"/>
    <w:rsid w:val="004172DF"/>
    <w:rsid w:val="00431320"/>
    <w:rsid w:val="00433E88"/>
    <w:rsid w:val="00445B2E"/>
    <w:rsid w:val="00450052"/>
    <w:rsid w:val="00450372"/>
    <w:rsid w:val="00450AA8"/>
    <w:rsid w:val="00450C5E"/>
    <w:rsid w:val="004568B8"/>
    <w:rsid w:val="00482CD5"/>
    <w:rsid w:val="004B3C50"/>
    <w:rsid w:val="004B4779"/>
    <w:rsid w:val="004C094B"/>
    <w:rsid w:val="004E2B6A"/>
    <w:rsid w:val="00515725"/>
    <w:rsid w:val="005344F0"/>
    <w:rsid w:val="005358B5"/>
    <w:rsid w:val="00536DBB"/>
    <w:rsid w:val="00543842"/>
    <w:rsid w:val="00544CAD"/>
    <w:rsid w:val="00585614"/>
    <w:rsid w:val="0059024D"/>
    <w:rsid w:val="0059257F"/>
    <w:rsid w:val="005B1797"/>
    <w:rsid w:val="005B6DF3"/>
    <w:rsid w:val="00606C3A"/>
    <w:rsid w:val="00651313"/>
    <w:rsid w:val="0066031A"/>
    <w:rsid w:val="00664F59"/>
    <w:rsid w:val="006707CC"/>
    <w:rsid w:val="00682132"/>
    <w:rsid w:val="006908B8"/>
    <w:rsid w:val="006952C4"/>
    <w:rsid w:val="006A4A8A"/>
    <w:rsid w:val="006A6A2F"/>
    <w:rsid w:val="006C0522"/>
    <w:rsid w:val="006D0FE6"/>
    <w:rsid w:val="006D1B9E"/>
    <w:rsid w:val="00717CB9"/>
    <w:rsid w:val="0072230B"/>
    <w:rsid w:val="007473A9"/>
    <w:rsid w:val="007859DF"/>
    <w:rsid w:val="00792091"/>
    <w:rsid w:val="007A7349"/>
    <w:rsid w:val="007D0F27"/>
    <w:rsid w:val="008107B6"/>
    <w:rsid w:val="008572A1"/>
    <w:rsid w:val="00864AE3"/>
    <w:rsid w:val="00871D34"/>
    <w:rsid w:val="00892C9A"/>
    <w:rsid w:val="008A55CD"/>
    <w:rsid w:val="008C2E2E"/>
    <w:rsid w:val="008D66B5"/>
    <w:rsid w:val="008E45C6"/>
    <w:rsid w:val="008F79E9"/>
    <w:rsid w:val="0091122A"/>
    <w:rsid w:val="0093239A"/>
    <w:rsid w:val="00961F09"/>
    <w:rsid w:val="00967009"/>
    <w:rsid w:val="00995CB4"/>
    <w:rsid w:val="009A2B31"/>
    <w:rsid w:val="009C08A4"/>
    <w:rsid w:val="009C6F4B"/>
    <w:rsid w:val="009C71E8"/>
    <w:rsid w:val="009D3132"/>
    <w:rsid w:val="009D370C"/>
    <w:rsid w:val="009E1298"/>
    <w:rsid w:val="009E653A"/>
    <w:rsid w:val="009F7B04"/>
    <w:rsid w:val="009F7B4A"/>
    <w:rsid w:val="00A4315F"/>
    <w:rsid w:val="00A44A31"/>
    <w:rsid w:val="00A53FBF"/>
    <w:rsid w:val="00A6117B"/>
    <w:rsid w:val="00A62B16"/>
    <w:rsid w:val="00A74173"/>
    <w:rsid w:val="00A86DE7"/>
    <w:rsid w:val="00AA4A0A"/>
    <w:rsid w:val="00AA7B7D"/>
    <w:rsid w:val="00AC3567"/>
    <w:rsid w:val="00AC538D"/>
    <w:rsid w:val="00AD2D7C"/>
    <w:rsid w:val="00AF30F0"/>
    <w:rsid w:val="00B053C8"/>
    <w:rsid w:val="00B16E92"/>
    <w:rsid w:val="00B43B78"/>
    <w:rsid w:val="00B46896"/>
    <w:rsid w:val="00B472D4"/>
    <w:rsid w:val="00B552C2"/>
    <w:rsid w:val="00B55BE7"/>
    <w:rsid w:val="00B55D7A"/>
    <w:rsid w:val="00B71A62"/>
    <w:rsid w:val="00B71E76"/>
    <w:rsid w:val="00B87131"/>
    <w:rsid w:val="00B93FC4"/>
    <w:rsid w:val="00B94766"/>
    <w:rsid w:val="00BB3208"/>
    <w:rsid w:val="00BB4CEF"/>
    <w:rsid w:val="00BB52F0"/>
    <w:rsid w:val="00BC094D"/>
    <w:rsid w:val="00BC598C"/>
    <w:rsid w:val="00BF47D8"/>
    <w:rsid w:val="00BF481F"/>
    <w:rsid w:val="00C019ED"/>
    <w:rsid w:val="00C271FE"/>
    <w:rsid w:val="00C31DED"/>
    <w:rsid w:val="00C34763"/>
    <w:rsid w:val="00C41EBC"/>
    <w:rsid w:val="00C51A38"/>
    <w:rsid w:val="00C7183F"/>
    <w:rsid w:val="00C9068C"/>
    <w:rsid w:val="00CA5712"/>
    <w:rsid w:val="00D01F37"/>
    <w:rsid w:val="00D12D71"/>
    <w:rsid w:val="00D26F12"/>
    <w:rsid w:val="00D333D0"/>
    <w:rsid w:val="00D37720"/>
    <w:rsid w:val="00D4488E"/>
    <w:rsid w:val="00D52F16"/>
    <w:rsid w:val="00D66F0C"/>
    <w:rsid w:val="00D77A07"/>
    <w:rsid w:val="00D8242E"/>
    <w:rsid w:val="00D878C3"/>
    <w:rsid w:val="00D912CB"/>
    <w:rsid w:val="00D968FF"/>
    <w:rsid w:val="00DC58D6"/>
    <w:rsid w:val="00DD3143"/>
    <w:rsid w:val="00DE17CA"/>
    <w:rsid w:val="00DF2E7C"/>
    <w:rsid w:val="00E04BE6"/>
    <w:rsid w:val="00E22FBE"/>
    <w:rsid w:val="00E31E59"/>
    <w:rsid w:val="00E37ABB"/>
    <w:rsid w:val="00E540A9"/>
    <w:rsid w:val="00E5635A"/>
    <w:rsid w:val="00E63799"/>
    <w:rsid w:val="00E8022E"/>
    <w:rsid w:val="00E81671"/>
    <w:rsid w:val="00E9597E"/>
    <w:rsid w:val="00EA5608"/>
    <w:rsid w:val="00EB1BC8"/>
    <w:rsid w:val="00EC3331"/>
    <w:rsid w:val="00EC5C3C"/>
    <w:rsid w:val="00EE0E9D"/>
    <w:rsid w:val="00EF68C2"/>
    <w:rsid w:val="00F00BA8"/>
    <w:rsid w:val="00F64342"/>
    <w:rsid w:val="00F712A9"/>
    <w:rsid w:val="00F9182E"/>
    <w:rsid w:val="00FC1363"/>
    <w:rsid w:val="00FE01FE"/>
    <w:rsid w:val="00FF346C"/>
    <w:rsid w:val="1EA37F9B"/>
    <w:rsid w:val="23EBABFD"/>
    <w:rsid w:val="5B2A790C"/>
    <w:rsid w:val="64FC1838"/>
    <w:rsid w:val="6EAB6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C5014"/>
  <w15:chartTrackingRefBased/>
  <w15:docId w15:val="{88A1A86A-8D8E-4F84-9177-FF0B3374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2D4"/>
    <w:pPr>
      <w:spacing w:after="120" w:line="240" w:lineRule="auto"/>
    </w:pPr>
    <w:rPr>
      <w:rFonts w:ascii="Open Sans" w:hAnsi="Open Sans" w:cs="Open Sans"/>
      <w:bCs/>
      <w:color w:val="1D1F2A"/>
      <w:szCs w:val="21"/>
    </w:rPr>
  </w:style>
  <w:style w:type="paragraph" w:styleId="Heading1">
    <w:name w:val="heading 1"/>
    <w:basedOn w:val="Normal"/>
    <w:next w:val="Normal"/>
    <w:link w:val="Heading1Char"/>
    <w:uiPriority w:val="9"/>
    <w:qFormat/>
    <w:rsid w:val="00585614"/>
    <w:pPr>
      <w:keepNext/>
      <w:keepLines/>
      <w:spacing w:before="240" w:after="240"/>
      <w:outlineLvl w:val="0"/>
    </w:pPr>
    <w:rPr>
      <w:rFonts w:eastAsiaTheme="majorEastAsia" w:cstheme="majorBidi"/>
      <w:b/>
      <w:color w:val="002D7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D5AD9"/>
    <w:pPr>
      <w:spacing w:line="680" w:lineRule="exact"/>
    </w:pPr>
    <w:rPr>
      <w:rFonts w:ascii="PermianSlabSerifTypeface" w:hAnsi="PermianSlabSerifTypeface"/>
      <w:color w:val="002D72"/>
      <w:spacing w:val="-20"/>
      <w:kern w:val="52"/>
      <w:sz w:val="72"/>
      <w:szCs w:val="26"/>
    </w:rPr>
  </w:style>
  <w:style w:type="character" w:customStyle="1" w:styleId="TitleChar">
    <w:name w:val="Title Char"/>
    <w:basedOn w:val="DefaultParagraphFont"/>
    <w:link w:val="Title"/>
    <w:rsid w:val="003D5AD9"/>
    <w:rPr>
      <w:rFonts w:ascii="PermianSlabSerifTypeface" w:hAnsi="PermianSlabSerifTypeface" w:cs="Open Sans"/>
      <w:bCs/>
      <w:color w:val="002D72"/>
      <w:spacing w:val="-20"/>
      <w:kern w:val="52"/>
      <w:sz w:val="72"/>
      <w:szCs w:val="26"/>
    </w:rPr>
  </w:style>
  <w:style w:type="paragraph" w:styleId="Subtitle">
    <w:name w:val="Subtitle"/>
    <w:basedOn w:val="Normal"/>
    <w:next w:val="Normal"/>
    <w:link w:val="SubtitleChar"/>
    <w:uiPriority w:val="11"/>
    <w:qFormat/>
    <w:rsid w:val="003D5AD9"/>
    <w:pPr>
      <w:spacing w:after="240"/>
    </w:pPr>
    <w:rPr>
      <w:color w:val="75787B"/>
      <w:sz w:val="36"/>
      <w:szCs w:val="26"/>
    </w:rPr>
  </w:style>
  <w:style w:type="character" w:customStyle="1" w:styleId="SubtitleChar">
    <w:name w:val="Subtitle Char"/>
    <w:basedOn w:val="DefaultParagraphFont"/>
    <w:link w:val="Subtitle"/>
    <w:uiPriority w:val="11"/>
    <w:rsid w:val="003D5AD9"/>
    <w:rPr>
      <w:rFonts w:ascii="Open Sans" w:hAnsi="Open Sans" w:cs="Open Sans"/>
      <w:bCs/>
      <w:color w:val="75787B"/>
      <w:sz w:val="36"/>
      <w:szCs w:val="26"/>
    </w:rPr>
  </w:style>
  <w:style w:type="paragraph" w:styleId="Header">
    <w:name w:val="header"/>
    <w:basedOn w:val="Normal"/>
    <w:link w:val="HeaderChar"/>
    <w:uiPriority w:val="99"/>
    <w:unhideWhenUsed/>
    <w:rsid w:val="003D5AD9"/>
    <w:pPr>
      <w:tabs>
        <w:tab w:val="center" w:pos="4680"/>
        <w:tab w:val="right" w:pos="9360"/>
      </w:tabs>
      <w:spacing w:after="0"/>
    </w:pPr>
  </w:style>
  <w:style w:type="character" w:customStyle="1" w:styleId="HeaderChar">
    <w:name w:val="Header Char"/>
    <w:basedOn w:val="DefaultParagraphFont"/>
    <w:link w:val="Header"/>
    <w:uiPriority w:val="99"/>
    <w:rsid w:val="003D5AD9"/>
    <w:rPr>
      <w:rFonts w:ascii="Open Sans" w:hAnsi="Open Sans" w:cs="Open Sans"/>
      <w:bCs/>
      <w:color w:val="1D1F2A"/>
      <w:sz w:val="21"/>
      <w:szCs w:val="21"/>
    </w:rPr>
  </w:style>
  <w:style w:type="paragraph" w:styleId="Footer">
    <w:name w:val="footer"/>
    <w:basedOn w:val="Normal"/>
    <w:link w:val="FooterChar"/>
    <w:uiPriority w:val="99"/>
    <w:unhideWhenUsed/>
    <w:rsid w:val="003D5AD9"/>
    <w:pPr>
      <w:tabs>
        <w:tab w:val="center" w:pos="4680"/>
        <w:tab w:val="right" w:pos="9360"/>
      </w:tabs>
      <w:spacing w:after="0"/>
    </w:pPr>
  </w:style>
  <w:style w:type="character" w:customStyle="1" w:styleId="FooterChar">
    <w:name w:val="Footer Char"/>
    <w:basedOn w:val="DefaultParagraphFont"/>
    <w:link w:val="Footer"/>
    <w:uiPriority w:val="99"/>
    <w:rsid w:val="003D5AD9"/>
    <w:rPr>
      <w:rFonts w:ascii="Open Sans" w:hAnsi="Open Sans" w:cs="Open Sans"/>
      <w:bCs/>
      <w:color w:val="1D1F2A"/>
      <w:sz w:val="21"/>
      <w:szCs w:val="21"/>
    </w:rPr>
  </w:style>
  <w:style w:type="character" w:customStyle="1" w:styleId="normaltextrun">
    <w:name w:val="normaltextrun"/>
    <w:basedOn w:val="DefaultParagraphFont"/>
    <w:rsid w:val="0091122A"/>
  </w:style>
  <w:style w:type="character" w:customStyle="1" w:styleId="eop">
    <w:name w:val="eop"/>
    <w:basedOn w:val="DefaultParagraphFont"/>
    <w:rsid w:val="0091122A"/>
  </w:style>
  <w:style w:type="character" w:styleId="PlaceholderText">
    <w:name w:val="Placeholder Text"/>
    <w:basedOn w:val="DefaultParagraphFont"/>
    <w:uiPriority w:val="99"/>
    <w:semiHidden/>
    <w:rsid w:val="0091122A"/>
    <w:rPr>
      <w:color w:val="808080"/>
    </w:rPr>
  </w:style>
  <w:style w:type="character" w:customStyle="1" w:styleId="Heading1Char">
    <w:name w:val="Heading 1 Char"/>
    <w:basedOn w:val="DefaultParagraphFont"/>
    <w:link w:val="Heading1"/>
    <w:uiPriority w:val="9"/>
    <w:rsid w:val="00585614"/>
    <w:rPr>
      <w:rFonts w:ascii="Open Sans" w:eastAsiaTheme="majorEastAsia" w:hAnsi="Open Sans" w:cstheme="majorBidi"/>
      <w:b/>
      <w:bCs/>
      <w:color w:val="002D72"/>
      <w:sz w:val="24"/>
      <w:szCs w:val="32"/>
    </w:rPr>
  </w:style>
  <w:style w:type="character" w:styleId="CommentReference">
    <w:name w:val="annotation reference"/>
    <w:basedOn w:val="DefaultParagraphFont"/>
    <w:uiPriority w:val="99"/>
    <w:semiHidden/>
    <w:unhideWhenUsed/>
    <w:rsid w:val="00056F23"/>
    <w:rPr>
      <w:sz w:val="16"/>
      <w:szCs w:val="16"/>
    </w:rPr>
  </w:style>
  <w:style w:type="paragraph" w:styleId="CommentText">
    <w:name w:val="annotation text"/>
    <w:basedOn w:val="Normal"/>
    <w:link w:val="CommentTextChar"/>
    <w:uiPriority w:val="99"/>
    <w:unhideWhenUsed/>
    <w:rsid w:val="00056F23"/>
    <w:rPr>
      <w:sz w:val="20"/>
      <w:szCs w:val="20"/>
    </w:rPr>
  </w:style>
  <w:style w:type="character" w:customStyle="1" w:styleId="CommentTextChar">
    <w:name w:val="Comment Text Char"/>
    <w:basedOn w:val="DefaultParagraphFont"/>
    <w:link w:val="CommentText"/>
    <w:uiPriority w:val="99"/>
    <w:rsid w:val="00056F23"/>
    <w:rPr>
      <w:rFonts w:ascii="Open Sans" w:hAnsi="Open Sans" w:cs="Open Sans"/>
      <w:bCs/>
      <w:color w:val="1D1F2A"/>
      <w:sz w:val="20"/>
      <w:szCs w:val="20"/>
    </w:rPr>
  </w:style>
  <w:style w:type="paragraph" w:styleId="CommentSubject">
    <w:name w:val="annotation subject"/>
    <w:basedOn w:val="CommentText"/>
    <w:next w:val="CommentText"/>
    <w:link w:val="CommentSubjectChar"/>
    <w:uiPriority w:val="99"/>
    <w:semiHidden/>
    <w:unhideWhenUsed/>
    <w:rsid w:val="00056F23"/>
    <w:rPr>
      <w:b/>
    </w:rPr>
  </w:style>
  <w:style w:type="character" w:customStyle="1" w:styleId="CommentSubjectChar">
    <w:name w:val="Comment Subject Char"/>
    <w:basedOn w:val="CommentTextChar"/>
    <w:link w:val="CommentSubject"/>
    <w:uiPriority w:val="99"/>
    <w:semiHidden/>
    <w:rsid w:val="00056F23"/>
    <w:rPr>
      <w:rFonts w:ascii="Open Sans" w:hAnsi="Open Sans" w:cs="Open Sans"/>
      <w:b/>
      <w:bCs/>
      <w:color w:val="1D1F2A"/>
      <w:sz w:val="20"/>
      <w:szCs w:val="20"/>
    </w:rPr>
  </w:style>
  <w:style w:type="paragraph" w:styleId="BalloonText">
    <w:name w:val="Balloon Text"/>
    <w:basedOn w:val="Normal"/>
    <w:link w:val="BalloonTextChar"/>
    <w:uiPriority w:val="99"/>
    <w:semiHidden/>
    <w:unhideWhenUsed/>
    <w:rsid w:val="00056F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F23"/>
    <w:rPr>
      <w:rFonts w:ascii="Segoe UI" w:hAnsi="Segoe UI" w:cs="Segoe UI"/>
      <w:bCs/>
      <w:color w:val="1D1F2A"/>
      <w:sz w:val="18"/>
      <w:szCs w:val="18"/>
    </w:rPr>
  </w:style>
  <w:style w:type="character" w:styleId="UnresolvedMention">
    <w:name w:val="Unresolved Mention"/>
    <w:basedOn w:val="DefaultParagraphFont"/>
    <w:uiPriority w:val="99"/>
    <w:unhideWhenUsed/>
    <w:rsid w:val="004B3C50"/>
    <w:rPr>
      <w:color w:val="605E5C"/>
      <w:shd w:val="clear" w:color="auto" w:fill="E1DFDD"/>
    </w:rPr>
  </w:style>
  <w:style w:type="character" w:styleId="Mention">
    <w:name w:val="Mention"/>
    <w:basedOn w:val="DefaultParagraphFont"/>
    <w:uiPriority w:val="99"/>
    <w:unhideWhenUsed/>
    <w:rsid w:val="004B3C50"/>
    <w:rPr>
      <w:color w:val="2B579A"/>
      <w:shd w:val="clear" w:color="auto" w:fill="E1DFDD"/>
    </w:rPr>
  </w:style>
  <w:style w:type="paragraph" w:styleId="NormalWeb">
    <w:name w:val="Normal (Web)"/>
    <w:basedOn w:val="Normal"/>
    <w:uiPriority w:val="99"/>
    <w:unhideWhenUsed/>
    <w:rsid w:val="00B053C8"/>
    <w:pPr>
      <w:spacing w:before="100" w:beforeAutospacing="1" w:after="100" w:afterAutospacing="1"/>
    </w:pPr>
    <w:rPr>
      <w:rFonts w:ascii="Times New Roman" w:eastAsia="Times New Roman" w:hAnsi="Times New Roman" w:cs="Times New Roman"/>
      <w:bCs w:val="0"/>
      <w:color w:val="auto"/>
      <w:sz w:val="24"/>
      <w:szCs w:val="24"/>
    </w:rPr>
  </w:style>
  <w:style w:type="paragraph" w:styleId="Revision">
    <w:name w:val="Revision"/>
    <w:hidden/>
    <w:uiPriority w:val="99"/>
    <w:semiHidden/>
    <w:rsid w:val="00543842"/>
    <w:pPr>
      <w:spacing w:after="0" w:line="240" w:lineRule="auto"/>
    </w:pPr>
    <w:rPr>
      <w:rFonts w:ascii="Open Sans" w:hAnsi="Open Sans" w:cs="Open Sans"/>
      <w:bCs/>
      <w:color w:val="1D1F2A"/>
      <w:sz w:val="21"/>
      <w:szCs w:val="21"/>
    </w:rPr>
  </w:style>
  <w:style w:type="paragraph" w:styleId="NoSpacing">
    <w:name w:val="No Spacing"/>
    <w:uiPriority w:val="1"/>
    <w:qFormat/>
    <w:rsid w:val="00E04BE6"/>
    <w:pPr>
      <w:spacing w:after="0" w:line="240" w:lineRule="auto"/>
      <w:jc w:val="both"/>
    </w:pPr>
    <w:rPr>
      <w:rFonts w:ascii="Open Sans" w:hAnsi="Open Sans" w:cs="Open Sans"/>
      <w:bCs/>
      <w:color w:val="1D1F2A"/>
      <w:sz w:val="21"/>
      <w:szCs w:val="21"/>
    </w:rPr>
  </w:style>
  <w:style w:type="paragraph" w:styleId="ListParagraph">
    <w:name w:val="List Paragraph"/>
    <w:basedOn w:val="Normal"/>
    <w:uiPriority w:val="34"/>
    <w:qFormat/>
    <w:rsid w:val="00E04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497">
      <w:bodyDiv w:val="1"/>
      <w:marLeft w:val="0"/>
      <w:marRight w:val="0"/>
      <w:marTop w:val="0"/>
      <w:marBottom w:val="0"/>
      <w:divBdr>
        <w:top w:val="none" w:sz="0" w:space="0" w:color="auto"/>
        <w:left w:val="none" w:sz="0" w:space="0" w:color="auto"/>
        <w:bottom w:val="none" w:sz="0" w:space="0" w:color="auto"/>
        <w:right w:val="none" w:sz="0" w:space="0" w:color="auto"/>
      </w:divBdr>
      <w:divsChild>
        <w:div w:id="310140250">
          <w:marLeft w:val="0"/>
          <w:marRight w:val="0"/>
          <w:marTop w:val="0"/>
          <w:marBottom w:val="0"/>
          <w:divBdr>
            <w:top w:val="none" w:sz="0" w:space="0" w:color="auto"/>
            <w:left w:val="none" w:sz="0" w:space="0" w:color="auto"/>
            <w:bottom w:val="none" w:sz="0" w:space="0" w:color="auto"/>
            <w:right w:val="none" w:sz="0" w:space="0" w:color="auto"/>
          </w:divBdr>
        </w:div>
        <w:div w:id="476842441">
          <w:marLeft w:val="0"/>
          <w:marRight w:val="0"/>
          <w:marTop w:val="0"/>
          <w:marBottom w:val="0"/>
          <w:divBdr>
            <w:top w:val="none" w:sz="0" w:space="0" w:color="auto"/>
            <w:left w:val="none" w:sz="0" w:space="0" w:color="auto"/>
            <w:bottom w:val="none" w:sz="0" w:space="0" w:color="auto"/>
            <w:right w:val="none" w:sz="0" w:space="0" w:color="auto"/>
          </w:divBdr>
        </w:div>
        <w:div w:id="552349664">
          <w:marLeft w:val="0"/>
          <w:marRight w:val="0"/>
          <w:marTop w:val="0"/>
          <w:marBottom w:val="0"/>
          <w:divBdr>
            <w:top w:val="none" w:sz="0" w:space="0" w:color="auto"/>
            <w:left w:val="none" w:sz="0" w:space="0" w:color="auto"/>
            <w:bottom w:val="none" w:sz="0" w:space="0" w:color="auto"/>
            <w:right w:val="none" w:sz="0" w:space="0" w:color="auto"/>
          </w:divBdr>
        </w:div>
        <w:div w:id="717703803">
          <w:marLeft w:val="0"/>
          <w:marRight w:val="0"/>
          <w:marTop w:val="0"/>
          <w:marBottom w:val="0"/>
          <w:divBdr>
            <w:top w:val="none" w:sz="0" w:space="0" w:color="auto"/>
            <w:left w:val="none" w:sz="0" w:space="0" w:color="auto"/>
            <w:bottom w:val="none" w:sz="0" w:space="0" w:color="auto"/>
            <w:right w:val="none" w:sz="0" w:space="0" w:color="auto"/>
          </w:divBdr>
        </w:div>
        <w:div w:id="760100787">
          <w:marLeft w:val="0"/>
          <w:marRight w:val="0"/>
          <w:marTop w:val="0"/>
          <w:marBottom w:val="0"/>
          <w:divBdr>
            <w:top w:val="none" w:sz="0" w:space="0" w:color="auto"/>
            <w:left w:val="none" w:sz="0" w:space="0" w:color="auto"/>
            <w:bottom w:val="none" w:sz="0" w:space="0" w:color="auto"/>
            <w:right w:val="none" w:sz="0" w:space="0" w:color="auto"/>
          </w:divBdr>
        </w:div>
        <w:div w:id="1050811310">
          <w:marLeft w:val="0"/>
          <w:marRight w:val="0"/>
          <w:marTop w:val="0"/>
          <w:marBottom w:val="0"/>
          <w:divBdr>
            <w:top w:val="none" w:sz="0" w:space="0" w:color="auto"/>
            <w:left w:val="none" w:sz="0" w:space="0" w:color="auto"/>
            <w:bottom w:val="none" w:sz="0" w:space="0" w:color="auto"/>
            <w:right w:val="none" w:sz="0" w:space="0" w:color="auto"/>
          </w:divBdr>
        </w:div>
        <w:div w:id="1754157740">
          <w:marLeft w:val="0"/>
          <w:marRight w:val="0"/>
          <w:marTop w:val="0"/>
          <w:marBottom w:val="0"/>
          <w:divBdr>
            <w:top w:val="none" w:sz="0" w:space="0" w:color="auto"/>
            <w:left w:val="none" w:sz="0" w:space="0" w:color="auto"/>
            <w:bottom w:val="none" w:sz="0" w:space="0" w:color="auto"/>
            <w:right w:val="none" w:sz="0" w:space="0" w:color="auto"/>
          </w:divBdr>
        </w:div>
        <w:div w:id="1783527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EF3A9FD19C4FD297643B2F3F7665F2"/>
        <w:category>
          <w:name w:val="General"/>
          <w:gallery w:val="placeholder"/>
        </w:category>
        <w:types>
          <w:type w:val="bbPlcHdr"/>
        </w:types>
        <w:behaviors>
          <w:behavior w:val="content"/>
        </w:behaviors>
        <w:guid w:val="{DB345858-98B8-4994-AC34-2E0F98EFA899}"/>
      </w:docPartPr>
      <w:docPartBody>
        <w:p w:rsidR="00A4315F" w:rsidRDefault="00A4315F" w:rsidP="00A4315F">
          <w:pPr>
            <w:pStyle w:val="5975C93469794BAABA3510CF047301BB"/>
          </w:pPr>
          <w:r w:rsidRPr="00935021">
            <w:rPr>
              <w:rStyle w:val="PlaceholderText"/>
            </w:rPr>
            <w:t>Click or tap here to enter text.</w:t>
          </w:r>
        </w:p>
      </w:docPartBody>
    </w:docPart>
    <w:docPart>
      <w:docPartPr>
        <w:name w:val="3326D58430014D4AA217814A4E351681"/>
        <w:category>
          <w:name w:val="General"/>
          <w:gallery w:val="placeholder"/>
        </w:category>
        <w:types>
          <w:type w:val="bbPlcHdr"/>
        </w:types>
        <w:behaviors>
          <w:behavior w:val="content"/>
        </w:behaviors>
        <w:guid w:val="{98DBC27D-DBA4-46F6-B515-0C43E1F9896F}"/>
      </w:docPartPr>
      <w:docPartBody>
        <w:p w:rsidR="00A4315F" w:rsidRDefault="00A4315F" w:rsidP="00A4315F">
          <w:r w:rsidRPr="0093502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C067498-7AD0-42CD-968C-F76A8FF2E8E1}"/>
      </w:docPartPr>
      <w:docPartBody>
        <w:p w:rsidR="00A4315F" w:rsidRDefault="00A4315F">
          <w:r w:rsidRPr="00760EC1">
            <w:rPr>
              <w:rStyle w:val="PlaceholderText"/>
            </w:rPr>
            <w:t>Click or tap here to enter text.</w:t>
          </w:r>
        </w:p>
      </w:docPartBody>
    </w:docPart>
    <w:docPart>
      <w:docPartPr>
        <w:name w:val="B9AE84ECEBD343FDB45592F6ED9FA7F4"/>
        <w:category>
          <w:name w:val="General"/>
          <w:gallery w:val="placeholder"/>
        </w:category>
        <w:types>
          <w:type w:val="bbPlcHdr"/>
        </w:types>
        <w:behaviors>
          <w:behavior w:val="content"/>
        </w:behaviors>
        <w:guid w:val="{CD824EF5-5E14-4B48-AB01-F49D35A2CF64}"/>
      </w:docPartPr>
      <w:docPartBody>
        <w:p w:rsidR="00B82110" w:rsidRDefault="00D35496" w:rsidP="00D35496">
          <w:pPr>
            <w:pStyle w:val="B9AE84ECEBD343FDB45592F6ED9FA7F4"/>
          </w:pPr>
          <w:r w:rsidRPr="00935021">
            <w:rPr>
              <w:rStyle w:val="PlaceholderText"/>
            </w:rPr>
            <w:t>Click or tap here to enter text.</w:t>
          </w:r>
        </w:p>
      </w:docPartBody>
    </w:docPart>
    <w:docPart>
      <w:docPartPr>
        <w:name w:val="8AC2BB60E5604FD8A44F3431CB41A8AB"/>
        <w:category>
          <w:name w:val="General"/>
          <w:gallery w:val="placeholder"/>
        </w:category>
        <w:types>
          <w:type w:val="bbPlcHdr"/>
        </w:types>
        <w:behaviors>
          <w:behavior w:val="content"/>
        </w:behaviors>
        <w:guid w:val="{CF122201-05CE-49AF-8F8C-6E5135AEBA6B}"/>
      </w:docPartPr>
      <w:docPartBody>
        <w:p w:rsidR="00B82110" w:rsidRDefault="00D35496" w:rsidP="00D35496">
          <w:pPr>
            <w:pStyle w:val="8AC2BB60E5604FD8A44F3431CB41A8AB"/>
          </w:pPr>
          <w:r w:rsidRPr="00760EC1">
            <w:rPr>
              <w:rStyle w:val="PlaceholderText"/>
            </w:rPr>
            <w:t>Click or tap here to enter text.</w:t>
          </w:r>
        </w:p>
      </w:docPartBody>
    </w:docPart>
    <w:docPart>
      <w:docPartPr>
        <w:name w:val="D390DC4F7EFA423A9AE3469BE56C82C6"/>
        <w:category>
          <w:name w:val="General"/>
          <w:gallery w:val="placeholder"/>
        </w:category>
        <w:types>
          <w:type w:val="bbPlcHdr"/>
        </w:types>
        <w:behaviors>
          <w:behavior w:val="content"/>
        </w:behaviors>
        <w:guid w:val="{FDBB1AFE-90E0-4B5D-8AB3-D5537C7B293C}"/>
      </w:docPartPr>
      <w:docPartBody>
        <w:p w:rsidR="00B82110" w:rsidRDefault="00D35496" w:rsidP="00D35496">
          <w:pPr>
            <w:pStyle w:val="D390DC4F7EFA423A9AE3469BE56C82C6"/>
          </w:pPr>
          <w:r w:rsidRPr="00760EC1">
            <w:rPr>
              <w:rStyle w:val="PlaceholderText"/>
            </w:rPr>
            <w:t>Click or tap here to enter text.</w:t>
          </w:r>
        </w:p>
      </w:docPartBody>
    </w:docPart>
    <w:docPart>
      <w:docPartPr>
        <w:name w:val="0DCEB65F05634F52967B62291D23C83A"/>
        <w:category>
          <w:name w:val="General"/>
          <w:gallery w:val="placeholder"/>
        </w:category>
        <w:types>
          <w:type w:val="bbPlcHdr"/>
        </w:types>
        <w:behaviors>
          <w:behavior w:val="content"/>
        </w:behaviors>
        <w:guid w:val="{AC02DB07-5470-479E-A677-C178F53DF672}"/>
      </w:docPartPr>
      <w:docPartBody>
        <w:p w:rsidR="00B82110" w:rsidRDefault="00D35496" w:rsidP="00D35496">
          <w:pPr>
            <w:pStyle w:val="0DCEB65F05634F52967B62291D23C83A"/>
          </w:pPr>
          <w:r w:rsidRPr="00760EC1">
            <w:rPr>
              <w:rStyle w:val="PlaceholderText"/>
            </w:rPr>
            <w:t>Click or tap here to enter text.</w:t>
          </w:r>
        </w:p>
      </w:docPartBody>
    </w:docPart>
    <w:docPart>
      <w:docPartPr>
        <w:name w:val="A8475E9F6F074C97A990E4548E80B08E"/>
        <w:category>
          <w:name w:val="General"/>
          <w:gallery w:val="placeholder"/>
        </w:category>
        <w:types>
          <w:type w:val="bbPlcHdr"/>
        </w:types>
        <w:behaviors>
          <w:behavior w:val="content"/>
        </w:behaviors>
        <w:guid w:val="{6B77DC25-D80A-4147-B23E-34A3EA445764}"/>
      </w:docPartPr>
      <w:docPartBody>
        <w:p w:rsidR="00293425" w:rsidRDefault="00540C5D" w:rsidP="00540C5D">
          <w:pPr>
            <w:pStyle w:val="A8475E9F6F074C97A990E4548E80B08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5F"/>
    <w:rsid w:val="000202E0"/>
    <w:rsid w:val="000736B7"/>
    <w:rsid w:val="001025C0"/>
    <w:rsid w:val="00121722"/>
    <w:rsid w:val="001B3D3C"/>
    <w:rsid w:val="001C1D77"/>
    <w:rsid w:val="00245549"/>
    <w:rsid w:val="00263DC8"/>
    <w:rsid w:val="00270024"/>
    <w:rsid w:val="00293425"/>
    <w:rsid w:val="002D097A"/>
    <w:rsid w:val="002E60B8"/>
    <w:rsid w:val="002E6D21"/>
    <w:rsid w:val="0040548F"/>
    <w:rsid w:val="0048071F"/>
    <w:rsid w:val="004E2B6A"/>
    <w:rsid w:val="00515725"/>
    <w:rsid w:val="00540C5D"/>
    <w:rsid w:val="0059024D"/>
    <w:rsid w:val="00651313"/>
    <w:rsid w:val="006D0FF1"/>
    <w:rsid w:val="007E3FE9"/>
    <w:rsid w:val="008572A1"/>
    <w:rsid w:val="00864AE3"/>
    <w:rsid w:val="00867B26"/>
    <w:rsid w:val="0087527C"/>
    <w:rsid w:val="008A55CD"/>
    <w:rsid w:val="008B2DC4"/>
    <w:rsid w:val="00A4315F"/>
    <w:rsid w:val="00A86DE7"/>
    <w:rsid w:val="00AD2D7C"/>
    <w:rsid w:val="00B82110"/>
    <w:rsid w:val="00C22E1F"/>
    <w:rsid w:val="00D35496"/>
    <w:rsid w:val="00EC51ED"/>
    <w:rsid w:val="00F11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0C5D"/>
  </w:style>
  <w:style w:type="paragraph" w:customStyle="1" w:styleId="5975C93469794BAABA3510CF047301BB">
    <w:name w:val="5975C93469794BAABA3510CF047301BB"/>
  </w:style>
  <w:style w:type="paragraph" w:customStyle="1" w:styleId="B9AE84ECEBD343FDB45592F6ED9FA7F4">
    <w:name w:val="B9AE84ECEBD343FDB45592F6ED9FA7F4"/>
    <w:rsid w:val="00D35496"/>
    <w:pPr>
      <w:spacing w:line="278" w:lineRule="auto"/>
    </w:pPr>
    <w:rPr>
      <w:kern w:val="2"/>
      <w:sz w:val="24"/>
      <w:szCs w:val="24"/>
      <w14:ligatures w14:val="standardContextual"/>
    </w:rPr>
  </w:style>
  <w:style w:type="paragraph" w:customStyle="1" w:styleId="8AC2BB60E5604FD8A44F3431CB41A8AB">
    <w:name w:val="8AC2BB60E5604FD8A44F3431CB41A8AB"/>
    <w:rsid w:val="00D35496"/>
    <w:pPr>
      <w:spacing w:line="278" w:lineRule="auto"/>
    </w:pPr>
    <w:rPr>
      <w:kern w:val="2"/>
      <w:sz w:val="24"/>
      <w:szCs w:val="24"/>
      <w14:ligatures w14:val="standardContextual"/>
    </w:rPr>
  </w:style>
  <w:style w:type="paragraph" w:customStyle="1" w:styleId="D390DC4F7EFA423A9AE3469BE56C82C6">
    <w:name w:val="D390DC4F7EFA423A9AE3469BE56C82C6"/>
    <w:rsid w:val="00D35496"/>
    <w:pPr>
      <w:spacing w:line="278" w:lineRule="auto"/>
    </w:pPr>
    <w:rPr>
      <w:kern w:val="2"/>
      <w:sz w:val="24"/>
      <w:szCs w:val="24"/>
      <w14:ligatures w14:val="standardContextual"/>
    </w:rPr>
  </w:style>
  <w:style w:type="paragraph" w:customStyle="1" w:styleId="0DCEB65F05634F52967B62291D23C83A">
    <w:name w:val="0DCEB65F05634F52967B62291D23C83A"/>
    <w:rsid w:val="00D35496"/>
    <w:pPr>
      <w:spacing w:line="278" w:lineRule="auto"/>
    </w:pPr>
    <w:rPr>
      <w:kern w:val="2"/>
      <w:sz w:val="24"/>
      <w:szCs w:val="24"/>
      <w14:ligatures w14:val="standardContextual"/>
    </w:rPr>
  </w:style>
  <w:style w:type="paragraph" w:customStyle="1" w:styleId="A8475E9F6F074C97A990E4548E80B08E">
    <w:name w:val="A8475E9F6F074C97A990E4548E80B08E"/>
    <w:rsid w:val="00540C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riginal_x0020_Date xmlns="0139593b-0b01-429e-aff5-32c3230c4a97" xsi:nil="true"/>
    <_dlc_DocId xmlns="0139593b-0b01-429e-aff5-32c3230c4a97">T4MDDRKTT3KV-1688547715-8545</_dlc_DocId>
    <_dlc_DocIdUrl xmlns="0139593b-0b01-429e-aff5-32c3230c4a97">
      <Url>https://tennessee.sharepoint.com/sites/TDOT_EPB_LRPRESEARCH/_layouts/15/DocIdRedir.aspx?ID=T4MDDRKTT3KV-1688547715-8545</Url>
      <Description>T4MDDRKTT3KV-1688547715-8545</Description>
    </_dlc_DocIdUrl>
    <_dlc_DocIdPersistId xmlns="0139593b-0b01-429e-aff5-32c3230c4a97" xsi:nil="true"/>
    <lcf76f155ced4ddcb4097134ff3c332f xmlns="f94c1876-39e6-47b8-a996-557edbce19ac">
      <Terms xmlns="http://schemas.microsoft.com/office/infopath/2007/PartnerControls"/>
    </lcf76f155ced4ddcb4097134ff3c332f>
    <TaxCatchAll xmlns="0139593b-0b01-429e-aff5-32c3230c4a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9840E9152DF943B9EA81D53DF75F4C" ma:contentTypeVersion="33" ma:contentTypeDescription="Create a new document." ma:contentTypeScope="" ma:versionID="21f28cac27283aabb881cd89b4f5af5b">
  <xsd:schema xmlns:xsd="http://www.w3.org/2001/XMLSchema" xmlns:xs="http://www.w3.org/2001/XMLSchema" xmlns:p="http://schemas.microsoft.com/office/2006/metadata/properties" xmlns:ns2="0139593b-0b01-429e-aff5-32c3230c4a97" xmlns:ns3="f94c1876-39e6-47b8-a996-557edbce19ac" targetNamespace="http://schemas.microsoft.com/office/2006/metadata/properties" ma:root="true" ma:fieldsID="cfa4fda5064297894183ad3b07667b35" ns2:_="" ns3:_="">
    <xsd:import namespace="0139593b-0b01-429e-aff5-32c3230c4a97"/>
    <xsd:import namespace="f94c1876-39e6-47b8-a996-557edbce19ac"/>
    <xsd:element name="properties">
      <xsd:complexType>
        <xsd:sequence>
          <xsd:element name="documentManagement">
            <xsd:complexType>
              <xsd:all>
                <xsd:element ref="ns2:Original_x0020_Date" minOccurs="0"/>
                <xsd:element ref="ns3:MediaServiceMetadata" minOccurs="0"/>
                <xsd:element ref="ns3:MediaServiceFastMetadata" minOccurs="0"/>
                <xsd:element ref="ns3:MediaServiceDateTaken" minOccurs="0"/>
                <xsd:element ref="ns3:MediaLengthInSeconds" minOccurs="0"/>
                <xsd:element ref="ns2:_dlc_DocId" minOccurs="0"/>
                <xsd:element ref="ns2:_dlc_DocIdUrl" minOccurs="0"/>
                <xsd:element ref="ns2:_dlc_DocIdPersistId"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93b-0b01-429e-aff5-32c3230c4a97" elementFormDefault="qualified">
    <xsd:import namespace="http://schemas.microsoft.com/office/2006/documentManagement/types"/>
    <xsd:import namespace="http://schemas.microsoft.com/office/infopath/2007/PartnerControls"/>
    <xsd:element name="Original_x0020_Date" ma:index="8" nillable="true" ma:displayName="Original Date" ma:description="Date the document was created." ma:format="DateOnly" ma:internalName="Original_x0020_Date" ma:readOnly="false">
      <xsd:simpleType>
        <xsd:restriction base="dms:DateTime"/>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false">
      <xsd:simpleType>
        <xsd:restriction base="dms:Boolean"/>
      </xsd:simpleType>
    </xsd:element>
    <xsd:element name="TaxCatchAll" ma:index="22" nillable="true" ma:displayName="Taxonomy Catch All Column" ma:hidden="true" ma:list="{ddd24638-8455-44c8-816b-118fa3ae9e94}" ma:internalName="TaxCatchAll" ma:showField="CatchAllData" ma:web="0139593b-0b01-429e-aff5-32c3230c4a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4c1876-39e6-47b8-a996-557edbce19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LengthInSeconds" ma:index="12" nillable="true" ma:displayName="MediaLengthInSeconds" ma:description=""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16953-7163-4E6B-9739-811EDD3B4C31}">
  <ds:schemaRefs>
    <ds:schemaRef ds:uri="http://schemas.microsoft.com/sharepoint/v3/contenttype/forms"/>
  </ds:schemaRefs>
</ds:datastoreItem>
</file>

<file path=customXml/itemProps2.xml><?xml version="1.0" encoding="utf-8"?>
<ds:datastoreItem xmlns:ds="http://schemas.openxmlformats.org/officeDocument/2006/customXml" ds:itemID="{922A370F-48ED-43B2-95E7-27D8353C1370}">
  <ds:schemaRefs>
    <ds:schemaRef ds:uri="http://schemas.microsoft.com/sharepoint/events"/>
  </ds:schemaRefs>
</ds:datastoreItem>
</file>

<file path=customXml/itemProps3.xml><?xml version="1.0" encoding="utf-8"?>
<ds:datastoreItem xmlns:ds="http://schemas.openxmlformats.org/officeDocument/2006/customXml" ds:itemID="{DA1F492D-92BF-428B-A226-F06DF50236BF}">
  <ds:schemaRefs>
    <ds:schemaRef ds:uri="http://schemas.microsoft.com/office/2006/metadata/properties"/>
    <ds:schemaRef ds:uri="http://schemas.microsoft.com/office/infopath/2007/PartnerControls"/>
    <ds:schemaRef ds:uri="0139593b-0b01-429e-aff5-32c3230c4a97"/>
    <ds:schemaRef ds:uri="f94c1876-39e6-47b8-a996-557edbce19ac"/>
  </ds:schemaRefs>
</ds:datastoreItem>
</file>

<file path=customXml/itemProps4.xml><?xml version="1.0" encoding="utf-8"?>
<ds:datastoreItem xmlns:ds="http://schemas.openxmlformats.org/officeDocument/2006/customXml" ds:itemID="{D2C2809E-5B79-47D7-AEFB-808A8110B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93b-0b01-429e-aff5-32c3230c4a97"/>
    <ds:schemaRef ds:uri="f94c1876-39e6-47b8-a996-557edbce1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1592</Words>
  <Characters>9078</Characters>
  <Application>Microsoft Office Word</Application>
  <DocSecurity>0</DocSecurity>
  <Lines>75</Lines>
  <Paragraphs>21</Paragraphs>
  <ScaleCrop>false</ScaleCrop>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dc:creator>
  <cp:keywords/>
  <dc:description/>
  <cp:lastModifiedBy>Stacy Carter</cp:lastModifiedBy>
  <cp:revision>2</cp:revision>
  <dcterms:created xsi:type="dcterms:W3CDTF">2026-05-13T18:07:00Z</dcterms:created>
  <dcterms:modified xsi:type="dcterms:W3CDTF">2026-05-13T18:07:00Z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0x0101001E9840E9152DF943B9EA81D53DF75F4C</vt:lpwstr>
  </property>
  <property fmtid="{D5CDD505-2E9C-101B-9397-08002B2CF9AE}" pid="3" name="_dlc_DocIdItemGuid">
    <vt:lpwstr>2a1c8f73-5bef-463a-ad9f-08a11860734b</vt:lpwstr>
  </property>
  <property fmtid="{D5CDD505-2E9C-101B-9397-08002B2CF9AE}" pid="4" name="Order">
    <vt:r8>354400</vt:r8>
  </property>
  <property fmtid="{D5CDD505-2E9C-101B-9397-08002B2CF9AE}" pid="5" name="URL">
    <vt:lpwstr/>
  </property>
  <property fmtid="{D5CDD505-2E9C-101B-9397-08002B2CF9AE}" pid="6" name="_ExtendedDescription">
    <vt:lpwstr/>
  </property>
  <property fmtid="{D5CDD505-2E9C-101B-9397-08002B2CF9AE}" pid="7" name="DocumentSetDescription">
    <vt:lpwstr/>
  </property>
  <property fmtid="{D5CDD505-2E9C-101B-9397-08002B2CF9AE}" pid="8" name="GrammarlyDocumentId">
    <vt:lpwstr>e0276eda-e190-444b-b5bb-0bc4c210e8ed</vt:lpwstr>
  </property>
  <property fmtid="{D5CDD505-2E9C-101B-9397-08002B2CF9AE}" pid="9" name="MediaServiceImageTags">
    <vt:lpwstr/>
  </property>
</Properties>
</file>