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CF866" w14:textId="77777777" w:rsidR="00853662" w:rsidRDefault="00853662">
      <w:pPr>
        <w:spacing w:before="9"/>
        <w:rPr>
          <w:rFonts w:ascii="Times New Roman" w:eastAsia="Times New Roman" w:hAnsi="Times New Roman" w:cs="Times New Roman"/>
          <w:sz w:val="6"/>
          <w:szCs w:val="6"/>
        </w:rPr>
      </w:pPr>
    </w:p>
    <w:p w14:paraId="6A822367" w14:textId="77777777" w:rsidR="00853662" w:rsidRDefault="00853662" w:rsidP="00DB64C8">
      <w:pPr>
        <w:ind w:left="450"/>
        <w:rPr>
          <w:rFonts w:ascii="Times New Roman" w:eastAsia="Times New Roman" w:hAnsi="Times New Roman" w:cs="Times New Roman"/>
          <w:sz w:val="20"/>
          <w:szCs w:val="20"/>
        </w:rPr>
      </w:pPr>
    </w:p>
    <w:p w14:paraId="1D950D5F" w14:textId="77777777" w:rsidR="00853662" w:rsidRPr="001A0F61" w:rsidRDefault="003C0D05" w:rsidP="00DB64C8">
      <w:pPr>
        <w:pStyle w:val="BodyText"/>
        <w:ind w:left="450" w:right="47" w:firstLine="0"/>
        <w:rPr>
          <w:rFonts w:ascii="PermianSlabSerifTypeface" w:eastAsia="PermianSlabSerifTypeface" w:hAnsi="PermianSlabSerifTypeface" w:cs="PermianSlabSerifTypeface"/>
          <w:b/>
        </w:rPr>
      </w:pPr>
      <w:r w:rsidRPr="001A0F61">
        <w:rPr>
          <w:rFonts w:ascii="PermianSlabSerifTypeface"/>
          <w:b/>
          <w:color w:val="231F20"/>
        </w:rPr>
        <w:t>FOR IMMEDIATE</w:t>
      </w:r>
      <w:r w:rsidRPr="001A0F61">
        <w:rPr>
          <w:rFonts w:ascii="PermianSlabSerifTypeface"/>
          <w:b/>
          <w:color w:val="231F20"/>
          <w:spacing w:val="-12"/>
        </w:rPr>
        <w:t xml:space="preserve"> </w:t>
      </w:r>
      <w:r w:rsidRPr="001A0F61">
        <w:rPr>
          <w:rFonts w:ascii="PermianSlabSerifTypeface"/>
          <w:b/>
          <w:color w:val="231F20"/>
        </w:rPr>
        <w:t>RELEASE</w:t>
      </w:r>
    </w:p>
    <w:sdt>
      <w:sdtPr>
        <w:rPr>
          <w:rFonts w:ascii="PermianSlabSerifTypeface"/>
          <w:color w:val="231F20"/>
          <w:spacing w:val="-3"/>
        </w:rPr>
        <w:id w:val="802970759"/>
        <w:placeholder>
          <w:docPart w:val="DefaultPlaceholder_1082065158"/>
        </w:placeholder>
      </w:sdtPr>
      <w:sdtEndPr>
        <w:rPr>
          <w:spacing w:val="0"/>
        </w:rPr>
      </w:sdtEndPr>
      <w:sdtContent>
        <w:p w14:paraId="7A2EBF03" w14:textId="0781EEFE" w:rsidR="00853662" w:rsidRDefault="00C42747" w:rsidP="00DB64C8">
          <w:pPr>
            <w:pStyle w:val="BodyText"/>
            <w:ind w:left="450" w:right="-1483" w:firstLine="0"/>
            <w:rPr>
              <w:rFonts w:ascii="PermianSlabSerifTypeface" w:eastAsia="PermianSlabSerifTypeface" w:hAnsi="PermianSlabSerifTypeface" w:cs="PermianSlabSerifTypeface"/>
            </w:rPr>
          </w:pPr>
          <w:r>
            <w:rPr>
              <w:rFonts w:ascii="PermianSlabSerifTypeface"/>
              <w:color w:val="231F20"/>
              <w:spacing w:val="-3"/>
            </w:rPr>
            <w:t>May 17, 2021</w:t>
          </w:r>
        </w:p>
      </w:sdtContent>
    </w:sdt>
    <w:p w14:paraId="6E62DD8F" w14:textId="77777777" w:rsidR="00151F37" w:rsidRDefault="00151F37">
      <w:pPr>
        <w:pStyle w:val="BodyText"/>
        <w:spacing w:before="59" w:line="240" w:lineRule="exact"/>
        <w:ind w:left="155" w:right="103" w:hanging="37"/>
        <w:rPr>
          <w:spacing w:val="-3"/>
        </w:rPr>
      </w:pPr>
    </w:p>
    <w:p w14:paraId="61DAA05F" w14:textId="77777777" w:rsidR="000114EF" w:rsidRDefault="003C0D05" w:rsidP="00DB64C8">
      <w:pPr>
        <w:pStyle w:val="BodyText"/>
        <w:ind w:left="-2347" w:right="-360" w:firstLine="0"/>
        <w:jc w:val="right"/>
        <w:rPr>
          <w:rFonts w:ascii="PermianSlabSerifTypeface"/>
          <w:color w:val="231F20"/>
        </w:rPr>
      </w:pPr>
      <w:r w:rsidRPr="001A0F61">
        <w:rPr>
          <w:rFonts w:ascii="PermianSlabSerifTypeface"/>
          <w:b/>
          <w:color w:val="231F20"/>
          <w:spacing w:val="-3"/>
        </w:rPr>
        <w:t xml:space="preserve">CONTACT: </w:t>
      </w:r>
      <w:sdt>
        <w:sdtPr>
          <w:rPr>
            <w:rFonts w:ascii="PermianSlabSerifTypeface"/>
            <w:b/>
            <w:color w:val="231F20"/>
            <w:spacing w:val="-3"/>
          </w:rPr>
          <w:id w:val="134615626"/>
          <w:placeholder>
            <w:docPart w:val="DefaultPlaceholder_1082065158"/>
          </w:placeholder>
        </w:sdtPr>
        <w:sdtEndPr>
          <w:rPr>
            <w:b w:val="0"/>
            <w:spacing w:val="0"/>
          </w:rPr>
        </w:sdtEndPr>
        <w:sdtContent>
          <w:r w:rsidR="00621CBF">
            <w:rPr>
              <w:rFonts w:ascii="PermianSlabSerifTypeface"/>
              <w:color w:val="231F20"/>
            </w:rPr>
            <w:t>Nichole Lawrence</w:t>
          </w:r>
        </w:sdtContent>
      </w:sdt>
    </w:p>
    <w:p w14:paraId="1B474C3B" w14:textId="77777777" w:rsidR="00853662" w:rsidRDefault="00621CBF" w:rsidP="00DB64C8">
      <w:pPr>
        <w:pStyle w:val="BodyText"/>
        <w:ind w:left="-2347" w:right="-360" w:firstLine="0"/>
        <w:jc w:val="right"/>
        <w:rPr>
          <w:rFonts w:ascii="PermianSlabSerifTypeface" w:eastAsia="PermianSlabSerifTypeface" w:hAnsi="PermianSlabSerifTypeface" w:cs="PermianSlabSerifTypeface"/>
        </w:rPr>
      </w:pPr>
      <w:r>
        <w:rPr>
          <w:rFonts w:ascii="PermianSlabSerifTypeface"/>
          <w:b/>
          <w:color w:val="231F20"/>
        </w:rPr>
        <w:t>CELL</w:t>
      </w:r>
      <w:r w:rsidR="003C0D05" w:rsidRPr="001A0F61">
        <w:rPr>
          <w:rFonts w:ascii="PermianSlabSerifTypeface"/>
          <w:b/>
          <w:color w:val="231F20"/>
        </w:rPr>
        <w:t>:</w:t>
      </w:r>
      <w:r w:rsidR="003C0D05">
        <w:rPr>
          <w:rFonts w:ascii="PermianSlabSerifTypeface"/>
          <w:color w:val="231F20"/>
        </w:rPr>
        <w:t xml:space="preserve"> </w:t>
      </w:r>
      <w:sdt>
        <w:sdtPr>
          <w:rPr>
            <w:rFonts w:ascii="PermianSlabSerifTypeface"/>
            <w:color w:val="231F20"/>
          </w:rPr>
          <w:id w:val="1337737565"/>
          <w:placeholder>
            <w:docPart w:val="DefaultPlaceholder_1082065158"/>
          </w:placeholder>
        </w:sdtPr>
        <w:sdtEndPr/>
        <w:sdtContent>
          <w:r>
            <w:rPr>
              <w:rFonts w:ascii="PermianSlabSerifTypeface"/>
              <w:color w:val="231F20"/>
            </w:rPr>
            <w:t>731-225-6041</w:t>
          </w:r>
        </w:sdtContent>
      </w:sdt>
    </w:p>
    <w:p w14:paraId="1944469B" w14:textId="77777777" w:rsidR="001A0F61" w:rsidRDefault="001A0F61" w:rsidP="00DB64C8">
      <w:pPr>
        <w:spacing w:line="240" w:lineRule="exact"/>
        <w:ind w:right="-450"/>
        <w:rPr>
          <w:rFonts w:ascii="PermianSlabSerifTypeface" w:eastAsia="PermianSlabSerifTypeface" w:hAnsi="PermianSlabSerifTypeface" w:cs="PermianSlabSerifTypeface"/>
        </w:rPr>
      </w:pPr>
    </w:p>
    <w:p w14:paraId="6B55739C" w14:textId="77777777" w:rsidR="001A0F61" w:rsidRDefault="001A0F61" w:rsidP="00DB64C8">
      <w:pPr>
        <w:spacing w:line="240" w:lineRule="exact"/>
        <w:ind w:right="-450"/>
        <w:rPr>
          <w:rFonts w:ascii="PermianSlabSerifTypeface" w:eastAsia="PermianSlabSerifTypeface" w:hAnsi="PermianSlabSerifTypeface" w:cs="PermianSlabSerifTypeface"/>
        </w:rPr>
        <w:sectPr w:rsidR="001A0F61" w:rsidSect="00875724">
          <w:headerReference w:type="default" r:id="rId8"/>
          <w:footerReference w:type="default" r:id="rId9"/>
          <w:type w:val="continuous"/>
          <w:pgSz w:w="12240" w:h="15840"/>
          <w:pgMar w:top="907" w:right="1620" w:bottom="360" w:left="763" w:header="720" w:footer="720" w:gutter="0"/>
          <w:cols w:num="2" w:space="720" w:equalWidth="0">
            <w:col w:w="3737" w:space="3060"/>
            <w:col w:w="3060"/>
          </w:cols>
          <w:docGrid w:linePitch="299"/>
        </w:sectPr>
      </w:pPr>
    </w:p>
    <w:p w14:paraId="48411691" w14:textId="1EBA2D9D" w:rsidR="004C7FFC" w:rsidRDefault="004C7FFC" w:rsidP="00DB64C8">
      <w:pPr>
        <w:pStyle w:val="Heading1"/>
        <w:ind w:left="-90"/>
        <w:jc w:val="left"/>
        <w:rPr>
          <w:rFonts w:ascii="PermianSlabSerifTypeface" w:hAnsi="PermianSlabSerifTypeface"/>
          <w:sz w:val="22"/>
          <w:szCs w:val="22"/>
        </w:rPr>
      </w:pPr>
    </w:p>
    <w:p w14:paraId="6774AF07" w14:textId="3CE50623" w:rsidR="00C42747" w:rsidRDefault="00C42747" w:rsidP="00C42747">
      <w:pPr>
        <w:jc w:val="center"/>
        <w:rPr>
          <w:b/>
          <w:bCs/>
        </w:rPr>
      </w:pPr>
      <w:r w:rsidRPr="00C42747">
        <w:rPr>
          <w:b/>
          <w:bCs/>
        </w:rPr>
        <w:t>I-40 Hernando DeSoto Bridge Repair</w:t>
      </w:r>
    </w:p>
    <w:p w14:paraId="39294834" w14:textId="5A9203DE" w:rsidR="00C42747" w:rsidRDefault="00C42747" w:rsidP="00C42747">
      <w:pPr>
        <w:jc w:val="center"/>
      </w:pPr>
      <w:r>
        <w:t xml:space="preserve">Daily Update </w:t>
      </w:r>
    </w:p>
    <w:p w14:paraId="7F8AF089" w14:textId="77777777" w:rsidR="00C42747" w:rsidRDefault="00C42747" w:rsidP="00C42747">
      <w:pPr>
        <w:pStyle w:val="PlainText"/>
        <w:rPr>
          <w:b/>
          <w:bCs/>
        </w:rPr>
      </w:pPr>
    </w:p>
    <w:p w14:paraId="103AB5E1" w14:textId="0CE31355" w:rsidR="00C42747" w:rsidRDefault="00C42747" w:rsidP="00C42747">
      <w:pPr>
        <w:pStyle w:val="PlainText"/>
      </w:pPr>
      <w:r>
        <w:t xml:space="preserve">TDOT is holding daily meetings with </w:t>
      </w:r>
      <w:r w:rsidR="00F707B1">
        <w:t>the Arkansas Department of Transportation</w:t>
      </w:r>
      <w:r>
        <w:t>, design consultants, Tennessee Highway Patrol, Memphis Police Department, and the Federal Highway Administration to develop</w:t>
      </w:r>
      <w:r w:rsidR="00F707B1">
        <w:t xml:space="preserve"> and expedite</w:t>
      </w:r>
      <w:r>
        <w:t xml:space="preserve"> a repair project </w:t>
      </w:r>
      <w:r w:rsidR="00F707B1">
        <w:t>while</w:t>
      </w:r>
      <w:r>
        <w:t xml:space="preserve"> manag</w:t>
      </w:r>
      <w:r w:rsidR="00F707B1">
        <w:t>ing</w:t>
      </w:r>
      <w:r>
        <w:t xml:space="preserve"> traffic along the </w:t>
      </w:r>
      <w:r w:rsidR="00F707B1">
        <w:t>alternate</w:t>
      </w:r>
      <w:r>
        <w:t xml:space="preserve"> route</w:t>
      </w:r>
      <w:r w:rsidR="00F707B1">
        <w:t>s</w:t>
      </w:r>
      <w:r>
        <w:t xml:space="preserve">. </w:t>
      </w:r>
    </w:p>
    <w:p w14:paraId="5893304A" w14:textId="21B060CD" w:rsidR="00C42747" w:rsidRDefault="00C42747" w:rsidP="00C42747">
      <w:pPr>
        <w:pStyle w:val="PlainText"/>
      </w:pPr>
    </w:p>
    <w:p w14:paraId="067E4AC1" w14:textId="1A9D3A06" w:rsidR="00C42747" w:rsidRDefault="00C42747" w:rsidP="00C42747">
      <w:pPr>
        <w:pStyle w:val="PlainText"/>
      </w:pPr>
      <w:r>
        <w:t>Our consistent message</w:t>
      </w:r>
      <w:r w:rsidR="00F707B1">
        <w:t xml:space="preserve">, </w:t>
      </w:r>
      <w:r>
        <w:t>above all</w:t>
      </w:r>
      <w:r w:rsidR="00F707B1">
        <w:t>, is</w:t>
      </w:r>
      <w:r>
        <w:t xml:space="preserve"> the safety of the public is paramount</w:t>
      </w:r>
      <w:r w:rsidR="00F707B1">
        <w:t>,</w:t>
      </w:r>
      <w:r>
        <w:t xml:space="preserve"> and the priorit</w:t>
      </w:r>
      <w:r w:rsidR="00F707B1">
        <w:t>ies are</w:t>
      </w:r>
      <w:r>
        <w:t xml:space="preserve"> to 1) open</w:t>
      </w:r>
      <w:r w:rsidR="00F707B1">
        <w:t xml:space="preserve"> the </w:t>
      </w:r>
      <w:r>
        <w:t>river traffic</w:t>
      </w:r>
      <w:r w:rsidR="00FF1E8C">
        <w:t xml:space="preserve"> </w:t>
      </w:r>
      <w:r>
        <w:t>2) open</w:t>
      </w:r>
      <w:r w:rsidR="00F707B1">
        <w:t xml:space="preserve"> bridge traffic  3) look at the bridge for long-term issues related to the original failure. </w:t>
      </w:r>
    </w:p>
    <w:p w14:paraId="47102A98" w14:textId="523EEBC0" w:rsidR="00F707B1" w:rsidRDefault="00F707B1" w:rsidP="00C42747">
      <w:pPr>
        <w:pStyle w:val="PlainText"/>
      </w:pPr>
    </w:p>
    <w:p w14:paraId="52E6F91E" w14:textId="22BD8358" w:rsidR="00F707B1" w:rsidRDefault="00F707B1" w:rsidP="00C42747">
      <w:pPr>
        <w:pStyle w:val="PlainText"/>
      </w:pPr>
      <w:r>
        <w:t xml:space="preserve">We now have a webpage dedicated to </w:t>
      </w:r>
      <w:r w:rsidR="00FF1E8C">
        <w:t xml:space="preserve">the </w:t>
      </w:r>
      <w:r>
        <w:t xml:space="preserve">bridge repair: </w:t>
      </w:r>
      <w:hyperlink r:id="rId10" w:history="1">
        <w:r w:rsidRPr="009F180C">
          <w:rPr>
            <w:rStyle w:val="Hyperlink"/>
          </w:rPr>
          <w:t>https://www.tn.gov/tdot/projects/region-4/i-40-hernando-desoto-bridge.html</w:t>
        </w:r>
      </w:hyperlink>
      <w:r>
        <w:t xml:space="preserve">. You can also follow us on social media for the latest. Here is today’s update. </w:t>
      </w:r>
    </w:p>
    <w:p w14:paraId="376020D3" w14:textId="77777777" w:rsidR="00C42747" w:rsidRDefault="00C42747" w:rsidP="00C42747">
      <w:pPr>
        <w:pStyle w:val="PlainText"/>
      </w:pPr>
    </w:p>
    <w:p w14:paraId="7DD81F4E" w14:textId="77777777" w:rsidR="00C42747" w:rsidRPr="00033236" w:rsidRDefault="00C42747" w:rsidP="00C42747">
      <w:pPr>
        <w:pStyle w:val="PlainText"/>
        <w:rPr>
          <w:b/>
          <w:bCs/>
        </w:rPr>
      </w:pPr>
      <w:r>
        <w:rPr>
          <w:b/>
          <w:bCs/>
        </w:rPr>
        <w:t xml:space="preserve">Bridge Repair </w:t>
      </w:r>
      <w:r w:rsidRPr="00033236">
        <w:rPr>
          <w:b/>
          <w:bCs/>
        </w:rPr>
        <w:t>Design Update:</w:t>
      </w:r>
    </w:p>
    <w:p w14:paraId="6735FFAD" w14:textId="77777777" w:rsidR="00C42747" w:rsidRDefault="00C42747" w:rsidP="00C42747">
      <w:pPr>
        <w:pStyle w:val="PlainText"/>
      </w:pPr>
    </w:p>
    <w:p w14:paraId="62858862" w14:textId="0E7245BB" w:rsidR="00C42747" w:rsidRDefault="00C42747" w:rsidP="00F707B1">
      <w:pPr>
        <w:pStyle w:val="PlainText"/>
        <w:numPr>
          <w:ilvl w:val="0"/>
          <w:numId w:val="8"/>
        </w:numPr>
      </w:pPr>
      <w:r>
        <w:t>The repair will be performed in two phases</w:t>
      </w:r>
      <w:r w:rsidR="00B26C58">
        <w:t xml:space="preserve">. </w:t>
      </w:r>
      <w:r w:rsidRPr="00C42747">
        <w:rPr>
          <w:b/>
          <w:bCs/>
        </w:rPr>
        <w:t>Both phases will need to be completed before traffic can re-open on the bridge.</w:t>
      </w:r>
      <w:r>
        <w:t xml:space="preserve"> At this point</w:t>
      </w:r>
      <w:r w:rsidR="00F707B1">
        <w:t>,</w:t>
      </w:r>
      <w:r>
        <w:t xml:space="preserve"> we are unable to project a re-opening date. </w:t>
      </w:r>
    </w:p>
    <w:p w14:paraId="69AC9DBF" w14:textId="187D4167" w:rsidR="00C42747" w:rsidRDefault="00C42747" w:rsidP="009A2215">
      <w:pPr>
        <w:pStyle w:val="PlainText"/>
        <w:numPr>
          <w:ilvl w:val="0"/>
          <w:numId w:val="8"/>
        </w:numPr>
      </w:pPr>
      <w:r>
        <w:t>Phase 1 will require the installation of steel plates on each side of the fractured member.</w:t>
      </w:r>
      <w:r w:rsidR="009A2215">
        <w:t xml:space="preserve"> </w:t>
      </w:r>
      <w:r>
        <w:t>This repair will strengthen the damage</w:t>
      </w:r>
      <w:r w:rsidR="00F707B1">
        <w:t>d</w:t>
      </w:r>
      <w:r>
        <w:t xml:space="preserve"> steel plates providing stability needed for crews to </w:t>
      </w:r>
      <w:r w:rsidR="00F707B1">
        <w:t>install</w:t>
      </w:r>
      <w:r>
        <w:t xml:space="preserve"> equipment for the permanent replacement of the damaged components</w:t>
      </w:r>
      <w:r w:rsidR="009A2215">
        <w:t xml:space="preserve"> and continue bridge inspections. </w:t>
      </w:r>
      <w:r>
        <w:t>The design of the plates has been completed</w:t>
      </w:r>
      <w:r w:rsidR="00F707B1">
        <w:t>,</w:t>
      </w:r>
      <w:r>
        <w:t xml:space="preserve"> and plans </w:t>
      </w:r>
      <w:r w:rsidR="00F707B1">
        <w:t xml:space="preserve">were </w:t>
      </w:r>
      <w:r>
        <w:t xml:space="preserve">provided to </w:t>
      </w:r>
      <w:r w:rsidRPr="00E73C42">
        <w:t>Stupp Bridge Company</w:t>
      </w:r>
      <w:r>
        <w:t xml:space="preserve"> in Bowling Green, Kentucky</w:t>
      </w:r>
      <w:r w:rsidR="00F707B1">
        <w:t>,</w:t>
      </w:r>
      <w:r>
        <w:t xml:space="preserve"> for fabrication. Fabrication of the roughly 11,000 lbs. of steel is expected to be complete by Wednesday</w:t>
      </w:r>
      <w:r w:rsidR="00F707B1">
        <w:t>,</w:t>
      </w:r>
      <w:r>
        <w:t xml:space="preserve"> May 19th.</w:t>
      </w:r>
      <w:r w:rsidR="009A2215">
        <w:t xml:space="preserve"> </w:t>
      </w:r>
      <w:r>
        <w:t xml:space="preserve">TDOT forces will be picking up the fabricated plates from Stupp Bridge Company and transport </w:t>
      </w:r>
      <w:r w:rsidR="00F707B1">
        <w:t>them</w:t>
      </w:r>
      <w:r>
        <w:t xml:space="preserve"> to Memphis</w:t>
      </w:r>
      <w:r w:rsidR="00F707B1">
        <w:t>,</w:t>
      </w:r>
      <w:r>
        <w:t xml:space="preserve"> where </w:t>
      </w:r>
      <w:r w:rsidR="00F707B1">
        <w:t>they</w:t>
      </w:r>
      <w:r>
        <w:t xml:space="preserve"> will be ready for our contractor. </w:t>
      </w:r>
    </w:p>
    <w:p w14:paraId="1E2C9ACE" w14:textId="7A1974E9" w:rsidR="00C42747" w:rsidRDefault="00C42747" w:rsidP="00F707B1">
      <w:pPr>
        <w:pStyle w:val="ListParagraph"/>
        <w:numPr>
          <w:ilvl w:val="0"/>
          <w:numId w:val="8"/>
        </w:numPr>
      </w:pPr>
      <w:r>
        <w:t xml:space="preserve">Phase 2 design is underway and will be finalized with the input of the </w:t>
      </w:r>
      <w:r w:rsidR="00F707B1">
        <w:t>c</w:t>
      </w:r>
      <w:r>
        <w:t>ontractor once selected.</w:t>
      </w:r>
      <w:r w:rsidR="009A2215">
        <w:t xml:space="preserve"> This will enable us to remove and replace the damaged piece and open the bridge to traffic.</w:t>
      </w:r>
    </w:p>
    <w:p w14:paraId="303B9253" w14:textId="77777777" w:rsidR="00C42747" w:rsidRDefault="00C42747" w:rsidP="00C42747">
      <w:pPr>
        <w:pStyle w:val="PlainText"/>
      </w:pPr>
    </w:p>
    <w:p w14:paraId="78694A8C" w14:textId="77777777" w:rsidR="00C42747" w:rsidRPr="00412113" w:rsidRDefault="00C42747" w:rsidP="00C42747">
      <w:pPr>
        <w:pStyle w:val="PlainText"/>
        <w:rPr>
          <w:b/>
          <w:bCs/>
        </w:rPr>
      </w:pPr>
      <w:r w:rsidRPr="00412113">
        <w:rPr>
          <w:b/>
          <w:bCs/>
        </w:rPr>
        <w:t>Contractor Selection</w:t>
      </w:r>
    </w:p>
    <w:p w14:paraId="7A5DD93D" w14:textId="77777777" w:rsidR="00C42747" w:rsidRDefault="00C42747" w:rsidP="00C42747">
      <w:pPr>
        <w:pStyle w:val="PlainText"/>
      </w:pPr>
    </w:p>
    <w:p w14:paraId="7CA4D616" w14:textId="00160A64" w:rsidR="00C42747" w:rsidRDefault="00C42747" w:rsidP="00C42747">
      <w:pPr>
        <w:pStyle w:val="ListParagraph"/>
        <w:numPr>
          <w:ilvl w:val="0"/>
          <w:numId w:val="9"/>
        </w:numPr>
      </w:pPr>
      <w:r>
        <w:t xml:space="preserve">TDOT will select a contractor based on their </w:t>
      </w:r>
      <w:r w:rsidRPr="00A20710">
        <w:t>qualifications, experience, and availability</w:t>
      </w:r>
      <w:r>
        <w:t xml:space="preserve"> of personnel and equipment.</w:t>
      </w:r>
    </w:p>
    <w:p w14:paraId="11259AC8" w14:textId="549BF01E" w:rsidR="00C42747" w:rsidRDefault="00C42747" w:rsidP="00C42747">
      <w:pPr>
        <w:pStyle w:val="ListParagraph"/>
        <w:numPr>
          <w:ilvl w:val="0"/>
          <w:numId w:val="9"/>
        </w:numPr>
      </w:pPr>
      <w:r>
        <w:t>An Invitation to provide qualifications, experience, and availability was sent to 8 Contractors on Friday</w:t>
      </w:r>
      <w:r w:rsidR="00F707B1">
        <w:t>,</w:t>
      </w:r>
      <w:r>
        <w:t xml:space="preserve"> May 14</w:t>
      </w:r>
      <w:r w:rsidRPr="00F707B1">
        <w:rPr>
          <w:vertAlign w:val="superscript"/>
        </w:rPr>
        <w:t>th</w:t>
      </w:r>
      <w:r>
        <w:t>.</w:t>
      </w:r>
    </w:p>
    <w:p w14:paraId="6EFBE864" w14:textId="3CF2FBC1" w:rsidR="00C42747" w:rsidRDefault="00C42747" w:rsidP="00C42747">
      <w:pPr>
        <w:pStyle w:val="ListParagraph"/>
        <w:numPr>
          <w:ilvl w:val="0"/>
          <w:numId w:val="9"/>
        </w:numPr>
      </w:pPr>
      <w:r>
        <w:t xml:space="preserve">TDOT </w:t>
      </w:r>
      <w:r w:rsidR="00F707B1">
        <w:t>s</w:t>
      </w:r>
      <w:r>
        <w:t>taff has responded to questions posed by Contractors over the weekend with assistance from our design consultant Michael Baker International.</w:t>
      </w:r>
    </w:p>
    <w:p w14:paraId="4FC25E3A" w14:textId="736689F1" w:rsidR="00C42747" w:rsidRDefault="00C42747" w:rsidP="00C42747">
      <w:pPr>
        <w:pStyle w:val="ListParagraph"/>
        <w:numPr>
          <w:ilvl w:val="0"/>
          <w:numId w:val="9"/>
        </w:numPr>
      </w:pPr>
      <w:r>
        <w:t>Invited Contractors interested in completing the repairs must submit their information to TDOT by 10:00 AM Monday</w:t>
      </w:r>
      <w:r w:rsidR="00F707B1">
        <w:t>,</w:t>
      </w:r>
      <w:r>
        <w:t xml:space="preserve"> May 17</w:t>
      </w:r>
      <w:r w:rsidRPr="00F707B1">
        <w:rPr>
          <w:vertAlign w:val="superscript"/>
        </w:rPr>
        <w:t>th</w:t>
      </w:r>
      <w:r w:rsidR="00F707B1">
        <w:rPr>
          <w:vertAlign w:val="superscript"/>
        </w:rPr>
        <w:t>,</w:t>
      </w:r>
      <w:r>
        <w:t xml:space="preserve"> to be considered for selection.</w:t>
      </w:r>
    </w:p>
    <w:p w14:paraId="6EA5B939" w14:textId="50B33D87" w:rsidR="00C42747" w:rsidRDefault="00F707B1" w:rsidP="00F707B1">
      <w:pPr>
        <w:pStyle w:val="ListParagraph"/>
        <w:numPr>
          <w:ilvl w:val="0"/>
          <w:numId w:val="9"/>
        </w:numPr>
      </w:pPr>
      <w:r>
        <w:lastRenderedPageBreak/>
        <w:t>TDOT intends</w:t>
      </w:r>
      <w:r w:rsidR="00C42747">
        <w:t xml:space="preserve"> to select a contractor Monday afternoon and execute a contract </w:t>
      </w:r>
      <w:r>
        <w:t>to</w:t>
      </w:r>
      <w:r w:rsidR="00C42747">
        <w:t xml:space="preserve"> begin the phase 1 repair</w:t>
      </w:r>
      <w:r>
        <w:t>. In addition, the contractor can provide input with the</w:t>
      </w:r>
      <w:r w:rsidR="00C42747">
        <w:t xml:space="preserve"> Design team for</w:t>
      </w:r>
      <w:r w:rsidR="009A2215">
        <w:t xml:space="preserve"> phase 2 and</w:t>
      </w:r>
      <w:r w:rsidR="00C42747">
        <w:t xml:space="preserve"> project completion.</w:t>
      </w:r>
    </w:p>
    <w:p w14:paraId="66BFBDF6" w14:textId="77777777" w:rsidR="00C42747" w:rsidRDefault="00C42747" w:rsidP="00C42747">
      <w:r>
        <w:t xml:space="preserve">  </w:t>
      </w:r>
    </w:p>
    <w:p w14:paraId="64E762C0" w14:textId="77777777" w:rsidR="00C42747" w:rsidRPr="00033236" w:rsidRDefault="00C42747" w:rsidP="00C42747">
      <w:pPr>
        <w:rPr>
          <w:b/>
          <w:bCs/>
        </w:rPr>
      </w:pPr>
      <w:r w:rsidRPr="00033236">
        <w:rPr>
          <w:b/>
          <w:bCs/>
        </w:rPr>
        <w:t>Traffic Diversion</w:t>
      </w:r>
    </w:p>
    <w:p w14:paraId="1BC45E88" w14:textId="77777777" w:rsidR="00C42747" w:rsidRDefault="00C42747" w:rsidP="00C42747">
      <w:pPr>
        <w:pStyle w:val="ListParagraph"/>
      </w:pPr>
    </w:p>
    <w:p w14:paraId="49AD2B87" w14:textId="21629CA8" w:rsidR="00C42747" w:rsidRDefault="00C42747" w:rsidP="00C42747">
      <w:pPr>
        <w:pStyle w:val="ListParagraph"/>
        <w:numPr>
          <w:ilvl w:val="0"/>
          <w:numId w:val="10"/>
        </w:numPr>
      </w:pPr>
      <w:r>
        <w:t>TDOT is working with other state DOT’s and the trucking industry to get information out to long haul Commercial Vehicles allowing them to divert to other Mississippi River crossings to avoid the I-55 bridge.</w:t>
      </w:r>
    </w:p>
    <w:p w14:paraId="28D1D4E4" w14:textId="75A2B48D" w:rsidR="00C42747" w:rsidRDefault="00C42747" w:rsidP="00C42747">
      <w:pPr>
        <w:pStyle w:val="ListParagraph"/>
        <w:numPr>
          <w:ilvl w:val="0"/>
          <w:numId w:val="10"/>
        </w:numPr>
      </w:pPr>
      <w:r>
        <w:t>Additional message boards have been placed along I-40</w:t>
      </w:r>
      <w:r w:rsidR="00F707B1">
        <w:t>,</w:t>
      </w:r>
      <w:r>
        <w:t xml:space="preserve"> alerting drivers of the closure.</w:t>
      </w:r>
    </w:p>
    <w:p w14:paraId="17306424" w14:textId="755556A1" w:rsidR="00C42747" w:rsidRDefault="00C42747" w:rsidP="00F707B1">
      <w:pPr>
        <w:pStyle w:val="ListParagraph"/>
        <w:numPr>
          <w:ilvl w:val="0"/>
          <w:numId w:val="10"/>
        </w:numPr>
      </w:pPr>
      <w:r>
        <w:t>TDOT’s Traffic Management Center and HELP trucks continue to monitor the closed I-40 bridge, the I-55 bridge</w:t>
      </w:r>
      <w:r w:rsidR="00F707B1">
        <w:t>,</w:t>
      </w:r>
      <w:r>
        <w:t xml:space="preserve"> and congestion in Memphis. We have HELP trucks station</w:t>
      </w:r>
      <w:r w:rsidR="00F707B1">
        <w:t>ed</w:t>
      </w:r>
      <w:r>
        <w:t xml:space="preserve"> on both sides of the I-55 bridge </w:t>
      </w:r>
      <w:r w:rsidR="00F707B1">
        <w:t>to</w:t>
      </w:r>
      <w:r>
        <w:t xml:space="preserve"> respond to any incidents and open lanes quickly. </w:t>
      </w:r>
      <w:r w:rsidR="00F707B1">
        <w:t>Additionally, w</w:t>
      </w:r>
      <w:r>
        <w:t>e are utilizing message boards across Shelby County to assist with messaging.</w:t>
      </w:r>
    </w:p>
    <w:p w14:paraId="367E82E2" w14:textId="77777777" w:rsidR="00C42747" w:rsidRDefault="00C42747" w:rsidP="00C42747"/>
    <w:p w14:paraId="2E6FEEB8" w14:textId="77777777" w:rsidR="00C42747" w:rsidRPr="0084105A" w:rsidRDefault="00C42747" w:rsidP="00C42747">
      <w:pPr>
        <w:pStyle w:val="PlainText"/>
        <w:rPr>
          <w:b/>
          <w:bCs/>
        </w:rPr>
      </w:pPr>
      <w:r w:rsidRPr="0084105A">
        <w:rPr>
          <w:b/>
          <w:bCs/>
        </w:rPr>
        <w:t>I-55 Bridge</w:t>
      </w:r>
    </w:p>
    <w:p w14:paraId="1725E1C9" w14:textId="77777777" w:rsidR="00C42747" w:rsidRDefault="00C42747" w:rsidP="00C42747">
      <w:pPr>
        <w:pStyle w:val="PlainText"/>
      </w:pPr>
    </w:p>
    <w:p w14:paraId="5B32C496" w14:textId="580895F0" w:rsidR="00C42747" w:rsidRDefault="00C42747" w:rsidP="00C42747">
      <w:pPr>
        <w:pStyle w:val="PlainText"/>
        <w:numPr>
          <w:ilvl w:val="0"/>
          <w:numId w:val="11"/>
        </w:numPr>
      </w:pPr>
      <w:r>
        <w:t>Out of an abundance of caution, TDOT will perform a review of the I-55 Bridge over the Mississippi River to look at key components of the bridge.</w:t>
      </w:r>
    </w:p>
    <w:p w14:paraId="45AC9E96" w14:textId="45742490" w:rsidR="00C42747" w:rsidRDefault="00C42747" w:rsidP="00F707B1">
      <w:pPr>
        <w:pStyle w:val="PlainText"/>
        <w:numPr>
          <w:ilvl w:val="0"/>
          <w:numId w:val="11"/>
        </w:numPr>
      </w:pPr>
      <w:r>
        <w:t xml:space="preserve">TDOT is working closely with ArDOT and the Federal Highway Administration to review previous bridge inspection reports to </w:t>
      </w:r>
      <w:r w:rsidR="00845990">
        <w:t>assess bridge components quickly</w:t>
      </w:r>
      <w:r>
        <w:t>.</w:t>
      </w:r>
    </w:p>
    <w:p w14:paraId="5262197E" w14:textId="77777777" w:rsidR="00FF1E8C" w:rsidRDefault="00FF1E8C" w:rsidP="00FF1E8C">
      <w:pPr>
        <w:pStyle w:val="PlainText"/>
        <w:ind w:left="720"/>
      </w:pPr>
    </w:p>
    <w:p w14:paraId="1E687345" w14:textId="50B0EC39" w:rsidR="00C42747" w:rsidRDefault="00C42747" w:rsidP="00C42747"/>
    <w:p w14:paraId="2E63256B" w14:textId="694E9B83" w:rsidR="00FF1E8C" w:rsidRPr="00C42747" w:rsidRDefault="00FF1E8C" w:rsidP="00FF1E8C">
      <w:pPr>
        <w:jc w:val="center"/>
      </w:pPr>
      <w:r>
        <w:t>###</w:t>
      </w:r>
    </w:p>
    <w:sectPr w:rsidR="00FF1E8C" w:rsidRPr="00C42747" w:rsidSect="00875724">
      <w:type w:val="continuous"/>
      <w:pgSz w:w="12240" w:h="15840"/>
      <w:pgMar w:top="835" w:right="1627" w:bottom="36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FFFFE" w14:textId="77777777" w:rsidR="0047648F" w:rsidRDefault="0047648F" w:rsidP="00151F37">
      <w:r>
        <w:separator/>
      </w:r>
    </w:p>
  </w:endnote>
  <w:endnote w:type="continuationSeparator" w:id="0">
    <w:p w14:paraId="7771898A" w14:textId="77777777" w:rsidR="0047648F" w:rsidRDefault="0047648F" w:rsidP="001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9882" w14:textId="77777777" w:rsidR="0047648F" w:rsidRDefault="0047648F" w:rsidP="00A4455E">
    <w:pPr>
      <w:spacing w:before="12"/>
      <w:rPr>
        <w:rFonts w:ascii="Open Sans" w:eastAsia="Open Sans" w:hAnsi="Open Sans" w:cs="Open Sans"/>
        <w:sz w:val="16"/>
        <w:szCs w:val="16"/>
      </w:rPr>
    </w:pPr>
  </w:p>
  <w:p w14:paraId="1DF39A8E" w14:textId="77777777" w:rsidR="0047648F" w:rsidRPr="00A4455E" w:rsidRDefault="0047648F" w:rsidP="00A4455E">
    <w:pPr>
      <w:spacing w:line="20" w:lineRule="exact"/>
      <w:ind w:left="900"/>
      <w:rPr>
        <w:rFonts w:ascii="Open Sans" w:eastAsia="Open Sans" w:hAnsi="Open Sans" w:cs="Open Sans"/>
        <w:sz w:val="2"/>
        <w:szCs w:val="2"/>
      </w:rPr>
    </w:pPr>
    <w:r>
      <w:rPr>
        <w:rFonts w:ascii="Open Sans" w:eastAsia="Open Sans" w:hAnsi="Open Sans" w:cs="Open Sans"/>
        <w:noProof/>
        <w:sz w:val="2"/>
        <w:szCs w:val="2"/>
      </w:rPr>
      <mc:AlternateContent>
        <mc:Choice Requires="wpg">
          <w:drawing>
            <wp:inline distT="0" distB="0" distL="0" distR="0" wp14:anchorId="7FFE54B2" wp14:editId="5B043B81">
              <wp:extent cx="5660390" cy="1270"/>
              <wp:effectExtent l="9525" t="9525" r="6985" b="825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1270"/>
                        <a:chOff x="5" y="5"/>
                        <a:chExt cx="8881" cy="2"/>
                      </a:xfrm>
                    </wpg:grpSpPr>
                    <wpg:grpSp>
                      <wpg:cNvPr id="3" name="Group 8"/>
                      <wpg:cNvGrpSpPr>
                        <a:grpSpLocks/>
                      </wpg:cNvGrpSpPr>
                      <wpg:grpSpPr bwMode="auto">
                        <a:xfrm>
                          <a:off x="5" y="5"/>
                          <a:ext cx="8881" cy="2"/>
                          <a:chOff x="5" y="5"/>
                          <a:chExt cx="8881" cy="2"/>
                        </a:xfrm>
                      </wpg:grpSpPr>
                      <wps:wsp>
                        <wps:cNvPr id="4" name="Freeform 9"/>
                        <wps:cNvSpPr>
                          <a:spLocks/>
                        </wps:cNvSpPr>
                        <wps:spPr bwMode="auto">
                          <a:xfrm>
                            <a:off x="5" y="5"/>
                            <a:ext cx="888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B610C7" id="Group 7" o:spid="_x0000_s1026" style="width:445.7pt;height:.1pt;mso-position-horizontal-relative:char;mso-position-vertical-relative:line" coordorigin="5,5" coordsize="8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">
              <v:group id="Group 8" o:spid="_x0000_s1027" style="position:absolute;left:5;top:5;width:8881;height:2" coordorigin="5,5" coordsize="8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28" style="position:absolute;left:5;top:5;width:888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ImxAAAANoAAAAPAAAAZHJzL2Rvd25yZXYueG1sRI9Ba8JA&#10;FITvBf/D8oTemk2lFI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LACMibEAAAA2gAAAA8A&#10;AAAAAAAAAAAAAAAABwIAAGRycy9kb3ducmV2LnhtbFBLBQYAAAAAAwADALcAAAD4AgAAAAA=&#10;" path="m,l8841,e" filled="f" strokecolor="#d90030" strokeweight=".5pt">
                  <v:path arrowok="t" o:connecttype="custom" o:connectlocs="0,0;8881,0" o:connectangles="0,0"/>
                </v:shape>
              </v:group>
              <w10:anchorlock/>
            </v:group>
          </w:pict>
        </mc:Fallback>
      </mc:AlternateContent>
    </w:r>
  </w:p>
  <w:sdt>
    <w:sdtPr>
      <w:rPr>
        <w:rFonts w:ascii="Open Sans" w:eastAsia="Open Sans" w:hAnsi="Open Sans" w:cs="Open Sans"/>
        <w:color w:val="7E7578"/>
        <w:sz w:val="18"/>
        <w:szCs w:val="18"/>
      </w:rPr>
      <w:id w:val="1292249252"/>
      <w:placeholder>
        <w:docPart w:val="5D2B2775A5B441AB83D5CAE916CEFF2A"/>
      </w:placeholder>
    </w:sdtPr>
    <w:sdtEndPr/>
    <w:sdtContent>
      <w:p w14:paraId="257CFF92" w14:textId="77777777" w:rsidR="0047648F" w:rsidRPr="004313EE" w:rsidRDefault="0047648F" w:rsidP="00A4455E">
        <w:pPr>
          <w:spacing w:before="59" w:line="216" w:lineRule="exact"/>
          <w:ind w:left="900" w:right="1980"/>
          <w:rPr>
            <w:rFonts w:ascii="Open Sans" w:eastAsia="Open Sans" w:hAnsi="Open Sans" w:cs="Open Sans"/>
            <w:color w:val="7E7578"/>
            <w:sz w:val="18"/>
            <w:szCs w:val="18"/>
          </w:rPr>
        </w:pPr>
        <w:r>
          <w:rPr>
            <w:rFonts w:ascii="Open Sans" w:eastAsia="Open Sans" w:hAnsi="Open Sans" w:cs="Open Sans"/>
            <w:color w:val="7E7578"/>
            <w:sz w:val="18"/>
            <w:szCs w:val="18"/>
          </w:rPr>
          <w:t>TDOT Region 4</w:t>
        </w:r>
        <w:r w:rsidRPr="004313EE">
          <w:rPr>
            <w:rFonts w:ascii="Open Sans" w:eastAsia="Open Sans" w:hAnsi="Open Sans" w:cs="Open Sans"/>
            <w:color w:val="7E7578"/>
            <w:sz w:val="18"/>
            <w:szCs w:val="18"/>
          </w:rPr>
          <w:t xml:space="preserve"> • </w:t>
        </w:r>
        <w:r>
          <w:rPr>
            <w:rFonts w:ascii="Open Sans" w:eastAsia="Open Sans" w:hAnsi="Open Sans" w:cs="Open Sans"/>
            <w:color w:val="7E7578"/>
            <w:sz w:val="18"/>
            <w:szCs w:val="18"/>
          </w:rPr>
          <w:t>300 Benchmark Place</w:t>
        </w:r>
        <w:r w:rsidRPr="004313EE">
          <w:rPr>
            <w:rFonts w:ascii="Open Sans" w:eastAsia="Open Sans" w:hAnsi="Open Sans" w:cs="Open Sans"/>
            <w:color w:val="7E7578"/>
            <w:sz w:val="18"/>
            <w:szCs w:val="18"/>
          </w:rPr>
          <w:t xml:space="preserve"> • </w:t>
        </w:r>
        <w:r>
          <w:rPr>
            <w:rFonts w:ascii="Open Sans" w:eastAsia="Open Sans" w:hAnsi="Open Sans" w:cs="Open Sans"/>
            <w:color w:val="7E7578"/>
            <w:sz w:val="18"/>
            <w:szCs w:val="18"/>
          </w:rPr>
          <w:t>Jackson</w:t>
        </w:r>
        <w:r w:rsidRPr="004313EE">
          <w:rPr>
            <w:rFonts w:ascii="Open Sans" w:eastAsia="Open Sans" w:hAnsi="Open Sans" w:cs="Open Sans"/>
            <w:color w:val="7E7578"/>
            <w:sz w:val="18"/>
            <w:szCs w:val="18"/>
          </w:rPr>
          <w:t xml:space="preserve">, </w:t>
        </w:r>
        <w:r>
          <w:rPr>
            <w:rFonts w:ascii="Open Sans" w:eastAsia="Open Sans" w:hAnsi="Open Sans" w:cs="Open Sans"/>
            <w:color w:val="7E7578"/>
            <w:sz w:val="18"/>
            <w:szCs w:val="18"/>
          </w:rPr>
          <w:t>Tennessee</w:t>
        </w:r>
        <w:r w:rsidRPr="004313EE">
          <w:rPr>
            <w:rFonts w:ascii="Open Sans" w:eastAsia="Open Sans" w:hAnsi="Open Sans" w:cs="Open Sans"/>
            <w:color w:val="7E7578"/>
            <w:sz w:val="18"/>
            <w:szCs w:val="18"/>
          </w:rPr>
          <w:t xml:space="preserve"> </w:t>
        </w:r>
        <w:r>
          <w:rPr>
            <w:rFonts w:ascii="Open Sans" w:eastAsia="Open Sans" w:hAnsi="Open Sans" w:cs="Open Sans"/>
            <w:color w:val="7E7578"/>
            <w:sz w:val="18"/>
            <w:szCs w:val="18"/>
          </w:rPr>
          <w:t>38301</w:t>
        </w:r>
      </w:p>
      <w:p w14:paraId="4765508A" w14:textId="77777777" w:rsidR="0047648F" w:rsidRPr="00A4455E" w:rsidRDefault="0047648F" w:rsidP="00A4455E">
        <w:pPr>
          <w:spacing w:before="1"/>
          <w:ind w:left="900"/>
          <w:rPr>
            <w:rFonts w:ascii="Open Sans" w:eastAsia="Open Sans" w:hAnsi="Open Sans" w:cs="Open Sans"/>
            <w:sz w:val="12"/>
            <w:szCs w:val="12"/>
          </w:rPr>
        </w:pPr>
        <w:r w:rsidRPr="004313EE">
          <w:rPr>
            <w:rFonts w:ascii="Open Sans" w:eastAsia="Open Sans" w:hAnsi="Open Sans" w:cs="Open Sans"/>
            <w:color w:val="7E7578"/>
            <w:sz w:val="18"/>
            <w:szCs w:val="18"/>
          </w:rPr>
          <w:t xml:space="preserve">Tel: </w:t>
        </w:r>
        <w:r>
          <w:rPr>
            <w:rFonts w:ascii="Open Sans" w:eastAsia="Open Sans" w:hAnsi="Open Sans" w:cs="Open Sans"/>
            <w:color w:val="7E7578"/>
            <w:sz w:val="18"/>
            <w:szCs w:val="18"/>
          </w:rPr>
          <w:t>731-935-0318</w:t>
        </w:r>
        <w:r w:rsidRPr="004313EE">
          <w:rPr>
            <w:rFonts w:ascii="Open Sans" w:eastAsia="Open Sans" w:hAnsi="Open Sans" w:cs="Open Sans"/>
            <w:color w:val="7E7578"/>
            <w:sz w:val="18"/>
            <w:szCs w:val="18"/>
          </w:rPr>
          <w:t xml:space="preserve"> •</w:t>
        </w:r>
        <w:r>
          <w:rPr>
            <w:rFonts w:ascii="Open Sans" w:eastAsia="Open Sans" w:hAnsi="Open Sans" w:cs="Open Sans"/>
            <w:color w:val="7E7578"/>
            <w:sz w:val="18"/>
            <w:szCs w:val="18"/>
          </w:rPr>
          <w:t>Email: Nichole.lawrence@tn.gov</w:t>
        </w:r>
        <w:r w:rsidRPr="004313EE">
          <w:rPr>
            <w:rFonts w:ascii="Open Sans" w:eastAsia="Open Sans" w:hAnsi="Open Sans" w:cs="Open Sans"/>
            <w:color w:val="7E7578"/>
            <w:sz w:val="18"/>
            <w:szCs w:val="18"/>
          </w:rPr>
          <w:t xml:space="preserve"> • tn.gov/</w:t>
        </w:r>
        <w:r>
          <w:rPr>
            <w:rFonts w:ascii="Open Sans" w:eastAsia="Open Sans" w:hAnsi="Open Sans" w:cs="Open Sans"/>
            <w:color w:val="7E7578"/>
            <w:sz w:val="18"/>
            <w:szCs w:val="18"/>
          </w:rPr>
          <w:t>tdot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B8BED" w14:textId="77777777" w:rsidR="0047648F" w:rsidRDefault="0047648F" w:rsidP="00151F37">
      <w:r>
        <w:separator/>
      </w:r>
    </w:p>
  </w:footnote>
  <w:footnote w:type="continuationSeparator" w:id="0">
    <w:p w14:paraId="0A5DA424" w14:textId="77777777" w:rsidR="0047648F" w:rsidRDefault="0047648F" w:rsidP="0015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64B3B" w14:textId="77777777" w:rsidR="0047648F" w:rsidRDefault="0047648F" w:rsidP="00DB64C8">
    <w:pPr>
      <w:pStyle w:val="Header"/>
      <w:ind w:left="450"/>
    </w:pPr>
    <w:r>
      <w:rPr>
        <w:noProof/>
      </w:rPr>
      <w:drawing>
        <wp:inline distT="0" distB="0" distL="0" distR="0" wp14:anchorId="0DE314E8" wp14:editId="5BA5BADB">
          <wp:extent cx="1691640"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DOT-ColorPMS.png"/>
                  <pic:cNvPicPr/>
                </pic:nvPicPr>
                <pic:blipFill>
                  <a:blip r:embed="rId1">
                    <a:extLst>
                      <a:ext uri="{28A0092B-C50C-407E-A947-70E740481C1C}">
                        <a14:useLocalDpi xmlns:a14="http://schemas.microsoft.com/office/drawing/2010/main" val="0"/>
                      </a:ext>
                    </a:extLst>
                  </a:blip>
                  <a:stretch>
                    <a:fillRect/>
                  </a:stretch>
                </pic:blipFill>
                <pic:spPr>
                  <a:xfrm>
                    <a:off x="0" y="0"/>
                    <a:ext cx="1691640" cy="731520"/>
                  </a:xfrm>
                  <a:prstGeom prst="rect">
                    <a:avLst/>
                  </a:prstGeom>
                </pic:spPr>
              </pic:pic>
            </a:graphicData>
          </a:graphic>
        </wp:inline>
      </w:drawing>
    </w:r>
  </w:p>
  <w:p w14:paraId="45E0F54B" w14:textId="77777777" w:rsidR="0047648F" w:rsidRDefault="0047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pt;height:89pt" o:bullet="t">
        <v:imagedata r:id="rId1" o:title="40-240 logo"/>
      </v:shape>
    </w:pict>
  </w:numPicBullet>
  <w:abstractNum w:abstractNumId="0" w15:restartNumberingAfterBreak="0">
    <w:nsid w:val="02860F58"/>
    <w:multiLevelType w:val="multilevel"/>
    <w:tmpl w:val="076C0F0A"/>
    <w:styleLink w:val="List0"/>
    <w:lvl w:ilvl="0">
      <w:numFmt w:val="bullet"/>
      <w:lvlText w:val="•"/>
      <w:lvlPicBulletId w:val="0"/>
      <w:lvlJc w:val="left"/>
      <w:pPr>
        <w:tabs>
          <w:tab w:val="num" w:pos="720"/>
        </w:tabs>
        <w:ind w:left="720" w:hanging="360"/>
      </w:pPr>
      <w:rPr>
        <w:rFonts w:ascii="Arial" w:eastAsia="Arial" w:hAnsi="Arial" w:cs="Arial"/>
        <w:b/>
        <w:bCs/>
        <w:position w:val="0"/>
        <w:sz w:val="24"/>
        <w:szCs w:val="24"/>
      </w:rPr>
    </w:lvl>
    <w:lvl w:ilvl="1">
      <w:start w:val="1"/>
      <w:numFmt w:val="bullet"/>
      <w:lvlText w:val="o"/>
      <w:lvlJc w:val="left"/>
      <w:pPr>
        <w:tabs>
          <w:tab w:val="num" w:pos="1410"/>
        </w:tabs>
        <w:ind w:left="1410" w:hanging="330"/>
      </w:pPr>
      <w:rPr>
        <w:rFonts w:ascii="Arial" w:eastAsia="Arial" w:hAnsi="Arial" w:cs="Arial"/>
        <w:b w:val="0"/>
        <w:bCs w:val="0"/>
        <w:position w:val="0"/>
        <w:sz w:val="22"/>
        <w:szCs w:val="22"/>
      </w:rPr>
    </w:lvl>
    <w:lvl w:ilvl="2">
      <w:start w:val="1"/>
      <w:numFmt w:val="bullet"/>
      <w:lvlText w:val="▪"/>
      <w:lvlJc w:val="left"/>
      <w:pPr>
        <w:tabs>
          <w:tab w:val="num" w:pos="2130"/>
        </w:tabs>
        <w:ind w:left="2130" w:hanging="330"/>
      </w:pPr>
      <w:rPr>
        <w:rFonts w:ascii="Arial" w:eastAsia="Arial" w:hAnsi="Arial" w:cs="Arial"/>
        <w:b w:val="0"/>
        <w:bCs w:val="0"/>
        <w:position w:val="0"/>
        <w:sz w:val="22"/>
        <w:szCs w:val="22"/>
      </w:rPr>
    </w:lvl>
    <w:lvl w:ilvl="3">
      <w:start w:val="1"/>
      <w:numFmt w:val="bullet"/>
      <w:lvlText w:val="•"/>
      <w:lvlJc w:val="left"/>
      <w:pPr>
        <w:tabs>
          <w:tab w:val="num" w:pos="2850"/>
        </w:tabs>
        <w:ind w:left="2850" w:hanging="330"/>
      </w:pPr>
      <w:rPr>
        <w:rFonts w:ascii="Arial" w:eastAsia="Arial" w:hAnsi="Arial" w:cs="Arial"/>
        <w:b w:val="0"/>
        <w:bCs w:val="0"/>
        <w:position w:val="0"/>
        <w:sz w:val="22"/>
        <w:szCs w:val="22"/>
      </w:rPr>
    </w:lvl>
    <w:lvl w:ilvl="4">
      <w:start w:val="1"/>
      <w:numFmt w:val="bullet"/>
      <w:lvlText w:val="o"/>
      <w:lvlJc w:val="left"/>
      <w:pPr>
        <w:tabs>
          <w:tab w:val="num" w:pos="3570"/>
        </w:tabs>
        <w:ind w:left="3570" w:hanging="330"/>
      </w:pPr>
      <w:rPr>
        <w:rFonts w:ascii="Arial" w:eastAsia="Arial" w:hAnsi="Arial" w:cs="Arial"/>
        <w:b w:val="0"/>
        <w:bCs w:val="0"/>
        <w:position w:val="0"/>
        <w:sz w:val="22"/>
        <w:szCs w:val="22"/>
      </w:rPr>
    </w:lvl>
    <w:lvl w:ilvl="5">
      <w:start w:val="1"/>
      <w:numFmt w:val="bullet"/>
      <w:lvlText w:val="▪"/>
      <w:lvlJc w:val="left"/>
      <w:pPr>
        <w:tabs>
          <w:tab w:val="num" w:pos="4290"/>
        </w:tabs>
        <w:ind w:left="4290" w:hanging="330"/>
      </w:pPr>
      <w:rPr>
        <w:rFonts w:ascii="Arial" w:eastAsia="Arial" w:hAnsi="Arial" w:cs="Arial"/>
        <w:b w:val="0"/>
        <w:bCs w:val="0"/>
        <w:position w:val="0"/>
        <w:sz w:val="22"/>
        <w:szCs w:val="22"/>
      </w:rPr>
    </w:lvl>
    <w:lvl w:ilvl="6">
      <w:start w:val="1"/>
      <w:numFmt w:val="bullet"/>
      <w:lvlText w:val="•"/>
      <w:lvlJc w:val="left"/>
      <w:pPr>
        <w:tabs>
          <w:tab w:val="num" w:pos="5010"/>
        </w:tabs>
        <w:ind w:left="5010" w:hanging="330"/>
      </w:pPr>
      <w:rPr>
        <w:rFonts w:ascii="Arial" w:eastAsia="Arial" w:hAnsi="Arial" w:cs="Arial"/>
        <w:b w:val="0"/>
        <w:bCs w:val="0"/>
        <w:position w:val="0"/>
        <w:sz w:val="22"/>
        <w:szCs w:val="22"/>
      </w:rPr>
    </w:lvl>
    <w:lvl w:ilvl="7">
      <w:start w:val="1"/>
      <w:numFmt w:val="bullet"/>
      <w:lvlText w:val="o"/>
      <w:lvlJc w:val="left"/>
      <w:pPr>
        <w:tabs>
          <w:tab w:val="num" w:pos="5730"/>
        </w:tabs>
        <w:ind w:left="5730" w:hanging="330"/>
      </w:pPr>
      <w:rPr>
        <w:rFonts w:ascii="Arial" w:eastAsia="Arial" w:hAnsi="Arial" w:cs="Arial"/>
        <w:b w:val="0"/>
        <w:bCs w:val="0"/>
        <w:position w:val="0"/>
        <w:sz w:val="22"/>
        <w:szCs w:val="22"/>
      </w:rPr>
    </w:lvl>
    <w:lvl w:ilvl="8">
      <w:start w:val="1"/>
      <w:numFmt w:val="bullet"/>
      <w:lvlText w:val="▪"/>
      <w:lvlJc w:val="left"/>
      <w:pPr>
        <w:tabs>
          <w:tab w:val="num" w:pos="6450"/>
        </w:tabs>
        <w:ind w:left="6450" w:hanging="330"/>
      </w:pPr>
      <w:rPr>
        <w:rFonts w:ascii="Arial" w:eastAsia="Arial" w:hAnsi="Arial" w:cs="Arial"/>
        <w:b w:val="0"/>
        <w:bCs w:val="0"/>
        <w:position w:val="0"/>
        <w:sz w:val="22"/>
        <w:szCs w:val="22"/>
      </w:rPr>
    </w:lvl>
  </w:abstractNum>
  <w:abstractNum w:abstractNumId="1" w15:restartNumberingAfterBreak="0">
    <w:nsid w:val="03BD0C56"/>
    <w:multiLevelType w:val="hybridMultilevel"/>
    <w:tmpl w:val="DA7A05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F65535"/>
    <w:multiLevelType w:val="hybridMultilevel"/>
    <w:tmpl w:val="C424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A1386"/>
    <w:multiLevelType w:val="hybridMultilevel"/>
    <w:tmpl w:val="477A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834AB"/>
    <w:multiLevelType w:val="hybridMultilevel"/>
    <w:tmpl w:val="874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3051F"/>
    <w:multiLevelType w:val="hybridMultilevel"/>
    <w:tmpl w:val="370C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46BB2"/>
    <w:multiLevelType w:val="hybridMultilevel"/>
    <w:tmpl w:val="C9C080F4"/>
    <w:lvl w:ilvl="0" w:tplc="4C90B8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22EF2"/>
    <w:multiLevelType w:val="hybridMultilevel"/>
    <w:tmpl w:val="E02A6B7A"/>
    <w:lvl w:ilvl="0" w:tplc="4C90B8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80D4B"/>
    <w:multiLevelType w:val="hybridMultilevel"/>
    <w:tmpl w:val="2CEE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A38A6"/>
    <w:multiLevelType w:val="hybridMultilevel"/>
    <w:tmpl w:val="DCA6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lvlOverride w:ilvl="0">
      <w:lvl w:ilvl="0">
        <w:numFmt w:val="bullet"/>
        <w:lvlText w:val="•"/>
        <w:lvlPicBulletId w:val="0"/>
        <w:lvlJc w:val="left"/>
        <w:pPr>
          <w:tabs>
            <w:tab w:val="num" w:pos="720"/>
          </w:tabs>
          <w:ind w:left="720" w:hanging="360"/>
        </w:pPr>
        <w:rPr>
          <w:rFonts w:ascii="Arial" w:eastAsia="Arial" w:hAnsi="Arial" w:cs="Arial"/>
          <w:b/>
          <w:bCs/>
          <w:position w:val="0"/>
          <w:sz w:val="20"/>
          <w:szCs w:val="24"/>
        </w:rPr>
      </w:lvl>
    </w:lvlOverride>
  </w:num>
  <w:num w:numId="4">
    <w:abstractNumId w:val="0"/>
  </w:num>
  <w:num w:numId="5">
    <w:abstractNumId w:val="6"/>
  </w:num>
  <w:num w:numId="6">
    <w:abstractNumId w:val="2"/>
  </w:num>
  <w:num w:numId="7">
    <w:abstractNumId w:val="8"/>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fill="f" fillcolor="white" strokecolor="#d90030">
      <v:fill color="white" on="f"/>
      <v:stroke color="#d90030" weight=".5pt"/>
      <o:colormru v:ext="edit" colors="#d8292f"/>
      <o:colormenu v:ext="edit" fillcolor="#d8292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NjM0tTQxNDcxMTJR0lEKTi0uzszPAykwqQUAr0+vVCwAAAA="/>
  </w:docVars>
  <w:rsids>
    <w:rsidRoot w:val="00853662"/>
    <w:rsid w:val="000114EF"/>
    <w:rsid w:val="00015171"/>
    <w:rsid w:val="000A3FEC"/>
    <w:rsid w:val="000F5779"/>
    <w:rsid w:val="00151F37"/>
    <w:rsid w:val="00187B6C"/>
    <w:rsid w:val="001A0F61"/>
    <w:rsid w:val="0022020B"/>
    <w:rsid w:val="002A0391"/>
    <w:rsid w:val="002E197A"/>
    <w:rsid w:val="0033666F"/>
    <w:rsid w:val="00375113"/>
    <w:rsid w:val="003C0D05"/>
    <w:rsid w:val="00436E8A"/>
    <w:rsid w:val="0047648F"/>
    <w:rsid w:val="00480311"/>
    <w:rsid w:val="004C7FFC"/>
    <w:rsid w:val="004F3CA3"/>
    <w:rsid w:val="00613EC5"/>
    <w:rsid w:val="00621CBF"/>
    <w:rsid w:val="00622B47"/>
    <w:rsid w:val="00626C59"/>
    <w:rsid w:val="006657DF"/>
    <w:rsid w:val="00671D92"/>
    <w:rsid w:val="0067701C"/>
    <w:rsid w:val="006A6AB9"/>
    <w:rsid w:val="007F60CD"/>
    <w:rsid w:val="00845990"/>
    <w:rsid w:val="00853662"/>
    <w:rsid w:val="00862422"/>
    <w:rsid w:val="00875724"/>
    <w:rsid w:val="008C2E04"/>
    <w:rsid w:val="009103CF"/>
    <w:rsid w:val="00924153"/>
    <w:rsid w:val="00931B04"/>
    <w:rsid w:val="00955E4F"/>
    <w:rsid w:val="009800A3"/>
    <w:rsid w:val="009823A8"/>
    <w:rsid w:val="009858CE"/>
    <w:rsid w:val="009A2215"/>
    <w:rsid w:val="009B44B1"/>
    <w:rsid w:val="009E561E"/>
    <w:rsid w:val="009F1F43"/>
    <w:rsid w:val="00A4455E"/>
    <w:rsid w:val="00A63106"/>
    <w:rsid w:val="00AB6AF0"/>
    <w:rsid w:val="00B26C58"/>
    <w:rsid w:val="00B37C31"/>
    <w:rsid w:val="00B80AFD"/>
    <w:rsid w:val="00BA4D96"/>
    <w:rsid w:val="00BC077E"/>
    <w:rsid w:val="00BE659A"/>
    <w:rsid w:val="00C42747"/>
    <w:rsid w:val="00C958B5"/>
    <w:rsid w:val="00DB085B"/>
    <w:rsid w:val="00DB64C8"/>
    <w:rsid w:val="00EA7654"/>
    <w:rsid w:val="00F707B1"/>
    <w:rsid w:val="00FD735F"/>
    <w:rsid w:val="00FF1E8C"/>
    <w:rsid w:val="00FF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d90030">
      <v:fill color="white" on="f"/>
      <v:stroke color="#d90030" weight=".5pt"/>
      <o:colormru v:ext="edit" colors="#d8292f"/>
      <o:colormenu v:ext="edit" fillcolor="#d8292f"/>
    </o:shapedefaults>
    <o:shapelayout v:ext="edit">
      <o:idmap v:ext="edit" data="1"/>
    </o:shapelayout>
  </w:shapeDefaults>
  <w:decimalSymbol w:val="."/>
  <w:listSeparator w:val=","/>
  <w14:docId w14:val="5AE66D86"/>
  <w15:docId w15:val="{651E11ED-A0C7-409B-BF9C-F7B0951A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3662"/>
  </w:style>
  <w:style w:type="paragraph" w:styleId="Heading1">
    <w:name w:val="heading 1"/>
    <w:basedOn w:val="Normal"/>
    <w:next w:val="Normal"/>
    <w:link w:val="Heading1Char"/>
    <w:qFormat/>
    <w:rsid w:val="00621CBF"/>
    <w:pPr>
      <w:keepNext/>
      <w:widowControl/>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3662"/>
    <w:pPr>
      <w:ind w:left="124" w:firstLine="270"/>
    </w:pPr>
    <w:rPr>
      <w:rFonts w:ascii="Open Sans" w:eastAsia="Open Sans" w:hAnsi="Open Sans"/>
      <w:sz w:val="20"/>
      <w:szCs w:val="20"/>
    </w:rPr>
  </w:style>
  <w:style w:type="paragraph" w:styleId="ListParagraph">
    <w:name w:val="List Paragraph"/>
    <w:basedOn w:val="Normal"/>
    <w:uiPriority w:val="34"/>
    <w:qFormat/>
    <w:rsid w:val="00853662"/>
  </w:style>
  <w:style w:type="paragraph" w:customStyle="1" w:styleId="TableParagraph">
    <w:name w:val="Table Paragraph"/>
    <w:basedOn w:val="Normal"/>
    <w:uiPriority w:val="1"/>
    <w:qFormat/>
    <w:rsid w:val="00853662"/>
  </w:style>
  <w:style w:type="paragraph" w:styleId="Header">
    <w:name w:val="header"/>
    <w:basedOn w:val="Normal"/>
    <w:link w:val="HeaderChar"/>
    <w:uiPriority w:val="99"/>
    <w:unhideWhenUsed/>
    <w:rsid w:val="00151F37"/>
    <w:pPr>
      <w:tabs>
        <w:tab w:val="center" w:pos="4680"/>
        <w:tab w:val="right" w:pos="9360"/>
      </w:tabs>
    </w:pPr>
  </w:style>
  <w:style w:type="character" w:customStyle="1" w:styleId="HeaderChar">
    <w:name w:val="Header Char"/>
    <w:basedOn w:val="DefaultParagraphFont"/>
    <w:link w:val="Header"/>
    <w:uiPriority w:val="99"/>
    <w:rsid w:val="00151F37"/>
  </w:style>
  <w:style w:type="paragraph" w:styleId="Footer">
    <w:name w:val="footer"/>
    <w:basedOn w:val="Normal"/>
    <w:link w:val="FooterChar"/>
    <w:uiPriority w:val="99"/>
    <w:unhideWhenUsed/>
    <w:rsid w:val="00151F37"/>
    <w:pPr>
      <w:tabs>
        <w:tab w:val="center" w:pos="4680"/>
        <w:tab w:val="right" w:pos="9360"/>
      </w:tabs>
    </w:pPr>
  </w:style>
  <w:style w:type="character" w:customStyle="1" w:styleId="FooterChar">
    <w:name w:val="Footer Char"/>
    <w:basedOn w:val="DefaultParagraphFont"/>
    <w:link w:val="Footer"/>
    <w:uiPriority w:val="99"/>
    <w:rsid w:val="00151F37"/>
  </w:style>
  <w:style w:type="paragraph" w:styleId="BalloonText">
    <w:name w:val="Balloon Text"/>
    <w:basedOn w:val="Normal"/>
    <w:link w:val="BalloonTextChar"/>
    <w:uiPriority w:val="99"/>
    <w:semiHidden/>
    <w:unhideWhenUsed/>
    <w:rsid w:val="00151F37"/>
    <w:rPr>
      <w:rFonts w:ascii="Tahoma" w:hAnsi="Tahoma" w:cs="Tahoma"/>
      <w:sz w:val="16"/>
      <w:szCs w:val="16"/>
    </w:rPr>
  </w:style>
  <w:style w:type="character" w:customStyle="1" w:styleId="BalloonTextChar">
    <w:name w:val="Balloon Text Char"/>
    <w:basedOn w:val="DefaultParagraphFont"/>
    <w:link w:val="BalloonText"/>
    <w:uiPriority w:val="99"/>
    <w:semiHidden/>
    <w:rsid w:val="00151F37"/>
    <w:rPr>
      <w:rFonts w:ascii="Tahoma" w:hAnsi="Tahoma" w:cs="Tahoma"/>
      <w:sz w:val="16"/>
      <w:szCs w:val="16"/>
    </w:rPr>
  </w:style>
  <w:style w:type="character" w:styleId="PlaceholderText">
    <w:name w:val="Placeholder Text"/>
    <w:basedOn w:val="DefaultParagraphFont"/>
    <w:uiPriority w:val="99"/>
    <w:semiHidden/>
    <w:rsid w:val="00151F37"/>
    <w:rPr>
      <w:color w:val="808080"/>
    </w:rPr>
  </w:style>
  <w:style w:type="character" w:styleId="Hyperlink">
    <w:name w:val="Hyperlink"/>
    <w:basedOn w:val="DefaultParagraphFont"/>
    <w:uiPriority w:val="99"/>
    <w:unhideWhenUsed/>
    <w:rsid w:val="009B44B1"/>
    <w:rPr>
      <w:color w:val="0000FF" w:themeColor="hyperlink"/>
      <w:u w:val="single"/>
    </w:rPr>
  </w:style>
  <w:style w:type="character" w:customStyle="1" w:styleId="Heading1Char">
    <w:name w:val="Heading 1 Char"/>
    <w:basedOn w:val="DefaultParagraphFont"/>
    <w:link w:val="Heading1"/>
    <w:rsid w:val="00621CBF"/>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621CBF"/>
    <w:pPr>
      <w:widowControl/>
    </w:pPr>
    <w:rPr>
      <w:rFonts w:ascii="Calibri" w:hAnsi="Calibri" w:cs="Consolas"/>
      <w:szCs w:val="21"/>
    </w:rPr>
  </w:style>
  <w:style w:type="character" w:customStyle="1" w:styleId="PlainTextChar">
    <w:name w:val="Plain Text Char"/>
    <w:basedOn w:val="DefaultParagraphFont"/>
    <w:link w:val="PlainText"/>
    <w:uiPriority w:val="99"/>
    <w:rsid w:val="00621CBF"/>
    <w:rPr>
      <w:rFonts w:ascii="Calibri" w:hAnsi="Calibri" w:cs="Consolas"/>
      <w:szCs w:val="21"/>
    </w:rPr>
  </w:style>
  <w:style w:type="paragraph" w:customStyle="1" w:styleId="Body">
    <w:name w:val="Body"/>
    <w:rsid w:val="00621CBF"/>
    <w:pPr>
      <w:widowControl/>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fr-FR"/>
    </w:rPr>
  </w:style>
  <w:style w:type="character" w:customStyle="1" w:styleId="Hyperlink0">
    <w:name w:val="Hyperlink.0"/>
    <w:basedOn w:val="DefaultParagraphFont"/>
    <w:rsid w:val="00621CBF"/>
    <w:rPr>
      <w:rFonts w:ascii="Arial" w:eastAsia="Arial" w:hAnsi="Arial" w:cs="Arial"/>
      <w:color w:val="0000FF"/>
      <w:sz w:val="22"/>
      <w:szCs w:val="22"/>
      <w:u w:val="single" w:color="0000FF"/>
    </w:rPr>
  </w:style>
  <w:style w:type="numbering" w:customStyle="1" w:styleId="List0">
    <w:name w:val="List 0"/>
    <w:basedOn w:val="NoList"/>
    <w:rsid w:val="00B80AFD"/>
    <w:pPr>
      <w:numPr>
        <w:numId w:val="4"/>
      </w:numPr>
    </w:pPr>
  </w:style>
  <w:style w:type="character" w:styleId="UnresolvedMention">
    <w:name w:val="Unresolved Mention"/>
    <w:basedOn w:val="DefaultParagraphFont"/>
    <w:uiPriority w:val="99"/>
    <w:semiHidden/>
    <w:unhideWhenUsed/>
    <w:rsid w:val="00F7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n.gov/tdot/projects/region-4/i-40-hernando-desoto-bridge.htm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A4EC0B96-2647-4182-97AB-9EE71B919434}"/>
      </w:docPartPr>
      <w:docPartBody>
        <w:p w:rsidR="009D6095" w:rsidRDefault="00176E22">
          <w:r w:rsidRPr="00191B55">
            <w:rPr>
              <w:rStyle w:val="PlaceholderText"/>
            </w:rPr>
            <w:t>Click here to enter text.</w:t>
          </w:r>
        </w:p>
      </w:docPartBody>
    </w:docPart>
    <w:docPart>
      <w:docPartPr>
        <w:name w:val="5D2B2775A5B441AB83D5CAE916CEFF2A"/>
        <w:category>
          <w:name w:val="General"/>
          <w:gallery w:val="placeholder"/>
        </w:category>
        <w:types>
          <w:type w:val="bbPlcHdr"/>
        </w:types>
        <w:behaviors>
          <w:behavior w:val="content"/>
        </w:behaviors>
        <w:guid w:val="{AC957344-C4C3-42ED-873C-AA0B116E9A72}"/>
      </w:docPartPr>
      <w:docPartBody>
        <w:p w:rsidR="002C066A" w:rsidRDefault="009D6095" w:rsidP="009D6095">
          <w:pPr>
            <w:pStyle w:val="5D2B2775A5B441AB83D5CAE916CEFF2A"/>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E22"/>
    <w:rsid w:val="00176E22"/>
    <w:rsid w:val="002C066A"/>
    <w:rsid w:val="004C0EAF"/>
    <w:rsid w:val="009D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95D0FD299F4715908EB999EF17BCEF">
    <w:name w:val="1A95D0FD299F4715908EB999EF17BCEF"/>
    <w:rsid w:val="00176E22"/>
  </w:style>
  <w:style w:type="character" w:styleId="PlaceholderText">
    <w:name w:val="Placeholder Text"/>
    <w:basedOn w:val="DefaultParagraphFont"/>
    <w:uiPriority w:val="99"/>
    <w:semiHidden/>
    <w:rsid w:val="009D6095"/>
    <w:rPr>
      <w:color w:val="808080"/>
    </w:rPr>
  </w:style>
  <w:style w:type="paragraph" w:customStyle="1" w:styleId="0BBC3E333ED84276B2E5AE3D77921972">
    <w:name w:val="0BBC3E333ED84276B2E5AE3D77921972"/>
    <w:rsid w:val="00176E22"/>
  </w:style>
  <w:style w:type="paragraph" w:customStyle="1" w:styleId="60860FA6BDA44C1AAD9FBC6B81A36C33">
    <w:name w:val="60860FA6BDA44C1AAD9FBC6B81A36C33"/>
    <w:rsid w:val="009D6095"/>
  </w:style>
  <w:style w:type="paragraph" w:customStyle="1" w:styleId="5D2B2775A5B441AB83D5CAE916CEFF2A">
    <w:name w:val="5D2B2775A5B441AB83D5CAE916CEFF2A"/>
    <w:rsid w:val="009D6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N.gov">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BD57-0873-4F5C-B33C-E794CBCE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Press Release3</vt:lpstr>
    </vt:vector>
  </TitlesOfParts>
  <Company>State of Tennessee: Finance &amp; Administration</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Press Release3</dc:title>
  <dc:creator>Molly Wehlage</dc:creator>
  <cp:lastModifiedBy>Beth Emmons</cp:lastModifiedBy>
  <cp:revision>13</cp:revision>
  <cp:lastPrinted>2021-05-17T16:56:00Z</cp:lastPrinted>
  <dcterms:created xsi:type="dcterms:W3CDTF">2016-01-07T14:30:00Z</dcterms:created>
  <dcterms:modified xsi:type="dcterms:W3CDTF">2021-05-17T17:21:00Z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