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02798D" w:rsidRDefault="00813BC5" w14:paraId="7948040D" w14:textId="28154E27">
      <w:r w:rsidR="00813BC5">
        <w:rPr/>
        <w:t xml:space="preserve">Safety </w:t>
      </w:r>
      <w:r w:rsidR="00813BC5">
        <w:rPr/>
        <w:t>Funding,</w:t>
      </w:r>
      <w:r w:rsidR="00813BC5">
        <w:rPr/>
        <w:t xml:space="preserve"> better known as HISP funding</w:t>
      </w:r>
      <w:r w:rsidR="00D06922">
        <w:rPr/>
        <w:t>,</w:t>
      </w:r>
      <w:r w:rsidR="00813BC5">
        <w:rPr/>
        <w:t xml:space="preserve"> is </w:t>
      </w:r>
      <w:r w:rsidR="00A85EB7">
        <w:rPr/>
        <w:t xml:space="preserve">provided to the Pavement Program for use with items eligible as safety upgrades </w:t>
      </w:r>
      <w:r w:rsidR="008816E1">
        <w:rPr/>
        <w:t xml:space="preserve">such as </w:t>
      </w:r>
      <w:r w:rsidR="00CC7D76">
        <w:rPr/>
        <w:t xml:space="preserve">pavement </w:t>
      </w:r>
      <w:r w:rsidR="008816E1">
        <w:rPr/>
        <w:t>marking</w:t>
      </w:r>
      <w:r w:rsidR="00CC7D76">
        <w:rPr/>
        <w:t>, addition of rumbles</w:t>
      </w:r>
      <w:r w:rsidR="003D0AEA">
        <w:rPr/>
        <w:t>, addition</w:t>
      </w:r>
      <w:r w:rsidR="00CC7D76">
        <w:rPr/>
        <w:t xml:space="preserve"> of </w:t>
      </w:r>
      <w:r w:rsidR="00CC7D76">
        <w:rPr/>
        <w:t>snowplowable</w:t>
      </w:r>
      <w:r w:rsidR="00CC7D76">
        <w:rPr/>
        <w:t xml:space="preserve"> pavement markers, </w:t>
      </w:r>
      <w:r w:rsidR="00F806E2">
        <w:rPr/>
        <w:t>or guardrail adjustments</w:t>
      </w:r>
      <w:r w:rsidR="003D0AEA">
        <w:rPr/>
        <w:t xml:space="preserve"> for example</w:t>
      </w:r>
      <w:r w:rsidR="003D0AEA">
        <w:rPr/>
        <w:t>.</w:t>
      </w:r>
      <w:r w:rsidR="00925E74">
        <w:rPr/>
        <w:t xml:space="preserve">  </w:t>
      </w:r>
      <w:r w:rsidR="00925E74">
        <w:rPr/>
        <w:t>The program is provided with an overall budget that is split between the Regions based on lane-miles</w:t>
      </w:r>
      <w:r w:rsidR="00B77235">
        <w:rPr/>
        <w:t>.</w:t>
      </w:r>
      <w:r w:rsidR="002752D7">
        <w:rPr/>
        <w:t xml:space="preserve">  </w:t>
      </w:r>
      <w:r w:rsidR="002752D7">
        <w:rPr/>
        <w:t xml:space="preserve">This </w:t>
      </w:r>
      <w:r w:rsidR="00751283">
        <w:rPr/>
        <w:t>budget will be applied to state route projects throughout the fiscal year until it is exhausted</w:t>
      </w:r>
      <w:r w:rsidR="00D17B0E">
        <w:rPr/>
        <w:t xml:space="preserve"> after which safety eligible items will be funded by the general paving budget.</w:t>
      </w:r>
    </w:p>
    <w:p w:rsidR="00FC5DFF" w:rsidP="5D468D2F" w:rsidRDefault="00CF6A34" w14:paraId="04FCC5B8" w14:textId="0E8D5E60">
      <w:pPr>
        <w:pStyle w:val="Normal"/>
        <w:suppressLineNumbers w:val="0"/>
        <w:bidi w:val="0"/>
        <w:spacing w:before="0" w:beforeAutospacing="off" w:after="160" w:afterAutospacing="off" w:line="278" w:lineRule="auto"/>
        <w:ind w:left="0" w:right="0"/>
        <w:jc w:val="left"/>
      </w:pPr>
      <w:r w:rsidR="00CF6A34">
        <w:rPr/>
        <w:t>Safety Funding</w:t>
      </w:r>
      <w:r w:rsidR="00B24F13">
        <w:rPr/>
        <w:t xml:space="preserve"> </w:t>
      </w:r>
      <w:r w:rsidR="006F0D39">
        <w:rPr/>
        <w:t xml:space="preserve">Analysis is performed </w:t>
      </w:r>
      <w:r w:rsidR="00E5498B">
        <w:rPr/>
        <w:t>i</w:t>
      </w:r>
      <w:r w:rsidR="00C061A4">
        <w:rPr/>
        <w:t>mmediately</w:t>
      </w:r>
      <w:r w:rsidR="00E5498B">
        <w:rPr/>
        <w:t xml:space="preserve"> following the Plan-in-Hand </w:t>
      </w:r>
      <w:r w:rsidR="00D433A9">
        <w:rPr/>
        <w:t xml:space="preserve">(PIH) </w:t>
      </w:r>
      <w:r w:rsidR="00C061A4">
        <w:rPr/>
        <w:t>review for each project</w:t>
      </w:r>
      <w:r w:rsidR="00C061A4">
        <w:rPr/>
        <w:t xml:space="preserve">.  </w:t>
      </w:r>
      <w:r w:rsidR="00C061A4">
        <w:rPr/>
        <w:t xml:space="preserve">The </w:t>
      </w:r>
      <w:r w:rsidR="00E20B6C">
        <w:rPr/>
        <w:t>analysis</w:t>
      </w:r>
      <w:r w:rsidR="00EB449B">
        <w:rPr/>
        <w:t xml:space="preserve"> shall be based on all plan materials </w:t>
      </w:r>
      <w:r w:rsidR="00EA2018">
        <w:rPr/>
        <w:t xml:space="preserve">and resolutions of the comments provided during the </w:t>
      </w:r>
      <w:r w:rsidR="00D433A9">
        <w:rPr/>
        <w:t xml:space="preserve">PIH </w:t>
      </w:r>
      <w:r w:rsidR="00E20B6C">
        <w:rPr/>
        <w:t>review</w:t>
      </w:r>
      <w:r w:rsidR="00D433A9">
        <w:rPr/>
        <w:t xml:space="preserve">.  </w:t>
      </w:r>
      <w:r w:rsidR="00D433A9">
        <w:rPr/>
        <w:t xml:space="preserve">The </w:t>
      </w:r>
      <w:r w:rsidR="004751C6">
        <w:rPr/>
        <w:t>overall cost of safety impro</w:t>
      </w:r>
      <w:r w:rsidR="00C51A0A">
        <w:rPr/>
        <w:t>vement</w:t>
      </w:r>
      <w:r w:rsidR="003C2574">
        <w:rPr/>
        <w:t xml:space="preserve">s for each project will be </w:t>
      </w:r>
      <w:r w:rsidR="000025D8">
        <w:rPr/>
        <w:t>determined</w:t>
      </w:r>
      <w:r w:rsidR="00FC5DFF">
        <w:rPr/>
        <w:t xml:space="preserve"> </w:t>
      </w:r>
      <w:r w:rsidR="00552B1F">
        <w:rPr/>
        <w:t xml:space="preserve">by completion of the Safety Funding </w:t>
      </w:r>
      <w:r w:rsidR="000025D8">
        <w:rPr/>
        <w:t xml:space="preserve">Analysis </w:t>
      </w:r>
      <w:r w:rsidR="63536A36">
        <w:rPr/>
        <w:t>Form</w:t>
      </w:r>
      <w:r w:rsidR="00FC5DFF">
        <w:rPr/>
        <w:t>.</w:t>
      </w:r>
    </w:p>
    <w:p w:rsidR="00F33589" w:rsidRDefault="00F33589" w14:paraId="294D4E55" w14:textId="319A3EB2">
      <w:r w:rsidR="00F33589">
        <w:rPr/>
        <w:t xml:space="preserve">In the </w:t>
      </w:r>
      <w:r w:rsidR="00A36DFE">
        <w:rPr/>
        <w:t xml:space="preserve">Safety Funding Analysis </w:t>
      </w:r>
      <w:r w:rsidR="0826BA6D">
        <w:rPr/>
        <w:t>Form</w:t>
      </w:r>
      <w:r w:rsidR="00F33589">
        <w:rPr/>
        <w:t xml:space="preserve">, enter the value of the </w:t>
      </w:r>
      <w:r w:rsidR="00186C3F">
        <w:rPr/>
        <w:t>E</w:t>
      </w:r>
      <w:r w:rsidR="00F33589">
        <w:rPr/>
        <w:t xml:space="preserve">xisting </w:t>
      </w:r>
      <w:r w:rsidR="00186C3F">
        <w:rPr/>
        <w:t>Q</w:t>
      </w:r>
      <w:r w:rsidR="00F33589">
        <w:rPr/>
        <w:t xml:space="preserve">uantity in the applicable column for each item based on the materials shown in the PDFR document for </w:t>
      </w:r>
      <w:r w:rsidR="00C86F6C">
        <w:rPr/>
        <w:t>the</w:t>
      </w:r>
      <w:r w:rsidR="00F33589">
        <w:rPr/>
        <w:t xml:space="preserve"> project</w:t>
      </w:r>
      <w:r w:rsidR="00E45650">
        <w:rPr/>
        <w:t xml:space="preserve"> on the Linear Marking, Individual &amp; Other Marking, and Pavement Appurtenance</w:t>
      </w:r>
      <w:r w:rsidR="001F58A9">
        <w:rPr/>
        <w:t>s</w:t>
      </w:r>
      <w:r w:rsidR="00E45650">
        <w:rPr/>
        <w:t xml:space="preserve"> tabs.</w:t>
      </w:r>
      <w:r w:rsidR="006C02FC">
        <w:rPr/>
        <w:t xml:space="preserve">  Please enter values even for items that are not replaced in-kind so that </w:t>
      </w:r>
      <w:r w:rsidR="00C1302D">
        <w:rPr/>
        <w:t xml:space="preserve">upgraded proposed items may be tracked.  This would apply, for example, </w:t>
      </w:r>
      <w:r w:rsidR="00924716">
        <w:rPr/>
        <w:t>if the existing marking lines are 4” and the proposed marking lines are 6”.</w:t>
      </w:r>
    </w:p>
    <w:p w:rsidR="00E45650" w:rsidP="00E45650" w:rsidRDefault="00F33589" w14:paraId="2655A1D8" w14:textId="679BA342">
      <w:r>
        <w:t xml:space="preserve">Based on all project data and Plan-in-Hand review resolutions, enter the </w:t>
      </w:r>
      <w:r w:rsidR="00186C3F">
        <w:t>P</w:t>
      </w:r>
      <w:r>
        <w:t xml:space="preserve">roposed </w:t>
      </w:r>
      <w:r w:rsidR="00186C3F">
        <w:t>Q</w:t>
      </w:r>
      <w:r>
        <w:t xml:space="preserve">uantity in the applicable column for </w:t>
      </w:r>
      <w:r w:rsidR="00E45650">
        <w:t>all items on the Linear Marking, Individual &amp; Other Marking, and Pavement Appurtenance</w:t>
      </w:r>
      <w:r w:rsidR="001F58A9">
        <w:t>s</w:t>
      </w:r>
      <w:r w:rsidR="00E45650">
        <w:t xml:space="preserve"> tabs.</w:t>
      </w:r>
    </w:p>
    <w:p w:rsidR="00F33589" w:rsidP="00F33589" w:rsidRDefault="00F33589" w14:paraId="3AB0CF86" w14:textId="1F2E2624">
      <w:r>
        <w:t xml:space="preserve">The </w:t>
      </w:r>
      <w:r w:rsidR="00D01E66">
        <w:t>Safety</w:t>
      </w:r>
      <w:r>
        <w:t xml:space="preserve"> Eligible Quantity column will self-populate as shown in the Example section of the Linear Marking tab.</w:t>
      </w:r>
    </w:p>
    <w:p w:rsidR="005A086F" w:rsidP="00F33589" w:rsidRDefault="00F33589" w14:paraId="16FD5302" w14:textId="38328CDB">
      <w:r>
        <w:t xml:space="preserve">If no existing value is reported in the project PDFR, then only the </w:t>
      </w:r>
      <w:r w:rsidR="00B03404">
        <w:t>P</w:t>
      </w:r>
      <w:r>
        <w:t xml:space="preserve">roposed </w:t>
      </w:r>
      <w:r w:rsidR="00B03404">
        <w:t>Q</w:t>
      </w:r>
      <w:r>
        <w:t xml:space="preserve">uantity column requires data. </w:t>
      </w:r>
    </w:p>
    <w:p w:rsidR="00E45650" w:rsidP="00E45650" w:rsidRDefault="00E45650" w14:paraId="158E3088" w14:textId="3744A87C">
      <w:r w:rsidR="00E45650">
        <w:rPr/>
        <w:t xml:space="preserve">In the </w:t>
      </w:r>
      <w:r w:rsidR="00D01E66">
        <w:rPr/>
        <w:t xml:space="preserve">Safety Funding Analysis </w:t>
      </w:r>
      <w:r w:rsidR="133B05DB">
        <w:rPr/>
        <w:t>Form</w:t>
      </w:r>
      <w:r w:rsidR="00E45650">
        <w:rPr/>
        <w:t xml:space="preserve">, enter the value of the </w:t>
      </w:r>
      <w:r w:rsidR="00215E33">
        <w:rPr/>
        <w:t>Safety Eligible</w:t>
      </w:r>
      <w:r w:rsidR="00E45650">
        <w:rPr/>
        <w:t xml:space="preserve"> </w:t>
      </w:r>
      <w:r w:rsidR="00B03404">
        <w:rPr/>
        <w:t>Q</w:t>
      </w:r>
      <w:r w:rsidR="00E45650">
        <w:rPr/>
        <w:t xml:space="preserve">uantity for each item based on all project data and Plan-in-Hand review resolutions on the </w:t>
      </w:r>
      <w:r w:rsidR="009D4A26">
        <w:rPr/>
        <w:t>Catch Basin section of the Pavement Appurtenance</w:t>
      </w:r>
      <w:r w:rsidR="001F58A9">
        <w:rPr/>
        <w:t xml:space="preserve">s, </w:t>
      </w:r>
      <w:r w:rsidR="00E45650">
        <w:rPr/>
        <w:t>Guardrail</w:t>
      </w:r>
      <w:r w:rsidR="001F58A9">
        <w:rPr/>
        <w:t>,</w:t>
      </w:r>
      <w:r w:rsidR="00E45650">
        <w:rPr/>
        <w:t xml:space="preserve"> and Signs tabs.  All these items will be considered safety improvements as they will be replacing existing items considered not within the current standard for safety parameters or </w:t>
      </w:r>
      <w:r w:rsidR="00701615">
        <w:rPr/>
        <w:t xml:space="preserve">are </w:t>
      </w:r>
      <w:r w:rsidR="00E45650">
        <w:rPr/>
        <w:t>add</w:t>
      </w:r>
      <w:r w:rsidR="006716AB">
        <w:rPr/>
        <w:t>ed</w:t>
      </w:r>
      <w:r w:rsidR="00E45650">
        <w:rPr/>
        <w:t xml:space="preserve"> measures determined necessary for overall route safety.</w:t>
      </w:r>
    </w:p>
    <w:p w:rsidR="00336B69" w:rsidP="00E45650" w:rsidRDefault="00344D84" w14:paraId="43DC8CC3" w14:textId="761395F7">
      <w:r w:rsidR="00344D84">
        <w:rPr/>
        <w:t>When</w:t>
      </w:r>
      <w:r w:rsidR="00E45650">
        <w:rPr/>
        <w:t xml:space="preserve"> all </w:t>
      </w:r>
      <w:r w:rsidR="00605532">
        <w:rPr/>
        <w:t xml:space="preserve">safety </w:t>
      </w:r>
      <w:r w:rsidR="00E45650">
        <w:rPr/>
        <w:t xml:space="preserve">eligible items have been </w:t>
      </w:r>
      <w:r w:rsidR="00E45650">
        <w:rPr/>
        <w:t>determined</w:t>
      </w:r>
      <w:r w:rsidR="00E45650">
        <w:rPr/>
        <w:t xml:space="preserve">, </w:t>
      </w:r>
      <w:r w:rsidR="001E1557">
        <w:rPr/>
        <w:t>the cost of each eligible item</w:t>
      </w:r>
      <w:r w:rsidR="00364945">
        <w:rPr/>
        <w:t xml:space="preserve"> should be </w:t>
      </w:r>
      <w:r w:rsidR="00364945">
        <w:rPr/>
        <w:t>determined</w:t>
      </w:r>
      <w:r w:rsidR="00364945">
        <w:rPr/>
        <w:t xml:space="preserve"> by </w:t>
      </w:r>
      <w:r w:rsidR="005066FC">
        <w:rPr/>
        <w:t xml:space="preserve">conducting a search </w:t>
      </w:r>
      <w:r w:rsidR="005066FC">
        <w:rPr/>
        <w:t xml:space="preserve">using </w:t>
      </w:r>
      <w:r w:rsidR="00E45650">
        <w:rPr/>
        <w:t>the</w:t>
      </w:r>
      <w:r w:rsidR="00E45650">
        <w:rPr/>
        <w:t xml:space="preserve"> </w:t>
      </w:r>
      <w:hyperlink r:id="R2d907a8c500640d0">
        <w:r w:rsidRPr="5D468D2F" w:rsidR="00E45650">
          <w:rPr>
            <w:rStyle w:val="Hyperlink"/>
          </w:rPr>
          <w:t>Average Unit Price</w:t>
        </w:r>
      </w:hyperlink>
      <w:r w:rsidR="00336B69">
        <w:rPr/>
        <w:t xml:space="preserve"> tools</w:t>
      </w:r>
      <w:r w:rsidR="00E45650">
        <w:rPr/>
        <w:t>.</w:t>
      </w:r>
      <w:r w:rsidR="00210A97">
        <w:rPr/>
        <w:t xml:space="preserve">  </w:t>
      </w:r>
    </w:p>
    <w:p w:rsidR="00E45650" w:rsidP="00E45650" w:rsidRDefault="007E7257" w14:paraId="091F5A41" w14:textId="68AC6227">
      <w:r>
        <w:t>E</w:t>
      </w:r>
      <w:r w:rsidR="003C10C3">
        <w:t xml:space="preserve">nsure that the selection is </w:t>
      </w:r>
      <w:r w:rsidR="001B4D21">
        <w:t xml:space="preserve">set to </w:t>
      </w:r>
      <w:r w:rsidR="003C10C3">
        <w:t xml:space="preserve">“Item Search” as shown by the red arrow in Figure </w:t>
      </w:r>
      <w:r w:rsidR="004737F6">
        <w:t>S</w:t>
      </w:r>
      <w:r w:rsidR="0094415B">
        <w:t>-1</w:t>
      </w:r>
      <w:r w:rsidR="00DB3F8B">
        <w:t>.</w:t>
      </w:r>
    </w:p>
    <w:p w:rsidRPr="00901D41" w:rsidR="003C10C3" w:rsidP="003C10C3" w:rsidRDefault="003C10C3" w14:paraId="415014E0" w14:textId="7ED0C2ED">
      <w:pPr>
        <w:jc w:val="center"/>
        <w:rPr>
          <w:b/>
          <w:bCs/>
        </w:rPr>
      </w:pPr>
      <w:r w:rsidRPr="00901D41">
        <w:rPr>
          <w:b/>
          <w:bCs/>
          <w:noProof/>
        </w:rPr>
        <w:drawing>
          <wp:anchor distT="0" distB="0" distL="114300" distR="114300" simplePos="0" relativeHeight="251658240" behindDoc="0" locked="0" layoutInCell="1" allowOverlap="1" wp14:anchorId="3D7C1B2A" wp14:editId="55EE64BF">
            <wp:simplePos x="914400" y="6248400"/>
            <wp:positionH relativeFrom="column">
              <wp:align>center</wp:align>
            </wp:positionH>
            <wp:positionV relativeFrom="paragraph">
              <wp:posOffset>0</wp:posOffset>
            </wp:positionV>
            <wp:extent cx="3977640" cy="2514600"/>
            <wp:effectExtent l="19050" t="19050" r="22860" b="19050"/>
            <wp:wrapTopAndBottom/>
            <wp:docPr id="15809570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0957023" name=""/>
                    <pic:cNvPicPr/>
                  </pic:nvPicPr>
                  <pic:blipFill>
                    <a:blip r:embed="rId8">
                      <a:extLst>
                        <a:ext uri="{28A0092B-C50C-407E-A947-70E740481C1C}">
                          <a14:useLocalDpi xmlns:a14="http://schemas.microsoft.com/office/drawing/2010/main" val="0"/>
                        </a:ext>
                      </a:extLst>
                    </a:blip>
                    <a:stretch>
                      <a:fillRect/>
                    </a:stretch>
                  </pic:blipFill>
                  <pic:spPr>
                    <a:xfrm>
                      <a:off x="0" y="0"/>
                      <a:ext cx="3977640" cy="2514600"/>
                    </a:xfrm>
                    <a:prstGeom prst="rect">
                      <a:avLst/>
                    </a:prstGeom>
                    <a:ln w="19050">
                      <a:solidFill>
                        <a:schemeClr val="dk1"/>
                      </a:solidFill>
                    </a:ln>
                  </pic:spPr>
                </pic:pic>
              </a:graphicData>
            </a:graphic>
            <wp14:sizeRelH relativeFrom="margin">
              <wp14:pctWidth>0</wp14:pctWidth>
            </wp14:sizeRelH>
            <wp14:sizeRelV relativeFrom="margin">
              <wp14:pctHeight>0</wp14:pctHeight>
            </wp14:sizeRelV>
          </wp:anchor>
        </w:drawing>
      </w:r>
      <w:r w:rsidRPr="00901D41">
        <w:rPr>
          <w:b/>
          <w:bCs/>
        </w:rPr>
        <w:t xml:space="preserve">Figure </w:t>
      </w:r>
      <w:r w:rsidR="004737F6">
        <w:rPr>
          <w:b/>
          <w:bCs/>
        </w:rPr>
        <w:t>S</w:t>
      </w:r>
      <w:r w:rsidR="0094415B">
        <w:rPr>
          <w:b/>
          <w:bCs/>
        </w:rPr>
        <w:t>-1</w:t>
      </w:r>
    </w:p>
    <w:p w:rsidR="003C10C3" w:rsidP="003C10C3" w:rsidRDefault="00D70ACB" w14:paraId="2F9B01A3" w14:textId="58AF6761">
      <w:r>
        <w:t>S</w:t>
      </w:r>
      <w:r w:rsidR="003C10C3">
        <w:t xml:space="preserve">et the date range to last 3 years as shown in Figure </w:t>
      </w:r>
      <w:r w:rsidR="004737F6">
        <w:t>S</w:t>
      </w:r>
      <w:r w:rsidR="0094415B">
        <w:t>-2</w:t>
      </w:r>
      <w:r w:rsidR="00901D41">
        <w:t>.  This will capture the previous 3 (three) years from the date of the search.</w:t>
      </w:r>
    </w:p>
    <w:p w:rsidR="00E45650" w:rsidP="00901D41" w:rsidRDefault="00901D41" w14:paraId="4E30C864" w14:textId="4ADF646A">
      <w:pPr>
        <w:jc w:val="center"/>
        <w:rPr>
          <w:b/>
          <w:bCs/>
        </w:rPr>
      </w:pPr>
      <w:r w:rsidRPr="00901D41">
        <w:rPr>
          <w:b/>
          <w:bCs/>
          <w:noProof/>
        </w:rPr>
        <w:drawing>
          <wp:anchor distT="0" distB="0" distL="114300" distR="114300" simplePos="0" relativeHeight="251658241" behindDoc="0" locked="0" layoutInCell="1" allowOverlap="1" wp14:anchorId="7A392B41" wp14:editId="2DDF862D">
            <wp:simplePos x="914400" y="1228725"/>
            <wp:positionH relativeFrom="column">
              <wp:align>center</wp:align>
            </wp:positionH>
            <wp:positionV relativeFrom="paragraph">
              <wp:posOffset>0</wp:posOffset>
            </wp:positionV>
            <wp:extent cx="6099048" cy="2514600"/>
            <wp:effectExtent l="19050" t="19050" r="16510" b="19050"/>
            <wp:wrapTopAndBottom/>
            <wp:docPr id="14053855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5385560" name=""/>
                    <pic:cNvPicPr/>
                  </pic:nvPicPr>
                  <pic:blipFill>
                    <a:blip r:embed="rId9">
                      <a:extLst>
                        <a:ext uri="{28A0092B-C50C-407E-A947-70E740481C1C}">
                          <a14:useLocalDpi xmlns:a14="http://schemas.microsoft.com/office/drawing/2010/main" val="0"/>
                        </a:ext>
                      </a:extLst>
                    </a:blip>
                    <a:stretch>
                      <a:fillRect/>
                    </a:stretch>
                  </pic:blipFill>
                  <pic:spPr>
                    <a:xfrm>
                      <a:off x="0" y="0"/>
                      <a:ext cx="6099048" cy="2514600"/>
                    </a:xfrm>
                    <a:prstGeom prst="rect">
                      <a:avLst/>
                    </a:prstGeom>
                    <a:ln w="19050">
                      <a:solidFill>
                        <a:sysClr val="windowText" lastClr="000000"/>
                      </a:solidFill>
                    </a:ln>
                  </pic:spPr>
                </pic:pic>
              </a:graphicData>
            </a:graphic>
            <wp14:sizeRelH relativeFrom="margin">
              <wp14:pctWidth>0</wp14:pctWidth>
            </wp14:sizeRelH>
            <wp14:sizeRelV relativeFrom="margin">
              <wp14:pctHeight>0</wp14:pctHeight>
            </wp14:sizeRelV>
          </wp:anchor>
        </w:drawing>
      </w:r>
      <w:r w:rsidRPr="00901D41">
        <w:rPr>
          <w:b/>
          <w:bCs/>
        </w:rPr>
        <w:t xml:space="preserve">Figure </w:t>
      </w:r>
      <w:r w:rsidR="007E7257">
        <w:rPr>
          <w:b/>
          <w:bCs/>
        </w:rPr>
        <w:t>S</w:t>
      </w:r>
      <w:r w:rsidR="0094415B">
        <w:rPr>
          <w:b/>
          <w:bCs/>
        </w:rPr>
        <w:t>-2</w:t>
      </w:r>
    </w:p>
    <w:p w:rsidR="002D47DA" w:rsidP="008D63FB" w:rsidRDefault="008D63FB" w14:paraId="306B9D77" w14:textId="77777777">
      <w:r w:rsidRPr="00FF3617">
        <w:t>The default options for Contract Amount and Bid Quantity will remain</w:t>
      </w:r>
      <w:r w:rsidRPr="00FF3617" w:rsidR="00FF3617">
        <w:t xml:space="preserve"> as is</w:t>
      </w:r>
      <w:r w:rsidR="002D47DA">
        <w:t>.</w:t>
      </w:r>
    </w:p>
    <w:p w:rsidR="00DF124C" w:rsidP="008D63FB" w:rsidRDefault="002D47DA" w14:paraId="1593C0A1" w14:textId="4B4EFAE1">
      <w:r>
        <w:t>T</w:t>
      </w:r>
      <w:r w:rsidR="003050C1">
        <w:t xml:space="preserve">he Work Type selections </w:t>
      </w:r>
      <w:r w:rsidR="00A5631F">
        <w:t xml:space="preserve">will be adjusted from All </w:t>
      </w:r>
      <w:r w:rsidR="006F138D">
        <w:t xml:space="preserve">by </w:t>
      </w:r>
      <w:r>
        <w:t>selecting the arrow</w:t>
      </w:r>
      <w:r w:rsidR="00B7463F">
        <w:t xml:space="preserve"> and </w:t>
      </w:r>
      <w:r w:rsidR="00D068B7">
        <w:t>will be Asphalt Paving and Surface Treatment (Bituminous)</w:t>
      </w:r>
      <w:r w:rsidR="0094415B">
        <w:t xml:space="preserve"> a</w:t>
      </w:r>
      <w:r w:rsidR="00417B71">
        <w:t>nd will indicate Multiple Selections as</w:t>
      </w:r>
      <w:r w:rsidR="0094415B">
        <w:t xml:space="preserve"> seen in </w:t>
      </w:r>
      <w:r w:rsidR="000A23A2">
        <w:t>F</w:t>
      </w:r>
      <w:r w:rsidR="0094415B">
        <w:t xml:space="preserve">igure </w:t>
      </w:r>
      <w:r w:rsidR="004737F6">
        <w:t>S</w:t>
      </w:r>
      <w:r w:rsidR="0094415B">
        <w:t>-3</w:t>
      </w:r>
      <w:r w:rsidR="004C0286">
        <w:t xml:space="preserve">. </w:t>
      </w:r>
    </w:p>
    <w:p w:rsidR="00CF0DA3" w:rsidP="00DF124C" w:rsidRDefault="00CF0DA3" w14:paraId="39763064" w14:textId="20B62D8F">
      <w:pPr>
        <w:jc w:val="center"/>
        <w:rPr>
          <w:b/>
          <w:bCs/>
        </w:rPr>
      </w:pPr>
      <w:r w:rsidRPr="00CF0DA3">
        <w:rPr>
          <w:noProof/>
        </w:rPr>
        <w:drawing>
          <wp:anchor distT="0" distB="0" distL="114300" distR="114300" simplePos="0" relativeHeight="251658242" behindDoc="0" locked="0" layoutInCell="1" allowOverlap="1" wp14:anchorId="772652B8" wp14:editId="0F674546">
            <wp:simplePos x="0" y="0"/>
            <wp:positionH relativeFrom="column">
              <wp:align>center</wp:align>
            </wp:positionH>
            <wp:positionV relativeFrom="paragraph">
              <wp:posOffset>0</wp:posOffset>
            </wp:positionV>
            <wp:extent cx="5843016" cy="1965960"/>
            <wp:effectExtent l="19050" t="19050" r="24765" b="15240"/>
            <wp:wrapTopAndBottom/>
            <wp:docPr id="3884073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407355" name=""/>
                    <pic:cNvPicPr/>
                  </pic:nvPicPr>
                  <pic:blipFill>
                    <a:blip r:embed="rId10">
                      <a:extLst>
                        <a:ext uri="{28A0092B-C50C-407E-A947-70E740481C1C}">
                          <a14:useLocalDpi xmlns:a14="http://schemas.microsoft.com/office/drawing/2010/main" val="0"/>
                        </a:ext>
                      </a:extLst>
                    </a:blip>
                    <a:stretch>
                      <a:fillRect/>
                    </a:stretch>
                  </pic:blipFill>
                  <pic:spPr>
                    <a:xfrm>
                      <a:off x="0" y="0"/>
                      <a:ext cx="5843016" cy="1965960"/>
                    </a:xfrm>
                    <a:prstGeom prst="rect">
                      <a:avLst/>
                    </a:prstGeom>
                    <a:ln w="19050">
                      <a:solidFill>
                        <a:sysClr val="windowText" lastClr="000000"/>
                      </a:solidFill>
                    </a:ln>
                  </pic:spPr>
                </pic:pic>
              </a:graphicData>
            </a:graphic>
            <wp14:sizeRelH relativeFrom="margin">
              <wp14:pctWidth>0</wp14:pctWidth>
            </wp14:sizeRelH>
            <wp14:sizeRelV relativeFrom="margin">
              <wp14:pctHeight>0</wp14:pctHeight>
            </wp14:sizeRelV>
          </wp:anchor>
        </w:drawing>
      </w:r>
      <w:r>
        <w:rPr>
          <w:b/>
          <w:bCs/>
        </w:rPr>
        <w:t xml:space="preserve">Figure </w:t>
      </w:r>
      <w:r w:rsidR="004737F6">
        <w:rPr>
          <w:b/>
          <w:bCs/>
        </w:rPr>
        <w:t>S</w:t>
      </w:r>
      <w:r>
        <w:rPr>
          <w:b/>
          <w:bCs/>
        </w:rPr>
        <w:t>-3</w:t>
      </w:r>
    </w:p>
    <w:p w:rsidR="0085112D" w:rsidP="00251B6F" w:rsidRDefault="0085112D" w14:paraId="265961F6" w14:textId="77777777"/>
    <w:p w:rsidR="00251B6F" w:rsidP="00251B6F" w:rsidRDefault="00251B6F" w14:paraId="59198459" w14:textId="1AE39BC5">
      <w:r w:rsidR="00251B6F">
        <w:rPr/>
        <w:t>The Region</w:t>
      </w:r>
      <w:r w:rsidR="00BE0580">
        <w:rPr/>
        <w:t xml:space="preserve">/District/County setting </w:t>
      </w:r>
      <w:r w:rsidR="00BE7344">
        <w:rPr/>
        <w:t xml:space="preserve">for the </w:t>
      </w:r>
      <w:r w:rsidR="00BE7344">
        <w:rPr/>
        <w:t>initial</w:t>
      </w:r>
      <w:r w:rsidR="00BE7344">
        <w:rPr/>
        <w:t xml:space="preserve"> </w:t>
      </w:r>
      <w:r w:rsidR="00BE7344">
        <w:rPr/>
        <w:t xml:space="preserve">search </w:t>
      </w:r>
      <w:r w:rsidR="00BE0580">
        <w:rPr/>
        <w:t>will</w:t>
      </w:r>
      <w:r w:rsidR="00BE0580">
        <w:rPr/>
        <w:t xml:space="preserve"> </w:t>
      </w:r>
      <w:r w:rsidR="006B4658">
        <w:rPr/>
        <w:t xml:space="preserve">be </w:t>
      </w:r>
      <w:r w:rsidR="00251B6F">
        <w:rPr/>
        <w:t xml:space="preserve">the </w:t>
      </w:r>
      <w:r w:rsidR="00A86570">
        <w:rPr/>
        <w:t xml:space="preserve">Region in which the project is </w:t>
      </w:r>
      <w:r w:rsidR="00A86570">
        <w:rPr/>
        <w:t>located</w:t>
      </w:r>
      <w:r w:rsidR="000A23A2">
        <w:rPr/>
        <w:t xml:space="preserve"> as seen in Figure </w:t>
      </w:r>
      <w:r w:rsidR="004737F6">
        <w:rPr/>
        <w:t>S</w:t>
      </w:r>
      <w:r w:rsidR="000A23A2">
        <w:rPr/>
        <w:t>-4.</w:t>
      </w:r>
    </w:p>
    <w:p w:rsidR="000A23A2" w:rsidP="000A23A2" w:rsidRDefault="000A23A2" w14:paraId="4D879E90" w14:textId="04A4AB86">
      <w:pPr>
        <w:jc w:val="center"/>
        <w:rPr>
          <w:b/>
          <w:bCs/>
        </w:rPr>
      </w:pPr>
      <w:r w:rsidRPr="000A23A2">
        <w:rPr>
          <w:noProof/>
        </w:rPr>
        <w:drawing>
          <wp:anchor distT="0" distB="0" distL="114300" distR="114300" simplePos="0" relativeHeight="251658243" behindDoc="0" locked="0" layoutInCell="1" allowOverlap="1" wp14:anchorId="24CFFF4F" wp14:editId="1A015DAA">
            <wp:simplePos x="914400" y="914400"/>
            <wp:positionH relativeFrom="column">
              <wp:align>center</wp:align>
            </wp:positionH>
            <wp:positionV relativeFrom="paragraph">
              <wp:posOffset>0</wp:posOffset>
            </wp:positionV>
            <wp:extent cx="4087368" cy="1965960"/>
            <wp:effectExtent l="19050" t="19050" r="27940" b="15240"/>
            <wp:wrapTopAndBottom/>
            <wp:docPr id="14770468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7046839" name=""/>
                    <pic:cNvPicPr/>
                  </pic:nvPicPr>
                  <pic:blipFill>
                    <a:blip r:embed="rId11">
                      <a:extLst>
                        <a:ext uri="{28A0092B-C50C-407E-A947-70E740481C1C}">
                          <a14:useLocalDpi xmlns:a14="http://schemas.microsoft.com/office/drawing/2010/main" val="0"/>
                        </a:ext>
                      </a:extLst>
                    </a:blip>
                    <a:stretch>
                      <a:fillRect/>
                    </a:stretch>
                  </pic:blipFill>
                  <pic:spPr>
                    <a:xfrm>
                      <a:off x="0" y="0"/>
                      <a:ext cx="4087368" cy="1965960"/>
                    </a:xfrm>
                    <a:prstGeom prst="rect">
                      <a:avLst/>
                    </a:prstGeom>
                    <a:ln w="19050">
                      <a:solidFill>
                        <a:sysClr val="windowText" lastClr="000000"/>
                      </a:solidFill>
                    </a:ln>
                  </pic:spPr>
                </pic:pic>
              </a:graphicData>
            </a:graphic>
            <wp14:sizeRelH relativeFrom="margin">
              <wp14:pctWidth>0</wp14:pctWidth>
            </wp14:sizeRelH>
            <wp14:sizeRelV relativeFrom="margin">
              <wp14:pctHeight>0</wp14:pctHeight>
            </wp14:sizeRelV>
          </wp:anchor>
        </w:drawing>
      </w:r>
      <w:r>
        <w:rPr>
          <w:b/>
          <w:bCs/>
        </w:rPr>
        <w:t xml:space="preserve">Figure </w:t>
      </w:r>
      <w:r w:rsidR="004737F6">
        <w:rPr>
          <w:b/>
          <w:bCs/>
        </w:rPr>
        <w:t>S</w:t>
      </w:r>
      <w:r>
        <w:rPr>
          <w:b/>
          <w:bCs/>
        </w:rPr>
        <w:t>-4</w:t>
      </w:r>
    </w:p>
    <w:p w:rsidR="00A86570" w:rsidP="009C4EB5" w:rsidRDefault="007E32A4" w14:paraId="71A21859" w14:textId="77777777">
      <w:r w:rsidRPr="007E32A4">
        <w:t>Number of Bids and Bidder selections shall remain set as default.</w:t>
      </w:r>
      <w:r w:rsidR="006110E0">
        <w:t xml:space="preserve">  </w:t>
      </w:r>
    </w:p>
    <w:p w:rsidR="009C4EB5" w:rsidP="009C4EB5" w:rsidRDefault="006110E0" w14:paraId="1D4B72D1" w14:textId="70BBD9DE">
      <w:r>
        <w:t>T</w:t>
      </w:r>
      <w:r w:rsidR="00BB3158">
        <w:t xml:space="preserve">he search criteria </w:t>
      </w:r>
      <w:r w:rsidR="001A11BF">
        <w:t>are</w:t>
      </w:r>
      <w:r w:rsidR="00BB3158">
        <w:t xml:space="preserve"> now designated and shall remain as is throughout the items search for the project.</w:t>
      </w:r>
    </w:p>
    <w:p w:rsidR="00CD6D38" w:rsidP="009C4EB5" w:rsidRDefault="00A307CB" w14:paraId="70EEFF3A" w14:textId="28229894">
      <w:r>
        <w:t>Item selection requires an item-by-item search for each eligible item in the project.  To search for each item, the item number must be entered in the item selection.  To activate the search key, click in the item block where the default item is shown.  When the search tool opens, enter the desired item number as shown in Figure S-5.</w:t>
      </w:r>
    </w:p>
    <w:p w:rsidR="00C9134A" w:rsidP="00C468F9" w:rsidRDefault="00C9134A" w14:paraId="11A44460" w14:textId="7E65692B">
      <w:pPr>
        <w:jc w:val="center"/>
        <w:rPr>
          <w:b/>
          <w:bCs/>
        </w:rPr>
      </w:pPr>
      <w:r w:rsidRPr="00C9134A">
        <w:rPr>
          <w:noProof/>
        </w:rPr>
        <w:drawing>
          <wp:anchor distT="0" distB="0" distL="114300" distR="114300" simplePos="0" relativeHeight="251658244" behindDoc="0" locked="0" layoutInCell="1" allowOverlap="1" wp14:anchorId="71DCE6B5" wp14:editId="709C1529">
            <wp:simplePos x="933450" y="933450"/>
            <wp:positionH relativeFrom="column">
              <wp:align>center</wp:align>
            </wp:positionH>
            <wp:positionV relativeFrom="paragraph">
              <wp:posOffset>18415</wp:posOffset>
            </wp:positionV>
            <wp:extent cx="5952586" cy="2103120"/>
            <wp:effectExtent l="19050" t="19050" r="10160" b="11430"/>
            <wp:wrapTopAndBottom/>
            <wp:docPr id="6194647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9464710" name=""/>
                    <pic:cNvPicPr/>
                  </pic:nvPicPr>
                  <pic:blipFill>
                    <a:blip r:embed="rId12">
                      <a:extLst>
                        <a:ext uri="{28A0092B-C50C-407E-A947-70E740481C1C}">
                          <a14:useLocalDpi xmlns:a14="http://schemas.microsoft.com/office/drawing/2010/main" val="0"/>
                        </a:ext>
                      </a:extLst>
                    </a:blip>
                    <a:stretch>
                      <a:fillRect/>
                    </a:stretch>
                  </pic:blipFill>
                  <pic:spPr>
                    <a:xfrm>
                      <a:off x="0" y="0"/>
                      <a:ext cx="5952586" cy="2103120"/>
                    </a:xfrm>
                    <a:prstGeom prst="rect">
                      <a:avLst/>
                    </a:prstGeom>
                    <a:ln w="19050">
                      <a:solidFill>
                        <a:schemeClr val="dk1"/>
                      </a:solidFill>
                    </a:ln>
                  </pic:spPr>
                </pic:pic>
              </a:graphicData>
            </a:graphic>
            <wp14:sizeRelV relativeFrom="margin">
              <wp14:pctHeight>0</wp14:pctHeight>
            </wp14:sizeRelV>
          </wp:anchor>
        </w:drawing>
      </w:r>
      <w:r w:rsidR="00C468F9">
        <w:rPr>
          <w:b/>
          <w:bCs/>
        </w:rPr>
        <w:t xml:space="preserve">Figure </w:t>
      </w:r>
      <w:r w:rsidR="004737F6">
        <w:rPr>
          <w:b/>
          <w:bCs/>
        </w:rPr>
        <w:t>S</w:t>
      </w:r>
      <w:r w:rsidR="00C468F9">
        <w:rPr>
          <w:b/>
          <w:bCs/>
        </w:rPr>
        <w:t>-5</w:t>
      </w:r>
    </w:p>
    <w:p w:rsidR="00427F39" w:rsidP="00427F39" w:rsidRDefault="009C0B09" w14:paraId="52B80681" w14:textId="64783CAC">
      <w:r>
        <w:t xml:space="preserve">Then select the item when </w:t>
      </w:r>
      <w:r w:rsidR="004046D4">
        <w:t>shown</w:t>
      </w:r>
      <w:r w:rsidR="00FF610D">
        <w:t xml:space="preserve"> by selecting the circle adjacent to the item number</w:t>
      </w:r>
      <w:r w:rsidR="00AF40AA">
        <w:t xml:space="preserve"> as shown in Figure </w:t>
      </w:r>
      <w:r w:rsidR="004737F6">
        <w:t>S</w:t>
      </w:r>
      <w:r w:rsidR="00AF40AA">
        <w:t>-6.</w:t>
      </w:r>
    </w:p>
    <w:p w:rsidR="00612645" w:rsidP="00427F39" w:rsidRDefault="004F1BC6" w14:paraId="62FF155F" w14:textId="73BC79CF">
      <w:r w:rsidRPr="00612645">
        <w:rPr>
          <w:noProof/>
        </w:rPr>
        <w:drawing>
          <wp:anchor distT="0" distB="0" distL="114300" distR="114300" simplePos="0" relativeHeight="251658246" behindDoc="0" locked="0" layoutInCell="1" allowOverlap="1" wp14:anchorId="5840DFBA" wp14:editId="6411CAF9">
            <wp:simplePos x="0" y="0"/>
            <wp:positionH relativeFrom="margin">
              <wp:align>center</wp:align>
            </wp:positionH>
            <wp:positionV relativeFrom="page">
              <wp:posOffset>4389120</wp:posOffset>
            </wp:positionV>
            <wp:extent cx="5641848" cy="2103120"/>
            <wp:effectExtent l="19050" t="19050" r="16510" b="11430"/>
            <wp:wrapTopAndBottom/>
            <wp:docPr id="17028307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2830791" name=""/>
                    <pic:cNvPicPr/>
                  </pic:nvPicPr>
                  <pic:blipFill>
                    <a:blip r:embed="rId13">
                      <a:extLst>
                        <a:ext uri="{28A0092B-C50C-407E-A947-70E740481C1C}">
                          <a14:useLocalDpi xmlns:a14="http://schemas.microsoft.com/office/drawing/2010/main" val="0"/>
                        </a:ext>
                      </a:extLst>
                    </a:blip>
                    <a:stretch>
                      <a:fillRect/>
                    </a:stretch>
                  </pic:blipFill>
                  <pic:spPr>
                    <a:xfrm>
                      <a:off x="0" y="0"/>
                      <a:ext cx="5641848" cy="2103120"/>
                    </a:xfrm>
                    <a:prstGeom prst="rect">
                      <a:avLst/>
                    </a:prstGeom>
                    <a:ln w="15875">
                      <a:solidFill>
                        <a:schemeClr val="dk1"/>
                      </a:solidFill>
                    </a:ln>
                  </pic:spPr>
                </pic:pic>
              </a:graphicData>
            </a:graphic>
            <wp14:sizeRelH relativeFrom="margin">
              <wp14:pctWidth>0</wp14:pctWidth>
            </wp14:sizeRelH>
            <wp14:sizeRelV relativeFrom="margin">
              <wp14:pctHeight>0</wp14:pctHeight>
            </wp14:sizeRelV>
          </wp:anchor>
        </w:drawing>
      </w:r>
    </w:p>
    <w:p w:rsidR="004046D4" w:rsidP="00321077" w:rsidRDefault="00321077" w14:paraId="46A55A79" w14:textId="36702DF9">
      <w:pPr>
        <w:jc w:val="center"/>
        <w:rPr>
          <w:b/>
          <w:bCs/>
        </w:rPr>
      </w:pPr>
      <w:r>
        <w:rPr>
          <w:b/>
          <w:bCs/>
        </w:rPr>
        <w:t xml:space="preserve">Figure </w:t>
      </w:r>
      <w:r w:rsidR="004737F6">
        <w:rPr>
          <w:b/>
          <w:bCs/>
        </w:rPr>
        <w:t>S</w:t>
      </w:r>
      <w:r>
        <w:rPr>
          <w:b/>
          <w:bCs/>
        </w:rPr>
        <w:t>-6</w:t>
      </w:r>
    </w:p>
    <w:p w:rsidR="002D5969" w:rsidP="00321077" w:rsidRDefault="00B54E18" w14:paraId="15B6D038" w14:textId="77777777">
      <w:r>
        <w:t>This will provide the number of matching contracts</w:t>
      </w:r>
      <w:r w:rsidR="007209A6">
        <w:t xml:space="preserve">, number of bids and weighted average of that item. </w:t>
      </w:r>
      <w:r w:rsidR="00050CB0">
        <w:t xml:space="preserve">  </w:t>
      </w:r>
    </w:p>
    <w:p w:rsidR="001B7AD7" w:rsidP="5D468D2F" w:rsidRDefault="00050CB0" w14:paraId="4F10B04E" w14:textId="27448E3B">
      <w:pPr>
        <w:pStyle w:val="Normal"/>
        <w:suppressLineNumbers w:val="0"/>
        <w:bidi w:val="0"/>
        <w:spacing w:before="0" w:beforeAutospacing="off" w:after="160" w:afterAutospacing="off" w:line="278" w:lineRule="auto"/>
        <w:ind w:left="0" w:right="0"/>
        <w:jc w:val="left"/>
      </w:pPr>
      <w:r w:rsidR="00050CB0">
        <w:rPr/>
        <w:t xml:space="preserve">If the Matching Contracts value </w:t>
      </w:r>
      <w:r w:rsidR="00D71A00">
        <w:rPr/>
        <w:t>is greater than 5</w:t>
      </w:r>
      <w:r w:rsidR="00F01546">
        <w:rPr/>
        <w:t xml:space="preserve"> </w:t>
      </w:r>
      <w:r w:rsidR="00F01546">
        <w:rPr/>
        <w:t>as shown in Figure S-7</w:t>
      </w:r>
      <w:r w:rsidR="00D71A00">
        <w:rPr/>
        <w:t>, t</w:t>
      </w:r>
      <w:r w:rsidR="00921D50">
        <w:rPr/>
        <w:t xml:space="preserve">he weighted average value should be reported in the </w:t>
      </w:r>
      <w:r w:rsidR="00B9416A">
        <w:rPr/>
        <w:t xml:space="preserve">Average Unit Price column </w:t>
      </w:r>
      <w:r w:rsidR="002821BB">
        <w:rPr/>
        <w:t xml:space="preserve">in the </w:t>
      </w:r>
      <w:r w:rsidR="001A11BF">
        <w:rPr/>
        <w:t xml:space="preserve">Safety Funding Analysis </w:t>
      </w:r>
      <w:r w:rsidR="09FFA103">
        <w:rPr/>
        <w:t>Form</w:t>
      </w:r>
      <w:r w:rsidR="001B7AD7">
        <w:rPr/>
        <w:t xml:space="preserve"> for the corresponding item.</w:t>
      </w:r>
    </w:p>
    <w:p w:rsidR="00144192" w:rsidP="5D468D2F" w:rsidRDefault="00144192" w14:paraId="6AE3B48A" w14:textId="3030A6CC">
      <w:pPr>
        <w:pStyle w:val="Normal"/>
        <w:suppressLineNumbers w:val="0"/>
        <w:bidi w:val="0"/>
        <w:spacing w:before="0" w:beforeAutospacing="off" w:after="160" w:afterAutospacing="off" w:line="278" w:lineRule="auto"/>
        <w:ind w:left="0" w:right="0"/>
        <w:jc w:val="left"/>
      </w:pPr>
      <w:r w:rsidR="00144192">
        <w:rPr/>
        <w:t xml:space="preserve">If the number of matching contracts is less than 5 for any item, </w:t>
      </w:r>
      <w:r w:rsidR="003F195D">
        <w:rPr/>
        <w:t>edit</w:t>
      </w:r>
      <w:r w:rsidR="00144192">
        <w:rPr/>
        <w:t xml:space="preserve"> </w:t>
      </w:r>
      <w:r w:rsidR="00E9292A">
        <w:rPr/>
        <w:t xml:space="preserve">the search </w:t>
      </w:r>
      <w:r w:rsidR="00144192">
        <w:rPr/>
        <w:t xml:space="preserve">by </w:t>
      </w:r>
      <w:r w:rsidR="00FE2261">
        <w:rPr/>
        <w:t xml:space="preserve">adding the remaining Regions to the selection group </w:t>
      </w:r>
      <w:r w:rsidR="00A25A79">
        <w:rPr/>
        <w:t>for a S</w:t>
      </w:r>
      <w:r w:rsidR="00144192">
        <w:rPr/>
        <w:t>tate</w:t>
      </w:r>
      <w:r w:rsidR="180FCD59">
        <w:rPr/>
        <w:t>-w</w:t>
      </w:r>
      <w:r w:rsidR="00144192">
        <w:rPr/>
        <w:t>ide</w:t>
      </w:r>
      <w:r w:rsidR="00144192">
        <w:rPr/>
        <w:t xml:space="preserve"> </w:t>
      </w:r>
      <w:r w:rsidR="00A25A79">
        <w:rPr/>
        <w:t xml:space="preserve">search </w:t>
      </w:r>
      <w:r w:rsidR="00144192">
        <w:rPr/>
        <w:t xml:space="preserve">report the </w:t>
      </w:r>
      <w:r w:rsidR="00A25A79">
        <w:rPr/>
        <w:t xml:space="preserve">resulting </w:t>
      </w:r>
      <w:r w:rsidR="00144192">
        <w:rPr/>
        <w:t>Weighted Average cost in the</w:t>
      </w:r>
      <w:r w:rsidR="00144192">
        <w:rPr/>
        <w:t xml:space="preserve"> </w:t>
      </w:r>
      <w:r w:rsidR="00144192">
        <w:rPr/>
        <w:t xml:space="preserve">Average Unit Price column in the Safety Funding Analysis </w:t>
      </w:r>
      <w:r w:rsidR="35B91123">
        <w:rPr/>
        <w:t>Form</w:t>
      </w:r>
      <w:r w:rsidR="00144192">
        <w:rPr/>
        <w:t xml:space="preserve"> for the corresponding item.</w:t>
      </w:r>
    </w:p>
    <w:p w:rsidR="00144192" w:rsidP="00321077" w:rsidRDefault="00144192" w14:paraId="12A8A58C" w14:textId="77777777"/>
    <w:p w:rsidR="00D71A00" w:rsidP="004737F6" w:rsidRDefault="00D71A00" w14:paraId="053EDBF9" w14:textId="0309BDFB">
      <w:pPr>
        <w:jc w:val="center"/>
        <w:rPr>
          <w:b/>
          <w:bCs/>
        </w:rPr>
      </w:pPr>
      <w:r w:rsidRPr="00D71A00">
        <w:rPr>
          <w:noProof/>
        </w:rPr>
        <w:drawing>
          <wp:anchor distT="0" distB="0" distL="114300" distR="114300" simplePos="0" relativeHeight="251658245" behindDoc="0" locked="0" layoutInCell="1" allowOverlap="1" wp14:anchorId="73AA13B6" wp14:editId="03EDCAFB">
            <wp:simplePos x="933450" y="933450"/>
            <wp:positionH relativeFrom="column">
              <wp:align>center</wp:align>
            </wp:positionH>
            <wp:positionV relativeFrom="paragraph">
              <wp:posOffset>18415</wp:posOffset>
            </wp:positionV>
            <wp:extent cx="5935095" cy="2304288"/>
            <wp:effectExtent l="19050" t="19050" r="8890" b="20320"/>
            <wp:wrapTopAndBottom/>
            <wp:docPr id="17744188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4418832" name=""/>
                    <pic:cNvPicPr/>
                  </pic:nvPicPr>
                  <pic:blipFill>
                    <a:blip r:embed="rId14">
                      <a:extLst>
                        <a:ext uri="{28A0092B-C50C-407E-A947-70E740481C1C}">
                          <a14:useLocalDpi xmlns:a14="http://schemas.microsoft.com/office/drawing/2010/main" val="0"/>
                        </a:ext>
                      </a:extLst>
                    </a:blip>
                    <a:stretch>
                      <a:fillRect/>
                    </a:stretch>
                  </pic:blipFill>
                  <pic:spPr>
                    <a:xfrm>
                      <a:off x="0" y="0"/>
                      <a:ext cx="5935095" cy="2304288"/>
                    </a:xfrm>
                    <a:prstGeom prst="rect">
                      <a:avLst/>
                    </a:prstGeom>
                    <a:ln w="19050">
                      <a:solidFill>
                        <a:schemeClr val="dk1"/>
                      </a:solidFill>
                    </a:ln>
                  </pic:spPr>
                </pic:pic>
              </a:graphicData>
            </a:graphic>
            <wp14:sizeRelV relativeFrom="margin">
              <wp14:pctHeight>0</wp14:pctHeight>
            </wp14:sizeRelV>
          </wp:anchor>
        </w:drawing>
      </w:r>
      <w:r w:rsidR="004737F6">
        <w:rPr>
          <w:b/>
          <w:bCs/>
        </w:rPr>
        <w:t>Figure S-7</w:t>
      </w:r>
    </w:p>
    <w:p w:rsidR="00BB53E8" w:rsidP="004737F6" w:rsidRDefault="00BB53E8" w14:paraId="3DB8D0BA" w14:textId="77777777">
      <w:pPr>
        <w:jc w:val="center"/>
        <w:rPr>
          <w:b/>
          <w:bCs/>
        </w:rPr>
      </w:pPr>
    </w:p>
    <w:p w:rsidRPr="00647749" w:rsidR="00BB53E8" w:rsidP="00BB53E8" w:rsidRDefault="00BB53E8" w14:paraId="1E001C30" w14:textId="1598BA98">
      <w:r w:rsidRPr="00647749">
        <w:t xml:space="preserve">If the </w:t>
      </w:r>
      <w:r w:rsidRPr="00647749" w:rsidR="00E03DB9">
        <w:t>eligible quantity for an item is 0, then it will not be necessary to enter a cost value for that item</w:t>
      </w:r>
      <w:r w:rsidR="00642027">
        <w:t xml:space="preserve"> s</w:t>
      </w:r>
      <w:r w:rsidR="00054E54">
        <w:t>ince there will be no recognized cost</w:t>
      </w:r>
      <w:r w:rsidRPr="00647749" w:rsidR="00DC6D46">
        <w:t xml:space="preserve">.  If the existing quantity is greater than the proposed for reasons such as the proposed item </w:t>
      </w:r>
      <w:r w:rsidRPr="00647749" w:rsidR="00647749">
        <w:t>is different and thus an upgrade, do not enter a cost value for that item as it would produce a negative dollar value.</w:t>
      </w:r>
    </w:p>
    <w:p w:rsidR="00321077" w:rsidP="00321077" w:rsidRDefault="003D3F45" w14:paraId="6A9AA767" w14:textId="0AB3F5EB">
      <w:r>
        <w:t>Once the document has been completed and an overall safety cost for the project has been determine</w:t>
      </w:r>
      <w:r w:rsidR="008C11EE">
        <w:t>d</w:t>
      </w:r>
      <w:r>
        <w:t xml:space="preserve">, the document will be filed in the </w:t>
      </w:r>
      <w:r w:rsidR="008C11EE">
        <w:t>ProjectWise folder for the applicable project.  If no safety eligibility is determined for a project</w:t>
      </w:r>
      <w:r w:rsidR="00613497">
        <w:t xml:space="preserve"> either by the lack of any eligib</w:t>
      </w:r>
      <w:r w:rsidR="00DB6BC4">
        <w:t>le items or by the overall total costs of all eligible items being less than $10,000.00</w:t>
      </w:r>
      <w:r w:rsidR="008C11EE">
        <w:t xml:space="preserve">, then it will be necessary to notify </w:t>
      </w:r>
      <w:r w:rsidR="00AC5BA3">
        <w:t>the Program Operations Division that a project number edit is necessary to remove the state and federal safety (HSIP) funding prior to submitting plan documents for the P&amp;SE.</w:t>
      </w:r>
    </w:p>
    <w:p w:rsidRPr="00321077" w:rsidR="006A5DCD" w:rsidP="00321077" w:rsidRDefault="006A5DCD" w14:paraId="70B604B0" w14:textId="77777777"/>
    <w:p w:rsidRPr="007E32A4" w:rsidR="00C468F9" w:rsidP="00C468F9" w:rsidRDefault="00C468F9" w14:paraId="2518F6A7" w14:textId="77777777">
      <w:pPr>
        <w:jc w:val="center"/>
      </w:pPr>
    </w:p>
    <w:sectPr w:rsidRPr="007E32A4" w:rsidR="00C468F9" w:rsidSect="003F195D">
      <w:headerReference w:type="default" r:id="rId15"/>
      <w:footerReference w:type="default" r:id="rId16"/>
      <w:pgSz w:w="12240" w:h="15840" w:orient="portrait" w:code="1"/>
      <w:pgMar w:top="1800" w:right="1440" w:bottom="36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92B93" w:rsidP="00526EBE" w:rsidRDefault="00492B93" w14:paraId="196389D2" w14:textId="77777777">
      <w:pPr>
        <w:spacing w:after="0" w:line="240" w:lineRule="auto"/>
      </w:pPr>
      <w:r>
        <w:separator/>
      </w:r>
    </w:p>
  </w:endnote>
  <w:endnote w:type="continuationSeparator" w:id="0">
    <w:p w:rsidR="00492B93" w:rsidP="00526EBE" w:rsidRDefault="00492B93" w14:paraId="2F66ECE3"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27737491"/>
      <w:docPartObj>
        <w:docPartGallery w:val="Page Numbers (Bottom of Page)"/>
        <w:docPartUnique/>
      </w:docPartObj>
    </w:sdtPr>
    <w:sdtEndPr>
      <w:rPr>
        <w:noProof/>
      </w:rPr>
    </w:sdtEndPr>
    <w:sdtContent>
      <w:p w:rsidR="00D526B7" w:rsidRDefault="00D526B7" w14:paraId="04F2C1D2" w14:textId="234991E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6273B6" w:rsidRDefault="006273B6" w14:paraId="7DCE1A40"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92B93" w:rsidP="00526EBE" w:rsidRDefault="00492B93" w14:paraId="6FE6BBE3" w14:textId="77777777">
      <w:pPr>
        <w:spacing w:after="0" w:line="240" w:lineRule="auto"/>
      </w:pPr>
      <w:r>
        <w:separator/>
      </w:r>
    </w:p>
  </w:footnote>
  <w:footnote w:type="continuationSeparator" w:id="0">
    <w:p w:rsidR="00492B93" w:rsidP="00526EBE" w:rsidRDefault="00492B93" w14:paraId="2C8C9594"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6273B6" w:rsidR="00526EBE" w:rsidRDefault="00416B63" w14:paraId="2EEE3E0C" w14:textId="19BDD1CC">
    <w:pPr>
      <w:pStyle w:val="Header"/>
      <w:rPr>
        <w:b/>
        <w:bCs/>
      </w:rPr>
    </w:pPr>
    <w:r w:rsidRPr="006273B6">
      <w:rPr>
        <w:b/>
        <w:bCs/>
      </w:rPr>
      <w:t>Safety Funding (HSIP) Analysis</w:t>
    </w:r>
  </w:p>
  <w:p w:rsidR="00793049" w:rsidRDefault="00793049" w14:paraId="5A5CA6AE" w14:textId="2D8A3486">
    <w:pPr>
      <w:pStyle w:val="Header"/>
    </w:pPr>
    <w:r>
      <w:tab/>
    </w:r>
    <w:r>
      <w:tab/>
    </w:r>
    <w:r>
      <w:t xml:space="preserve">Revised </w:t>
    </w:r>
    <w:r w:rsidR="000C2DDE">
      <w:t>08/01/26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90"/>
  <w:proofState w:spelling="clean" w:grammar="dirty"/>
  <w:trackRevisions w:val="false"/>
  <w:documentProtection w:edit="readOnly"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3589"/>
    <w:rsid w:val="000025D8"/>
    <w:rsid w:val="000113C7"/>
    <w:rsid w:val="0002798D"/>
    <w:rsid w:val="0003425D"/>
    <w:rsid w:val="00050CB0"/>
    <w:rsid w:val="00053F8F"/>
    <w:rsid w:val="00054E54"/>
    <w:rsid w:val="00061092"/>
    <w:rsid w:val="00080A3C"/>
    <w:rsid w:val="00096C15"/>
    <w:rsid w:val="000A23A2"/>
    <w:rsid w:val="000C2DDE"/>
    <w:rsid w:val="000D6BFF"/>
    <w:rsid w:val="000E7091"/>
    <w:rsid w:val="000F59D0"/>
    <w:rsid w:val="00144192"/>
    <w:rsid w:val="00155868"/>
    <w:rsid w:val="00155A47"/>
    <w:rsid w:val="00163019"/>
    <w:rsid w:val="00186C3F"/>
    <w:rsid w:val="001962CF"/>
    <w:rsid w:val="001A11BF"/>
    <w:rsid w:val="001B4D21"/>
    <w:rsid w:val="001B7AD7"/>
    <w:rsid w:val="001E1557"/>
    <w:rsid w:val="001F58A9"/>
    <w:rsid w:val="00210A97"/>
    <w:rsid w:val="00215CEF"/>
    <w:rsid w:val="00215E33"/>
    <w:rsid w:val="00251B6F"/>
    <w:rsid w:val="002752D7"/>
    <w:rsid w:val="002821BB"/>
    <w:rsid w:val="00285F26"/>
    <w:rsid w:val="002D47DA"/>
    <w:rsid w:val="002D5969"/>
    <w:rsid w:val="002F0A5A"/>
    <w:rsid w:val="002F7F67"/>
    <w:rsid w:val="003050C1"/>
    <w:rsid w:val="00321077"/>
    <w:rsid w:val="0033309F"/>
    <w:rsid w:val="00336B69"/>
    <w:rsid w:val="00344542"/>
    <w:rsid w:val="00344D84"/>
    <w:rsid w:val="00364945"/>
    <w:rsid w:val="00372A42"/>
    <w:rsid w:val="003A2D87"/>
    <w:rsid w:val="003A72AE"/>
    <w:rsid w:val="003B40B2"/>
    <w:rsid w:val="003C10C3"/>
    <w:rsid w:val="003C17E1"/>
    <w:rsid w:val="003C2574"/>
    <w:rsid w:val="003D0AEA"/>
    <w:rsid w:val="003D3F45"/>
    <w:rsid w:val="003F195D"/>
    <w:rsid w:val="004046D4"/>
    <w:rsid w:val="00416B63"/>
    <w:rsid w:val="00417B71"/>
    <w:rsid w:val="00427F39"/>
    <w:rsid w:val="004527FF"/>
    <w:rsid w:val="004566BE"/>
    <w:rsid w:val="00466ADB"/>
    <w:rsid w:val="004737F6"/>
    <w:rsid w:val="004751C6"/>
    <w:rsid w:val="00492AC7"/>
    <w:rsid w:val="00492B93"/>
    <w:rsid w:val="004C0286"/>
    <w:rsid w:val="004D7B5C"/>
    <w:rsid w:val="004F1BC6"/>
    <w:rsid w:val="005066FC"/>
    <w:rsid w:val="005138CF"/>
    <w:rsid w:val="00526EBE"/>
    <w:rsid w:val="0055270F"/>
    <w:rsid w:val="00552B1F"/>
    <w:rsid w:val="00561734"/>
    <w:rsid w:val="005776FC"/>
    <w:rsid w:val="0059637A"/>
    <w:rsid w:val="005A086F"/>
    <w:rsid w:val="005C3CC1"/>
    <w:rsid w:val="005D63FD"/>
    <w:rsid w:val="005E2D41"/>
    <w:rsid w:val="005F7DF8"/>
    <w:rsid w:val="00605532"/>
    <w:rsid w:val="006110E0"/>
    <w:rsid w:val="00612645"/>
    <w:rsid w:val="00613497"/>
    <w:rsid w:val="0061577A"/>
    <w:rsid w:val="006273B6"/>
    <w:rsid w:val="00642027"/>
    <w:rsid w:val="00647749"/>
    <w:rsid w:val="006716AB"/>
    <w:rsid w:val="006A4449"/>
    <w:rsid w:val="006A5DCD"/>
    <w:rsid w:val="006B4658"/>
    <w:rsid w:val="006C02FC"/>
    <w:rsid w:val="006F0D39"/>
    <w:rsid w:val="006F138D"/>
    <w:rsid w:val="00701615"/>
    <w:rsid w:val="007209A6"/>
    <w:rsid w:val="00751283"/>
    <w:rsid w:val="007605FC"/>
    <w:rsid w:val="007740B3"/>
    <w:rsid w:val="00793049"/>
    <w:rsid w:val="007B3ADA"/>
    <w:rsid w:val="007C4795"/>
    <w:rsid w:val="007C5977"/>
    <w:rsid w:val="007E32A4"/>
    <w:rsid w:val="007E7257"/>
    <w:rsid w:val="00813BC5"/>
    <w:rsid w:val="00830881"/>
    <w:rsid w:val="00833FC8"/>
    <w:rsid w:val="0085112D"/>
    <w:rsid w:val="00853051"/>
    <w:rsid w:val="008816E1"/>
    <w:rsid w:val="008A2773"/>
    <w:rsid w:val="008C11EE"/>
    <w:rsid w:val="008C347E"/>
    <w:rsid w:val="008D3CC8"/>
    <w:rsid w:val="008D63FB"/>
    <w:rsid w:val="00901D41"/>
    <w:rsid w:val="00921D50"/>
    <w:rsid w:val="00924716"/>
    <w:rsid w:val="00925E74"/>
    <w:rsid w:val="0094415B"/>
    <w:rsid w:val="009516FA"/>
    <w:rsid w:val="00957109"/>
    <w:rsid w:val="009732E7"/>
    <w:rsid w:val="009C0B09"/>
    <w:rsid w:val="009C4EB5"/>
    <w:rsid w:val="009C5547"/>
    <w:rsid w:val="009D4A26"/>
    <w:rsid w:val="00A25A79"/>
    <w:rsid w:val="00A307CB"/>
    <w:rsid w:val="00A323F7"/>
    <w:rsid w:val="00A36DFE"/>
    <w:rsid w:val="00A37B91"/>
    <w:rsid w:val="00A5631F"/>
    <w:rsid w:val="00A63833"/>
    <w:rsid w:val="00A672B2"/>
    <w:rsid w:val="00A72D16"/>
    <w:rsid w:val="00A76015"/>
    <w:rsid w:val="00A825DF"/>
    <w:rsid w:val="00A85EB7"/>
    <w:rsid w:val="00A86570"/>
    <w:rsid w:val="00AC1D06"/>
    <w:rsid w:val="00AC5BA3"/>
    <w:rsid w:val="00AD5D70"/>
    <w:rsid w:val="00AD764E"/>
    <w:rsid w:val="00AF40AA"/>
    <w:rsid w:val="00B03404"/>
    <w:rsid w:val="00B07CFF"/>
    <w:rsid w:val="00B24F13"/>
    <w:rsid w:val="00B367A7"/>
    <w:rsid w:val="00B54E18"/>
    <w:rsid w:val="00B54FDD"/>
    <w:rsid w:val="00B7463F"/>
    <w:rsid w:val="00B77235"/>
    <w:rsid w:val="00B9416A"/>
    <w:rsid w:val="00BA1C6B"/>
    <w:rsid w:val="00BA207B"/>
    <w:rsid w:val="00BB3158"/>
    <w:rsid w:val="00BB53E8"/>
    <w:rsid w:val="00BD3A8A"/>
    <w:rsid w:val="00BE0580"/>
    <w:rsid w:val="00BE7344"/>
    <w:rsid w:val="00BF06B1"/>
    <w:rsid w:val="00BF1E13"/>
    <w:rsid w:val="00C061A4"/>
    <w:rsid w:val="00C1302D"/>
    <w:rsid w:val="00C17E8F"/>
    <w:rsid w:val="00C468F9"/>
    <w:rsid w:val="00C51A0A"/>
    <w:rsid w:val="00C53F7E"/>
    <w:rsid w:val="00C67CF9"/>
    <w:rsid w:val="00C7102C"/>
    <w:rsid w:val="00C741B3"/>
    <w:rsid w:val="00C86F6C"/>
    <w:rsid w:val="00C9134A"/>
    <w:rsid w:val="00CC7D76"/>
    <w:rsid w:val="00CD6D38"/>
    <w:rsid w:val="00CF0DA3"/>
    <w:rsid w:val="00CF1000"/>
    <w:rsid w:val="00CF567A"/>
    <w:rsid w:val="00CF6A34"/>
    <w:rsid w:val="00D01BF6"/>
    <w:rsid w:val="00D01E66"/>
    <w:rsid w:val="00D068B7"/>
    <w:rsid w:val="00D06922"/>
    <w:rsid w:val="00D17B0E"/>
    <w:rsid w:val="00D433A9"/>
    <w:rsid w:val="00D526B7"/>
    <w:rsid w:val="00D70ACB"/>
    <w:rsid w:val="00D71A00"/>
    <w:rsid w:val="00D932BD"/>
    <w:rsid w:val="00DB3F8B"/>
    <w:rsid w:val="00DB6BC4"/>
    <w:rsid w:val="00DC6D46"/>
    <w:rsid w:val="00DD0668"/>
    <w:rsid w:val="00DF124C"/>
    <w:rsid w:val="00DF55C4"/>
    <w:rsid w:val="00E03DB9"/>
    <w:rsid w:val="00E20B6C"/>
    <w:rsid w:val="00E31C59"/>
    <w:rsid w:val="00E431E0"/>
    <w:rsid w:val="00E45650"/>
    <w:rsid w:val="00E51B96"/>
    <w:rsid w:val="00E5498B"/>
    <w:rsid w:val="00E9292A"/>
    <w:rsid w:val="00E95BE7"/>
    <w:rsid w:val="00EA2018"/>
    <w:rsid w:val="00EB449B"/>
    <w:rsid w:val="00F01546"/>
    <w:rsid w:val="00F06B6A"/>
    <w:rsid w:val="00F11730"/>
    <w:rsid w:val="00F33589"/>
    <w:rsid w:val="00F5187B"/>
    <w:rsid w:val="00F70D6D"/>
    <w:rsid w:val="00F806E2"/>
    <w:rsid w:val="00FC5DFF"/>
    <w:rsid w:val="00FE2261"/>
    <w:rsid w:val="00FE6FDF"/>
    <w:rsid w:val="00FF3617"/>
    <w:rsid w:val="00FF490B"/>
    <w:rsid w:val="00FF610D"/>
    <w:rsid w:val="00FF6C86"/>
    <w:rsid w:val="02D33587"/>
    <w:rsid w:val="0826BA6D"/>
    <w:rsid w:val="09FFA103"/>
    <w:rsid w:val="133B05DB"/>
    <w:rsid w:val="16EBEE96"/>
    <w:rsid w:val="180FCD59"/>
    <w:rsid w:val="35B91123"/>
    <w:rsid w:val="4C24024A"/>
    <w:rsid w:val="5D468D2F"/>
    <w:rsid w:val="607638C6"/>
    <w:rsid w:val="63536A36"/>
    <w:rsid w:val="63C8108F"/>
    <w:rsid w:val="723AA0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3BF90F"/>
  <w15:chartTrackingRefBased/>
  <w15:docId w15:val="{4DF18F53-247F-4A74-BE86-8D95FED32ED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F33589"/>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33589"/>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3358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3358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3358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3358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3358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3358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33589"/>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F33589"/>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F33589"/>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F33589"/>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F33589"/>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F33589"/>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F33589"/>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F33589"/>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F33589"/>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F33589"/>
    <w:rPr>
      <w:rFonts w:eastAsiaTheme="majorEastAsia" w:cstheme="majorBidi"/>
      <w:color w:val="272727" w:themeColor="text1" w:themeTint="D8"/>
    </w:rPr>
  </w:style>
  <w:style w:type="paragraph" w:styleId="Title">
    <w:name w:val="Title"/>
    <w:basedOn w:val="Normal"/>
    <w:next w:val="Normal"/>
    <w:link w:val="TitleChar"/>
    <w:uiPriority w:val="10"/>
    <w:qFormat/>
    <w:rsid w:val="00F33589"/>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F33589"/>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F33589"/>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F3358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33589"/>
    <w:pPr>
      <w:spacing w:before="160"/>
      <w:jc w:val="center"/>
    </w:pPr>
    <w:rPr>
      <w:i/>
      <w:iCs/>
      <w:color w:val="404040" w:themeColor="text1" w:themeTint="BF"/>
    </w:rPr>
  </w:style>
  <w:style w:type="character" w:styleId="QuoteChar" w:customStyle="1">
    <w:name w:val="Quote Char"/>
    <w:basedOn w:val="DefaultParagraphFont"/>
    <w:link w:val="Quote"/>
    <w:uiPriority w:val="29"/>
    <w:rsid w:val="00F33589"/>
    <w:rPr>
      <w:i/>
      <w:iCs/>
      <w:color w:val="404040" w:themeColor="text1" w:themeTint="BF"/>
    </w:rPr>
  </w:style>
  <w:style w:type="paragraph" w:styleId="ListParagraph">
    <w:name w:val="List Paragraph"/>
    <w:basedOn w:val="Normal"/>
    <w:uiPriority w:val="34"/>
    <w:qFormat/>
    <w:rsid w:val="00F33589"/>
    <w:pPr>
      <w:ind w:left="720"/>
      <w:contextualSpacing/>
    </w:pPr>
  </w:style>
  <w:style w:type="character" w:styleId="IntenseEmphasis">
    <w:name w:val="Intense Emphasis"/>
    <w:basedOn w:val="DefaultParagraphFont"/>
    <w:uiPriority w:val="21"/>
    <w:qFormat/>
    <w:rsid w:val="00F33589"/>
    <w:rPr>
      <w:i/>
      <w:iCs/>
      <w:color w:val="0F4761" w:themeColor="accent1" w:themeShade="BF"/>
    </w:rPr>
  </w:style>
  <w:style w:type="paragraph" w:styleId="IntenseQuote">
    <w:name w:val="Intense Quote"/>
    <w:basedOn w:val="Normal"/>
    <w:next w:val="Normal"/>
    <w:link w:val="IntenseQuoteChar"/>
    <w:uiPriority w:val="30"/>
    <w:qFormat/>
    <w:rsid w:val="00F33589"/>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F33589"/>
    <w:rPr>
      <w:i/>
      <w:iCs/>
      <w:color w:val="0F4761" w:themeColor="accent1" w:themeShade="BF"/>
    </w:rPr>
  </w:style>
  <w:style w:type="character" w:styleId="IntenseReference">
    <w:name w:val="Intense Reference"/>
    <w:basedOn w:val="DefaultParagraphFont"/>
    <w:uiPriority w:val="32"/>
    <w:qFormat/>
    <w:rsid w:val="00F33589"/>
    <w:rPr>
      <w:b/>
      <w:bCs/>
      <w:smallCaps/>
      <w:color w:val="0F4761" w:themeColor="accent1" w:themeShade="BF"/>
      <w:spacing w:val="5"/>
    </w:rPr>
  </w:style>
  <w:style w:type="character" w:styleId="Hyperlink">
    <w:name w:val="Hyperlink"/>
    <w:basedOn w:val="DefaultParagraphFont"/>
    <w:uiPriority w:val="99"/>
    <w:unhideWhenUsed/>
    <w:rsid w:val="00E45650"/>
    <w:rPr>
      <w:color w:val="467886" w:themeColor="hyperlink"/>
      <w:u w:val="single"/>
    </w:rPr>
  </w:style>
  <w:style w:type="character" w:styleId="UnresolvedMention">
    <w:name w:val="Unresolved Mention"/>
    <w:basedOn w:val="DefaultParagraphFont"/>
    <w:uiPriority w:val="99"/>
    <w:semiHidden/>
    <w:unhideWhenUsed/>
    <w:rsid w:val="00E45650"/>
    <w:rPr>
      <w:color w:val="605E5C"/>
      <w:shd w:val="clear" w:color="auto" w:fill="E1DFDD"/>
    </w:rPr>
  </w:style>
  <w:style w:type="paragraph" w:styleId="Header">
    <w:name w:val="header"/>
    <w:basedOn w:val="Normal"/>
    <w:link w:val="HeaderChar"/>
    <w:uiPriority w:val="99"/>
    <w:unhideWhenUsed/>
    <w:rsid w:val="00526EBE"/>
    <w:pPr>
      <w:tabs>
        <w:tab w:val="center" w:pos="4680"/>
        <w:tab w:val="right" w:pos="9360"/>
      </w:tabs>
      <w:spacing w:after="0" w:line="240" w:lineRule="auto"/>
    </w:pPr>
  </w:style>
  <w:style w:type="character" w:styleId="HeaderChar" w:customStyle="1">
    <w:name w:val="Header Char"/>
    <w:basedOn w:val="DefaultParagraphFont"/>
    <w:link w:val="Header"/>
    <w:uiPriority w:val="99"/>
    <w:rsid w:val="00526EBE"/>
  </w:style>
  <w:style w:type="paragraph" w:styleId="Footer">
    <w:name w:val="footer"/>
    <w:basedOn w:val="Normal"/>
    <w:link w:val="FooterChar"/>
    <w:uiPriority w:val="99"/>
    <w:unhideWhenUsed/>
    <w:rsid w:val="00526EBE"/>
    <w:pPr>
      <w:tabs>
        <w:tab w:val="center" w:pos="4680"/>
        <w:tab w:val="right" w:pos="9360"/>
      </w:tabs>
      <w:spacing w:after="0" w:line="240" w:lineRule="auto"/>
    </w:pPr>
  </w:style>
  <w:style w:type="character" w:styleId="FooterChar" w:customStyle="1">
    <w:name w:val="Footer Char"/>
    <w:basedOn w:val="DefaultParagraphFont"/>
    <w:link w:val="Footer"/>
    <w:uiPriority w:val="99"/>
    <w:rsid w:val="00526E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image" Target="media/image6.png" Id="rId13" /><Relationship Type="http://schemas.openxmlformats.org/officeDocument/2006/relationships/theme" Target="theme/theme1.xml" Id="rId18" /><Relationship Type="http://schemas.openxmlformats.org/officeDocument/2006/relationships/settings" Target="settings.xml" Id="rId3" /><Relationship Type="http://schemas.openxmlformats.org/officeDocument/2006/relationships/image" Target="media/image5.png" Id="rId12" /><Relationship Type="http://schemas.openxmlformats.org/officeDocument/2006/relationships/fontTable" Target="fontTable.xml" Id="rId17" /><Relationship Type="http://schemas.openxmlformats.org/officeDocument/2006/relationships/styles" Target="styles.xml" Id="rId2" /><Relationship Type="http://schemas.openxmlformats.org/officeDocument/2006/relationships/footer" Target="footer1.xm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image" Target="media/image4.png" Id="rId11" /><Relationship Type="http://schemas.openxmlformats.org/officeDocument/2006/relationships/footnotes" Target="footnotes.xml" Id="rId5" /><Relationship Type="http://schemas.openxmlformats.org/officeDocument/2006/relationships/header" Target="header1.xml" Id="rId15" /><Relationship Type="http://schemas.openxmlformats.org/officeDocument/2006/relationships/image" Target="media/image3.png" Id="rId10" /><Relationship Type="http://schemas.openxmlformats.org/officeDocument/2006/relationships/webSettings" Target="webSettings.xml" Id="rId4" /><Relationship Type="http://schemas.openxmlformats.org/officeDocument/2006/relationships/image" Target="media/image2.png" Id="rId9" /><Relationship Type="http://schemas.openxmlformats.org/officeDocument/2006/relationships/image" Target="media/image7.png" Id="rId14" /><Relationship Type="http://schemas.openxmlformats.org/officeDocument/2006/relationships/hyperlink" Target="https://app.powerbigov.us/reportEmbed?reportId=cde407c2-bbdf-49e6-8dc5-d82aef4fa8b9&amp;autoAuth=true&amp;ctid=f345bebf-0d71-4337-9281-24b941616c36" TargetMode="External" Id="R2d907a8c500640d0"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919f10b5-46a7-4780-a1ad-301b55e1c1e4}" enabled="1" method="Privileged" siteId="{3667e201-cbdc-48b3-9b42-5d2d3f16e2a9}"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HDR, Inc.</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Hayes, Teresa</dc:creator>
  <keywords/>
  <dc:description/>
  <lastModifiedBy>Teresa Hayes</lastModifiedBy>
  <revision>94</revision>
  <dcterms:created xsi:type="dcterms:W3CDTF">2026-07-21T20:50:00.0000000Z</dcterms:created>
  <dcterms:modified xsi:type="dcterms:W3CDTF">2026-09-30T12:35:27.8674314Z</dcterms:modified>
</coreProperties>
</file>