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53F9EB23" w:rsidR="00792227" w:rsidRPr="002E0851" w:rsidRDefault="000A1879" w:rsidP="00744ECF">
      <w:pPr>
        <w:spacing w:after="0"/>
        <w:jc w:val="center"/>
        <w:rPr>
          <w:b/>
          <w:bCs/>
          <w:sz w:val="36"/>
          <w:szCs w:val="36"/>
        </w:rPr>
      </w:pPr>
      <w:r w:rsidRPr="002E0851">
        <w:rPr>
          <w:b/>
          <w:bCs/>
          <w:sz w:val="36"/>
          <w:szCs w:val="36"/>
        </w:rPr>
        <w:t>Procurement</w:t>
      </w:r>
      <w:r w:rsidR="00B708BD" w:rsidRPr="002E0851">
        <w:rPr>
          <w:b/>
          <w:bCs/>
          <w:sz w:val="36"/>
          <w:szCs w:val="36"/>
        </w:rPr>
        <w:t xml:space="preserve"> </w:t>
      </w:r>
      <w:r w:rsidR="005E6BFD">
        <w:rPr>
          <w:b/>
          <w:bCs/>
          <w:sz w:val="36"/>
          <w:szCs w:val="36"/>
        </w:rPr>
        <w:t>Contract Administration</w:t>
      </w:r>
      <w:r w:rsidR="0034371F" w:rsidRPr="002E0851">
        <w:rPr>
          <w:b/>
          <w:bCs/>
          <w:sz w:val="36"/>
          <w:szCs w:val="36"/>
        </w:rPr>
        <w:t xml:space="preserve"> Check</w:t>
      </w:r>
      <w:r w:rsidR="003A27C9">
        <w:rPr>
          <w:b/>
          <w:bCs/>
          <w:sz w:val="36"/>
          <w:szCs w:val="36"/>
        </w:rPr>
        <w:t xml:space="preserve"> L</w:t>
      </w:r>
      <w:r w:rsidR="0034371F" w:rsidRPr="002E0851">
        <w:rPr>
          <w:b/>
          <w:bCs/>
          <w:sz w:val="36"/>
          <w:szCs w:val="36"/>
        </w:rPr>
        <w:t>ist</w:t>
      </w:r>
    </w:p>
    <w:p w14:paraId="70DF11A3" w14:textId="77777777" w:rsidR="00686472" w:rsidRDefault="00686472" w:rsidP="00744ECF">
      <w:pPr>
        <w:spacing w:after="0"/>
        <w:jc w:val="center"/>
        <w:rPr>
          <w:sz w:val="12"/>
          <w:szCs w:val="12"/>
        </w:rPr>
      </w:pPr>
    </w:p>
    <w:tbl>
      <w:tblPr>
        <w:tblStyle w:val="TableGrid"/>
        <w:tblW w:w="0" w:type="auto"/>
        <w:tblInd w:w="-95" w:type="dxa"/>
        <w:tblLook w:val="04A0" w:firstRow="1" w:lastRow="0" w:firstColumn="1" w:lastColumn="0" w:noHBand="0" w:noVBand="1"/>
      </w:tblPr>
      <w:tblGrid>
        <w:gridCol w:w="2065"/>
        <w:gridCol w:w="7285"/>
      </w:tblGrid>
      <w:tr w:rsidR="000A1879" w:rsidRPr="00D8631A" w14:paraId="46B350DC" w14:textId="77777777" w:rsidTr="008155FB">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6A402C48" w:rsidR="000A1879" w:rsidRPr="000968CA" w:rsidRDefault="0047529A" w:rsidP="000A1879">
                <w:pPr>
                  <w:rPr>
                    <w:sz w:val="20"/>
                    <w:szCs w:val="20"/>
                  </w:rPr>
                </w:pPr>
                <w:r w:rsidRPr="006D41E1">
                  <w:rPr>
                    <w:rStyle w:val="PlaceholderText"/>
                  </w:rPr>
                  <w:t>Click or tap here to enter text.</w:t>
                </w:r>
              </w:p>
            </w:tc>
          </w:sdtContent>
        </w:sdt>
      </w:tr>
      <w:tr w:rsidR="00163B37" w:rsidRPr="000968CA" w14:paraId="235C3DAA" w14:textId="77777777" w:rsidTr="008155FB">
        <w:tc>
          <w:tcPr>
            <w:tcW w:w="2065" w:type="dxa"/>
          </w:tcPr>
          <w:p w14:paraId="3C2F3412" w14:textId="77777777" w:rsidR="00163B37" w:rsidRPr="00D8631A" w:rsidRDefault="00163B37" w:rsidP="005F19FF">
            <w:pPr>
              <w:rPr>
                <w:b/>
                <w:bCs/>
                <w:sz w:val="20"/>
                <w:szCs w:val="20"/>
              </w:rPr>
            </w:pPr>
            <w:r w:rsidRPr="00D8631A">
              <w:rPr>
                <w:b/>
                <w:bCs/>
                <w:sz w:val="20"/>
                <w:szCs w:val="20"/>
              </w:rPr>
              <w:t>Item to Procure:</w:t>
            </w:r>
          </w:p>
        </w:tc>
        <w:sdt>
          <w:sdtPr>
            <w:rPr>
              <w:sz w:val="20"/>
              <w:szCs w:val="20"/>
            </w:rPr>
            <w:id w:val="2145695092"/>
            <w:placeholder>
              <w:docPart w:val="03C453D23DB94F628B601CCE205BA481"/>
            </w:placeholder>
            <w:showingPlcHdr/>
            <w:text/>
          </w:sdtPr>
          <w:sdtContent>
            <w:tc>
              <w:tcPr>
                <w:tcW w:w="7285" w:type="dxa"/>
                <w:shd w:val="clear" w:color="auto" w:fill="DDD9C3" w:themeFill="background2" w:themeFillShade="E6"/>
              </w:tcPr>
              <w:p w14:paraId="79ED6583" w14:textId="77777777" w:rsidR="00163B37" w:rsidRPr="000968CA" w:rsidRDefault="00163B37" w:rsidP="005F19FF">
                <w:pPr>
                  <w:rPr>
                    <w:sz w:val="20"/>
                    <w:szCs w:val="20"/>
                  </w:rPr>
                </w:pPr>
                <w:r w:rsidRPr="006D41E1">
                  <w:rPr>
                    <w:rStyle w:val="PlaceholderText"/>
                  </w:rPr>
                  <w:t>Click or tap here to enter text.</w:t>
                </w:r>
              </w:p>
            </w:tc>
          </w:sdtContent>
        </w:sdt>
      </w:tr>
      <w:tr w:rsidR="002B2727" w:rsidRPr="00D8631A" w14:paraId="63586447" w14:textId="77777777" w:rsidTr="008155FB">
        <w:tc>
          <w:tcPr>
            <w:tcW w:w="2065" w:type="dxa"/>
          </w:tcPr>
          <w:p w14:paraId="23A06A46" w14:textId="2E787C07" w:rsidR="002B2727" w:rsidRPr="00D8631A" w:rsidRDefault="00163B37" w:rsidP="000A1879">
            <w:pPr>
              <w:rPr>
                <w:b/>
                <w:bCs/>
                <w:sz w:val="20"/>
                <w:szCs w:val="20"/>
              </w:rPr>
            </w:pPr>
            <w:r>
              <w:rPr>
                <w:b/>
                <w:bCs/>
                <w:sz w:val="20"/>
                <w:szCs w:val="20"/>
              </w:rPr>
              <w:t>Reviewed by</w:t>
            </w:r>
            <w:r w:rsidR="002B2727" w:rsidRPr="00D8631A">
              <w:rPr>
                <w:b/>
                <w:bCs/>
                <w:sz w:val="20"/>
                <w:szCs w:val="20"/>
              </w:rPr>
              <w:t>:</w:t>
            </w:r>
          </w:p>
        </w:tc>
        <w:sdt>
          <w:sdtPr>
            <w:rPr>
              <w:sz w:val="20"/>
              <w:szCs w:val="20"/>
            </w:rPr>
            <w:id w:val="-210120460"/>
            <w:placeholder>
              <w:docPart w:val="DefaultPlaceholder_-1854013440"/>
            </w:placeholder>
            <w:showingPlcHdr/>
            <w:text/>
          </w:sdtPr>
          <w:sdtContent>
            <w:tc>
              <w:tcPr>
                <w:tcW w:w="7285" w:type="dxa"/>
                <w:shd w:val="clear" w:color="auto" w:fill="DDD9C3" w:themeFill="background2" w:themeFillShade="E6"/>
              </w:tcPr>
              <w:p w14:paraId="5C19C2F0" w14:textId="21679951" w:rsidR="002B2727" w:rsidRPr="000968CA" w:rsidRDefault="0047529A" w:rsidP="000A1879">
                <w:pPr>
                  <w:rPr>
                    <w:sz w:val="20"/>
                    <w:szCs w:val="20"/>
                  </w:rPr>
                </w:pPr>
                <w:r w:rsidRPr="006D41E1">
                  <w:rPr>
                    <w:rStyle w:val="PlaceholderText"/>
                  </w:rPr>
                  <w:t>Click or tap here to enter text.</w:t>
                </w:r>
              </w:p>
            </w:tc>
          </w:sdtContent>
        </w:sdt>
      </w:tr>
      <w:tr w:rsidR="00891CF5" w:rsidRPr="00D8631A" w14:paraId="2411A297" w14:textId="77777777" w:rsidTr="008155FB">
        <w:tc>
          <w:tcPr>
            <w:tcW w:w="2065" w:type="dxa"/>
          </w:tcPr>
          <w:p w14:paraId="3916E536" w14:textId="7119CC7F" w:rsidR="00891CF5" w:rsidRPr="00D8631A" w:rsidRDefault="00891CF5" w:rsidP="000A1879">
            <w:pPr>
              <w:rPr>
                <w:b/>
                <w:bCs/>
                <w:sz w:val="20"/>
                <w:szCs w:val="20"/>
              </w:rPr>
            </w:pPr>
            <w:r>
              <w:rPr>
                <w:b/>
                <w:bCs/>
                <w:sz w:val="20"/>
                <w:szCs w:val="20"/>
              </w:rPr>
              <w:t>Date of Review</w:t>
            </w:r>
          </w:p>
        </w:tc>
        <w:sdt>
          <w:sdtPr>
            <w:rPr>
              <w:sz w:val="20"/>
              <w:szCs w:val="20"/>
            </w:rPr>
            <w:id w:val="-1836297822"/>
            <w:placeholder>
              <w:docPart w:val="DefaultPlaceholder_-1854013437"/>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3E642CA6" w14:textId="3FBA0993" w:rsidR="00891CF5" w:rsidRDefault="0047529A" w:rsidP="000A1879">
                <w:pPr>
                  <w:rPr>
                    <w:sz w:val="20"/>
                    <w:szCs w:val="20"/>
                  </w:rPr>
                </w:pPr>
                <w:r w:rsidRPr="0016596D">
                  <w:rPr>
                    <w:rStyle w:val="PlaceholderText"/>
                  </w:rPr>
                  <w:t>Click or tap to enter a date.</w:t>
                </w:r>
              </w:p>
            </w:tc>
          </w:sdtContent>
        </w:sdt>
      </w:tr>
    </w:tbl>
    <w:p w14:paraId="07AC07A6" w14:textId="57C88C72" w:rsidR="007E0069" w:rsidRDefault="007E0069" w:rsidP="00615540">
      <w:pPr>
        <w:spacing w:after="0" w:line="240" w:lineRule="auto"/>
        <w:rPr>
          <w:sz w:val="20"/>
          <w:szCs w:val="20"/>
        </w:rPr>
      </w:pPr>
    </w:p>
    <w:tbl>
      <w:tblPr>
        <w:tblStyle w:val="TableGrid"/>
        <w:tblpPr w:leftFromText="180" w:rightFromText="180" w:vertAnchor="text" w:tblpX="105" w:tblpY="1"/>
        <w:tblOverlap w:val="never"/>
        <w:tblW w:w="14248" w:type="dxa"/>
        <w:tblLayout w:type="fixed"/>
        <w:tblLook w:val="04A0" w:firstRow="1" w:lastRow="0" w:firstColumn="1" w:lastColumn="0" w:noHBand="0" w:noVBand="1"/>
      </w:tblPr>
      <w:tblGrid>
        <w:gridCol w:w="1795"/>
        <w:gridCol w:w="7200"/>
        <w:gridCol w:w="270"/>
        <w:gridCol w:w="270"/>
        <w:gridCol w:w="270"/>
        <w:gridCol w:w="1170"/>
        <w:gridCol w:w="2013"/>
        <w:gridCol w:w="1260"/>
      </w:tblGrid>
      <w:tr w:rsidR="00287032" w:rsidRPr="007042CD" w14:paraId="65759912" w14:textId="77777777" w:rsidTr="002921E3">
        <w:trPr>
          <w:trHeight w:val="656"/>
          <w:tblHeader/>
        </w:trPr>
        <w:tc>
          <w:tcPr>
            <w:tcW w:w="1795" w:type="dxa"/>
            <w:shd w:val="clear" w:color="auto" w:fill="B8CCE4" w:themeFill="accent1" w:themeFillTint="66"/>
            <w:vAlign w:val="center"/>
          </w:tcPr>
          <w:p w14:paraId="3B5F933E" w14:textId="2C0D98F7" w:rsidR="006E2C03" w:rsidRPr="00FA7BA8" w:rsidRDefault="006E2C03" w:rsidP="00A43650">
            <w:pPr>
              <w:jc w:val="center"/>
              <w:rPr>
                <w:b/>
                <w:bCs/>
                <w:sz w:val="18"/>
                <w:szCs w:val="18"/>
              </w:rPr>
            </w:pPr>
            <w:r w:rsidRPr="00FA7BA8">
              <w:rPr>
                <w:b/>
                <w:bCs/>
                <w:i/>
                <w:iCs/>
                <w:sz w:val="18"/>
                <w:szCs w:val="18"/>
              </w:rPr>
              <w:t>Regulation</w:t>
            </w:r>
          </w:p>
        </w:tc>
        <w:tc>
          <w:tcPr>
            <w:tcW w:w="7200" w:type="dxa"/>
            <w:shd w:val="clear" w:color="auto" w:fill="B8CCE4" w:themeFill="accent1" w:themeFillTint="66"/>
            <w:vAlign w:val="center"/>
          </w:tcPr>
          <w:p w14:paraId="316D42CE" w14:textId="35D15967" w:rsidR="006E2C03" w:rsidRPr="007042CD" w:rsidRDefault="006E2C03" w:rsidP="00A43650">
            <w:pPr>
              <w:rPr>
                <w:sz w:val="18"/>
                <w:szCs w:val="18"/>
              </w:rPr>
            </w:pPr>
          </w:p>
        </w:tc>
        <w:tc>
          <w:tcPr>
            <w:tcW w:w="270" w:type="dxa"/>
            <w:shd w:val="clear" w:color="auto" w:fill="B8CCE4" w:themeFill="accent1" w:themeFillTint="66"/>
            <w:textDirection w:val="btLr"/>
            <w:vAlign w:val="center"/>
          </w:tcPr>
          <w:p w14:paraId="39E3FBF8" w14:textId="4E86C177" w:rsidR="006E2C03" w:rsidRPr="004608B8" w:rsidRDefault="006E2C03" w:rsidP="00A43650">
            <w:pPr>
              <w:jc w:val="center"/>
              <w:rPr>
                <w:b/>
                <w:bCs/>
                <w:i/>
                <w:iCs/>
                <w:sz w:val="12"/>
                <w:szCs w:val="12"/>
              </w:rPr>
            </w:pPr>
            <w:r>
              <w:rPr>
                <w:b/>
                <w:bCs/>
                <w:i/>
                <w:iCs/>
                <w:sz w:val="12"/>
                <w:szCs w:val="12"/>
              </w:rPr>
              <w:t>Statewide</w:t>
            </w:r>
          </w:p>
        </w:tc>
        <w:tc>
          <w:tcPr>
            <w:tcW w:w="270" w:type="dxa"/>
            <w:shd w:val="clear" w:color="auto" w:fill="B8CCE4" w:themeFill="accent1" w:themeFillTint="66"/>
            <w:textDirection w:val="btLr"/>
            <w:vAlign w:val="center"/>
          </w:tcPr>
          <w:p w14:paraId="7A46322E" w14:textId="22B8C028" w:rsidR="006E2C03" w:rsidRPr="004608B8" w:rsidRDefault="006E2C03" w:rsidP="00A43650">
            <w:pPr>
              <w:jc w:val="center"/>
              <w:rPr>
                <w:b/>
                <w:bCs/>
                <w:i/>
                <w:iCs/>
                <w:sz w:val="12"/>
                <w:szCs w:val="12"/>
              </w:rPr>
            </w:pPr>
            <w:r w:rsidRPr="0088140E">
              <w:rPr>
                <w:b/>
                <w:bCs/>
                <w:i/>
                <w:iCs/>
                <w:sz w:val="12"/>
                <w:szCs w:val="12"/>
              </w:rPr>
              <w:t>Sol</w:t>
            </w:r>
            <w:r>
              <w:rPr>
                <w:b/>
                <w:bCs/>
                <w:i/>
                <w:iCs/>
                <w:sz w:val="12"/>
                <w:szCs w:val="12"/>
              </w:rPr>
              <w:t xml:space="preserve">e </w:t>
            </w:r>
            <w:r w:rsidRPr="0088140E">
              <w:rPr>
                <w:b/>
                <w:bCs/>
                <w:i/>
                <w:iCs/>
                <w:sz w:val="12"/>
                <w:szCs w:val="12"/>
              </w:rPr>
              <w:t>Source</w:t>
            </w:r>
          </w:p>
        </w:tc>
        <w:tc>
          <w:tcPr>
            <w:tcW w:w="270" w:type="dxa"/>
            <w:shd w:val="clear" w:color="auto" w:fill="B8CCE4" w:themeFill="accent1" w:themeFillTint="66"/>
            <w:textDirection w:val="btLr"/>
            <w:vAlign w:val="center"/>
          </w:tcPr>
          <w:p w14:paraId="6AE044EA" w14:textId="24B094C7" w:rsidR="006E2C03" w:rsidRPr="004608B8" w:rsidRDefault="006E2C03" w:rsidP="00A43650">
            <w:pPr>
              <w:jc w:val="center"/>
              <w:rPr>
                <w:b/>
                <w:bCs/>
                <w:i/>
                <w:iCs/>
                <w:sz w:val="12"/>
                <w:szCs w:val="12"/>
              </w:rPr>
            </w:pPr>
            <w:r w:rsidRPr="0088140E">
              <w:rPr>
                <w:b/>
                <w:bCs/>
                <w:i/>
                <w:iCs/>
                <w:sz w:val="12"/>
                <w:szCs w:val="12"/>
              </w:rPr>
              <w:t>Small</w:t>
            </w:r>
          </w:p>
        </w:tc>
        <w:tc>
          <w:tcPr>
            <w:tcW w:w="1170" w:type="dxa"/>
            <w:shd w:val="clear" w:color="auto" w:fill="B8CCE4" w:themeFill="accent1" w:themeFillTint="66"/>
            <w:vAlign w:val="center"/>
          </w:tcPr>
          <w:p w14:paraId="47A8A14B" w14:textId="24C9C03A" w:rsidR="006E2C03" w:rsidRPr="007042CD" w:rsidRDefault="006E2C03" w:rsidP="00A43650">
            <w:pPr>
              <w:jc w:val="center"/>
              <w:rPr>
                <w:b/>
                <w:bCs/>
                <w:sz w:val="18"/>
                <w:szCs w:val="18"/>
              </w:rPr>
            </w:pPr>
            <w:r w:rsidRPr="0074000A">
              <w:rPr>
                <w:b/>
                <w:bCs/>
                <w:i/>
                <w:iCs/>
                <w:sz w:val="16"/>
                <w:szCs w:val="16"/>
              </w:rPr>
              <w:t>Element Required</w:t>
            </w:r>
          </w:p>
        </w:tc>
        <w:tc>
          <w:tcPr>
            <w:tcW w:w="2013" w:type="dxa"/>
            <w:shd w:val="clear" w:color="auto" w:fill="B8CCE4" w:themeFill="accent1" w:themeFillTint="66"/>
            <w:vAlign w:val="center"/>
          </w:tcPr>
          <w:p w14:paraId="599F6BDC" w14:textId="09F5E58E" w:rsidR="006E2C03" w:rsidRPr="007042CD" w:rsidRDefault="006E2C03" w:rsidP="00A43650">
            <w:pPr>
              <w:jc w:val="center"/>
              <w:rPr>
                <w:b/>
                <w:bCs/>
                <w:sz w:val="18"/>
                <w:szCs w:val="18"/>
              </w:rPr>
            </w:pPr>
            <w:r w:rsidRPr="0074000A">
              <w:rPr>
                <w:b/>
                <w:bCs/>
                <w:i/>
                <w:iCs/>
                <w:sz w:val="16"/>
                <w:szCs w:val="16"/>
              </w:rPr>
              <w:t>Element Documentation Location &amp;/or Explanation, if required</w:t>
            </w:r>
          </w:p>
        </w:tc>
        <w:tc>
          <w:tcPr>
            <w:tcW w:w="1260" w:type="dxa"/>
            <w:shd w:val="clear" w:color="auto" w:fill="B8CCE4" w:themeFill="accent1" w:themeFillTint="66"/>
            <w:vAlign w:val="center"/>
          </w:tcPr>
          <w:p w14:paraId="2B408686" w14:textId="3B7D1472" w:rsidR="006E2C03" w:rsidRPr="007042CD" w:rsidRDefault="006E2C03" w:rsidP="00A43650">
            <w:pPr>
              <w:jc w:val="center"/>
              <w:rPr>
                <w:b/>
                <w:bCs/>
                <w:sz w:val="18"/>
                <w:szCs w:val="18"/>
              </w:rPr>
            </w:pPr>
            <w:r w:rsidRPr="0074000A">
              <w:rPr>
                <w:b/>
                <w:bCs/>
                <w:i/>
                <w:iCs/>
                <w:sz w:val="16"/>
                <w:szCs w:val="16"/>
              </w:rPr>
              <w:t>TDOT Confirm</w:t>
            </w:r>
            <w:r>
              <w:rPr>
                <w:b/>
                <w:bCs/>
                <w:i/>
                <w:iCs/>
                <w:sz w:val="16"/>
                <w:szCs w:val="16"/>
              </w:rPr>
              <w:t>ation</w:t>
            </w:r>
          </w:p>
        </w:tc>
      </w:tr>
      <w:tr w:rsidR="008D5A48" w:rsidRPr="007042CD" w14:paraId="3D477444" w14:textId="77777777" w:rsidTr="00A43650">
        <w:tc>
          <w:tcPr>
            <w:tcW w:w="1795" w:type="dxa"/>
            <w:shd w:val="clear" w:color="auto" w:fill="E5B8B7" w:themeFill="accent2" w:themeFillTint="66"/>
          </w:tcPr>
          <w:p w14:paraId="46CB0064" w14:textId="59990D55" w:rsidR="006E2C03" w:rsidRPr="00DE0531" w:rsidRDefault="00924FFE" w:rsidP="00A43650">
            <w:pPr>
              <w:jc w:val="center"/>
              <w:rPr>
                <w:b/>
                <w:bCs/>
                <w:sz w:val="14"/>
                <w:szCs w:val="14"/>
              </w:rPr>
            </w:pPr>
            <w:r w:rsidRPr="00DE0531">
              <w:rPr>
                <w:b/>
                <w:bCs/>
                <w:sz w:val="14"/>
                <w:szCs w:val="14"/>
              </w:rPr>
              <w:t>4220.1F.VI</w:t>
            </w:r>
            <w:r w:rsidR="00825782">
              <w:rPr>
                <w:b/>
                <w:bCs/>
                <w:sz w:val="14"/>
                <w:szCs w:val="14"/>
              </w:rPr>
              <w:t>I</w:t>
            </w:r>
          </w:p>
        </w:tc>
        <w:tc>
          <w:tcPr>
            <w:tcW w:w="12453" w:type="dxa"/>
            <w:gridSpan w:val="7"/>
            <w:shd w:val="clear" w:color="auto" w:fill="E5B8B7" w:themeFill="accent2" w:themeFillTint="66"/>
          </w:tcPr>
          <w:p w14:paraId="5544FB72" w14:textId="1A0085CF" w:rsidR="006E2C03" w:rsidRDefault="005E6BFD" w:rsidP="00A43650">
            <w:pPr>
              <w:rPr>
                <w:b/>
                <w:bCs/>
                <w:sz w:val="18"/>
                <w:szCs w:val="18"/>
              </w:rPr>
            </w:pPr>
            <w:r>
              <w:rPr>
                <w:b/>
                <w:bCs/>
                <w:sz w:val="18"/>
                <w:szCs w:val="18"/>
              </w:rPr>
              <w:t>Contract Administration</w:t>
            </w:r>
          </w:p>
          <w:p w14:paraId="181B22F0" w14:textId="77777777" w:rsidR="00634780" w:rsidRDefault="00634780" w:rsidP="00A43650">
            <w:pPr>
              <w:rPr>
                <w:b/>
                <w:bCs/>
                <w:sz w:val="18"/>
                <w:szCs w:val="18"/>
              </w:rPr>
            </w:pPr>
          </w:p>
        </w:tc>
      </w:tr>
      <w:tr w:rsidR="00804CAF" w14:paraId="334211FB" w14:textId="77777777" w:rsidTr="00A43650">
        <w:tc>
          <w:tcPr>
            <w:tcW w:w="1795" w:type="dxa"/>
            <w:shd w:val="clear" w:color="auto" w:fill="CCC0D9" w:themeFill="accent4" w:themeFillTint="66"/>
          </w:tcPr>
          <w:p w14:paraId="44B73469" w14:textId="35DC5A35" w:rsidR="00722748" w:rsidRPr="00D43558" w:rsidRDefault="00722748" w:rsidP="00A43650">
            <w:pPr>
              <w:jc w:val="center"/>
              <w:rPr>
                <w:b/>
                <w:bCs/>
                <w:sz w:val="14"/>
                <w:szCs w:val="14"/>
              </w:rPr>
            </w:pPr>
            <w:r w:rsidRPr="007D68FC">
              <w:rPr>
                <w:b/>
                <w:bCs/>
                <w:sz w:val="14"/>
                <w:szCs w:val="14"/>
              </w:rPr>
              <w:t>4220.1F.IV.2.e.</w:t>
            </w:r>
          </w:p>
        </w:tc>
        <w:tc>
          <w:tcPr>
            <w:tcW w:w="12453" w:type="dxa"/>
            <w:gridSpan w:val="7"/>
            <w:shd w:val="clear" w:color="auto" w:fill="CCC0D9" w:themeFill="accent4" w:themeFillTint="66"/>
          </w:tcPr>
          <w:p w14:paraId="617D64D0" w14:textId="024EA2FA" w:rsidR="00722748" w:rsidRDefault="00722748" w:rsidP="00A43650">
            <w:pPr>
              <w:rPr>
                <w:b/>
                <w:bCs/>
                <w:sz w:val="18"/>
                <w:szCs w:val="18"/>
              </w:rPr>
            </w:pPr>
            <w:r>
              <w:rPr>
                <w:b/>
                <w:bCs/>
                <w:sz w:val="18"/>
                <w:szCs w:val="18"/>
              </w:rPr>
              <w:t xml:space="preserve">355 </w:t>
            </w:r>
            <w:r w:rsidRPr="00845C4F">
              <w:rPr>
                <w:b/>
                <w:bCs/>
                <w:sz w:val="18"/>
                <w:szCs w:val="18"/>
              </w:rPr>
              <w:t>Rolling Stock</w:t>
            </w:r>
            <w:r w:rsidR="008F0E10">
              <w:rPr>
                <w:b/>
                <w:bCs/>
                <w:sz w:val="18"/>
                <w:szCs w:val="18"/>
              </w:rPr>
              <w:t xml:space="preserve"> – Part </w:t>
            </w:r>
            <w:r w:rsidR="00A36F2B">
              <w:rPr>
                <w:b/>
                <w:bCs/>
                <w:sz w:val="18"/>
                <w:szCs w:val="18"/>
              </w:rPr>
              <w:t>3</w:t>
            </w:r>
          </w:p>
          <w:p w14:paraId="4362757D" w14:textId="77777777" w:rsidR="00722748" w:rsidRDefault="00722748" w:rsidP="00A43650">
            <w:pPr>
              <w:rPr>
                <w:b/>
                <w:bCs/>
                <w:sz w:val="18"/>
                <w:szCs w:val="18"/>
              </w:rPr>
            </w:pPr>
          </w:p>
        </w:tc>
      </w:tr>
      <w:tr w:rsidR="00804CAF" w14:paraId="129BCF4C" w14:textId="77777777" w:rsidTr="00A43650">
        <w:tc>
          <w:tcPr>
            <w:tcW w:w="1795" w:type="dxa"/>
            <w:shd w:val="clear" w:color="auto" w:fill="D6E3BC" w:themeFill="accent3" w:themeFillTint="66"/>
          </w:tcPr>
          <w:p w14:paraId="08B88E4C" w14:textId="22917D4B" w:rsidR="00722748" w:rsidRPr="00D43558" w:rsidRDefault="00722748" w:rsidP="00A43650">
            <w:pPr>
              <w:jc w:val="center"/>
              <w:rPr>
                <w:b/>
                <w:bCs/>
                <w:sz w:val="14"/>
                <w:szCs w:val="14"/>
              </w:rPr>
            </w:pPr>
            <w:r w:rsidRPr="00DE0531">
              <w:rPr>
                <w:b/>
                <w:bCs/>
                <w:sz w:val="14"/>
                <w:szCs w:val="14"/>
              </w:rPr>
              <w:t>4220.1F.IV.2.e.</w:t>
            </w:r>
          </w:p>
        </w:tc>
        <w:tc>
          <w:tcPr>
            <w:tcW w:w="12453" w:type="dxa"/>
            <w:gridSpan w:val="7"/>
            <w:shd w:val="clear" w:color="auto" w:fill="D6E3BC" w:themeFill="accent3" w:themeFillTint="66"/>
          </w:tcPr>
          <w:p w14:paraId="42807825" w14:textId="77777777" w:rsidR="00722748" w:rsidRDefault="00722748" w:rsidP="00A43650">
            <w:pPr>
              <w:rPr>
                <w:b/>
                <w:bCs/>
                <w:sz w:val="18"/>
                <w:szCs w:val="18"/>
              </w:rPr>
            </w:pPr>
            <w:r w:rsidRPr="00845C4F">
              <w:rPr>
                <w:b/>
                <w:bCs/>
                <w:sz w:val="18"/>
                <w:szCs w:val="18"/>
              </w:rPr>
              <w:t>Rolling Stock</w:t>
            </w:r>
          </w:p>
          <w:p w14:paraId="2B37B15C" w14:textId="77777777" w:rsidR="00722748" w:rsidRDefault="00722748" w:rsidP="00A43650">
            <w:pPr>
              <w:rPr>
                <w:b/>
                <w:bCs/>
                <w:sz w:val="18"/>
                <w:szCs w:val="18"/>
              </w:rPr>
            </w:pPr>
          </w:p>
        </w:tc>
      </w:tr>
      <w:tr w:rsidR="00B40046" w:rsidRPr="007042CD" w14:paraId="78E81197" w14:textId="77777777" w:rsidTr="002921E3">
        <w:tc>
          <w:tcPr>
            <w:tcW w:w="1795" w:type="dxa"/>
          </w:tcPr>
          <w:p w14:paraId="432FFFC3" w14:textId="77777777" w:rsidR="00160231" w:rsidRPr="00DE0531" w:rsidRDefault="00160231" w:rsidP="00A43650">
            <w:pPr>
              <w:jc w:val="center"/>
              <w:rPr>
                <w:b/>
                <w:bCs/>
                <w:sz w:val="14"/>
                <w:szCs w:val="14"/>
              </w:rPr>
            </w:pPr>
            <w:r w:rsidRPr="00DE0531">
              <w:rPr>
                <w:b/>
                <w:bCs/>
                <w:sz w:val="14"/>
                <w:szCs w:val="14"/>
              </w:rPr>
              <w:t>4220.1F.IV.2.e.(2)</w:t>
            </w:r>
          </w:p>
          <w:p w14:paraId="4C8CCF6D" w14:textId="2373A1C0" w:rsidR="00160231" w:rsidRPr="007D68FC" w:rsidRDefault="00160231" w:rsidP="00A43650">
            <w:pPr>
              <w:jc w:val="center"/>
              <w:rPr>
                <w:b/>
                <w:bCs/>
                <w:sz w:val="14"/>
                <w:szCs w:val="14"/>
              </w:rPr>
            </w:pPr>
            <w:r w:rsidRPr="00DE0531">
              <w:rPr>
                <w:b/>
                <w:bCs/>
                <w:sz w:val="14"/>
                <w:szCs w:val="14"/>
              </w:rPr>
              <w:t xml:space="preserve">49 CFR </w:t>
            </w:r>
            <w:r w:rsidRPr="00DE0531">
              <w:rPr>
                <w:rFonts w:ascii="Segoe UI Emoji" w:hAnsi="Segoe UI Emoji"/>
                <w:b/>
                <w:bCs/>
                <w:sz w:val="14"/>
                <w:szCs w:val="14"/>
              </w:rPr>
              <w:t>§</w:t>
            </w:r>
            <w:r w:rsidRPr="00DE0531">
              <w:rPr>
                <w:b/>
                <w:bCs/>
                <w:sz w:val="14"/>
                <w:szCs w:val="14"/>
              </w:rPr>
              <w:t>26.49</w:t>
            </w:r>
          </w:p>
        </w:tc>
        <w:tc>
          <w:tcPr>
            <w:tcW w:w="7200" w:type="dxa"/>
          </w:tcPr>
          <w:p w14:paraId="26110849" w14:textId="77777777" w:rsidR="00160231" w:rsidRDefault="00160231" w:rsidP="00A43650">
            <w:pPr>
              <w:rPr>
                <w:b/>
                <w:bCs/>
                <w:sz w:val="18"/>
                <w:szCs w:val="18"/>
              </w:rPr>
            </w:pPr>
            <w:r>
              <w:rPr>
                <w:b/>
                <w:bCs/>
                <w:sz w:val="18"/>
                <w:szCs w:val="18"/>
              </w:rPr>
              <w:t xml:space="preserve">Post-Delivery </w:t>
            </w:r>
            <w:r w:rsidRPr="007042CD">
              <w:rPr>
                <w:b/>
                <w:bCs/>
                <w:sz w:val="18"/>
                <w:szCs w:val="18"/>
              </w:rPr>
              <w:t xml:space="preserve">Transit Vehicle Manufacturer </w:t>
            </w:r>
            <w:r>
              <w:rPr>
                <w:b/>
                <w:bCs/>
                <w:sz w:val="18"/>
                <w:szCs w:val="18"/>
              </w:rPr>
              <w:t>(TVM) FMVSS Self Certification</w:t>
            </w:r>
          </w:p>
          <w:p w14:paraId="7677A192" w14:textId="77777777" w:rsidR="00160231" w:rsidRPr="00FE391C" w:rsidRDefault="00160231" w:rsidP="00A43650">
            <w:pPr>
              <w:pStyle w:val="ListParagraph"/>
              <w:numPr>
                <w:ilvl w:val="0"/>
                <w:numId w:val="42"/>
              </w:numPr>
              <w:rPr>
                <w:sz w:val="18"/>
                <w:szCs w:val="18"/>
              </w:rPr>
            </w:pPr>
            <w:r w:rsidRPr="00FE391C">
              <w:rPr>
                <w:sz w:val="18"/>
                <w:szCs w:val="18"/>
              </w:rPr>
              <w:t xml:space="preserve">Upon delivery of vehicle but before the earlier of transfer of title or putting the vehicle into revenue service, the recipient must retrieve a copy of the transit Vehicle Manufacturer (TVM) self certification that it has complied with the FTA’s DBE </w:t>
            </w:r>
            <w:r>
              <w:rPr>
                <w:sz w:val="18"/>
                <w:szCs w:val="18"/>
              </w:rPr>
              <w:t xml:space="preserve">and safety </w:t>
            </w:r>
            <w:r w:rsidRPr="00FE391C">
              <w:rPr>
                <w:sz w:val="18"/>
                <w:szCs w:val="18"/>
              </w:rPr>
              <w:t>requirements.  Used for the required recipient certification.</w:t>
            </w:r>
          </w:p>
          <w:p w14:paraId="50FE5D27" w14:textId="77777777" w:rsidR="00160231" w:rsidRPr="007042CD" w:rsidRDefault="00160231" w:rsidP="00A43650">
            <w:pPr>
              <w:rPr>
                <w:b/>
                <w:bCs/>
                <w:sz w:val="18"/>
                <w:szCs w:val="18"/>
              </w:rPr>
            </w:pPr>
          </w:p>
        </w:tc>
        <w:tc>
          <w:tcPr>
            <w:tcW w:w="270" w:type="dxa"/>
            <w:shd w:val="clear" w:color="auto" w:fill="BFBFBF" w:themeFill="background1" w:themeFillShade="BF"/>
            <w:vAlign w:val="center"/>
          </w:tcPr>
          <w:p w14:paraId="49488D84" w14:textId="77777777" w:rsidR="00160231" w:rsidRPr="007042CD" w:rsidRDefault="00160231" w:rsidP="00A43650">
            <w:pPr>
              <w:jc w:val="center"/>
              <w:rPr>
                <w:sz w:val="18"/>
                <w:szCs w:val="18"/>
              </w:rPr>
            </w:pPr>
          </w:p>
        </w:tc>
        <w:tc>
          <w:tcPr>
            <w:tcW w:w="270" w:type="dxa"/>
            <w:shd w:val="clear" w:color="auto" w:fill="BFBFBF" w:themeFill="background1" w:themeFillShade="BF"/>
            <w:vAlign w:val="center"/>
          </w:tcPr>
          <w:p w14:paraId="7F69CD74" w14:textId="77777777" w:rsidR="00160231" w:rsidRPr="007042CD" w:rsidRDefault="00160231" w:rsidP="00A43650">
            <w:pPr>
              <w:jc w:val="center"/>
              <w:rPr>
                <w:sz w:val="18"/>
                <w:szCs w:val="18"/>
              </w:rPr>
            </w:pPr>
          </w:p>
        </w:tc>
        <w:tc>
          <w:tcPr>
            <w:tcW w:w="270" w:type="dxa"/>
            <w:shd w:val="clear" w:color="auto" w:fill="BFBFBF" w:themeFill="background1" w:themeFillShade="BF"/>
            <w:vAlign w:val="center"/>
          </w:tcPr>
          <w:p w14:paraId="18FBC671" w14:textId="77777777" w:rsidR="00160231" w:rsidRPr="007042CD" w:rsidRDefault="00160231" w:rsidP="00A43650">
            <w:pPr>
              <w:jc w:val="center"/>
              <w:rPr>
                <w:sz w:val="18"/>
                <w:szCs w:val="18"/>
              </w:rPr>
            </w:pPr>
          </w:p>
        </w:tc>
        <w:tc>
          <w:tcPr>
            <w:tcW w:w="1170" w:type="dxa"/>
            <w:vAlign w:val="center"/>
          </w:tcPr>
          <w:p w14:paraId="0DF894BA" w14:textId="77777777" w:rsidR="00160231" w:rsidRPr="007042CD" w:rsidRDefault="00160231" w:rsidP="00A43650">
            <w:pPr>
              <w:jc w:val="center"/>
              <w:rPr>
                <w:sz w:val="18"/>
                <w:szCs w:val="18"/>
              </w:rPr>
            </w:pPr>
          </w:p>
        </w:tc>
        <w:tc>
          <w:tcPr>
            <w:tcW w:w="2013" w:type="dxa"/>
            <w:vAlign w:val="center"/>
          </w:tcPr>
          <w:p w14:paraId="146E557A" w14:textId="77777777" w:rsidR="00160231" w:rsidRPr="007042CD" w:rsidRDefault="00160231" w:rsidP="00A43650">
            <w:pPr>
              <w:jc w:val="center"/>
              <w:rPr>
                <w:sz w:val="18"/>
                <w:szCs w:val="18"/>
              </w:rPr>
            </w:pPr>
          </w:p>
        </w:tc>
        <w:tc>
          <w:tcPr>
            <w:tcW w:w="1260" w:type="dxa"/>
            <w:vAlign w:val="center"/>
          </w:tcPr>
          <w:p w14:paraId="67D1DBBF" w14:textId="77777777" w:rsidR="00160231" w:rsidRPr="007042CD" w:rsidRDefault="00160231" w:rsidP="00A43650">
            <w:pPr>
              <w:jc w:val="center"/>
              <w:rPr>
                <w:sz w:val="18"/>
                <w:szCs w:val="18"/>
              </w:rPr>
            </w:pPr>
          </w:p>
        </w:tc>
      </w:tr>
      <w:tr w:rsidR="00B40046" w:rsidRPr="007042CD" w14:paraId="380E5DB4" w14:textId="77777777" w:rsidTr="002921E3">
        <w:tc>
          <w:tcPr>
            <w:tcW w:w="1795" w:type="dxa"/>
          </w:tcPr>
          <w:p w14:paraId="667E6210" w14:textId="77777777" w:rsidR="00160231" w:rsidRPr="00DE0531" w:rsidRDefault="00160231" w:rsidP="00A43650">
            <w:pPr>
              <w:jc w:val="center"/>
              <w:rPr>
                <w:b/>
                <w:bCs/>
                <w:sz w:val="14"/>
                <w:szCs w:val="14"/>
              </w:rPr>
            </w:pPr>
            <w:r w:rsidRPr="00DE0531">
              <w:rPr>
                <w:b/>
                <w:bCs/>
                <w:sz w:val="14"/>
                <w:szCs w:val="14"/>
              </w:rPr>
              <w:t>4220.1F.IV.2.e.(6)</w:t>
            </w:r>
          </w:p>
          <w:p w14:paraId="1984DBC1" w14:textId="77777777" w:rsidR="00160231" w:rsidRPr="00DE0531" w:rsidRDefault="00160231" w:rsidP="00A43650">
            <w:pPr>
              <w:jc w:val="center"/>
              <w:rPr>
                <w:b/>
                <w:bCs/>
                <w:sz w:val="14"/>
                <w:szCs w:val="14"/>
              </w:rPr>
            </w:pPr>
            <w:r w:rsidRPr="00DE0531">
              <w:rPr>
                <w:b/>
                <w:bCs/>
                <w:sz w:val="14"/>
                <w:szCs w:val="14"/>
              </w:rPr>
              <w:t>49 USC §5323(m)</w:t>
            </w:r>
          </w:p>
          <w:p w14:paraId="79F7BA93" w14:textId="18EF29B9" w:rsidR="00160231" w:rsidRPr="007D68FC" w:rsidRDefault="00160231" w:rsidP="00A43650">
            <w:pPr>
              <w:jc w:val="center"/>
              <w:rPr>
                <w:b/>
                <w:bCs/>
                <w:sz w:val="14"/>
                <w:szCs w:val="14"/>
              </w:rPr>
            </w:pPr>
            <w:r w:rsidRPr="00DE0531">
              <w:rPr>
                <w:b/>
                <w:bCs/>
                <w:sz w:val="14"/>
                <w:szCs w:val="14"/>
              </w:rPr>
              <w:t>49 CFR Part 663</w:t>
            </w:r>
          </w:p>
        </w:tc>
        <w:tc>
          <w:tcPr>
            <w:tcW w:w="7200" w:type="dxa"/>
          </w:tcPr>
          <w:p w14:paraId="2A2050EF" w14:textId="77777777" w:rsidR="00160231" w:rsidRDefault="00160231" w:rsidP="00A43650">
            <w:pPr>
              <w:rPr>
                <w:sz w:val="18"/>
                <w:szCs w:val="18"/>
              </w:rPr>
            </w:pPr>
            <w:r>
              <w:rPr>
                <w:b/>
                <w:bCs/>
                <w:sz w:val="18"/>
                <w:szCs w:val="18"/>
              </w:rPr>
              <w:t>Post-Delivery Buy America Documentation from Manufacturer</w:t>
            </w:r>
          </w:p>
          <w:p w14:paraId="34CDB98A" w14:textId="77777777" w:rsidR="00160231" w:rsidRPr="00FE391C" w:rsidRDefault="00160231" w:rsidP="00A43650">
            <w:pPr>
              <w:pStyle w:val="ListParagraph"/>
              <w:numPr>
                <w:ilvl w:val="0"/>
                <w:numId w:val="42"/>
              </w:numPr>
              <w:rPr>
                <w:sz w:val="18"/>
                <w:szCs w:val="18"/>
              </w:rPr>
            </w:pPr>
            <w:r w:rsidRPr="00FE391C">
              <w:rPr>
                <w:sz w:val="18"/>
                <w:szCs w:val="18"/>
              </w:rPr>
              <w:t xml:space="preserve">Before transfer of title, documentation that lists Component and subcomponent parts identified by manufacturer of parts of rolling stock to be purchased, their country of origin and costs, and </w:t>
            </w:r>
            <w:r>
              <w:rPr>
                <w:sz w:val="18"/>
                <w:szCs w:val="18"/>
              </w:rPr>
              <w:t>t</w:t>
            </w:r>
            <w:r w:rsidRPr="00FE391C">
              <w:rPr>
                <w:sz w:val="18"/>
                <w:szCs w:val="18"/>
              </w:rPr>
              <w:t>he location of the final assembly point with a description of the activities that will take place at the final assembly point and the cost of final assembly.  Used for the required recipient certification.</w:t>
            </w:r>
          </w:p>
          <w:p w14:paraId="2FBD88D2" w14:textId="77777777" w:rsidR="00160231" w:rsidRPr="007042CD" w:rsidRDefault="00160231" w:rsidP="00A43650">
            <w:pPr>
              <w:rPr>
                <w:b/>
                <w:bCs/>
                <w:sz w:val="18"/>
                <w:szCs w:val="18"/>
              </w:rPr>
            </w:pPr>
          </w:p>
        </w:tc>
        <w:tc>
          <w:tcPr>
            <w:tcW w:w="270" w:type="dxa"/>
            <w:shd w:val="clear" w:color="auto" w:fill="BFBFBF" w:themeFill="background1" w:themeFillShade="BF"/>
            <w:vAlign w:val="center"/>
          </w:tcPr>
          <w:p w14:paraId="1536BE07" w14:textId="77777777" w:rsidR="00160231" w:rsidRPr="007042CD" w:rsidRDefault="00160231" w:rsidP="00A43650">
            <w:pPr>
              <w:jc w:val="center"/>
              <w:rPr>
                <w:sz w:val="18"/>
                <w:szCs w:val="18"/>
              </w:rPr>
            </w:pPr>
          </w:p>
        </w:tc>
        <w:tc>
          <w:tcPr>
            <w:tcW w:w="270" w:type="dxa"/>
            <w:shd w:val="clear" w:color="auto" w:fill="BFBFBF" w:themeFill="background1" w:themeFillShade="BF"/>
            <w:vAlign w:val="center"/>
          </w:tcPr>
          <w:p w14:paraId="7024CEEF" w14:textId="77777777" w:rsidR="00160231" w:rsidRPr="007042CD" w:rsidRDefault="00160231" w:rsidP="00A43650">
            <w:pPr>
              <w:jc w:val="center"/>
              <w:rPr>
                <w:sz w:val="18"/>
                <w:szCs w:val="18"/>
              </w:rPr>
            </w:pPr>
          </w:p>
        </w:tc>
        <w:tc>
          <w:tcPr>
            <w:tcW w:w="270" w:type="dxa"/>
            <w:shd w:val="clear" w:color="auto" w:fill="BFBFBF" w:themeFill="background1" w:themeFillShade="BF"/>
            <w:vAlign w:val="center"/>
          </w:tcPr>
          <w:p w14:paraId="4F239019" w14:textId="77777777" w:rsidR="00160231" w:rsidRPr="007042CD" w:rsidRDefault="00160231" w:rsidP="00A43650">
            <w:pPr>
              <w:jc w:val="center"/>
              <w:rPr>
                <w:sz w:val="18"/>
                <w:szCs w:val="18"/>
              </w:rPr>
            </w:pPr>
          </w:p>
        </w:tc>
        <w:tc>
          <w:tcPr>
            <w:tcW w:w="1170" w:type="dxa"/>
            <w:vAlign w:val="center"/>
          </w:tcPr>
          <w:p w14:paraId="225BF0DE" w14:textId="77777777" w:rsidR="00160231" w:rsidRPr="007042CD" w:rsidRDefault="00160231" w:rsidP="00A43650">
            <w:pPr>
              <w:jc w:val="center"/>
              <w:rPr>
                <w:sz w:val="18"/>
                <w:szCs w:val="18"/>
              </w:rPr>
            </w:pPr>
          </w:p>
        </w:tc>
        <w:tc>
          <w:tcPr>
            <w:tcW w:w="2013" w:type="dxa"/>
            <w:vAlign w:val="center"/>
          </w:tcPr>
          <w:p w14:paraId="3C3429B3" w14:textId="77777777" w:rsidR="00160231" w:rsidRPr="007042CD" w:rsidRDefault="00160231" w:rsidP="00A43650">
            <w:pPr>
              <w:jc w:val="center"/>
              <w:rPr>
                <w:sz w:val="18"/>
                <w:szCs w:val="18"/>
              </w:rPr>
            </w:pPr>
          </w:p>
        </w:tc>
        <w:tc>
          <w:tcPr>
            <w:tcW w:w="1260" w:type="dxa"/>
            <w:vAlign w:val="center"/>
          </w:tcPr>
          <w:p w14:paraId="38308295" w14:textId="77777777" w:rsidR="00160231" w:rsidRPr="007042CD" w:rsidRDefault="00160231" w:rsidP="00A43650">
            <w:pPr>
              <w:jc w:val="center"/>
              <w:rPr>
                <w:sz w:val="18"/>
                <w:szCs w:val="18"/>
              </w:rPr>
            </w:pPr>
          </w:p>
        </w:tc>
      </w:tr>
      <w:tr w:rsidR="00804CAF" w14:paraId="0710F4A3" w14:textId="77777777" w:rsidTr="0009322C">
        <w:tc>
          <w:tcPr>
            <w:tcW w:w="1795" w:type="dxa"/>
            <w:shd w:val="clear" w:color="auto" w:fill="CCC0D9" w:themeFill="accent4" w:themeFillTint="66"/>
          </w:tcPr>
          <w:p w14:paraId="559FCA92" w14:textId="0AE2A511" w:rsidR="00160231" w:rsidRPr="00D43558" w:rsidRDefault="00160231" w:rsidP="00A43650">
            <w:pPr>
              <w:jc w:val="center"/>
              <w:rPr>
                <w:b/>
                <w:bCs/>
                <w:sz w:val="14"/>
                <w:szCs w:val="14"/>
              </w:rPr>
            </w:pPr>
            <w:r w:rsidRPr="007D68FC">
              <w:rPr>
                <w:b/>
                <w:bCs/>
                <w:sz w:val="14"/>
                <w:szCs w:val="14"/>
              </w:rPr>
              <w:t>4220.1F.IV.2.i.</w:t>
            </w:r>
          </w:p>
        </w:tc>
        <w:tc>
          <w:tcPr>
            <w:tcW w:w="12453" w:type="dxa"/>
            <w:gridSpan w:val="7"/>
            <w:shd w:val="clear" w:color="auto" w:fill="CCC0D9" w:themeFill="accent4" w:themeFillTint="66"/>
          </w:tcPr>
          <w:p w14:paraId="33E3446F" w14:textId="06F67086" w:rsidR="00160231" w:rsidRDefault="006C10A5" w:rsidP="00A43650">
            <w:pPr>
              <w:rPr>
                <w:b/>
                <w:bCs/>
                <w:sz w:val="18"/>
                <w:szCs w:val="18"/>
              </w:rPr>
            </w:pPr>
            <w:r>
              <w:rPr>
                <w:b/>
                <w:bCs/>
                <w:sz w:val="18"/>
                <w:szCs w:val="18"/>
              </w:rPr>
              <w:t xml:space="preserve">360 </w:t>
            </w:r>
            <w:r w:rsidR="00160231" w:rsidRPr="0081431B">
              <w:rPr>
                <w:b/>
                <w:bCs/>
                <w:sz w:val="18"/>
                <w:szCs w:val="18"/>
              </w:rPr>
              <w:t>Construction</w:t>
            </w:r>
            <w:r>
              <w:rPr>
                <w:b/>
                <w:bCs/>
                <w:sz w:val="18"/>
                <w:szCs w:val="18"/>
              </w:rPr>
              <w:t xml:space="preserve"> – Part 3</w:t>
            </w:r>
          </w:p>
          <w:p w14:paraId="6E2B1D53" w14:textId="77777777" w:rsidR="00160231" w:rsidRDefault="00160231" w:rsidP="00A43650">
            <w:pPr>
              <w:rPr>
                <w:b/>
                <w:bCs/>
                <w:sz w:val="18"/>
                <w:szCs w:val="18"/>
              </w:rPr>
            </w:pPr>
          </w:p>
        </w:tc>
      </w:tr>
      <w:tr w:rsidR="00804CAF" w14:paraId="368A759B" w14:textId="77777777" w:rsidTr="00A43650">
        <w:tc>
          <w:tcPr>
            <w:tcW w:w="1795" w:type="dxa"/>
            <w:shd w:val="clear" w:color="auto" w:fill="D6E3BC" w:themeFill="accent3" w:themeFillTint="66"/>
          </w:tcPr>
          <w:p w14:paraId="3085D1E1" w14:textId="30C52633" w:rsidR="00160231" w:rsidRPr="00D43558" w:rsidRDefault="00160231" w:rsidP="00A43650">
            <w:pPr>
              <w:jc w:val="center"/>
              <w:rPr>
                <w:b/>
                <w:bCs/>
                <w:sz w:val="14"/>
                <w:szCs w:val="14"/>
              </w:rPr>
            </w:pPr>
            <w:r w:rsidRPr="00DE0531">
              <w:rPr>
                <w:b/>
                <w:bCs/>
                <w:sz w:val="14"/>
                <w:szCs w:val="14"/>
              </w:rPr>
              <w:t>4220.1F.IV.2.i.</w:t>
            </w:r>
          </w:p>
        </w:tc>
        <w:tc>
          <w:tcPr>
            <w:tcW w:w="12453" w:type="dxa"/>
            <w:gridSpan w:val="7"/>
            <w:shd w:val="clear" w:color="auto" w:fill="D6E3BC" w:themeFill="accent3" w:themeFillTint="66"/>
          </w:tcPr>
          <w:p w14:paraId="16573E22" w14:textId="77777777" w:rsidR="00160231" w:rsidRDefault="00160231" w:rsidP="00A43650">
            <w:pPr>
              <w:rPr>
                <w:b/>
                <w:bCs/>
                <w:sz w:val="18"/>
                <w:szCs w:val="18"/>
              </w:rPr>
            </w:pPr>
            <w:r w:rsidRPr="0081431B">
              <w:rPr>
                <w:b/>
                <w:bCs/>
                <w:sz w:val="18"/>
                <w:szCs w:val="18"/>
              </w:rPr>
              <w:t>Construction</w:t>
            </w:r>
          </w:p>
          <w:p w14:paraId="18D17537" w14:textId="77777777" w:rsidR="00160231" w:rsidRDefault="00160231" w:rsidP="00A43650">
            <w:pPr>
              <w:rPr>
                <w:b/>
                <w:bCs/>
                <w:sz w:val="18"/>
                <w:szCs w:val="18"/>
              </w:rPr>
            </w:pPr>
          </w:p>
        </w:tc>
      </w:tr>
      <w:tr w:rsidR="00B40046" w:rsidRPr="007042CD" w14:paraId="7086F181" w14:textId="77777777" w:rsidTr="002921E3">
        <w:tc>
          <w:tcPr>
            <w:tcW w:w="1795" w:type="dxa"/>
          </w:tcPr>
          <w:p w14:paraId="10077589" w14:textId="73A518A5" w:rsidR="00160231" w:rsidRPr="007D68FC" w:rsidRDefault="00160231" w:rsidP="00A43650">
            <w:pPr>
              <w:jc w:val="center"/>
              <w:rPr>
                <w:b/>
                <w:bCs/>
                <w:sz w:val="14"/>
                <w:szCs w:val="14"/>
              </w:rPr>
            </w:pPr>
          </w:p>
        </w:tc>
        <w:tc>
          <w:tcPr>
            <w:tcW w:w="7200" w:type="dxa"/>
          </w:tcPr>
          <w:p w14:paraId="30FCE0A8" w14:textId="4ACAC8DD" w:rsidR="00160231" w:rsidRPr="0081431B" w:rsidRDefault="00160231" w:rsidP="00A43650">
            <w:pPr>
              <w:rPr>
                <w:b/>
                <w:bCs/>
                <w:sz w:val="18"/>
                <w:szCs w:val="18"/>
              </w:rPr>
            </w:pPr>
            <w:r w:rsidRPr="0081431B">
              <w:rPr>
                <w:b/>
                <w:bCs/>
                <w:sz w:val="18"/>
                <w:szCs w:val="18"/>
              </w:rPr>
              <w:t xml:space="preserve">Construction – </w:t>
            </w:r>
            <w:r w:rsidR="0009322C">
              <w:rPr>
                <w:b/>
                <w:bCs/>
                <w:sz w:val="18"/>
                <w:szCs w:val="18"/>
              </w:rPr>
              <w:t>Close Out</w:t>
            </w:r>
          </w:p>
          <w:p w14:paraId="659781A1" w14:textId="0AC9A685" w:rsidR="00160231" w:rsidRPr="0081431B" w:rsidRDefault="0009322C" w:rsidP="00A43650">
            <w:pPr>
              <w:rPr>
                <w:sz w:val="18"/>
                <w:szCs w:val="18"/>
              </w:rPr>
            </w:pPr>
            <w:r>
              <w:rPr>
                <w:sz w:val="18"/>
                <w:szCs w:val="18"/>
              </w:rPr>
              <w:t>Contractor close out certifications completed</w:t>
            </w:r>
            <w:r w:rsidR="00160231">
              <w:rPr>
                <w:sz w:val="18"/>
                <w:szCs w:val="18"/>
              </w:rPr>
              <w:t>.</w:t>
            </w:r>
          </w:p>
          <w:p w14:paraId="0934B162" w14:textId="77777777" w:rsidR="00160231" w:rsidRPr="007042CD" w:rsidRDefault="00160231" w:rsidP="00A43650">
            <w:pPr>
              <w:rPr>
                <w:b/>
                <w:bCs/>
                <w:sz w:val="18"/>
                <w:szCs w:val="18"/>
              </w:rPr>
            </w:pPr>
          </w:p>
        </w:tc>
        <w:tc>
          <w:tcPr>
            <w:tcW w:w="270" w:type="dxa"/>
            <w:shd w:val="clear" w:color="auto" w:fill="BFBFBF" w:themeFill="background1" w:themeFillShade="BF"/>
            <w:vAlign w:val="center"/>
          </w:tcPr>
          <w:p w14:paraId="4585C150" w14:textId="77777777" w:rsidR="00160231" w:rsidRPr="007042CD" w:rsidRDefault="00160231" w:rsidP="00A43650">
            <w:pPr>
              <w:jc w:val="center"/>
              <w:rPr>
                <w:sz w:val="18"/>
                <w:szCs w:val="18"/>
              </w:rPr>
            </w:pPr>
          </w:p>
        </w:tc>
        <w:tc>
          <w:tcPr>
            <w:tcW w:w="270" w:type="dxa"/>
            <w:shd w:val="clear" w:color="auto" w:fill="BFBFBF" w:themeFill="background1" w:themeFillShade="BF"/>
            <w:vAlign w:val="center"/>
          </w:tcPr>
          <w:p w14:paraId="3755E332" w14:textId="77777777" w:rsidR="00160231" w:rsidRPr="007042CD" w:rsidRDefault="00160231" w:rsidP="00A43650">
            <w:pPr>
              <w:jc w:val="center"/>
              <w:rPr>
                <w:sz w:val="18"/>
                <w:szCs w:val="18"/>
              </w:rPr>
            </w:pPr>
          </w:p>
        </w:tc>
        <w:tc>
          <w:tcPr>
            <w:tcW w:w="270" w:type="dxa"/>
            <w:shd w:val="clear" w:color="auto" w:fill="BFBFBF" w:themeFill="background1" w:themeFillShade="BF"/>
            <w:vAlign w:val="center"/>
          </w:tcPr>
          <w:p w14:paraId="74F9B36D" w14:textId="77777777" w:rsidR="00160231" w:rsidRPr="007042CD" w:rsidRDefault="00160231" w:rsidP="00A43650">
            <w:pPr>
              <w:jc w:val="center"/>
              <w:rPr>
                <w:sz w:val="18"/>
                <w:szCs w:val="18"/>
              </w:rPr>
            </w:pPr>
          </w:p>
        </w:tc>
        <w:tc>
          <w:tcPr>
            <w:tcW w:w="1170" w:type="dxa"/>
            <w:vAlign w:val="center"/>
          </w:tcPr>
          <w:p w14:paraId="2A655AA1" w14:textId="77777777" w:rsidR="00160231" w:rsidRPr="007042CD" w:rsidRDefault="00160231" w:rsidP="00A43650">
            <w:pPr>
              <w:jc w:val="center"/>
              <w:rPr>
                <w:sz w:val="18"/>
                <w:szCs w:val="18"/>
              </w:rPr>
            </w:pPr>
          </w:p>
        </w:tc>
        <w:tc>
          <w:tcPr>
            <w:tcW w:w="2013" w:type="dxa"/>
            <w:vAlign w:val="center"/>
          </w:tcPr>
          <w:p w14:paraId="0D529A0C" w14:textId="77777777" w:rsidR="00160231" w:rsidRPr="007042CD" w:rsidRDefault="00160231" w:rsidP="00A43650">
            <w:pPr>
              <w:jc w:val="center"/>
              <w:rPr>
                <w:sz w:val="18"/>
                <w:szCs w:val="18"/>
              </w:rPr>
            </w:pPr>
          </w:p>
        </w:tc>
        <w:tc>
          <w:tcPr>
            <w:tcW w:w="1260" w:type="dxa"/>
            <w:vAlign w:val="center"/>
          </w:tcPr>
          <w:p w14:paraId="34EC83BE" w14:textId="77777777" w:rsidR="00160231" w:rsidRPr="007042CD" w:rsidRDefault="00160231" w:rsidP="00A43650">
            <w:pPr>
              <w:jc w:val="center"/>
              <w:rPr>
                <w:sz w:val="18"/>
                <w:szCs w:val="18"/>
              </w:rPr>
            </w:pPr>
          </w:p>
        </w:tc>
      </w:tr>
      <w:tr w:rsidR="00804CAF" w14:paraId="0A61C4AA" w14:textId="77777777" w:rsidTr="00A43650">
        <w:tc>
          <w:tcPr>
            <w:tcW w:w="1795" w:type="dxa"/>
            <w:shd w:val="clear" w:color="auto" w:fill="CCC0D9" w:themeFill="accent4" w:themeFillTint="66"/>
          </w:tcPr>
          <w:p w14:paraId="026BCAE0" w14:textId="77777777" w:rsidR="00EC6CC4" w:rsidRPr="00D43558" w:rsidRDefault="00EC6CC4" w:rsidP="00A43650">
            <w:pPr>
              <w:jc w:val="center"/>
              <w:rPr>
                <w:b/>
                <w:bCs/>
                <w:sz w:val="14"/>
                <w:szCs w:val="14"/>
              </w:rPr>
            </w:pPr>
          </w:p>
        </w:tc>
        <w:tc>
          <w:tcPr>
            <w:tcW w:w="12453" w:type="dxa"/>
            <w:gridSpan w:val="7"/>
            <w:shd w:val="clear" w:color="auto" w:fill="CCC0D9" w:themeFill="accent4" w:themeFillTint="66"/>
          </w:tcPr>
          <w:p w14:paraId="4826C04A" w14:textId="33F17567" w:rsidR="00EC6CC4" w:rsidRPr="00B232A8" w:rsidRDefault="00EC6CC4" w:rsidP="00A43650">
            <w:pPr>
              <w:rPr>
                <w:b/>
                <w:bCs/>
                <w:sz w:val="18"/>
                <w:szCs w:val="18"/>
              </w:rPr>
            </w:pPr>
            <w:r>
              <w:rPr>
                <w:b/>
                <w:bCs/>
                <w:sz w:val="18"/>
                <w:szCs w:val="18"/>
              </w:rPr>
              <w:t>405 Contract Administration</w:t>
            </w:r>
            <w:r w:rsidR="0009322C">
              <w:rPr>
                <w:b/>
                <w:bCs/>
                <w:sz w:val="18"/>
                <w:szCs w:val="18"/>
              </w:rPr>
              <w:t xml:space="preserve"> – Part 3</w:t>
            </w:r>
          </w:p>
          <w:p w14:paraId="7C52AA72" w14:textId="77777777" w:rsidR="00EC6CC4" w:rsidRDefault="00EC6CC4" w:rsidP="00A43650">
            <w:pPr>
              <w:rPr>
                <w:b/>
                <w:bCs/>
                <w:sz w:val="18"/>
                <w:szCs w:val="18"/>
              </w:rPr>
            </w:pPr>
          </w:p>
        </w:tc>
      </w:tr>
      <w:tr w:rsidR="00424751" w14:paraId="041004B7" w14:textId="77777777" w:rsidTr="00A43650">
        <w:tc>
          <w:tcPr>
            <w:tcW w:w="1795" w:type="dxa"/>
            <w:shd w:val="clear" w:color="auto" w:fill="D6E3BC" w:themeFill="accent3" w:themeFillTint="66"/>
          </w:tcPr>
          <w:p w14:paraId="63C271DE" w14:textId="77777777" w:rsidR="00EC6CC4" w:rsidRPr="00D43558" w:rsidRDefault="00EC6CC4" w:rsidP="00A43650">
            <w:pPr>
              <w:jc w:val="center"/>
              <w:rPr>
                <w:b/>
                <w:bCs/>
                <w:sz w:val="14"/>
                <w:szCs w:val="14"/>
              </w:rPr>
            </w:pPr>
          </w:p>
        </w:tc>
        <w:tc>
          <w:tcPr>
            <w:tcW w:w="12453" w:type="dxa"/>
            <w:gridSpan w:val="7"/>
            <w:shd w:val="clear" w:color="auto" w:fill="D6E3BC" w:themeFill="accent3" w:themeFillTint="66"/>
          </w:tcPr>
          <w:p w14:paraId="11ABA230" w14:textId="77777777" w:rsidR="00EC6CC4" w:rsidRPr="00B232A8" w:rsidRDefault="00EC6CC4" w:rsidP="00A43650">
            <w:pPr>
              <w:rPr>
                <w:b/>
                <w:bCs/>
                <w:sz w:val="18"/>
                <w:szCs w:val="18"/>
              </w:rPr>
            </w:pPr>
            <w:r>
              <w:rPr>
                <w:b/>
                <w:bCs/>
                <w:sz w:val="18"/>
                <w:szCs w:val="18"/>
              </w:rPr>
              <w:t xml:space="preserve">Contract Administration – </w:t>
            </w:r>
            <w:r w:rsidRPr="00B232A8">
              <w:rPr>
                <w:b/>
                <w:bCs/>
                <w:sz w:val="18"/>
                <w:szCs w:val="18"/>
              </w:rPr>
              <w:t>Subrecipient Oversight of Third Party Contracts</w:t>
            </w:r>
          </w:p>
          <w:p w14:paraId="0079D3F9" w14:textId="77777777" w:rsidR="00EC6CC4" w:rsidRDefault="00EC6CC4" w:rsidP="00A43650">
            <w:pPr>
              <w:pStyle w:val="ListParagraph"/>
              <w:numPr>
                <w:ilvl w:val="0"/>
                <w:numId w:val="35"/>
              </w:numPr>
              <w:rPr>
                <w:sz w:val="18"/>
                <w:szCs w:val="18"/>
              </w:rPr>
            </w:pPr>
            <w:r w:rsidRPr="003040A6">
              <w:rPr>
                <w:sz w:val="18"/>
                <w:szCs w:val="18"/>
              </w:rPr>
              <w:t>The subrecipient must have oversight of the performance of Third Party contracts.</w:t>
            </w:r>
          </w:p>
          <w:p w14:paraId="35972FC2" w14:textId="77777777" w:rsidR="00EC6CC4" w:rsidRDefault="00EC6CC4" w:rsidP="00A43650">
            <w:pPr>
              <w:rPr>
                <w:b/>
                <w:bCs/>
                <w:sz w:val="18"/>
                <w:szCs w:val="18"/>
              </w:rPr>
            </w:pPr>
          </w:p>
        </w:tc>
      </w:tr>
      <w:tr w:rsidR="00B73102" w:rsidRPr="007042CD" w14:paraId="11B0DFF3" w14:textId="77777777" w:rsidTr="00B73102">
        <w:tc>
          <w:tcPr>
            <w:tcW w:w="1795" w:type="dxa"/>
          </w:tcPr>
          <w:p w14:paraId="1A5F00D9" w14:textId="3AEEF6C4" w:rsidR="00A43650" w:rsidRPr="007D68FC" w:rsidRDefault="00A43650" w:rsidP="00A43650">
            <w:pPr>
              <w:jc w:val="center"/>
              <w:rPr>
                <w:b/>
                <w:bCs/>
                <w:sz w:val="14"/>
                <w:szCs w:val="14"/>
              </w:rPr>
            </w:pPr>
          </w:p>
        </w:tc>
        <w:tc>
          <w:tcPr>
            <w:tcW w:w="7200" w:type="dxa"/>
          </w:tcPr>
          <w:p w14:paraId="49B043EC" w14:textId="53289978" w:rsidR="00A43650" w:rsidRPr="007042CD" w:rsidRDefault="00A43650" w:rsidP="00A43650">
            <w:pPr>
              <w:rPr>
                <w:b/>
                <w:bCs/>
                <w:sz w:val="18"/>
                <w:szCs w:val="18"/>
              </w:rPr>
            </w:pPr>
            <w:r>
              <w:rPr>
                <w:b/>
                <w:bCs/>
                <w:sz w:val="18"/>
                <w:szCs w:val="18"/>
              </w:rPr>
              <w:t>Agreement Documentation – Issued Purchase Order or Executed Contract</w:t>
            </w:r>
          </w:p>
          <w:p w14:paraId="0EED9C93" w14:textId="0489DE04" w:rsidR="00A43650" w:rsidRPr="007042CD" w:rsidRDefault="00A43650" w:rsidP="00A43650">
            <w:pPr>
              <w:rPr>
                <w:sz w:val="18"/>
                <w:szCs w:val="18"/>
              </w:rPr>
            </w:pPr>
            <w:r w:rsidRPr="00A43650">
              <w:rPr>
                <w:sz w:val="18"/>
                <w:szCs w:val="18"/>
              </w:rPr>
              <w:t>A copy of the issued purchase order or executed contract with the required clause</w:t>
            </w:r>
            <w:r w:rsidR="002E20F0">
              <w:rPr>
                <w:sz w:val="18"/>
                <w:szCs w:val="18"/>
              </w:rPr>
              <w:t>s</w:t>
            </w:r>
            <w:r w:rsidRPr="00A43650">
              <w:rPr>
                <w:sz w:val="18"/>
                <w:szCs w:val="18"/>
              </w:rPr>
              <w:t xml:space="preserve"> attached or included has been prepared for TDOT’s records</w:t>
            </w:r>
            <w:r w:rsidRPr="007042CD">
              <w:rPr>
                <w:sz w:val="18"/>
                <w:szCs w:val="18"/>
              </w:rPr>
              <w:t>?</w:t>
            </w:r>
          </w:p>
          <w:p w14:paraId="4C9C7663" w14:textId="77777777" w:rsidR="00A43650" w:rsidRPr="007042CD" w:rsidRDefault="00A43650" w:rsidP="00A43650">
            <w:pPr>
              <w:rPr>
                <w:b/>
                <w:bCs/>
                <w:sz w:val="18"/>
                <w:szCs w:val="18"/>
              </w:rPr>
            </w:pPr>
          </w:p>
        </w:tc>
        <w:tc>
          <w:tcPr>
            <w:tcW w:w="270" w:type="dxa"/>
            <w:shd w:val="clear" w:color="auto" w:fill="auto"/>
          </w:tcPr>
          <w:p w14:paraId="29769CA4" w14:textId="77777777" w:rsidR="00A43650" w:rsidRPr="007042CD" w:rsidRDefault="00A43650" w:rsidP="00A43650">
            <w:pPr>
              <w:jc w:val="center"/>
              <w:rPr>
                <w:sz w:val="18"/>
                <w:szCs w:val="18"/>
              </w:rPr>
            </w:pPr>
          </w:p>
        </w:tc>
        <w:tc>
          <w:tcPr>
            <w:tcW w:w="270" w:type="dxa"/>
            <w:shd w:val="clear" w:color="auto" w:fill="auto"/>
          </w:tcPr>
          <w:p w14:paraId="46640FE7" w14:textId="77777777" w:rsidR="00A43650" w:rsidRPr="007042CD" w:rsidRDefault="00A43650" w:rsidP="00A43650">
            <w:pPr>
              <w:jc w:val="center"/>
              <w:rPr>
                <w:sz w:val="18"/>
                <w:szCs w:val="18"/>
              </w:rPr>
            </w:pPr>
          </w:p>
        </w:tc>
        <w:tc>
          <w:tcPr>
            <w:tcW w:w="270" w:type="dxa"/>
            <w:shd w:val="clear" w:color="auto" w:fill="auto"/>
          </w:tcPr>
          <w:p w14:paraId="07C2DFF9" w14:textId="77777777" w:rsidR="00A43650" w:rsidRPr="007042CD" w:rsidRDefault="00A43650" w:rsidP="00A43650">
            <w:pPr>
              <w:jc w:val="center"/>
              <w:rPr>
                <w:sz w:val="18"/>
                <w:szCs w:val="18"/>
              </w:rPr>
            </w:pPr>
          </w:p>
        </w:tc>
        <w:tc>
          <w:tcPr>
            <w:tcW w:w="1170" w:type="dxa"/>
          </w:tcPr>
          <w:p w14:paraId="5A16F8C5" w14:textId="77777777" w:rsidR="00A43650" w:rsidRPr="007042CD" w:rsidRDefault="00A43650" w:rsidP="00A43650">
            <w:pPr>
              <w:jc w:val="center"/>
              <w:rPr>
                <w:sz w:val="18"/>
                <w:szCs w:val="18"/>
              </w:rPr>
            </w:pPr>
          </w:p>
        </w:tc>
        <w:tc>
          <w:tcPr>
            <w:tcW w:w="2013" w:type="dxa"/>
          </w:tcPr>
          <w:p w14:paraId="3E5288F0" w14:textId="77777777" w:rsidR="00A43650" w:rsidRPr="007042CD" w:rsidRDefault="00A43650" w:rsidP="00A43650">
            <w:pPr>
              <w:jc w:val="center"/>
              <w:rPr>
                <w:sz w:val="18"/>
                <w:szCs w:val="18"/>
              </w:rPr>
            </w:pPr>
          </w:p>
        </w:tc>
        <w:tc>
          <w:tcPr>
            <w:tcW w:w="1260" w:type="dxa"/>
          </w:tcPr>
          <w:p w14:paraId="7F5C4430" w14:textId="77777777" w:rsidR="00A43650" w:rsidRPr="007042CD" w:rsidRDefault="00A43650" w:rsidP="00A43650">
            <w:pPr>
              <w:jc w:val="center"/>
              <w:rPr>
                <w:sz w:val="18"/>
                <w:szCs w:val="18"/>
              </w:rPr>
            </w:pPr>
          </w:p>
        </w:tc>
      </w:tr>
      <w:tr w:rsidR="00A43650" w:rsidRPr="007042CD" w14:paraId="7F95383E" w14:textId="77777777" w:rsidTr="00B73102">
        <w:tc>
          <w:tcPr>
            <w:tcW w:w="1795" w:type="dxa"/>
          </w:tcPr>
          <w:p w14:paraId="0A87A12F" w14:textId="77777777" w:rsidR="00A43650" w:rsidRDefault="00A43650" w:rsidP="00A43650">
            <w:pPr>
              <w:jc w:val="center"/>
              <w:rPr>
                <w:b/>
                <w:bCs/>
                <w:sz w:val="14"/>
                <w:szCs w:val="14"/>
              </w:rPr>
            </w:pPr>
            <w:r w:rsidRPr="00397003">
              <w:rPr>
                <w:b/>
                <w:bCs/>
                <w:sz w:val="14"/>
                <w:szCs w:val="14"/>
              </w:rPr>
              <w:t>4220.1F.V.7.b.(2)</w:t>
            </w:r>
          </w:p>
          <w:p w14:paraId="103F3FAD" w14:textId="77777777" w:rsidR="00A43650" w:rsidRDefault="00A43650" w:rsidP="00A43650">
            <w:pPr>
              <w:jc w:val="center"/>
              <w:rPr>
                <w:b/>
                <w:bCs/>
                <w:sz w:val="14"/>
                <w:szCs w:val="14"/>
              </w:rPr>
            </w:pPr>
            <w:r w:rsidRPr="00397003">
              <w:rPr>
                <w:b/>
                <w:bCs/>
                <w:sz w:val="14"/>
                <w:szCs w:val="14"/>
              </w:rPr>
              <w:t>4220.1F.VII.1.a.(2)</w:t>
            </w:r>
          </w:p>
          <w:p w14:paraId="4386DE70" w14:textId="657A7AC8" w:rsidR="00A43650" w:rsidRPr="007D68FC" w:rsidRDefault="00A43650" w:rsidP="00A43650">
            <w:pPr>
              <w:jc w:val="center"/>
              <w:rPr>
                <w:b/>
                <w:bCs/>
                <w:sz w:val="14"/>
                <w:szCs w:val="14"/>
              </w:rPr>
            </w:pPr>
            <w:r>
              <w:rPr>
                <w:b/>
                <w:bCs/>
                <w:sz w:val="14"/>
                <w:szCs w:val="14"/>
              </w:rPr>
              <w:t>*</w:t>
            </w:r>
            <w:r w:rsidRPr="00397003">
              <w:rPr>
                <w:b/>
                <w:bCs/>
                <w:sz w:val="14"/>
                <w:szCs w:val="14"/>
              </w:rPr>
              <w:t>2 CFR 200.318(k)</w:t>
            </w:r>
          </w:p>
        </w:tc>
        <w:tc>
          <w:tcPr>
            <w:tcW w:w="7200" w:type="dxa"/>
          </w:tcPr>
          <w:p w14:paraId="73EAA84F" w14:textId="11073F22" w:rsidR="00A43650" w:rsidRPr="006160A0" w:rsidRDefault="00A43650" w:rsidP="00A43650">
            <w:pPr>
              <w:rPr>
                <w:sz w:val="18"/>
                <w:szCs w:val="18"/>
              </w:rPr>
            </w:pPr>
            <w:r>
              <w:rPr>
                <w:b/>
                <w:bCs/>
                <w:sz w:val="18"/>
                <w:szCs w:val="18"/>
              </w:rPr>
              <w:t>Protections Against Performance Difficulties – Changes and Modifications*</w:t>
            </w:r>
          </w:p>
          <w:p w14:paraId="0C47C475" w14:textId="77777777" w:rsidR="00A43650" w:rsidRDefault="00A43650" w:rsidP="00A43650">
            <w:pPr>
              <w:rPr>
                <w:sz w:val="18"/>
                <w:szCs w:val="18"/>
              </w:rPr>
            </w:pPr>
            <w:r w:rsidRPr="00397003">
              <w:rPr>
                <w:sz w:val="18"/>
                <w:szCs w:val="18"/>
              </w:rPr>
              <w:t>A significant change in contract work (property or services) that causes a major deviation from the original purpose of the work or the intended method of achievement, or causes a revision of contract work so extensive, significant, or cumulative that, in effect, the contractor is required to perform very different work from that described in the original contract, is a cardinal change.</w:t>
            </w:r>
          </w:p>
          <w:p w14:paraId="0B720CB5" w14:textId="1D0224BF" w:rsidR="00D2016D" w:rsidRDefault="00D2016D" w:rsidP="00A43650">
            <w:pPr>
              <w:rPr>
                <w:sz w:val="18"/>
                <w:szCs w:val="18"/>
              </w:rPr>
            </w:pPr>
          </w:p>
          <w:p w14:paraId="5442AB13" w14:textId="44EE87B9" w:rsidR="00D2016D" w:rsidRDefault="00D2016D" w:rsidP="00A43650">
            <w:pPr>
              <w:rPr>
                <w:sz w:val="18"/>
                <w:szCs w:val="18"/>
              </w:rPr>
            </w:pPr>
            <w:r>
              <w:rPr>
                <w:sz w:val="18"/>
                <w:szCs w:val="18"/>
              </w:rPr>
              <w:t>Were there any contract changes?</w:t>
            </w:r>
          </w:p>
          <w:p w14:paraId="12B7410B" w14:textId="29F1B77D" w:rsidR="00D2016D" w:rsidRDefault="00D2016D" w:rsidP="00A43650">
            <w:pPr>
              <w:rPr>
                <w:sz w:val="18"/>
                <w:szCs w:val="18"/>
              </w:rPr>
            </w:pPr>
            <w:r>
              <w:rPr>
                <w:sz w:val="18"/>
                <w:szCs w:val="18"/>
              </w:rPr>
              <w:t>A cost analysis was completed for each contract change and modification?</w:t>
            </w:r>
          </w:p>
          <w:p w14:paraId="4C19D795" w14:textId="22CE89FC" w:rsidR="00A43650" w:rsidRDefault="00D2016D" w:rsidP="00A43650">
            <w:pPr>
              <w:rPr>
                <w:sz w:val="18"/>
                <w:szCs w:val="18"/>
              </w:rPr>
            </w:pPr>
            <w:r>
              <w:rPr>
                <w:sz w:val="18"/>
                <w:szCs w:val="18"/>
              </w:rPr>
              <w:t>The contract changes identified did not</w:t>
            </w:r>
            <w:r w:rsidR="00A43650">
              <w:rPr>
                <w:sz w:val="18"/>
                <w:szCs w:val="18"/>
              </w:rPr>
              <w:t xml:space="preserve"> create a cardinal change</w:t>
            </w:r>
            <w:r w:rsidR="00A43650" w:rsidRPr="00042821">
              <w:rPr>
                <w:sz w:val="18"/>
                <w:szCs w:val="18"/>
              </w:rPr>
              <w:t>?</w:t>
            </w:r>
          </w:p>
          <w:p w14:paraId="28103E0A" w14:textId="77777777" w:rsidR="00A43650" w:rsidRPr="007042CD" w:rsidRDefault="00A43650" w:rsidP="00A43650">
            <w:pPr>
              <w:rPr>
                <w:b/>
                <w:bCs/>
                <w:sz w:val="18"/>
                <w:szCs w:val="18"/>
              </w:rPr>
            </w:pPr>
          </w:p>
        </w:tc>
        <w:tc>
          <w:tcPr>
            <w:tcW w:w="270" w:type="dxa"/>
            <w:shd w:val="clear" w:color="auto" w:fill="auto"/>
          </w:tcPr>
          <w:p w14:paraId="1228C6D3" w14:textId="77777777" w:rsidR="00A43650" w:rsidRPr="007042CD" w:rsidRDefault="00A43650" w:rsidP="00A43650">
            <w:pPr>
              <w:jc w:val="center"/>
              <w:rPr>
                <w:sz w:val="18"/>
                <w:szCs w:val="18"/>
              </w:rPr>
            </w:pPr>
          </w:p>
        </w:tc>
        <w:tc>
          <w:tcPr>
            <w:tcW w:w="270" w:type="dxa"/>
            <w:shd w:val="clear" w:color="auto" w:fill="auto"/>
          </w:tcPr>
          <w:p w14:paraId="4160412D" w14:textId="77777777" w:rsidR="00A43650" w:rsidRPr="007042CD" w:rsidRDefault="00A43650" w:rsidP="00A43650">
            <w:pPr>
              <w:jc w:val="center"/>
              <w:rPr>
                <w:sz w:val="18"/>
                <w:szCs w:val="18"/>
              </w:rPr>
            </w:pPr>
          </w:p>
        </w:tc>
        <w:tc>
          <w:tcPr>
            <w:tcW w:w="270" w:type="dxa"/>
            <w:shd w:val="clear" w:color="auto" w:fill="auto"/>
          </w:tcPr>
          <w:p w14:paraId="24B141DA" w14:textId="77777777" w:rsidR="00A43650" w:rsidRPr="007042CD" w:rsidRDefault="00A43650" w:rsidP="00A43650">
            <w:pPr>
              <w:jc w:val="center"/>
              <w:rPr>
                <w:sz w:val="18"/>
                <w:szCs w:val="18"/>
              </w:rPr>
            </w:pPr>
          </w:p>
        </w:tc>
        <w:tc>
          <w:tcPr>
            <w:tcW w:w="1170" w:type="dxa"/>
          </w:tcPr>
          <w:p w14:paraId="3F380E41" w14:textId="77777777" w:rsidR="00A43650" w:rsidRPr="007042CD" w:rsidRDefault="00A43650" w:rsidP="00A43650">
            <w:pPr>
              <w:jc w:val="center"/>
              <w:rPr>
                <w:sz w:val="18"/>
                <w:szCs w:val="18"/>
              </w:rPr>
            </w:pPr>
          </w:p>
        </w:tc>
        <w:tc>
          <w:tcPr>
            <w:tcW w:w="2013" w:type="dxa"/>
          </w:tcPr>
          <w:p w14:paraId="6487A715" w14:textId="77777777" w:rsidR="00A43650" w:rsidRPr="007042CD" w:rsidRDefault="00A43650" w:rsidP="00A43650">
            <w:pPr>
              <w:jc w:val="center"/>
              <w:rPr>
                <w:sz w:val="18"/>
                <w:szCs w:val="18"/>
              </w:rPr>
            </w:pPr>
          </w:p>
        </w:tc>
        <w:tc>
          <w:tcPr>
            <w:tcW w:w="1260" w:type="dxa"/>
          </w:tcPr>
          <w:p w14:paraId="4321B7CE" w14:textId="77777777" w:rsidR="00A43650" w:rsidRPr="007042CD" w:rsidRDefault="00A43650" w:rsidP="00A43650">
            <w:pPr>
              <w:jc w:val="center"/>
              <w:rPr>
                <w:sz w:val="18"/>
                <w:szCs w:val="18"/>
              </w:rPr>
            </w:pPr>
          </w:p>
        </w:tc>
      </w:tr>
      <w:tr w:rsidR="00D2016D" w:rsidRPr="007042CD" w14:paraId="664B6DD0" w14:textId="77777777" w:rsidTr="00B73102">
        <w:tc>
          <w:tcPr>
            <w:tcW w:w="1795" w:type="dxa"/>
          </w:tcPr>
          <w:p w14:paraId="6E3FAD5F" w14:textId="77777777" w:rsidR="00D2016D" w:rsidRDefault="00D2016D" w:rsidP="00D2016D">
            <w:pPr>
              <w:jc w:val="center"/>
              <w:rPr>
                <w:b/>
                <w:bCs/>
                <w:sz w:val="14"/>
                <w:szCs w:val="14"/>
              </w:rPr>
            </w:pPr>
            <w:r w:rsidRPr="00397003">
              <w:rPr>
                <w:b/>
                <w:bCs/>
                <w:sz w:val="14"/>
                <w:szCs w:val="14"/>
              </w:rPr>
              <w:t>4220.1F.VII.3.</w:t>
            </w:r>
          </w:p>
          <w:p w14:paraId="1A9B9DA2" w14:textId="1BEAF63F" w:rsidR="00D2016D" w:rsidRPr="007D68FC" w:rsidRDefault="00D2016D" w:rsidP="00D2016D">
            <w:pPr>
              <w:jc w:val="center"/>
              <w:rPr>
                <w:b/>
                <w:bCs/>
                <w:sz w:val="14"/>
                <w:szCs w:val="14"/>
              </w:rPr>
            </w:pPr>
            <w:r>
              <w:rPr>
                <w:b/>
                <w:bCs/>
                <w:sz w:val="14"/>
                <w:szCs w:val="14"/>
              </w:rPr>
              <w:t>*</w:t>
            </w:r>
            <w:r w:rsidRPr="00397003">
              <w:rPr>
                <w:b/>
                <w:bCs/>
                <w:sz w:val="14"/>
                <w:szCs w:val="14"/>
              </w:rPr>
              <w:t>2 CFR 200.318(k)</w:t>
            </w:r>
          </w:p>
        </w:tc>
        <w:tc>
          <w:tcPr>
            <w:tcW w:w="7200" w:type="dxa"/>
          </w:tcPr>
          <w:p w14:paraId="377CDAEB" w14:textId="77777777" w:rsidR="00D2016D" w:rsidRPr="006160A0" w:rsidRDefault="00D2016D" w:rsidP="00D2016D">
            <w:pPr>
              <w:rPr>
                <w:sz w:val="18"/>
                <w:szCs w:val="18"/>
              </w:rPr>
            </w:pPr>
            <w:r>
              <w:rPr>
                <w:b/>
                <w:bCs/>
                <w:sz w:val="18"/>
                <w:szCs w:val="18"/>
              </w:rPr>
              <w:t>Protections Against Performance Difficulties – Disputes*</w:t>
            </w:r>
          </w:p>
          <w:p w14:paraId="4BE741B6" w14:textId="77777777" w:rsidR="00D2016D" w:rsidRDefault="00D2016D" w:rsidP="00D2016D">
            <w:pPr>
              <w:rPr>
                <w:sz w:val="18"/>
                <w:szCs w:val="18"/>
              </w:rPr>
            </w:pPr>
            <w:r w:rsidRPr="00397003">
              <w:rPr>
                <w:sz w:val="18"/>
                <w:szCs w:val="18"/>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w:t>
            </w:r>
          </w:p>
          <w:p w14:paraId="01D0C2E1" w14:textId="77777777" w:rsidR="00D2016D" w:rsidRPr="00397003" w:rsidRDefault="00D2016D" w:rsidP="00D2016D">
            <w:pPr>
              <w:rPr>
                <w:sz w:val="18"/>
                <w:szCs w:val="18"/>
              </w:rPr>
            </w:pPr>
          </w:p>
          <w:p w14:paraId="40D0EA76" w14:textId="77777777" w:rsidR="00D2016D" w:rsidRDefault="00D2016D" w:rsidP="00D2016D">
            <w:pPr>
              <w:rPr>
                <w:sz w:val="18"/>
                <w:szCs w:val="18"/>
              </w:rPr>
            </w:pPr>
            <w:r w:rsidRPr="00397003">
              <w:rPr>
                <w:sz w:val="18"/>
                <w:szCs w:val="18"/>
              </w:rPr>
              <w:t>The Common Grant Rules charge the recipient with responsibility for evaluating and resolving third party contract disputes.</w:t>
            </w:r>
          </w:p>
          <w:p w14:paraId="29BF779B" w14:textId="77777777" w:rsidR="00D2016D" w:rsidRPr="007042CD" w:rsidRDefault="00D2016D" w:rsidP="00D2016D">
            <w:pPr>
              <w:rPr>
                <w:sz w:val="18"/>
                <w:szCs w:val="18"/>
              </w:rPr>
            </w:pPr>
          </w:p>
          <w:p w14:paraId="559866C4" w14:textId="77777777" w:rsidR="00D2016D" w:rsidRDefault="00D2016D" w:rsidP="00D2016D">
            <w:pPr>
              <w:rPr>
                <w:sz w:val="18"/>
                <w:szCs w:val="18"/>
              </w:rPr>
            </w:pPr>
            <w:r>
              <w:rPr>
                <w:sz w:val="18"/>
                <w:szCs w:val="18"/>
              </w:rPr>
              <w:t>Were there any contract disputes?</w:t>
            </w:r>
          </w:p>
          <w:p w14:paraId="4158B7B7" w14:textId="551F22A5" w:rsidR="00B73102" w:rsidRDefault="00B73102" w:rsidP="00D2016D">
            <w:pPr>
              <w:rPr>
                <w:sz w:val="18"/>
                <w:szCs w:val="18"/>
              </w:rPr>
            </w:pPr>
            <w:r>
              <w:rPr>
                <w:sz w:val="18"/>
                <w:szCs w:val="18"/>
              </w:rPr>
              <w:t>Was TDOT kept informed and given quarterly status updates of disputes?</w:t>
            </w:r>
          </w:p>
          <w:p w14:paraId="315C2B68" w14:textId="109A1518" w:rsidR="00D2016D" w:rsidRDefault="00D2016D" w:rsidP="00D2016D">
            <w:pPr>
              <w:rPr>
                <w:sz w:val="18"/>
                <w:szCs w:val="18"/>
              </w:rPr>
            </w:pPr>
            <w:r>
              <w:rPr>
                <w:sz w:val="18"/>
                <w:szCs w:val="18"/>
              </w:rPr>
              <w:t>Were all disputes resolved according to the recipient’s procedures</w:t>
            </w:r>
            <w:r w:rsidRPr="00397003">
              <w:rPr>
                <w:sz w:val="18"/>
                <w:szCs w:val="18"/>
              </w:rPr>
              <w:t>?</w:t>
            </w:r>
          </w:p>
          <w:p w14:paraId="5EFB141C" w14:textId="77777777" w:rsidR="00D2016D" w:rsidRPr="007042CD" w:rsidRDefault="00D2016D" w:rsidP="00D2016D">
            <w:pPr>
              <w:rPr>
                <w:b/>
                <w:bCs/>
                <w:sz w:val="18"/>
                <w:szCs w:val="18"/>
              </w:rPr>
            </w:pPr>
          </w:p>
        </w:tc>
        <w:tc>
          <w:tcPr>
            <w:tcW w:w="270" w:type="dxa"/>
            <w:shd w:val="clear" w:color="auto" w:fill="auto"/>
            <w:vAlign w:val="center"/>
          </w:tcPr>
          <w:p w14:paraId="613F6237" w14:textId="77777777" w:rsidR="00D2016D" w:rsidRPr="007042CD" w:rsidRDefault="00D2016D" w:rsidP="00D2016D">
            <w:pPr>
              <w:jc w:val="center"/>
              <w:rPr>
                <w:sz w:val="18"/>
                <w:szCs w:val="18"/>
              </w:rPr>
            </w:pPr>
          </w:p>
        </w:tc>
        <w:tc>
          <w:tcPr>
            <w:tcW w:w="270" w:type="dxa"/>
            <w:shd w:val="clear" w:color="auto" w:fill="auto"/>
            <w:vAlign w:val="center"/>
          </w:tcPr>
          <w:p w14:paraId="57A7D556" w14:textId="77777777" w:rsidR="00D2016D" w:rsidRPr="007042CD" w:rsidRDefault="00D2016D" w:rsidP="00D2016D">
            <w:pPr>
              <w:jc w:val="center"/>
              <w:rPr>
                <w:sz w:val="18"/>
                <w:szCs w:val="18"/>
              </w:rPr>
            </w:pPr>
          </w:p>
        </w:tc>
        <w:tc>
          <w:tcPr>
            <w:tcW w:w="270" w:type="dxa"/>
            <w:shd w:val="clear" w:color="auto" w:fill="auto"/>
            <w:vAlign w:val="center"/>
          </w:tcPr>
          <w:p w14:paraId="5CB019A9" w14:textId="77777777" w:rsidR="00D2016D" w:rsidRPr="007042CD" w:rsidRDefault="00D2016D" w:rsidP="00D2016D">
            <w:pPr>
              <w:jc w:val="center"/>
              <w:rPr>
                <w:sz w:val="18"/>
                <w:szCs w:val="18"/>
              </w:rPr>
            </w:pPr>
          </w:p>
        </w:tc>
        <w:tc>
          <w:tcPr>
            <w:tcW w:w="1170" w:type="dxa"/>
            <w:vAlign w:val="center"/>
          </w:tcPr>
          <w:p w14:paraId="6AD544EE" w14:textId="77777777" w:rsidR="00D2016D" w:rsidRPr="007042CD" w:rsidRDefault="00D2016D" w:rsidP="00D2016D">
            <w:pPr>
              <w:jc w:val="center"/>
              <w:rPr>
                <w:sz w:val="18"/>
                <w:szCs w:val="18"/>
              </w:rPr>
            </w:pPr>
          </w:p>
        </w:tc>
        <w:tc>
          <w:tcPr>
            <w:tcW w:w="2013" w:type="dxa"/>
            <w:vAlign w:val="center"/>
          </w:tcPr>
          <w:p w14:paraId="12C244D1" w14:textId="77777777" w:rsidR="00D2016D" w:rsidRPr="007042CD" w:rsidRDefault="00D2016D" w:rsidP="00D2016D">
            <w:pPr>
              <w:jc w:val="center"/>
              <w:rPr>
                <w:sz w:val="18"/>
                <w:szCs w:val="18"/>
              </w:rPr>
            </w:pPr>
          </w:p>
        </w:tc>
        <w:tc>
          <w:tcPr>
            <w:tcW w:w="1260" w:type="dxa"/>
            <w:vAlign w:val="center"/>
          </w:tcPr>
          <w:p w14:paraId="41D6BE32" w14:textId="77777777" w:rsidR="00D2016D" w:rsidRPr="007042CD" w:rsidRDefault="00D2016D" w:rsidP="00D2016D">
            <w:pPr>
              <w:jc w:val="center"/>
              <w:rPr>
                <w:sz w:val="18"/>
                <w:szCs w:val="18"/>
              </w:rPr>
            </w:pPr>
          </w:p>
        </w:tc>
      </w:tr>
      <w:tr w:rsidR="00D2016D" w:rsidRPr="007042CD" w14:paraId="3FF4EA16" w14:textId="77777777" w:rsidTr="00B73102">
        <w:tc>
          <w:tcPr>
            <w:tcW w:w="1795" w:type="dxa"/>
          </w:tcPr>
          <w:p w14:paraId="4A2C5301" w14:textId="77777777" w:rsidR="00D2016D" w:rsidRDefault="00D2016D" w:rsidP="00D2016D">
            <w:pPr>
              <w:jc w:val="center"/>
              <w:rPr>
                <w:b/>
                <w:bCs/>
                <w:sz w:val="14"/>
                <w:szCs w:val="14"/>
              </w:rPr>
            </w:pPr>
            <w:r w:rsidRPr="00397003">
              <w:rPr>
                <w:b/>
                <w:bCs/>
                <w:sz w:val="14"/>
                <w:szCs w:val="14"/>
              </w:rPr>
              <w:lastRenderedPageBreak/>
              <w:t>4220.1F.VII.</w:t>
            </w:r>
            <w:r>
              <w:rPr>
                <w:b/>
                <w:bCs/>
                <w:sz w:val="14"/>
                <w:szCs w:val="14"/>
              </w:rPr>
              <w:t>4</w:t>
            </w:r>
            <w:r w:rsidRPr="00397003">
              <w:rPr>
                <w:b/>
                <w:bCs/>
                <w:sz w:val="14"/>
                <w:szCs w:val="14"/>
              </w:rPr>
              <w:t>.</w:t>
            </w:r>
          </w:p>
          <w:p w14:paraId="76C0A2BF" w14:textId="217930F2" w:rsidR="00D2016D" w:rsidRPr="007D68FC" w:rsidRDefault="00D2016D" w:rsidP="00D2016D">
            <w:pPr>
              <w:jc w:val="center"/>
              <w:rPr>
                <w:b/>
                <w:bCs/>
                <w:sz w:val="14"/>
                <w:szCs w:val="14"/>
              </w:rPr>
            </w:pPr>
            <w:r>
              <w:rPr>
                <w:b/>
                <w:bCs/>
                <w:sz w:val="14"/>
                <w:szCs w:val="14"/>
              </w:rPr>
              <w:t>*</w:t>
            </w:r>
            <w:r w:rsidRPr="00397003">
              <w:rPr>
                <w:b/>
                <w:bCs/>
                <w:sz w:val="14"/>
                <w:szCs w:val="14"/>
              </w:rPr>
              <w:t>2 CFR 200.318(k)</w:t>
            </w:r>
          </w:p>
        </w:tc>
        <w:tc>
          <w:tcPr>
            <w:tcW w:w="7200" w:type="dxa"/>
          </w:tcPr>
          <w:p w14:paraId="50F6B927" w14:textId="77777777" w:rsidR="00D2016D" w:rsidRPr="006160A0" w:rsidRDefault="00D2016D" w:rsidP="00D2016D">
            <w:pPr>
              <w:rPr>
                <w:sz w:val="18"/>
                <w:szCs w:val="18"/>
              </w:rPr>
            </w:pPr>
            <w:r>
              <w:rPr>
                <w:b/>
                <w:bCs/>
                <w:sz w:val="18"/>
                <w:szCs w:val="18"/>
              </w:rPr>
              <w:t>Protections Against Performance Difficulties – Claims and Litigation*</w:t>
            </w:r>
          </w:p>
          <w:p w14:paraId="2429F22C" w14:textId="77777777" w:rsidR="00D2016D" w:rsidRDefault="00D2016D" w:rsidP="00D2016D">
            <w:pPr>
              <w:rPr>
                <w:sz w:val="18"/>
                <w:szCs w:val="18"/>
              </w:rPr>
            </w:pPr>
            <w:r w:rsidRPr="00397003">
              <w:rPr>
                <w:sz w:val="18"/>
                <w:szCs w:val="18"/>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w:t>
            </w:r>
          </w:p>
          <w:p w14:paraId="783C5620" w14:textId="77777777" w:rsidR="00D2016D" w:rsidRPr="00397003" w:rsidRDefault="00D2016D" w:rsidP="00D2016D">
            <w:pPr>
              <w:rPr>
                <w:sz w:val="18"/>
                <w:szCs w:val="18"/>
              </w:rPr>
            </w:pPr>
          </w:p>
          <w:p w14:paraId="3DC10927" w14:textId="77777777" w:rsidR="00D2016D" w:rsidRDefault="00D2016D" w:rsidP="00D2016D">
            <w:pPr>
              <w:rPr>
                <w:sz w:val="18"/>
                <w:szCs w:val="18"/>
              </w:rPr>
            </w:pPr>
            <w:r w:rsidRPr="00397003">
              <w:rPr>
                <w:sz w:val="18"/>
                <w:szCs w:val="18"/>
              </w:rPr>
              <w:t>The Common Grant Rules charge the recipient with responsibility for evaluating and resolving third party contract claims and litigation resulting from a contractor’s violation, default, or breach of its third party contracts with recipients of Federal assistance. The recipient is also responsible for resolving any claims and litigation the contractor may present against it.</w:t>
            </w:r>
          </w:p>
          <w:p w14:paraId="3188FD01" w14:textId="77777777" w:rsidR="00D2016D" w:rsidRPr="007042CD" w:rsidRDefault="00D2016D" w:rsidP="00D2016D">
            <w:pPr>
              <w:rPr>
                <w:sz w:val="18"/>
                <w:szCs w:val="18"/>
              </w:rPr>
            </w:pPr>
          </w:p>
          <w:p w14:paraId="3B60090B" w14:textId="57E8B31E" w:rsidR="00B73102" w:rsidRDefault="00B73102" w:rsidP="00B73102">
            <w:pPr>
              <w:rPr>
                <w:sz w:val="18"/>
                <w:szCs w:val="18"/>
              </w:rPr>
            </w:pPr>
            <w:r>
              <w:rPr>
                <w:sz w:val="18"/>
                <w:szCs w:val="18"/>
              </w:rPr>
              <w:t xml:space="preserve">Were there any contract </w:t>
            </w:r>
            <w:r>
              <w:rPr>
                <w:sz w:val="18"/>
                <w:szCs w:val="18"/>
              </w:rPr>
              <w:t>claims and litigations</w:t>
            </w:r>
            <w:r>
              <w:rPr>
                <w:sz w:val="18"/>
                <w:szCs w:val="18"/>
              </w:rPr>
              <w:t>?</w:t>
            </w:r>
          </w:p>
          <w:p w14:paraId="6E47B2A0" w14:textId="27EB7E7B" w:rsidR="00B73102" w:rsidRDefault="00B73102" w:rsidP="00B73102">
            <w:pPr>
              <w:rPr>
                <w:sz w:val="18"/>
                <w:szCs w:val="18"/>
              </w:rPr>
            </w:pPr>
            <w:r>
              <w:rPr>
                <w:sz w:val="18"/>
                <w:szCs w:val="18"/>
              </w:rPr>
              <w:t xml:space="preserve">Was TDOT kept informed and given quarterly status updates of </w:t>
            </w:r>
            <w:r>
              <w:rPr>
                <w:sz w:val="18"/>
                <w:szCs w:val="18"/>
              </w:rPr>
              <w:t>claims and litigations</w:t>
            </w:r>
            <w:r>
              <w:rPr>
                <w:sz w:val="18"/>
                <w:szCs w:val="18"/>
              </w:rPr>
              <w:t>?</w:t>
            </w:r>
          </w:p>
          <w:p w14:paraId="4F9C96D7" w14:textId="404FD736" w:rsidR="00B73102" w:rsidRDefault="00B73102" w:rsidP="00B73102">
            <w:pPr>
              <w:rPr>
                <w:sz w:val="18"/>
                <w:szCs w:val="18"/>
              </w:rPr>
            </w:pPr>
            <w:r>
              <w:rPr>
                <w:sz w:val="18"/>
                <w:szCs w:val="18"/>
              </w:rPr>
              <w:t xml:space="preserve">Were all </w:t>
            </w:r>
            <w:r>
              <w:rPr>
                <w:sz w:val="18"/>
                <w:szCs w:val="18"/>
              </w:rPr>
              <w:t>claims and litigations</w:t>
            </w:r>
            <w:r>
              <w:rPr>
                <w:sz w:val="18"/>
                <w:szCs w:val="18"/>
              </w:rPr>
              <w:t xml:space="preserve"> resolved according to the recipient’s procedures</w:t>
            </w:r>
            <w:r w:rsidRPr="00397003">
              <w:rPr>
                <w:sz w:val="18"/>
                <w:szCs w:val="18"/>
              </w:rPr>
              <w:t>?</w:t>
            </w:r>
          </w:p>
          <w:p w14:paraId="57305F96" w14:textId="77777777" w:rsidR="00D2016D" w:rsidRPr="007042CD" w:rsidRDefault="00D2016D" w:rsidP="00D2016D">
            <w:pPr>
              <w:rPr>
                <w:b/>
                <w:bCs/>
                <w:sz w:val="18"/>
                <w:szCs w:val="18"/>
              </w:rPr>
            </w:pPr>
          </w:p>
        </w:tc>
        <w:tc>
          <w:tcPr>
            <w:tcW w:w="270" w:type="dxa"/>
            <w:shd w:val="clear" w:color="auto" w:fill="auto"/>
            <w:vAlign w:val="center"/>
          </w:tcPr>
          <w:p w14:paraId="75CFF467" w14:textId="77777777" w:rsidR="00D2016D" w:rsidRPr="007042CD" w:rsidRDefault="00D2016D" w:rsidP="00D2016D">
            <w:pPr>
              <w:jc w:val="center"/>
              <w:rPr>
                <w:sz w:val="18"/>
                <w:szCs w:val="18"/>
              </w:rPr>
            </w:pPr>
          </w:p>
        </w:tc>
        <w:tc>
          <w:tcPr>
            <w:tcW w:w="270" w:type="dxa"/>
            <w:shd w:val="clear" w:color="auto" w:fill="auto"/>
            <w:vAlign w:val="center"/>
          </w:tcPr>
          <w:p w14:paraId="45DFF75F" w14:textId="77777777" w:rsidR="00D2016D" w:rsidRPr="007042CD" w:rsidRDefault="00D2016D" w:rsidP="00D2016D">
            <w:pPr>
              <w:jc w:val="center"/>
              <w:rPr>
                <w:sz w:val="18"/>
                <w:szCs w:val="18"/>
              </w:rPr>
            </w:pPr>
          </w:p>
        </w:tc>
        <w:tc>
          <w:tcPr>
            <w:tcW w:w="270" w:type="dxa"/>
            <w:shd w:val="clear" w:color="auto" w:fill="auto"/>
            <w:vAlign w:val="center"/>
          </w:tcPr>
          <w:p w14:paraId="3C21DD57" w14:textId="77777777" w:rsidR="00D2016D" w:rsidRPr="007042CD" w:rsidRDefault="00D2016D" w:rsidP="00D2016D">
            <w:pPr>
              <w:jc w:val="center"/>
              <w:rPr>
                <w:sz w:val="18"/>
                <w:szCs w:val="18"/>
              </w:rPr>
            </w:pPr>
          </w:p>
        </w:tc>
        <w:tc>
          <w:tcPr>
            <w:tcW w:w="1170" w:type="dxa"/>
            <w:vAlign w:val="center"/>
          </w:tcPr>
          <w:p w14:paraId="7A3526AC" w14:textId="77777777" w:rsidR="00D2016D" w:rsidRPr="007042CD" w:rsidRDefault="00D2016D" w:rsidP="00D2016D">
            <w:pPr>
              <w:jc w:val="center"/>
              <w:rPr>
                <w:sz w:val="18"/>
                <w:szCs w:val="18"/>
              </w:rPr>
            </w:pPr>
          </w:p>
        </w:tc>
        <w:tc>
          <w:tcPr>
            <w:tcW w:w="2013" w:type="dxa"/>
            <w:vAlign w:val="center"/>
          </w:tcPr>
          <w:p w14:paraId="64198D0B" w14:textId="77777777" w:rsidR="00D2016D" w:rsidRPr="007042CD" w:rsidRDefault="00D2016D" w:rsidP="00D2016D">
            <w:pPr>
              <w:jc w:val="center"/>
              <w:rPr>
                <w:sz w:val="18"/>
                <w:szCs w:val="18"/>
              </w:rPr>
            </w:pPr>
          </w:p>
        </w:tc>
        <w:tc>
          <w:tcPr>
            <w:tcW w:w="1260" w:type="dxa"/>
            <w:vAlign w:val="center"/>
          </w:tcPr>
          <w:p w14:paraId="4344C2E0" w14:textId="77777777" w:rsidR="00D2016D" w:rsidRPr="007042CD" w:rsidRDefault="00D2016D" w:rsidP="00D2016D">
            <w:pPr>
              <w:jc w:val="center"/>
              <w:rPr>
                <w:sz w:val="18"/>
                <w:szCs w:val="18"/>
              </w:rPr>
            </w:pPr>
          </w:p>
        </w:tc>
      </w:tr>
      <w:tr w:rsidR="00B73102" w:rsidRPr="007042CD" w14:paraId="35A2D615" w14:textId="77777777" w:rsidTr="00B73102">
        <w:tc>
          <w:tcPr>
            <w:tcW w:w="1795" w:type="dxa"/>
          </w:tcPr>
          <w:p w14:paraId="3A56716F" w14:textId="77777777" w:rsidR="00B73102" w:rsidRDefault="00B73102" w:rsidP="00B73102">
            <w:pPr>
              <w:jc w:val="center"/>
              <w:rPr>
                <w:b/>
                <w:bCs/>
                <w:sz w:val="14"/>
                <w:szCs w:val="14"/>
              </w:rPr>
            </w:pPr>
            <w:r w:rsidRPr="008E3ED8">
              <w:rPr>
                <w:b/>
                <w:bCs/>
                <w:sz w:val="14"/>
                <w:szCs w:val="14"/>
              </w:rPr>
              <w:t>4220.1F.IV.2.b.(6)(b)</w:t>
            </w:r>
            <w:r w:rsidRPr="00F9327D">
              <w:rPr>
                <w:b/>
                <w:bCs/>
                <w:sz w:val="14"/>
                <w:szCs w:val="14"/>
                <w:u w:val="single"/>
              </w:rPr>
              <w:t>1</w:t>
            </w:r>
          </w:p>
          <w:p w14:paraId="31C5183F" w14:textId="214A826C" w:rsidR="00B73102" w:rsidRPr="007D68FC" w:rsidRDefault="00B73102" w:rsidP="00B73102">
            <w:pPr>
              <w:jc w:val="center"/>
              <w:rPr>
                <w:b/>
                <w:bCs/>
                <w:sz w:val="14"/>
                <w:szCs w:val="14"/>
              </w:rPr>
            </w:pPr>
            <w:r>
              <w:rPr>
                <w:b/>
                <w:bCs/>
                <w:sz w:val="14"/>
                <w:szCs w:val="14"/>
              </w:rPr>
              <w:t>*</w:t>
            </w:r>
            <w:r w:rsidRPr="008E3ED8">
              <w:rPr>
                <w:b/>
                <w:bCs/>
                <w:sz w:val="14"/>
                <w:szCs w:val="14"/>
              </w:rPr>
              <w:t>2 CFR 200.318(k)</w:t>
            </w:r>
          </w:p>
        </w:tc>
        <w:tc>
          <w:tcPr>
            <w:tcW w:w="7200" w:type="dxa"/>
          </w:tcPr>
          <w:p w14:paraId="065D35F2" w14:textId="77777777" w:rsidR="00B73102" w:rsidRPr="006160A0" w:rsidRDefault="00B73102" w:rsidP="00B73102">
            <w:pPr>
              <w:rPr>
                <w:sz w:val="18"/>
                <w:szCs w:val="18"/>
              </w:rPr>
            </w:pPr>
            <w:r>
              <w:rPr>
                <w:b/>
                <w:bCs/>
                <w:sz w:val="18"/>
                <w:szCs w:val="18"/>
              </w:rPr>
              <w:t>Protections Against Performance Difficulties – Claims and Litigation – Liquidated Damages*</w:t>
            </w:r>
          </w:p>
          <w:p w14:paraId="40EB3312" w14:textId="77777777" w:rsidR="00B73102" w:rsidRDefault="00B73102" w:rsidP="00B73102">
            <w:pPr>
              <w:rPr>
                <w:sz w:val="18"/>
                <w:szCs w:val="18"/>
              </w:rPr>
            </w:pPr>
            <w:r w:rsidRPr="008E3ED8">
              <w:rPr>
                <w:sz w:val="18"/>
                <w:szCs w:val="18"/>
              </w:rPr>
              <w:t>FTA has determined that a recipient may use liquidated damages if the recipient reasonably expects to suffer damages through delayed contract completion, or if weight requirements are exceeded, and the extent or amount of such damages are uncertain and would be difficult or impossible to determine. The rate and measurement standards must be calculated to reasonably reflect the recipient’s costs should the standards not be met, and must be specified in the solicitation and contract. The assessment for damages is often established at a specific rate per day for each day beyond the contract’s delivery date or performance period. A measurement other than a day or another period of time, however, may be established if that measurement is appropriate, such as weight requirements in a rolling stock purchase. The procurement file should include a record of the calculation and rationale for the amount of damages established. Any liquidated damages recovered must be credited to the project account involved unless FTA permits otherwise</w:t>
            </w:r>
            <w:r>
              <w:rPr>
                <w:sz w:val="18"/>
                <w:szCs w:val="18"/>
              </w:rPr>
              <w:t>.</w:t>
            </w:r>
          </w:p>
          <w:p w14:paraId="1A130F2F" w14:textId="77777777" w:rsidR="00B73102" w:rsidRPr="007042CD" w:rsidRDefault="00B73102" w:rsidP="00B73102">
            <w:pPr>
              <w:rPr>
                <w:sz w:val="18"/>
                <w:szCs w:val="18"/>
              </w:rPr>
            </w:pPr>
          </w:p>
          <w:p w14:paraId="694A7268" w14:textId="593958D8" w:rsidR="00B73102" w:rsidRDefault="00B73102" w:rsidP="00B73102">
            <w:pPr>
              <w:rPr>
                <w:sz w:val="18"/>
                <w:szCs w:val="18"/>
              </w:rPr>
            </w:pPr>
            <w:r>
              <w:rPr>
                <w:sz w:val="18"/>
                <w:szCs w:val="18"/>
              </w:rPr>
              <w:t>Did the recipient use liquidated damages as a remedy?</w:t>
            </w:r>
          </w:p>
          <w:p w14:paraId="683A4926" w14:textId="5E0A1119" w:rsidR="00B73102" w:rsidRDefault="00B73102" w:rsidP="00B73102">
            <w:pPr>
              <w:rPr>
                <w:sz w:val="18"/>
                <w:szCs w:val="18"/>
              </w:rPr>
            </w:pPr>
            <w:r>
              <w:rPr>
                <w:sz w:val="18"/>
                <w:szCs w:val="18"/>
              </w:rPr>
              <w:t>Were</w:t>
            </w:r>
            <w:r>
              <w:rPr>
                <w:sz w:val="18"/>
                <w:szCs w:val="18"/>
              </w:rPr>
              <w:t xml:space="preserve"> liquidated damages disclosed in the solicitation and contract document and </w:t>
            </w:r>
            <w:r>
              <w:rPr>
                <w:sz w:val="18"/>
                <w:szCs w:val="18"/>
              </w:rPr>
              <w:t>was</w:t>
            </w:r>
            <w:r>
              <w:rPr>
                <w:sz w:val="18"/>
                <w:szCs w:val="18"/>
              </w:rPr>
              <w:t xml:space="preserve"> there documentation as to the rate to be charged</w:t>
            </w:r>
            <w:r w:rsidRPr="00397003">
              <w:rPr>
                <w:sz w:val="18"/>
                <w:szCs w:val="18"/>
              </w:rPr>
              <w:t>?</w:t>
            </w:r>
          </w:p>
          <w:p w14:paraId="5BB72F55" w14:textId="1DF289B3" w:rsidR="00B73102" w:rsidRDefault="00B73102" w:rsidP="00B73102">
            <w:pPr>
              <w:rPr>
                <w:sz w:val="18"/>
                <w:szCs w:val="18"/>
              </w:rPr>
            </w:pPr>
            <w:r>
              <w:rPr>
                <w:sz w:val="18"/>
                <w:szCs w:val="18"/>
              </w:rPr>
              <w:lastRenderedPageBreak/>
              <w:t xml:space="preserve">Any liquidated damages charged </w:t>
            </w:r>
            <w:r w:rsidR="008E3E5C" w:rsidRPr="008E3E5C">
              <w:rPr>
                <w:sz w:val="18"/>
                <w:szCs w:val="18"/>
              </w:rPr>
              <w:t>were calculated to reasonably reflect the recipient’s costs if the standards of the contract are not met, such as a rate per day for each day beyond the contract’s delivery date</w:t>
            </w:r>
            <w:r w:rsidR="008E3E5C">
              <w:rPr>
                <w:sz w:val="18"/>
                <w:szCs w:val="18"/>
              </w:rPr>
              <w:t>?</w:t>
            </w:r>
          </w:p>
          <w:p w14:paraId="714002F3" w14:textId="77777777" w:rsidR="00B73102" w:rsidRPr="007042CD" w:rsidRDefault="00B73102" w:rsidP="00B73102">
            <w:pPr>
              <w:rPr>
                <w:b/>
                <w:bCs/>
                <w:sz w:val="18"/>
                <w:szCs w:val="18"/>
              </w:rPr>
            </w:pPr>
          </w:p>
        </w:tc>
        <w:tc>
          <w:tcPr>
            <w:tcW w:w="270" w:type="dxa"/>
            <w:shd w:val="clear" w:color="auto" w:fill="auto"/>
            <w:vAlign w:val="center"/>
          </w:tcPr>
          <w:p w14:paraId="3FBE0ADB" w14:textId="77777777" w:rsidR="00B73102" w:rsidRPr="007042CD" w:rsidRDefault="00B73102" w:rsidP="00B73102">
            <w:pPr>
              <w:jc w:val="center"/>
              <w:rPr>
                <w:sz w:val="18"/>
                <w:szCs w:val="18"/>
              </w:rPr>
            </w:pPr>
          </w:p>
        </w:tc>
        <w:tc>
          <w:tcPr>
            <w:tcW w:w="270" w:type="dxa"/>
            <w:shd w:val="clear" w:color="auto" w:fill="auto"/>
            <w:vAlign w:val="center"/>
          </w:tcPr>
          <w:p w14:paraId="78B340A8" w14:textId="77777777" w:rsidR="00B73102" w:rsidRPr="007042CD" w:rsidRDefault="00B73102" w:rsidP="00B73102">
            <w:pPr>
              <w:jc w:val="center"/>
              <w:rPr>
                <w:sz w:val="18"/>
                <w:szCs w:val="18"/>
              </w:rPr>
            </w:pPr>
          </w:p>
        </w:tc>
        <w:tc>
          <w:tcPr>
            <w:tcW w:w="270" w:type="dxa"/>
            <w:shd w:val="clear" w:color="auto" w:fill="auto"/>
            <w:vAlign w:val="center"/>
          </w:tcPr>
          <w:p w14:paraId="0FC469B7" w14:textId="77777777" w:rsidR="00B73102" w:rsidRPr="007042CD" w:rsidRDefault="00B73102" w:rsidP="00B73102">
            <w:pPr>
              <w:jc w:val="center"/>
              <w:rPr>
                <w:sz w:val="18"/>
                <w:szCs w:val="18"/>
              </w:rPr>
            </w:pPr>
          </w:p>
        </w:tc>
        <w:tc>
          <w:tcPr>
            <w:tcW w:w="1170" w:type="dxa"/>
            <w:vAlign w:val="center"/>
          </w:tcPr>
          <w:p w14:paraId="7D184E8B" w14:textId="77777777" w:rsidR="00B73102" w:rsidRPr="007042CD" w:rsidRDefault="00B73102" w:rsidP="00B73102">
            <w:pPr>
              <w:jc w:val="center"/>
              <w:rPr>
                <w:sz w:val="18"/>
                <w:szCs w:val="18"/>
              </w:rPr>
            </w:pPr>
          </w:p>
        </w:tc>
        <w:tc>
          <w:tcPr>
            <w:tcW w:w="2013" w:type="dxa"/>
            <w:vAlign w:val="center"/>
          </w:tcPr>
          <w:p w14:paraId="288A2C20" w14:textId="77777777" w:rsidR="00B73102" w:rsidRPr="007042CD" w:rsidRDefault="00B73102" w:rsidP="00B73102">
            <w:pPr>
              <w:jc w:val="center"/>
              <w:rPr>
                <w:sz w:val="18"/>
                <w:szCs w:val="18"/>
              </w:rPr>
            </w:pPr>
          </w:p>
        </w:tc>
        <w:tc>
          <w:tcPr>
            <w:tcW w:w="1260" w:type="dxa"/>
            <w:vAlign w:val="center"/>
          </w:tcPr>
          <w:p w14:paraId="57CB8464" w14:textId="77777777" w:rsidR="00B73102" w:rsidRPr="007042CD" w:rsidRDefault="00B73102" w:rsidP="00B73102">
            <w:pPr>
              <w:jc w:val="center"/>
              <w:rPr>
                <w:sz w:val="18"/>
                <w:szCs w:val="18"/>
              </w:rPr>
            </w:pPr>
          </w:p>
        </w:tc>
      </w:tr>
      <w:tr w:rsidR="00D902FC" w:rsidRPr="007042CD" w14:paraId="2F447322" w14:textId="77777777" w:rsidTr="00B73102">
        <w:tc>
          <w:tcPr>
            <w:tcW w:w="1795" w:type="dxa"/>
          </w:tcPr>
          <w:p w14:paraId="42FBB0BB" w14:textId="0D895A06" w:rsidR="00953AE9" w:rsidRPr="007D68FC" w:rsidRDefault="00953AE9" w:rsidP="00A43650">
            <w:pPr>
              <w:jc w:val="center"/>
              <w:rPr>
                <w:b/>
                <w:bCs/>
                <w:sz w:val="14"/>
                <w:szCs w:val="14"/>
              </w:rPr>
            </w:pPr>
            <w:r w:rsidRPr="007D68FC">
              <w:rPr>
                <w:b/>
                <w:bCs/>
                <w:sz w:val="14"/>
                <w:szCs w:val="14"/>
              </w:rPr>
              <w:t>4220.1F.IV.2.b.(3)</w:t>
            </w:r>
          </w:p>
        </w:tc>
        <w:tc>
          <w:tcPr>
            <w:tcW w:w="7200" w:type="dxa"/>
          </w:tcPr>
          <w:p w14:paraId="694F5758" w14:textId="77777777" w:rsidR="00953AE9" w:rsidRDefault="00953AE9" w:rsidP="00A43650">
            <w:pPr>
              <w:rPr>
                <w:sz w:val="18"/>
                <w:szCs w:val="18"/>
              </w:rPr>
            </w:pPr>
            <w:r w:rsidRPr="007042CD">
              <w:rPr>
                <w:b/>
                <w:bCs/>
                <w:sz w:val="18"/>
                <w:szCs w:val="18"/>
              </w:rPr>
              <w:t>Period of Performance</w:t>
            </w:r>
            <w:r>
              <w:rPr>
                <w:b/>
                <w:bCs/>
                <w:sz w:val="18"/>
                <w:szCs w:val="18"/>
              </w:rPr>
              <w:t xml:space="preserve"> – Rationale</w:t>
            </w:r>
          </w:p>
          <w:p w14:paraId="23D6A988" w14:textId="77777777" w:rsidR="00953AE9" w:rsidRPr="00FB0FE7" w:rsidRDefault="00953AE9" w:rsidP="00A43650">
            <w:pPr>
              <w:rPr>
                <w:sz w:val="18"/>
                <w:szCs w:val="18"/>
              </w:rPr>
            </w:pPr>
          </w:p>
          <w:p w14:paraId="7D3282B8" w14:textId="77777777" w:rsidR="00953AE9" w:rsidRDefault="00953AE9" w:rsidP="00A43650">
            <w:pPr>
              <w:rPr>
                <w:sz w:val="18"/>
                <w:szCs w:val="18"/>
              </w:rPr>
            </w:pPr>
            <w:r w:rsidRPr="004F0435">
              <w:rPr>
                <w:sz w:val="18"/>
                <w:szCs w:val="18"/>
              </w:rPr>
              <w:t xml:space="preserve">The period of performance generally should not exceed the time necessary to accomplish the purpose of the contract. The recipient should also consider competition, pricing, fairness, and public perception. </w:t>
            </w:r>
          </w:p>
          <w:p w14:paraId="15CDD584" w14:textId="77777777" w:rsidR="00953AE9" w:rsidRDefault="00953AE9" w:rsidP="00A43650">
            <w:pPr>
              <w:rPr>
                <w:sz w:val="18"/>
                <w:szCs w:val="18"/>
              </w:rPr>
            </w:pPr>
          </w:p>
          <w:p w14:paraId="1484E86C" w14:textId="77777777" w:rsidR="00953AE9" w:rsidRDefault="00953AE9" w:rsidP="00A43650">
            <w:pPr>
              <w:rPr>
                <w:sz w:val="18"/>
                <w:szCs w:val="18"/>
              </w:rPr>
            </w:pPr>
            <w:r>
              <w:rPr>
                <w:sz w:val="18"/>
                <w:szCs w:val="18"/>
              </w:rPr>
              <w:t xml:space="preserve">Planning records for the procurement </w:t>
            </w:r>
            <w:r w:rsidRPr="00FB0FE7">
              <w:rPr>
                <w:sz w:val="18"/>
                <w:szCs w:val="18"/>
              </w:rPr>
              <w:t xml:space="preserve">document </w:t>
            </w:r>
            <w:r>
              <w:rPr>
                <w:sz w:val="18"/>
                <w:szCs w:val="18"/>
              </w:rPr>
              <w:t>recipient’s</w:t>
            </w:r>
            <w:r w:rsidRPr="00FB0FE7">
              <w:rPr>
                <w:sz w:val="18"/>
                <w:szCs w:val="18"/>
              </w:rPr>
              <w:t xml:space="preserve"> rationale for determining the performance period designated</w:t>
            </w:r>
            <w:r>
              <w:rPr>
                <w:sz w:val="18"/>
                <w:szCs w:val="18"/>
              </w:rPr>
              <w:t>?</w:t>
            </w:r>
          </w:p>
          <w:p w14:paraId="4CB7CC40" w14:textId="77777777" w:rsidR="00953AE9" w:rsidRPr="007042CD" w:rsidRDefault="00953AE9" w:rsidP="00A43650">
            <w:pPr>
              <w:rPr>
                <w:b/>
                <w:bCs/>
                <w:sz w:val="18"/>
                <w:szCs w:val="18"/>
              </w:rPr>
            </w:pPr>
          </w:p>
        </w:tc>
        <w:tc>
          <w:tcPr>
            <w:tcW w:w="270" w:type="dxa"/>
            <w:shd w:val="clear" w:color="auto" w:fill="auto"/>
            <w:vAlign w:val="center"/>
          </w:tcPr>
          <w:p w14:paraId="422396AE" w14:textId="77777777" w:rsidR="00953AE9" w:rsidRPr="007042CD" w:rsidRDefault="00953AE9" w:rsidP="00A43650">
            <w:pPr>
              <w:jc w:val="center"/>
              <w:rPr>
                <w:sz w:val="18"/>
                <w:szCs w:val="18"/>
              </w:rPr>
            </w:pPr>
          </w:p>
        </w:tc>
        <w:tc>
          <w:tcPr>
            <w:tcW w:w="270" w:type="dxa"/>
            <w:shd w:val="clear" w:color="auto" w:fill="auto"/>
            <w:vAlign w:val="center"/>
          </w:tcPr>
          <w:p w14:paraId="6A586C79" w14:textId="77777777" w:rsidR="00953AE9" w:rsidRPr="007042CD" w:rsidRDefault="00953AE9" w:rsidP="00A43650">
            <w:pPr>
              <w:jc w:val="center"/>
              <w:rPr>
                <w:sz w:val="18"/>
                <w:szCs w:val="18"/>
              </w:rPr>
            </w:pPr>
          </w:p>
        </w:tc>
        <w:tc>
          <w:tcPr>
            <w:tcW w:w="270" w:type="dxa"/>
            <w:shd w:val="clear" w:color="auto" w:fill="auto"/>
            <w:vAlign w:val="center"/>
          </w:tcPr>
          <w:p w14:paraId="5D4640F0" w14:textId="77777777" w:rsidR="00953AE9" w:rsidRPr="007042CD" w:rsidRDefault="00953AE9" w:rsidP="00A43650">
            <w:pPr>
              <w:jc w:val="center"/>
              <w:rPr>
                <w:sz w:val="18"/>
                <w:szCs w:val="18"/>
              </w:rPr>
            </w:pPr>
          </w:p>
        </w:tc>
        <w:tc>
          <w:tcPr>
            <w:tcW w:w="1170" w:type="dxa"/>
            <w:vAlign w:val="center"/>
          </w:tcPr>
          <w:p w14:paraId="6B360F00" w14:textId="77777777" w:rsidR="00953AE9" w:rsidRPr="007042CD" w:rsidRDefault="00953AE9" w:rsidP="00A43650">
            <w:pPr>
              <w:jc w:val="center"/>
              <w:rPr>
                <w:sz w:val="18"/>
                <w:szCs w:val="18"/>
              </w:rPr>
            </w:pPr>
          </w:p>
        </w:tc>
        <w:tc>
          <w:tcPr>
            <w:tcW w:w="2013" w:type="dxa"/>
            <w:vAlign w:val="center"/>
          </w:tcPr>
          <w:p w14:paraId="13EA6EB6" w14:textId="77777777" w:rsidR="00953AE9" w:rsidRPr="007042CD" w:rsidRDefault="00953AE9" w:rsidP="00A43650">
            <w:pPr>
              <w:jc w:val="center"/>
              <w:rPr>
                <w:sz w:val="18"/>
                <w:szCs w:val="18"/>
              </w:rPr>
            </w:pPr>
          </w:p>
        </w:tc>
        <w:tc>
          <w:tcPr>
            <w:tcW w:w="1260" w:type="dxa"/>
            <w:vAlign w:val="center"/>
          </w:tcPr>
          <w:p w14:paraId="23A5EB66" w14:textId="77777777" w:rsidR="00953AE9" w:rsidRPr="007042CD" w:rsidRDefault="00953AE9" w:rsidP="00A43650">
            <w:pPr>
              <w:jc w:val="center"/>
              <w:rPr>
                <w:sz w:val="18"/>
                <w:szCs w:val="18"/>
              </w:rPr>
            </w:pPr>
          </w:p>
        </w:tc>
      </w:tr>
      <w:tr w:rsidR="00287032" w14:paraId="2BA6BD9B" w14:textId="77777777" w:rsidTr="00A43650">
        <w:tc>
          <w:tcPr>
            <w:tcW w:w="1795" w:type="dxa"/>
            <w:shd w:val="clear" w:color="auto" w:fill="D6E3BC" w:themeFill="accent3" w:themeFillTint="66"/>
          </w:tcPr>
          <w:p w14:paraId="3A06E792" w14:textId="69AFD1D5" w:rsidR="00953AE9" w:rsidRPr="00D43558" w:rsidRDefault="00953AE9" w:rsidP="00A43650">
            <w:pPr>
              <w:jc w:val="center"/>
              <w:rPr>
                <w:b/>
                <w:bCs/>
                <w:sz w:val="14"/>
                <w:szCs w:val="14"/>
              </w:rPr>
            </w:pPr>
          </w:p>
        </w:tc>
        <w:tc>
          <w:tcPr>
            <w:tcW w:w="12453" w:type="dxa"/>
            <w:gridSpan w:val="7"/>
            <w:shd w:val="clear" w:color="auto" w:fill="D6E3BC" w:themeFill="accent3" w:themeFillTint="66"/>
          </w:tcPr>
          <w:p w14:paraId="1911D789" w14:textId="77777777" w:rsidR="00953AE9" w:rsidRDefault="00953AE9" w:rsidP="00A43650">
            <w:pPr>
              <w:rPr>
                <w:b/>
                <w:bCs/>
                <w:sz w:val="18"/>
                <w:szCs w:val="18"/>
              </w:rPr>
            </w:pPr>
            <w:r w:rsidRPr="007042CD">
              <w:rPr>
                <w:b/>
                <w:bCs/>
                <w:sz w:val="18"/>
                <w:szCs w:val="18"/>
              </w:rPr>
              <w:t>Payment Provisions</w:t>
            </w:r>
          </w:p>
          <w:p w14:paraId="2135E534" w14:textId="77777777" w:rsidR="00953AE9" w:rsidRDefault="00953AE9" w:rsidP="00A43650">
            <w:pPr>
              <w:rPr>
                <w:b/>
                <w:bCs/>
                <w:sz w:val="18"/>
                <w:szCs w:val="18"/>
              </w:rPr>
            </w:pPr>
          </w:p>
        </w:tc>
      </w:tr>
      <w:tr w:rsidR="00D902FC" w:rsidRPr="007042CD" w14:paraId="55245FD6" w14:textId="77777777" w:rsidTr="002921E3">
        <w:tc>
          <w:tcPr>
            <w:tcW w:w="1795" w:type="dxa"/>
          </w:tcPr>
          <w:p w14:paraId="3FE78E9D" w14:textId="77777777" w:rsidR="00953AE9" w:rsidRPr="007D68FC" w:rsidRDefault="00953AE9" w:rsidP="00A43650">
            <w:pPr>
              <w:jc w:val="center"/>
              <w:rPr>
                <w:b/>
                <w:bCs/>
                <w:sz w:val="14"/>
                <w:szCs w:val="14"/>
              </w:rPr>
            </w:pPr>
            <w:r w:rsidRPr="007D68FC">
              <w:rPr>
                <w:b/>
                <w:bCs/>
                <w:sz w:val="14"/>
                <w:szCs w:val="14"/>
              </w:rPr>
              <w:t>4220.1F.IV.2.b.(5)(a)</w:t>
            </w:r>
          </w:p>
          <w:p w14:paraId="3156F06E" w14:textId="77777777" w:rsidR="00953AE9" w:rsidRPr="007D68FC" w:rsidRDefault="00953AE9" w:rsidP="00A43650">
            <w:pPr>
              <w:jc w:val="center"/>
              <w:rPr>
                <w:b/>
                <w:bCs/>
                <w:sz w:val="14"/>
                <w:szCs w:val="14"/>
              </w:rPr>
            </w:pPr>
            <w:r w:rsidRPr="007D68FC">
              <w:rPr>
                <w:b/>
                <w:bCs/>
                <w:sz w:val="14"/>
                <w:szCs w:val="14"/>
              </w:rPr>
              <w:t>4220.1F.IV.2.b.(5)(b)</w:t>
            </w:r>
          </w:p>
          <w:p w14:paraId="7001B956" w14:textId="6F528C2B" w:rsidR="00953AE9" w:rsidRPr="007D68FC" w:rsidRDefault="00953AE9" w:rsidP="00A43650">
            <w:pPr>
              <w:jc w:val="center"/>
              <w:rPr>
                <w:b/>
                <w:bCs/>
                <w:sz w:val="14"/>
                <w:szCs w:val="14"/>
              </w:rPr>
            </w:pPr>
            <w:r w:rsidRPr="007D68FC">
              <w:rPr>
                <w:b/>
                <w:bCs/>
                <w:sz w:val="14"/>
                <w:szCs w:val="14"/>
              </w:rPr>
              <w:t>4220.1F.IV.2.b.(5)I</w:t>
            </w:r>
          </w:p>
        </w:tc>
        <w:tc>
          <w:tcPr>
            <w:tcW w:w="7200" w:type="dxa"/>
          </w:tcPr>
          <w:p w14:paraId="4CD83027" w14:textId="77777777" w:rsidR="00953AE9" w:rsidRPr="007042CD" w:rsidRDefault="00953AE9" w:rsidP="00A43650">
            <w:pPr>
              <w:rPr>
                <w:b/>
                <w:bCs/>
                <w:sz w:val="18"/>
                <w:szCs w:val="18"/>
              </w:rPr>
            </w:pPr>
            <w:r w:rsidRPr="007042CD">
              <w:rPr>
                <w:b/>
                <w:bCs/>
                <w:sz w:val="18"/>
                <w:szCs w:val="18"/>
              </w:rPr>
              <w:t>Payment Provisions</w:t>
            </w:r>
          </w:p>
          <w:p w14:paraId="1CBC1C9D" w14:textId="77777777" w:rsidR="00953AE9" w:rsidRDefault="00953AE9" w:rsidP="00A43650">
            <w:pPr>
              <w:rPr>
                <w:sz w:val="18"/>
                <w:szCs w:val="18"/>
              </w:rPr>
            </w:pPr>
            <w:r w:rsidRPr="00BC0540">
              <w:rPr>
                <w:sz w:val="18"/>
                <w:szCs w:val="18"/>
              </w:rPr>
              <w:t>The recipient may use its own funds to finance its contracts. However, if the recipient intends to use FTA assistance, expects to be reimbursed with FTA assistance, or dedicates its local share funds to support contract costs it has financed, then it must structure its payment provisions carefully.</w:t>
            </w:r>
          </w:p>
          <w:p w14:paraId="77A281B5" w14:textId="77777777" w:rsidR="00953AE9" w:rsidRDefault="00953AE9" w:rsidP="00A43650">
            <w:pPr>
              <w:rPr>
                <w:sz w:val="18"/>
                <w:szCs w:val="18"/>
              </w:rPr>
            </w:pPr>
          </w:p>
          <w:p w14:paraId="10A7CD57" w14:textId="60D67788" w:rsidR="00B01635" w:rsidRDefault="00B01635" w:rsidP="00A43650">
            <w:pPr>
              <w:rPr>
                <w:sz w:val="18"/>
                <w:szCs w:val="18"/>
              </w:rPr>
            </w:pPr>
            <w:r>
              <w:rPr>
                <w:sz w:val="18"/>
                <w:szCs w:val="18"/>
              </w:rPr>
              <w:t>Was the timing of payments after delivery of the goods or services?</w:t>
            </w:r>
          </w:p>
          <w:p w14:paraId="2D6D1D10" w14:textId="5813F4EB" w:rsidR="00B01635" w:rsidRPr="00BC0540" w:rsidRDefault="00B01635" w:rsidP="00A43650">
            <w:pPr>
              <w:rPr>
                <w:sz w:val="18"/>
                <w:szCs w:val="18"/>
              </w:rPr>
            </w:pPr>
            <w:r>
              <w:rPr>
                <w:sz w:val="18"/>
                <w:szCs w:val="18"/>
              </w:rPr>
              <w:t>Was the</w:t>
            </w:r>
            <w:r w:rsidR="00953AE9">
              <w:rPr>
                <w:sz w:val="18"/>
                <w:szCs w:val="18"/>
              </w:rPr>
              <w:t xml:space="preserve"> timing </w:t>
            </w:r>
            <w:r>
              <w:rPr>
                <w:sz w:val="18"/>
                <w:szCs w:val="18"/>
              </w:rPr>
              <w:t xml:space="preserve">of </w:t>
            </w:r>
            <w:r w:rsidR="00953AE9">
              <w:rPr>
                <w:sz w:val="18"/>
                <w:szCs w:val="18"/>
              </w:rPr>
              <w:t>payments</w:t>
            </w:r>
            <w:r>
              <w:rPr>
                <w:sz w:val="18"/>
                <w:szCs w:val="18"/>
              </w:rPr>
              <w:t xml:space="preserve"> </w:t>
            </w:r>
            <w:r w:rsidR="00953AE9">
              <w:rPr>
                <w:sz w:val="18"/>
                <w:szCs w:val="18"/>
              </w:rPr>
              <w:t xml:space="preserve">after the time in which the federal funds to be used for reimbursement </w:t>
            </w:r>
            <w:r>
              <w:rPr>
                <w:sz w:val="18"/>
                <w:szCs w:val="18"/>
              </w:rPr>
              <w:t>were</w:t>
            </w:r>
            <w:r w:rsidR="00953AE9">
              <w:rPr>
                <w:sz w:val="18"/>
                <w:szCs w:val="18"/>
              </w:rPr>
              <w:t xml:space="preserve"> awarded or planned to be awarded</w:t>
            </w:r>
            <w:r w:rsidR="00953AE9" w:rsidRPr="00BC0540">
              <w:rPr>
                <w:sz w:val="18"/>
                <w:szCs w:val="18"/>
              </w:rPr>
              <w:t>?</w:t>
            </w:r>
          </w:p>
          <w:p w14:paraId="0D301E38" w14:textId="77777777" w:rsidR="00953AE9" w:rsidRPr="007042CD" w:rsidRDefault="00953AE9" w:rsidP="00A43650">
            <w:pPr>
              <w:rPr>
                <w:b/>
                <w:bCs/>
                <w:sz w:val="18"/>
                <w:szCs w:val="18"/>
              </w:rPr>
            </w:pPr>
          </w:p>
        </w:tc>
        <w:tc>
          <w:tcPr>
            <w:tcW w:w="270" w:type="dxa"/>
            <w:shd w:val="clear" w:color="auto" w:fill="BFBFBF" w:themeFill="background1" w:themeFillShade="BF"/>
            <w:vAlign w:val="center"/>
          </w:tcPr>
          <w:p w14:paraId="0A03F522" w14:textId="77777777" w:rsidR="00953AE9" w:rsidRPr="007042CD" w:rsidRDefault="00953AE9" w:rsidP="00A43650">
            <w:pPr>
              <w:jc w:val="center"/>
              <w:rPr>
                <w:sz w:val="18"/>
                <w:szCs w:val="18"/>
              </w:rPr>
            </w:pPr>
          </w:p>
        </w:tc>
        <w:tc>
          <w:tcPr>
            <w:tcW w:w="270" w:type="dxa"/>
            <w:shd w:val="clear" w:color="auto" w:fill="BFBFBF" w:themeFill="background1" w:themeFillShade="BF"/>
            <w:vAlign w:val="center"/>
          </w:tcPr>
          <w:p w14:paraId="54DFC1F6" w14:textId="77777777" w:rsidR="00953AE9" w:rsidRPr="007042CD" w:rsidRDefault="00953AE9" w:rsidP="00A43650">
            <w:pPr>
              <w:jc w:val="center"/>
              <w:rPr>
                <w:sz w:val="18"/>
                <w:szCs w:val="18"/>
              </w:rPr>
            </w:pPr>
          </w:p>
        </w:tc>
        <w:tc>
          <w:tcPr>
            <w:tcW w:w="270" w:type="dxa"/>
            <w:shd w:val="clear" w:color="auto" w:fill="BFBFBF" w:themeFill="background1" w:themeFillShade="BF"/>
            <w:vAlign w:val="center"/>
          </w:tcPr>
          <w:p w14:paraId="2720E571" w14:textId="77777777" w:rsidR="00953AE9" w:rsidRPr="007042CD" w:rsidRDefault="00953AE9" w:rsidP="00A43650">
            <w:pPr>
              <w:jc w:val="center"/>
              <w:rPr>
                <w:sz w:val="18"/>
                <w:szCs w:val="18"/>
              </w:rPr>
            </w:pPr>
          </w:p>
        </w:tc>
        <w:tc>
          <w:tcPr>
            <w:tcW w:w="1170" w:type="dxa"/>
            <w:vAlign w:val="center"/>
          </w:tcPr>
          <w:p w14:paraId="340EE92F" w14:textId="77777777" w:rsidR="00953AE9" w:rsidRPr="007042CD" w:rsidRDefault="00953AE9" w:rsidP="00A43650">
            <w:pPr>
              <w:jc w:val="center"/>
              <w:rPr>
                <w:sz w:val="18"/>
                <w:szCs w:val="18"/>
              </w:rPr>
            </w:pPr>
          </w:p>
        </w:tc>
        <w:tc>
          <w:tcPr>
            <w:tcW w:w="2013" w:type="dxa"/>
            <w:vAlign w:val="center"/>
          </w:tcPr>
          <w:p w14:paraId="3B146E57" w14:textId="77777777" w:rsidR="00953AE9" w:rsidRPr="007042CD" w:rsidRDefault="00953AE9" w:rsidP="00A43650">
            <w:pPr>
              <w:jc w:val="center"/>
              <w:rPr>
                <w:sz w:val="18"/>
                <w:szCs w:val="18"/>
              </w:rPr>
            </w:pPr>
          </w:p>
        </w:tc>
        <w:tc>
          <w:tcPr>
            <w:tcW w:w="1260" w:type="dxa"/>
            <w:vAlign w:val="center"/>
          </w:tcPr>
          <w:p w14:paraId="19D9D746" w14:textId="77777777" w:rsidR="00953AE9" w:rsidRPr="007042CD" w:rsidRDefault="00953AE9" w:rsidP="00A43650">
            <w:pPr>
              <w:jc w:val="center"/>
              <w:rPr>
                <w:sz w:val="18"/>
                <w:szCs w:val="18"/>
              </w:rPr>
            </w:pPr>
          </w:p>
        </w:tc>
      </w:tr>
      <w:tr w:rsidR="00D902FC" w:rsidRPr="007042CD" w14:paraId="64585B92" w14:textId="77777777" w:rsidTr="002921E3">
        <w:tc>
          <w:tcPr>
            <w:tcW w:w="1795" w:type="dxa"/>
          </w:tcPr>
          <w:p w14:paraId="6F7D728D" w14:textId="129AE71E" w:rsidR="00953AE9" w:rsidRPr="007D68FC" w:rsidRDefault="00953AE9" w:rsidP="00A43650">
            <w:pPr>
              <w:jc w:val="center"/>
              <w:rPr>
                <w:b/>
                <w:bCs/>
                <w:sz w:val="14"/>
                <w:szCs w:val="14"/>
              </w:rPr>
            </w:pPr>
            <w:r w:rsidRPr="007D68FC">
              <w:rPr>
                <w:b/>
                <w:bCs/>
                <w:sz w:val="14"/>
                <w:szCs w:val="14"/>
              </w:rPr>
              <w:t>4220.1F.IV.2.b.(5)(b)</w:t>
            </w:r>
          </w:p>
        </w:tc>
        <w:tc>
          <w:tcPr>
            <w:tcW w:w="7200" w:type="dxa"/>
          </w:tcPr>
          <w:p w14:paraId="5BA12DA2" w14:textId="77777777" w:rsidR="00953AE9" w:rsidRDefault="00953AE9" w:rsidP="00A43650">
            <w:pPr>
              <w:rPr>
                <w:sz w:val="18"/>
                <w:szCs w:val="18"/>
              </w:rPr>
            </w:pPr>
            <w:r w:rsidRPr="007042CD">
              <w:rPr>
                <w:b/>
                <w:bCs/>
                <w:sz w:val="18"/>
                <w:szCs w:val="18"/>
              </w:rPr>
              <w:t>Advance payments</w:t>
            </w:r>
          </w:p>
          <w:p w14:paraId="5160817B" w14:textId="77777777" w:rsidR="00953AE9" w:rsidRDefault="00953AE9" w:rsidP="00A43650">
            <w:pPr>
              <w:rPr>
                <w:sz w:val="18"/>
                <w:szCs w:val="18"/>
              </w:rPr>
            </w:pPr>
            <w:r w:rsidRPr="007042CD">
              <w:rPr>
                <w:sz w:val="18"/>
                <w:szCs w:val="18"/>
              </w:rPr>
              <w:t>Advance payments are payments made to a contractor before the contractor incurs contract costs.</w:t>
            </w:r>
          </w:p>
          <w:p w14:paraId="7E543F85" w14:textId="77777777" w:rsidR="00953AE9" w:rsidRDefault="00953AE9" w:rsidP="00A43650">
            <w:pPr>
              <w:rPr>
                <w:sz w:val="18"/>
                <w:szCs w:val="18"/>
              </w:rPr>
            </w:pPr>
          </w:p>
          <w:p w14:paraId="0115CA7B" w14:textId="77777777" w:rsidR="00953AE9" w:rsidRDefault="00953AE9" w:rsidP="00A43650">
            <w:pPr>
              <w:rPr>
                <w:sz w:val="18"/>
                <w:szCs w:val="18"/>
              </w:rPr>
            </w:pPr>
            <w:r>
              <w:rPr>
                <w:sz w:val="18"/>
                <w:szCs w:val="18"/>
              </w:rPr>
              <w:t xml:space="preserve">The recipient may not use FTA assistance to make payments to a third party contractor before the contractor has incurred costs for which the payments would be attributable.  FTA does make exceptions to the advance payment prohibition, if the recipient can provide sound business reasons for doing so and has obtained FTA’s advanced written concurrence.  </w:t>
            </w:r>
            <w:r>
              <w:rPr>
                <w:sz w:val="18"/>
                <w:szCs w:val="18"/>
              </w:rPr>
              <w:lastRenderedPageBreak/>
              <w:t>Adequate security for the advance payment is an essential pre-condition to FTA’s concurrence in the use of FTA or local share funds.</w:t>
            </w:r>
          </w:p>
          <w:p w14:paraId="0E84C567" w14:textId="77777777" w:rsidR="00B01635" w:rsidRDefault="00B01635" w:rsidP="00A43650">
            <w:pPr>
              <w:rPr>
                <w:sz w:val="18"/>
                <w:szCs w:val="18"/>
              </w:rPr>
            </w:pPr>
          </w:p>
          <w:p w14:paraId="0A9B8D6A" w14:textId="03038B1C" w:rsidR="00B01635" w:rsidRPr="007042CD" w:rsidRDefault="00B01635" w:rsidP="00A43650">
            <w:pPr>
              <w:rPr>
                <w:sz w:val="18"/>
                <w:szCs w:val="18"/>
              </w:rPr>
            </w:pPr>
            <w:r>
              <w:rPr>
                <w:sz w:val="18"/>
                <w:szCs w:val="18"/>
              </w:rPr>
              <w:t>Were any advance payment provisions used?</w:t>
            </w:r>
          </w:p>
          <w:p w14:paraId="3AA074F2" w14:textId="77777777" w:rsidR="00953AE9" w:rsidRPr="007042CD" w:rsidRDefault="00953AE9" w:rsidP="00A43650">
            <w:pPr>
              <w:rPr>
                <w:b/>
                <w:bCs/>
                <w:sz w:val="18"/>
                <w:szCs w:val="18"/>
              </w:rPr>
            </w:pPr>
          </w:p>
        </w:tc>
        <w:tc>
          <w:tcPr>
            <w:tcW w:w="270" w:type="dxa"/>
            <w:shd w:val="clear" w:color="auto" w:fill="BFBFBF" w:themeFill="background1" w:themeFillShade="BF"/>
            <w:vAlign w:val="center"/>
          </w:tcPr>
          <w:p w14:paraId="38B34D25" w14:textId="77777777" w:rsidR="00953AE9" w:rsidRPr="007042CD" w:rsidRDefault="00953AE9" w:rsidP="00A43650">
            <w:pPr>
              <w:jc w:val="center"/>
              <w:rPr>
                <w:sz w:val="18"/>
                <w:szCs w:val="18"/>
              </w:rPr>
            </w:pPr>
          </w:p>
        </w:tc>
        <w:tc>
          <w:tcPr>
            <w:tcW w:w="270" w:type="dxa"/>
            <w:shd w:val="clear" w:color="auto" w:fill="BFBFBF" w:themeFill="background1" w:themeFillShade="BF"/>
            <w:vAlign w:val="center"/>
          </w:tcPr>
          <w:p w14:paraId="51A34720" w14:textId="77777777" w:rsidR="00953AE9" w:rsidRPr="007042CD" w:rsidRDefault="00953AE9" w:rsidP="00A43650">
            <w:pPr>
              <w:jc w:val="center"/>
              <w:rPr>
                <w:sz w:val="18"/>
                <w:szCs w:val="18"/>
              </w:rPr>
            </w:pPr>
          </w:p>
        </w:tc>
        <w:tc>
          <w:tcPr>
            <w:tcW w:w="270" w:type="dxa"/>
            <w:shd w:val="clear" w:color="auto" w:fill="BFBFBF" w:themeFill="background1" w:themeFillShade="BF"/>
            <w:vAlign w:val="center"/>
          </w:tcPr>
          <w:p w14:paraId="7FEC89C9" w14:textId="77777777" w:rsidR="00953AE9" w:rsidRPr="007042CD" w:rsidRDefault="00953AE9" w:rsidP="00A43650">
            <w:pPr>
              <w:jc w:val="center"/>
              <w:rPr>
                <w:sz w:val="18"/>
                <w:szCs w:val="18"/>
              </w:rPr>
            </w:pPr>
          </w:p>
        </w:tc>
        <w:tc>
          <w:tcPr>
            <w:tcW w:w="1170" w:type="dxa"/>
            <w:vAlign w:val="center"/>
          </w:tcPr>
          <w:p w14:paraId="306EEB31" w14:textId="77777777" w:rsidR="00953AE9" w:rsidRPr="007042CD" w:rsidRDefault="00953AE9" w:rsidP="00A43650">
            <w:pPr>
              <w:jc w:val="center"/>
              <w:rPr>
                <w:sz w:val="18"/>
                <w:szCs w:val="18"/>
              </w:rPr>
            </w:pPr>
          </w:p>
        </w:tc>
        <w:tc>
          <w:tcPr>
            <w:tcW w:w="2013" w:type="dxa"/>
            <w:vAlign w:val="center"/>
          </w:tcPr>
          <w:p w14:paraId="2A41845A" w14:textId="77777777" w:rsidR="00953AE9" w:rsidRPr="007042CD" w:rsidRDefault="00953AE9" w:rsidP="00A43650">
            <w:pPr>
              <w:jc w:val="center"/>
              <w:rPr>
                <w:sz w:val="18"/>
                <w:szCs w:val="18"/>
              </w:rPr>
            </w:pPr>
          </w:p>
        </w:tc>
        <w:tc>
          <w:tcPr>
            <w:tcW w:w="1260" w:type="dxa"/>
            <w:vAlign w:val="center"/>
          </w:tcPr>
          <w:p w14:paraId="2E7F4A76" w14:textId="77777777" w:rsidR="00953AE9" w:rsidRPr="007042CD" w:rsidRDefault="00953AE9" w:rsidP="00A43650">
            <w:pPr>
              <w:jc w:val="center"/>
              <w:rPr>
                <w:sz w:val="18"/>
                <w:szCs w:val="18"/>
              </w:rPr>
            </w:pPr>
          </w:p>
        </w:tc>
      </w:tr>
      <w:tr w:rsidR="00D902FC" w:rsidRPr="007042CD" w14:paraId="4BBD8F19" w14:textId="77777777" w:rsidTr="002921E3">
        <w:tc>
          <w:tcPr>
            <w:tcW w:w="1795" w:type="dxa"/>
          </w:tcPr>
          <w:p w14:paraId="2CBDCD8D" w14:textId="3C057938" w:rsidR="00953AE9" w:rsidRPr="007D68FC" w:rsidRDefault="00953AE9" w:rsidP="00A43650">
            <w:pPr>
              <w:jc w:val="center"/>
              <w:rPr>
                <w:b/>
                <w:bCs/>
                <w:sz w:val="14"/>
                <w:szCs w:val="14"/>
              </w:rPr>
            </w:pPr>
            <w:r w:rsidRPr="007D68FC">
              <w:rPr>
                <w:b/>
                <w:bCs/>
                <w:sz w:val="14"/>
                <w:szCs w:val="14"/>
              </w:rPr>
              <w:t>4220.1F.IV.2.b.(5)(c)</w:t>
            </w:r>
          </w:p>
        </w:tc>
        <w:tc>
          <w:tcPr>
            <w:tcW w:w="7200" w:type="dxa"/>
          </w:tcPr>
          <w:p w14:paraId="39083D73" w14:textId="77777777" w:rsidR="00953AE9" w:rsidRDefault="00953AE9" w:rsidP="00A43650">
            <w:pPr>
              <w:rPr>
                <w:sz w:val="18"/>
                <w:szCs w:val="18"/>
              </w:rPr>
            </w:pPr>
            <w:r w:rsidRPr="007042CD">
              <w:rPr>
                <w:b/>
                <w:bCs/>
                <w:sz w:val="18"/>
                <w:szCs w:val="18"/>
              </w:rPr>
              <w:t>Progress payment</w:t>
            </w:r>
            <w:r>
              <w:rPr>
                <w:b/>
                <w:bCs/>
                <w:sz w:val="18"/>
                <w:szCs w:val="18"/>
              </w:rPr>
              <w:t>s</w:t>
            </w:r>
          </w:p>
          <w:p w14:paraId="0C2A3D7F" w14:textId="77777777" w:rsidR="00953AE9" w:rsidRDefault="00953AE9" w:rsidP="00A43650">
            <w:pPr>
              <w:rPr>
                <w:sz w:val="18"/>
                <w:szCs w:val="18"/>
              </w:rPr>
            </w:pPr>
            <w:r w:rsidRPr="007042CD">
              <w:rPr>
                <w:sz w:val="18"/>
                <w:szCs w:val="18"/>
              </w:rPr>
              <w:t>Progress payments are payments for contract work that has not been completed.</w:t>
            </w:r>
          </w:p>
          <w:p w14:paraId="4B85E703" w14:textId="77777777" w:rsidR="00953AE9" w:rsidRDefault="00953AE9" w:rsidP="00A43650">
            <w:pPr>
              <w:rPr>
                <w:sz w:val="18"/>
                <w:szCs w:val="18"/>
              </w:rPr>
            </w:pPr>
          </w:p>
          <w:p w14:paraId="6AFC2891" w14:textId="77777777" w:rsidR="00953AE9" w:rsidRDefault="00953AE9" w:rsidP="00A43650">
            <w:pPr>
              <w:rPr>
                <w:sz w:val="18"/>
                <w:szCs w:val="18"/>
              </w:rPr>
            </w:pPr>
            <w:r w:rsidRPr="00AF47FA">
              <w:rPr>
                <w:sz w:val="18"/>
                <w:szCs w:val="18"/>
              </w:rPr>
              <w:t>The recipient may use FTA assistance to support progress payments provided the recipient obtains adequate security for those payments and has sufficient written documentation to substantiate the work for which payment is requested.</w:t>
            </w:r>
          </w:p>
          <w:p w14:paraId="66AD31A4" w14:textId="77777777" w:rsidR="00953AE9" w:rsidRDefault="00953AE9" w:rsidP="00A43650">
            <w:pPr>
              <w:rPr>
                <w:sz w:val="18"/>
                <w:szCs w:val="18"/>
              </w:rPr>
            </w:pPr>
          </w:p>
          <w:p w14:paraId="1D56613C" w14:textId="77777777" w:rsidR="00953AE9" w:rsidRDefault="00953AE9" w:rsidP="00A43650">
            <w:pPr>
              <w:rPr>
                <w:sz w:val="18"/>
                <w:szCs w:val="18"/>
              </w:rPr>
            </w:pPr>
            <w:r w:rsidRPr="00AF47FA">
              <w:rPr>
                <w:sz w:val="18"/>
                <w:szCs w:val="18"/>
              </w:rPr>
              <w:t>The Common Grant Rules requires that any progress payments for construction contracts be made on a percentage of completion</w:t>
            </w:r>
            <w:r>
              <w:rPr>
                <w:sz w:val="18"/>
                <w:szCs w:val="18"/>
              </w:rPr>
              <w:t xml:space="preserve"> method.  For other than construction contracts, the percentage of completion method may not be used.</w:t>
            </w:r>
          </w:p>
          <w:p w14:paraId="2146B626" w14:textId="77777777" w:rsidR="00B01635" w:rsidRDefault="00B01635" w:rsidP="00A43650">
            <w:pPr>
              <w:rPr>
                <w:sz w:val="18"/>
                <w:szCs w:val="18"/>
              </w:rPr>
            </w:pPr>
          </w:p>
          <w:p w14:paraId="4ABE31CB" w14:textId="2408FB74" w:rsidR="00B01635" w:rsidRPr="00AF47FA" w:rsidRDefault="00B01635" w:rsidP="00A43650">
            <w:pPr>
              <w:rPr>
                <w:sz w:val="18"/>
                <w:szCs w:val="18"/>
              </w:rPr>
            </w:pPr>
            <w:r>
              <w:rPr>
                <w:sz w:val="18"/>
                <w:szCs w:val="18"/>
              </w:rPr>
              <w:t>Were any progress payment provisions used?</w:t>
            </w:r>
          </w:p>
          <w:p w14:paraId="08836814" w14:textId="77777777" w:rsidR="00953AE9" w:rsidRPr="007042CD" w:rsidRDefault="00953AE9" w:rsidP="00A43650">
            <w:pPr>
              <w:rPr>
                <w:b/>
                <w:bCs/>
                <w:sz w:val="18"/>
                <w:szCs w:val="18"/>
              </w:rPr>
            </w:pPr>
          </w:p>
        </w:tc>
        <w:tc>
          <w:tcPr>
            <w:tcW w:w="270" w:type="dxa"/>
            <w:shd w:val="clear" w:color="auto" w:fill="BFBFBF" w:themeFill="background1" w:themeFillShade="BF"/>
            <w:vAlign w:val="center"/>
          </w:tcPr>
          <w:p w14:paraId="343C702D" w14:textId="77777777" w:rsidR="00953AE9" w:rsidRPr="007042CD" w:rsidRDefault="00953AE9" w:rsidP="00A43650">
            <w:pPr>
              <w:jc w:val="center"/>
              <w:rPr>
                <w:sz w:val="18"/>
                <w:szCs w:val="18"/>
              </w:rPr>
            </w:pPr>
          </w:p>
        </w:tc>
        <w:tc>
          <w:tcPr>
            <w:tcW w:w="270" w:type="dxa"/>
            <w:shd w:val="clear" w:color="auto" w:fill="BFBFBF" w:themeFill="background1" w:themeFillShade="BF"/>
            <w:vAlign w:val="center"/>
          </w:tcPr>
          <w:p w14:paraId="0DA84EEF" w14:textId="77777777" w:rsidR="00953AE9" w:rsidRPr="007042CD" w:rsidRDefault="00953AE9" w:rsidP="00A43650">
            <w:pPr>
              <w:jc w:val="center"/>
              <w:rPr>
                <w:sz w:val="18"/>
                <w:szCs w:val="18"/>
              </w:rPr>
            </w:pPr>
          </w:p>
        </w:tc>
        <w:tc>
          <w:tcPr>
            <w:tcW w:w="270" w:type="dxa"/>
            <w:shd w:val="clear" w:color="auto" w:fill="BFBFBF" w:themeFill="background1" w:themeFillShade="BF"/>
            <w:vAlign w:val="center"/>
          </w:tcPr>
          <w:p w14:paraId="0CE8DF79" w14:textId="77777777" w:rsidR="00953AE9" w:rsidRPr="007042CD" w:rsidRDefault="00953AE9" w:rsidP="00A43650">
            <w:pPr>
              <w:jc w:val="center"/>
              <w:rPr>
                <w:sz w:val="18"/>
                <w:szCs w:val="18"/>
              </w:rPr>
            </w:pPr>
          </w:p>
        </w:tc>
        <w:tc>
          <w:tcPr>
            <w:tcW w:w="1170" w:type="dxa"/>
            <w:vAlign w:val="center"/>
          </w:tcPr>
          <w:p w14:paraId="5CD1E4B8" w14:textId="77777777" w:rsidR="00953AE9" w:rsidRPr="007042CD" w:rsidRDefault="00953AE9" w:rsidP="00A43650">
            <w:pPr>
              <w:jc w:val="center"/>
              <w:rPr>
                <w:sz w:val="18"/>
                <w:szCs w:val="18"/>
              </w:rPr>
            </w:pPr>
          </w:p>
        </w:tc>
        <w:tc>
          <w:tcPr>
            <w:tcW w:w="2013" w:type="dxa"/>
            <w:vAlign w:val="center"/>
          </w:tcPr>
          <w:p w14:paraId="7B4056C9" w14:textId="77777777" w:rsidR="00953AE9" w:rsidRPr="007042CD" w:rsidRDefault="00953AE9" w:rsidP="00A43650">
            <w:pPr>
              <w:jc w:val="center"/>
              <w:rPr>
                <w:sz w:val="18"/>
                <w:szCs w:val="18"/>
              </w:rPr>
            </w:pPr>
          </w:p>
        </w:tc>
        <w:tc>
          <w:tcPr>
            <w:tcW w:w="1260" w:type="dxa"/>
            <w:vAlign w:val="center"/>
          </w:tcPr>
          <w:p w14:paraId="6E4E4518" w14:textId="77777777" w:rsidR="00953AE9" w:rsidRPr="007042CD" w:rsidRDefault="00953AE9" w:rsidP="00A43650">
            <w:pPr>
              <w:jc w:val="center"/>
              <w:rPr>
                <w:sz w:val="18"/>
                <w:szCs w:val="18"/>
              </w:rPr>
            </w:pPr>
          </w:p>
        </w:tc>
      </w:tr>
      <w:tr w:rsidR="00804CAF" w14:paraId="08DE2CFA" w14:textId="77777777" w:rsidTr="00A43650">
        <w:tc>
          <w:tcPr>
            <w:tcW w:w="1795" w:type="dxa"/>
            <w:shd w:val="clear" w:color="auto" w:fill="B8CCE4" w:themeFill="accent1" w:themeFillTint="66"/>
          </w:tcPr>
          <w:p w14:paraId="5802048B" w14:textId="77777777" w:rsidR="00C44A3A" w:rsidRPr="00D43558" w:rsidRDefault="00C44A3A" w:rsidP="00A43650">
            <w:pPr>
              <w:jc w:val="center"/>
              <w:rPr>
                <w:b/>
                <w:bCs/>
                <w:sz w:val="14"/>
                <w:szCs w:val="14"/>
              </w:rPr>
            </w:pPr>
          </w:p>
        </w:tc>
        <w:tc>
          <w:tcPr>
            <w:tcW w:w="12453" w:type="dxa"/>
            <w:gridSpan w:val="7"/>
            <w:shd w:val="clear" w:color="auto" w:fill="B8CCE4" w:themeFill="accent1" w:themeFillTint="66"/>
          </w:tcPr>
          <w:p w14:paraId="64974F8A" w14:textId="77777777" w:rsidR="00C44A3A" w:rsidRDefault="00C44A3A" w:rsidP="00A43650">
            <w:pPr>
              <w:rPr>
                <w:b/>
                <w:bCs/>
                <w:sz w:val="18"/>
                <w:szCs w:val="18"/>
              </w:rPr>
            </w:pPr>
            <w:r w:rsidRPr="00CD7F09">
              <w:rPr>
                <w:b/>
                <w:bCs/>
                <w:sz w:val="18"/>
                <w:szCs w:val="18"/>
              </w:rPr>
              <w:t>END OF CHECKLIST</w:t>
            </w:r>
          </w:p>
          <w:p w14:paraId="60752375" w14:textId="77777777" w:rsidR="00C44A3A" w:rsidRDefault="00C44A3A" w:rsidP="00A43650">
            <w:pPr>
              <w:rPr>
                <w:b/>
                <w:bCs/>
                <w:sz w:val="18"/>
                <w:szCs w:val="18"/>
              </w:rPr>
            </w:pPr>
          </w:p>
        </w:tc>
      </w:tr>
    </w:tbl>
    <w:p w14:paraId="0333BB66" w14:textId="357379FE" w:rsidR="002C2B6D" w:rsidRDefault="002C2B6D"/>
    <w:sectPr w:rsidR="002C2B6D" w:rsidSect="00A557D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A667" w14:textId="77777777" w:rsidR="0025124A" w:rsidRDefault="0025124A" w:rsidP="00744ECF">
      <w:pPr>
        <w:spacing w:after="0" w:line="240" w:lineRule="auto"/>
      </w:pPr>
      <w:r>
        <w:separator/>
      </w:r>
    </w:p>
  </w:endnote>
  <w:endnote w:type="continuationSeparator" w:id="0">
    <w:p w14:paraId="07520BD4" w14:textId="77777777" w:rsidR="0025124A" w:rsidRDefault="0025124A"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8B5ED4" w:rsidRDefault="008B5E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8B5ED4" w:rsidRDefault="008B5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5EFE" w14:textId="77777777" w:rsidR="0025124A" w:rsidRDefault="0025124A" w:rsidP="00744ECF">
      <w:pPr>
        <w:spacing w:after="0" w:line="240" w:lineRule="auto"/>
      </w:pPr>
      <w:r>
        <w:separator/>
      </w:r>
    </w:p>
  </w:footnote>
  <w:footnote w:type="continuationSeparator" w:id="0">
    <w:p w14:paraId="23DD98C9" w14:textId="77777777" w:rsidR="0025124A" w:rsidRDefault="0025124A"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8B5ED4" w:rsidRDefault="008B5ED4" w:rsidP="00744ECF">
    <w:pPr>
      <w:spacing w:after="0" w:line="240" w:lineRule="auto"/>
      <w:jc w:val="right"/>
    </w:pPr>
    <w:r>
      <w:t>Transit Oversight Office</w:t>
    </w:r>
  </w:p>
  <w:p w14:paraId="77BFB154" w14:textId="77777777" w:rsidR="008B5ED4" w:rsidRDefault="008B5ED4"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8B5ED4" w:rsidRDefault="008B5ED4" w:rsidP="00744ECF">
    <w:pPr>
      <w:spacing w:after="0" w:line="240" w:lineRule="auto"/>
      <w:jc w:val="right"/>
    </w:pPr>
    <w:r>
      <w:t>505 Deaderick Street, Suite 900</w:t>
    </w:r>
  </w:p>
  <w:p w14:paraId="5A9ED350" w14:textId="77777777" w:rsidR="008B5ED4" w:rsidRDefault="008B5ED4" w:rsidP="00744ECF">
    <w:pPr>
      <w:spacing w:after="0" w:line="240" w:lineRule="auto"/>
      <w:jc w:val="right"/>
    </w:pPr>
    <w:r>
      <w:t>Nashville, TN 37243</w:t>
    </w:r>
  </w:p>
  <w:p w14:paraId="1A1D8938" w14:textId="77777777" w:rsidR="008B5ED4" w:rsidRPr="00472A1B" w:rsidRDefault="00000000" w:rsidP="00744ECF">
    <w:pPr>
      <w:spacing w:after="0" w:line="240" w:lineRule="auto"/>
      <w:jc w:val="right"/>
    </w:pPr>
    <w:hyperlink r:id="rId2" w:history="1">
      <w:r w:rsidR="008B5ED4" w:rsidRPr="001465DB">
        <w:rPr>
          <w:rStyle w:val="Hyperlink"/>
        </w:rPr>
        <w:t>TDOT.MultimodalAdmin@tn.gov</w:t>
      </w:r>
    </w:hyperlink>
    <w:r w:rsidR="008B5ED4">
      <w:t xml:space="preserve"> </w:t>
    </w:r>
  </w:p>
  <w:p w14:paraId="7A25E50F" w14:textId="77777777" w:rsidR="008B5ED4"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8B5ED4" w:rsidRDefault="008B5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756"/>
    <w:multiLevelType w:val="hybridMultilevel"/>
    <w:tmpl w:val="3312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0BC0"/>
    <w:multiLevelType w:val="hybridMultilevel"/>
    <w:tmpl w:val="028A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E34"/>
    <w:multiLevelType w:val="hybridMultilevel"/>
    <w:tmpl w:val="9F20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E4D9E"/>
    <w:multiLevelType w:val="hybridMultilevel"/>
    <w:tmpl w:val="034E3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01BF4"/>
    <w:multiLevelType w:val="hybridMultilevel"/>
    <w:tmpl w:val="CC64C94C"/>
    <w:lvl w:ilvl="0" w:tplc="EE54B5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82C55"/>
    <w:multiLevelType w:val="hybridMultilevel"/>
    <w:tmpl w:val="E646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952C7"/>
    <w:multiLevelType w:val="hybridMultilevel"/>
    <w:tmpl w:val="B3CC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F1DA8"/>
    <w:multiLevelType w:val="hybridMultilevel"/>
    <w:tmpl w:val="3EC2E874"/>
    <w:lvl w:ilvl="0" w:tplc="28B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75D0A"/>
    <w:multiLevelType w:val="hybridMultilevel"/>
    <w:tmpl w:val="3C62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A476A"/>
    <w:multiLevelType w:val="hybridMultilevel"/>
    <w:tmpl w:val="3BACB86C"/>
    <w:lvl w:ilvl="0" w:tplc="7338BC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441CC"/>
    <w:multiLevelType w:val="hybridMultilevel"/>
    <w:tmpl w:val="E3FE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D5A36"/>
    <w:multiLevelType w:val="hybridMultilevel"/>
    <w:tmpl w:val="E2EC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55757"/>
    <w:multiLevelType w:val="hybridMultilevel"/>
    <w:tmpl w:val="DF18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0D14"/>
    <w:multiLevelType w:val="hybridMultilevel"/>
    <w:tmpl w:val="D3AA9B66"/>
    <w:lvl w:ilvl="0" w:tplc="04090001">
      <w:start w:val="1"/>
      <w:numFmt w:val="bullet"/>
      <w:lvlText w:val=""/>
      <w:lvlJc w:val="left"/>
      <w:pPr>
        <w:ind w:left="364" w:hanging="360"/>
      </w:pPr>
      <w:rPr>
        <w:rFonts w:ascii="Symbol" w:hAnsi="Symbol"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9"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E38F1"/>
    <w:multiLevelType w:val="hybridMultilevel"/>
    <w:tmpl w:val="7C52E5DA"/>
    <w:lvl w:ilvl="0" w:tplc="F170D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34C13"/>
    <w:multiLevelType w:val="hybridMultilevel"/>
    <w:tmpl w:val="680E429A"/>
    <w:lvl w:ilvl="0" w:tplc="B400F8C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E1138"/>
    <w:multiLevelType w:val="hybridMultilevel"/>
    <w:tmpl w:val="890E4894"/>
    <w:lvl w:ilvl="0" w:tplc="799CE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614F1"/>
    <w:multiLevelType w:val="hybridMultilevel"/>
    <w:tmpl w:val="96F85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806C9"/>
    <w:multiLevelType w:val="hybridMultilevel"/>
    <w:tmpl w:val="FD42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3082B"/>
    <w:multiLevelType w:val="hybridMultilevel"/>
    <w:tmpl w:val="212C165E"/>
    <w:lvl w:ilvl="0" w:tplc="803E66D6">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65058"/>
    <w:multiLevelType w:val="hybridMultilevel"/>
    <w:tmpl w:val="C3DE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75F47"/>
    <w:multiLevelType w:val="hybridMultilevel"/>
    <w:tmpl w:val="D6287270"/>
    <w:lvl w:ilvl="0" w:tplc="E9807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0F4C7E"/>
    <w:multiLevelType w:val="hybridMultilevel"/>
    <w:tmpl w:val="62E8D680"/>
    <w:lvl w:ilvl="0" w:tplc="F170D50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A6659"/>
    <w:multiLevelType w:val="hybridMultilevel"/>
    <w:tmpl w:val="5F7C75E0"/>
    <w:lvl w:ilvl="0" w:tplc="28BAE7C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42BB8"/>
    <w:multiLevelType w:val="hybridMultilevel"/>
    <w:tmpl w:val="88A6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85FFC"/>
    <w:multiLevelType w:val="hybridMultilevel"/>
    <w:tmpl w:val="111E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2F2819"/>
    <w:multiLevelType w:val="hybridMultilevel"/>
    <w:tmpl w:val="FE8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02D55"/>
    <w:multiLevelType w:val="hybridMultilevel"/>
    <w:tmpl w:val="35624C0A"/>
    <w:lvl w:ilvl="0" w:tplc="B282CD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B8176D"/>
    <w:multiLevelType w:val="hybridMultilevel"/>
    <w:tmpl w:val="C5D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F5D1E"/>
    <w:multiLevelType w:val="hybridMultilevel"/>
    <w:tmpl w:val="96B04C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4414CB"/>
    <w:multiLevelType w:val="hybridMultilevel"/>
    <w:tmpl w:val="E8BC0740"/>
    <w:lvl w:ilvl="0" w:tplc="2A148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329A0"/>
    <w:multiLevelType w:val="hybridMultilevel"/>
    <w:tmpl w:val="212C165E"/>
    <w:lvl w:ilvl="0" w:tplc="803E66D6">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BE39E8"/>
    <w:multiLevelType w:val="hybridMultilevel"/>
    <w:tmpl w:val="6584CE00"/>
    <w:lvl w:ilvl="0" w:tplc="F170D50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3A35D4"/>
    <w:multiLevelType w:val="hybridMultilevel"/>
    <w:tmpl w:val="9DD460E0"/>
    <w:lvl w:ilvl="0" w:tplc="CA68778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63744B"/>
    <w:multiLevelType w:val="hybridMultilevel"/>
    <w:tmpl w:val="65E475AC"/>
    <w:lvl w:ilvl="0" w:tplc="F170D50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1D4DE2"/>
    <w:multiLevelType w:val="hybridMultilevel"/>
    <w:tmpl w:val="F0C2D938"/>
    <w:lvl w:ilvl="0" w:tplc="CDCE0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BD5170"/>
    <w:multiLevelType w:val="hybridMultilevel"/>
    <w:tmpl w:val="E88AA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B72048"/>
    <w:multiLevelType w:val="hybridMultilevel"/>
    <w:tmpl w:val="1E0A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361AFD"/>
    <w:multiLevelType w:val="hybridMultilevel"/>
    <w:tmpl w:val="485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86FF8"/>
    <w:multiLevelType w:val="hybridMultilevel"/>
    <w:tmpl w:val="BAC6EC74"/>
    <w:lvl w:ilvl="0" w:tplc="564ABC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07854"/>
    <w:multiLevelType w:val="hybridMultilevel"/>
    <w:tmpl w:val="1040A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3826434">
    <w:abstractNumId w:val="32"/>
  </w:num>
  <w:num w:numId="2" w16cid:durableId="2038579128">
    <w:abstractNumId w:val="7"/>
  </w:num>
  <w:num w:numId="3" w16cid:durableId="1406027287">
    <w:abstractNumId w:val="20"/>
  </w:num>
  <w:num w:numId="4" w16cid:durableId="2132821619">
    <w:abstractNumId w:val="6"/>
  </w:num>
  <w:num w:numId="5" w16cid:durableId="504127833">
    <w:abstractNumId w:val="16"/>
  </w:num>
  <w:num w:numId="6" w16cid:durableId="1924098527">
    <w:abstractNumId w:val="25"/>
  </w:num>
  <w:num w:numId="7" w16cid:durableId="1043869038">
    <w:abstractNumId w:val="49"/>
  </w:num>
  <w:num w:numId="8" w16cid:durableId="839740358">
    <w:abstractNumId w:val="15"/>
  </w:num>
  <w:num w:numId="9" w16cid:durableId="256133395">
    <w:abstractNumId w:val="4"/>
  </w:num>
  <w:num w:numId="10" w16cid:durableId="228196390">
    <w:abstractNumId w:val="19"/>
  </w:num>
  <w:num w:numId="11" w16cid:durableId="177013381">
    <w:abstractNumId w:val="0"/>
  </w:num>
  <w:num w:numId="12" w16cid:durableId="1911187463">
    <w:abstractNumId w:val="47"/>
  </w:num>
  <w:num w:numId="13" w16cid:durableId="688067318">
    <w:abstractNumId w:val="28"/>
  </w:num>
  <w:num w:numId="14" w16cid:durableId="1534921976">
    <w:abstractNumId w:val="5"/>
  </w:num>
  <w:num w:numId="15" w16cid:durableId="1188569219">
    <w:abstractNumId w:val="23"/>
  </w:num>
  <w:num w:numId="16" w16cid:durableId="1025405232">
    <w:abstractNumId w:val="12"/>
  </w:num>
  <w:num w:numId="17" w16cid:durableId="374820287">
    <w:abstractNumId w:val="41"/>
  </w:num>
  <w:num w:numId="18" w16cid:durableId="299117104">
    <w:abstractNumId w:val="30"/>
  </w:num>
  <w:num w:numId="19" w16cid:durableId="686174352">
    <w:abstractNumId w:val="21"/>
  </w:num>
  <w:num w:numId="20" w16cid:durableId="698624532">
    <w:abstractNumId w:val="29"/>
  </w:num>
  <w:num w:numId="21" w16cid:durableId="1437140361">
    <w:abstractNumId w:val="31"/>
  </w:num>
  <w:num w:numId="22" w16cid:durableId="2049183356">
    <w:abstractNumId w:val="11"/>
  </w:num>
  <w:num w:numId="23" w16cid:durableId="2035882329">
    <w:abstractNumId w:val="2"/>
  </w:num>
  <w:num w:numId="24" w16cid:durableId="204366158">
    <w:abstractNumId w:val="39"/>
  </w:num>
  <w:num w:numId="25" w16cid:durableId="715354197">
    <w:abstractNumId w:val="10"/>
  </w:num>
  <w:num w:numId="26" w16cid:durableId="98113277">
    <w:abstractNumId w:val="22"/>
  </w:num>
  <w:num w:numId="27" w16cid:durableId="297801171">
    <w:abstractNumId w:val="36"/>
  </w:num>
  <w:num w:numId="28" w16cid:durableId="1366753474">
    <w:abstractNumId w:val="45"/>
  </w:num>
  <w:num w:numId="29" w16cid:durableId="563639609">
    <w:abstractNumId w:val="38"/>
  </w:num>
  <w:num w:numId="30" w16cid:durableId="1660109504">
    <w:abstractNumId w:val="3"/>
  </w:num>
  <w:num w:numId="31" w16cid:durableId="1898658774">
    <w:abstractNumId w:val="43"/>
  </w:num>
  <w:num w:numId="32" w16cid:durableId="1174950711">
    <w:abstractNumId w:val="27"/>
  </w:num>
  <w:num w:numId="33" w16cid:durableId="2099911192">
    <w:abstractNumId w:val="42"/>
  </w:num>
  <w:num w:numId="34" w16cid:durableId="1184246871">
    <w:abstractNumId w:val="14"/>
  </w:num>
  <w:num w:numId="35" w16cid:durableId="202837873">
    <w:abstractNumId w:val="33"/>
  </w:num>
  <w:num w:numId="36" w16cid:durableId="1636792095">
    <w:abstractNumId w:val="9"/>
  </w:num>
  <w:num w:numId="37" w16cid:durableId="1158498403">
    <w:abstractNumId w:val="17"/>
  </w:num>
  <w:num w:numId="38" w16cid:durableId="567544485">
    <w:abstractNumId w:val="1"/>
  </w:num>
  <w:num w:numId="39" w16cid:durableId="405030446">
    <w:abstractNumId w:val="48"/>
  </w:num>
  <w:num w:numId="40" w16cid:durableId="308679448">
    <w:abstractNumId w:val="40"/>
  </w:num>
  <w:num w:numId="41" w16cid:durableId="43718578">
    <w:abstractNumId w:val="13"/>
  </w:num>
  <w:num w:numId="42" w16cid:durableId="460684423">
    <w:abstractNumId w:val="24"/>
  </w:num>
  <w:num w:numId="43" w16cid:durableId="163056753">
    <w:abstractNumId w:val="8"/>
  </w:num>
  <w:num w:numId="44" w16cid:durableId="1790781391">
    <w:abstractNumId w:val="50"/>
  </w:num>
  <w:num w:numId="45" w16cid:durableId="1309819613">
    <w:abstractNumId w:val="34"/>
  </w:num>
  <w:num w:numId="46" w16cid:durableId="766578647">
    <w:abstractNumId w:val="37"/>
  </w:num>
  <w:num w:numId="47" w16cid:durableId="1793134382">
    <w:abstractNumId w:val="26"/>
  </w:num>
  <w:num w:numId="48" w16cid:durableId="504055447">
    <w:abstractNumId w:val="46"/>
  </w:num>
  <w:num w:numId="49" w16cid:durableId="1064791506">
    <w:abstractNumId w:val="18"/>
  </w:num>
  <w:num w:numId="50" w16cid:durableId="1492796680">
    <w:abstractNumId w:val="35"/>
  </w:num>
  <w:num w:numId="51" w16cid:durableId="208609917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04ED2"/>
    <w:rsid w:val="000102FC"/>
    <w:rsid w:val="00021778"/>
    <w:rsid w:val="00022DAD"/>
    <w:rsid w:val="00024F66"/>
    <w:rsid w:val="00030D96"/>
    <w:rsid w:val="00035539"/>
    <w:rsid w:val="00037E2E"/>
    <w:rsid w:val="00040B34"/>
    <w:rsid w:val="000506B4"/>
    <w:rsid w:val="000574D9"/>
    <w:rsid w:val="00066618"/>
    <w:rsid w:val="0006767C"/>
    <w:rsid w:val="000746BC"/>
    <w:rsid w:val="0007776A"/>
    <w:rsid w:val="0009322C"/>
    <w:rsid w:val="00093F10"/>
    <w:rsid w:val="00094823"/>
    <w:rsid w:val="00096419"/>
    <w:rsid w:val="000968CA"/>
    <w:rsid w:val="000A1879"/>
    <w:rsid w:val="000A7FCC"/>
    <w:rsid w:val="000B4265"/>
    <w:rsid w:val="000B5373"/>
    <w:rsid w:val="000B6A8A"/>
    <w:rsid w:val="000C0FCC"/>
    <w:rsid w:val="000C534D"/>
    <w:rsid w:val="000D03CA"/>
    <w:rsid w:val="000D0846"/>
    <w:rsid w:val="000D4992"/>
    <w:rsid w:val="000D5095"/>
    <w:rsid w:val="000E50B8"/>
    <w:rsid w:val="000F38A3"/>
    <w:rsid w:val="000F4A07"/>
    <w:rsid w:val="00102A79"/>
    <w:rsid w:val="00106AB0"/>
    <w:rsid w:val="00114AFF"/>
    <w:rsid w:val="0013265C"/>
    <w:rsid w:val="00135F1F"/>
    <w:rsid w:val="00141CAE"/>
    <w:rsid w:val="00145A1A"/>
    <w:rsid w:val="001473DF"/>
    <w:rsid w:val="001530CE"/>
    <w:rsid w:val="00157DE9"/>
    <w:rsid w:val="00160231"/>
    <w:rsid w:val="0016294D"/>
    <w:rsid w:val="001635BC"/>
    <w:rsid w:val="00163B37"/>
    <w:rsid w:val="00163F7C"/>
    <w:rsid w:val="00167A90"/>
    <w:rsid w:val="00173EF8"/>
    <w:rsid w:val="00177D5F"/>
    <w:rsid w:val="001809CE"/>
    <w:rsid w:val="00187C05"/>
    <w:rsid w:val="0019322B"/>
    <w:rsid w:val="001A0389"/>
    <w:rsid w:val="001A3411"/>
    <w:rsid w:val="001A4632"/>
    <w:rsid w:val="001A57A3"/>
    <w:rsid w:val="001B0E10"/>
    <w:rsid w:val="001B2534"/>
    <w:rsid w:val="001B6ABD"/>
    <w:rsid w:val="001C335E"/>
    <w:rsid w:val="001C49B0"/>
    <w:rsid w:val="001C4BDB"/>
    <w:rsid w:val="001C68AD"/>
    <w:rsid w:val="001C7467"/>
    <w:rsid w:val="001D0581"/>
    <w:rsid w:val="001D1789"/>
    <w:rsid w:val="001D3148"/>
    <w:rsid w:val="001E0CCB"/>
    <w:rsid w:val="001F18D5"/>
    <w:rsid w:val="001F31B7"/>
    <w:rsid w:val="00202A74"/>
    <w:rsid w:val="00217D45"/>
    <w:rsid w:val="00227C60"/>
    <w:rsid w:val="00231CA0"/>
    <w:rsid w:val="0023445C"/>
    <w:rsid w:val="00241766"/>
    <w:rsid w:val="002451E5"/>
    <w:rsid w:val="0025124A"/>
    <w:rsid w:val="00251294"/>
    <w:rsid w:val="002529C8"/>
    <w:rsid w:val="002574A6"/>
    <w:rsid w:val="002660A3"/>
    <w:rsid w:val="0026758D"/>
    <w:rsid w:val="00287032"/>
    <w:rsid w:val="002921E3"/>
    <w:rsid w:val="00294CA3"/>
    <w:rsid w:val="00295C47"/>
    <w:rsid w:val="002A636D"/>
    <w:rsid w:val="002B0FCB"/>
    <w:rsid w:val="002B2727"/>
    <w:rsid w:val="002B7D74"/>
    <w:rsid w:val="002C2B6D"/>
    <w:rsid w:val="002C5615"/>
    <w:rsid w:val="002C71D5"/>
    <w:rsid w:val="002E0851"/>
    <w:rsid w:val="002E20F0"/>
    <w:rsid w:val="002E3CB1"/>
    <w:rsid w:val="002F01F1"/>
    <w:rsid w:val="002F4793"/>
    <w:rsid w:val="002F7755"/>
    <w:rsid w:val="00300C4A"/>
    <w:rsid w:val="003040A6"/>
    <w:rsid w:val="0030586C"/>
    <w:rsid w:val="00316AFE"/>
    <w:rsid w:val="00317030"/>
    <w:rsid w:val="0032188E"/>
    <w:rsid w:val="00322706"/>
    <w:rsid w:val="00322A61"/>
    <w:rsid w:val="00332B93"/>
    <w:rsid w:val="003342EE"/>
    <w:rsid w:val="00337940"/>
    <w:rsid w:val="0034371F"/>
    <w:rsid w:val="003449CE"/>
    <w:rsid w:val="0035226A"/>
    <w:rsid w:val="0035373F"/>
    <w:rsid w:val="003547AC"/>
    <w:rsid w:val="00357E50"/>
    <w:rsid w:val="00360D87"/>
    <w:rsid w:val="0036237F"/>
    <w:rsid w:val="00367884"/>
    <w:rsid w:val="00371808"/>
    <w:rsid w:val="00374EDE"/>
    <w:rsid w:val="003759AB"/>
    <w:rsid w:val="003A26B1"/>
    <w:rsid w:val="003A27C9"/>
    <w:rsid w:val="003A4B3C"/>
    <w:rsid w:val="003B6798"/>
    <w:rsid w:val="003C00ED"/>
    <w:rsid w:val="003C73EE"/>
    <w:rsid w:val="003C7559"/>
    <w:rsid w:val="003D0B74"/>
    <w:rsid w:val="003D113B"/>
    <w:rsid w:val="003D34B0"/>
    <w:rsid w:val="003D749E"/>
    <w:rsid w:val="003E28D5"/>
    <w:rsid w:val="003E590A"/>
    <w:rsid w:val="003F05D5"/>
    <w:rsid w:val="003F0EFB"/>
    <w:rsid w:val="003F559A"/>
    <w:rsid w:val="003F576A"/>
    <w:rsid w:val="003F72DE"/>
    <w:rsid w:val="00403E28"/>
    <w:rsid w:val="00405AAB"/>
    <w:rsid w:val="00413A89"/>
    <w:rsid w:val="0041421F"/>
    <w:rsid w:val="0041661C"/>
    <w:rsid w:val="004205FA"/>
    <w:rsid w:val="00420AE1"/>
    <w:rsid w:val="004225F4"/>
    <w:rsid w:val="00424751"/>
    <w:rsid w:val="00432C9F"/>
    <w:rsid w:val="0043381A"/>
    <w:rsid w:val="0044165F"/>
    <w:rsid w:val="004445F5"/>
    <w:rsid w:val="0044557D"/>
    <w:rsid w:val="00445DE9"/>
    <w:rsid w:val="00446BE0"/>
    <w:rsid w:val="00454B4A"/>
    <w:rsid w:val="004608B8"/>
    <w:rsid w:val="0047529A"/>
    <w:rsid w:val="004833BB"/>
    <w:rsid w:val="004933E4"/>
    <w:rsid w:val="00493971"/>
    <w:rsid w:val="004970FF"/>
    <w:rsid w:val="004D7B67"/>
    <w:rsid w:val="004E29D3"/>
    <w:rsid w:val="004E55A4"/>
    <w:rsid w:val="004F05D9"/>
    <w:rsid w:val="004F087A"/>
    <w:rsid w:val="004F591C"/>
    <w:rsid w:val="00505186"/>
    <w:rsid w:val="00510FB0"/>
    <w:rsid w:val="005133B7"/>
    <w:rsid w:val="005210E8"/>
    <w:rsid w:val="005321FE"/>
    <w:rsid w:val="00537783"/>
    <w:rsid w:val="005407C6"/>
    <w:rsid w:val="00541783"/>
    <w:rsid w:val="005428C5"/>
    <w:rsid w:val="0054635C"/>
    <w:rsid w:val="0055526B"/>
    <w:rsid w:val="005569F4"/>
    <w:rsid w:val="00560E8A"/>
    <w:rsid w:val="00561B6F"/>
    <w:rsid w:val="00567962"/>
    <w:rsid w:val="00572AC8"/>
    <w:rsid w:val="0057459D"/>
    <w:rsid w:val="00575595"/>
    <w:rsid w:val="00577AB4"/>
    <w:rsid w:val="00590F26"/>
    <w:rsid w:val="00591296"/>
    <w:rsid w:val="00593676"/>
    <w:rsid w:val="005A5E83"/>
    <w:rsid w:val="005B4940"/>
    <w:rsid w:val="005C0B15"/>
    <w:rsid w:val="005C19B2"/>
    <w:rsid w:val="005D027B"/>
    <w:rsid w:val="005D2970"/>
    <w:rsid w:val="005D7AA1"/>
    <w:rsid w:val="005E0111"/>
    <w:rsid w:val="005E09CB"/>
    <w:rsid w:val="005E0A33"/>
    <w:rsid w:val="005E6971"/>
    <w:rsid w:val="005E6BFD"/>
    <w:rsid w:val="005F06E9"/>
    <w:rsid w:val="005F309D"/>
    <w:rsid w:val="0060426F"/>
    <w:rsid w:val="00607F99"/>
    <w:rsid w:val="00611CDF"/>
    <w:rsid w:val="0061433B"/>
    <w:rsid w:val="0061531D"/>
    <w:rsid w:val="00615540"/>
    <w:rsid w:val="00616067"/>
    <w:rsid w:val="00623540"/>
    <w:rsid w:val="00623B11"/>
    <w:rsid w:val="006266E5"/>
    <w:rsid w:val="0063282D"/>
    <w:rsid w:val="00633D04"/>
    <w:rsid w:val="00634780"/>
    <w:rsid w:val="00643AAE"/>
    <w:rsid w:val="006527FC"/>
    <w:rsid w:val="006579D2"/>
    <w:rsid w:val="00660400"/>
    <w:rsid w:val="006631DB"/>
    <w:rsid w:val="00666E6C"/>
    <w:rsid w:val="00675AE5"/>
    <w:rsid w:val="00682AD7"/>
    <w:rsid w:val="006840DC"/>
    <w:rsid w:val="0068607F"/>
    <w:rsid w:val="00686472"/>
    <w:rsid w:val="006A3637"/>
    <w:rsid w:val="006B65C8"/>
    <w:rsid w:val="006C10A5"/>
    <w:rsid w:val="006C1397"/>
    <w:rsid w:val="006C1EB0"/>
    <w:rsid w:val="006C2290"/>
    <w:rsid w:val="006C4BE7"/>
    <w:rsid w:val="006D59CC"/>
    <w:rsid w:val="006E0833"/>
    <w:rsid w:val="006E2C03"/>
    <w:rsid w:val="006E6BC5"/>
    <w:rsid w:val="006F40B3"/>
    <w:rsid w:val="006F6078"/>
    <w:rsid w:val="007042CD"/>
    <w:rsid w:val="00706420"/>
    <w:rsid w:val="00711985"/>
    <w:rsid w:val="007137A8"/>
    <w:rsid w:val="00722748"/>
    <w:rsid w:val="007443D5"/>
    <w:rsid w:val="00744ECF"/>
    <w:rsid w:val="007541C1"/>
    <w:rsid w:val="00755047"/>
    <w:rsid w:val="0075564D"/>
    <w:rsid w:val="00780CFE"/>
    <w:rsid w:val="007815E6"/>
    <w:rsid w:val="00792227"/>
    <w:rsid w:val="00794447"/>
    <w:rsid w:val="00795E6D"/>
    <w:rsid w:val="007A3DB7"/>
    <w:rsid w:val="007A4E20"/>
    <w:rsid w:val="007B2244"/>
    <w:rsid w:val="007B4A50"/>
    <w:rsid w:val="007B5E22"/>
    <w:rsid w:val="007B78A2"/>
    <w:rsid w:val="007C3264"/>
    <w:rsid w:val="007C676A"/>
    <w:rsid w:val="007E0069"/>
    <w:rsid w:val="007E0C89"/>
    <w:rsid w:val="00800068"/>
    <w:rsid w:val="00804CAF"/>
    <w:rsid w:val="00806791"/>
    <w:rsid w:val="0081473B"/>
    <w:rsid w:val="00815088"/>
    <w:rsid w:val="008155FB"/>
    <w:rsid w:val="00823601"/>
    <w:rsid w:val="00823B48"/>
    <w:rsid w:val="00825782"/>
    <w:rsid w:val="00832EA6"/>
    <w:rsid w:val="00834767"/>
    <w:rsid w:val="00834D66"/>
    <w:rsid w:val="00845C4F"/>
    <w:rsid w:val="00852047"/>
    <w:rsid w:val="00861A4F"/>
    <w:rsid w:val="00862F7E"/>
    <w:rsid w:val="00864445"/>
    <w:rsid w:val="00867C89"/>
    <w:rsid w:val="00874A03"/>
    <w:rsid w:val="00891CF5"/>
    <w:rsid w:val="00897725"/>
    <w:rsid w:val="008A083B"/>
    <w:rsid w:val="008A4A8A"/>
    <w:rsid w:val="008B2CEC"/>
    <w:rsid w:val="008B3A10"/>
    <w:rsid w:val="008B3F3A"/>
    <w:rsid w:val="008B5ED4"/>
    <w:rsid w:val="008C0AFE"/>
    <w:rsid w:val="008C0FD8"/>
    <w:rsid w:val="008D00FF"/>
    <w:rsid w:val="008D5A48"/>
    <w:rsid w:val="008E3E5C"/>
    <w:rsid w:val="008F0658"/>
    <w:rsid w:val="008F0E10"/>
    <w:rsid w:val="008F2ED3"/>
    <w:rsid w:val="008F7EF8"/>
    <w:rsid w:val="00906F24"/>
    <w:rsid w:val="00921396"/>
    <w:rsid w:val="00921AAD"/>
    <w:rsid w:val="00921BE5"/>
    <w:rsid w:val="00924DAC"/>
    <w:rsid w:val="00924DE6"/>
    <w:rsid w:val="00924FFE"/>
    <w:rsid w:val="0092780E"/>
    <w:rsid w:val="00932DA4"/>
    <w:rsid w:val="00953AE9"/>
    <w:rsid w:val="0095524D"/>
    <w:rsid w:val="009634D2"/>
    <w:rsid w:val="00981B94"/>
    <w:rsid w:val="00990832"/>
    <w:rsid w:val="00993441"/>
    <w:rsid w:val="009A2B4F"/>
    <w:rsid w:val="009A695B"/>
    <w:rsid w:val="009A7CCF"/>
    <w:rsid w:val="009C39B5"/>
    <w:rsid w:val="009C3FB3"/>
    <w:rsid w:val="009D7D08"/>
    <w:rsid w:val="009E151A"/>
    <w:rsid w:val="009E4BDA"/>
    <w:rsid w:val="009E7714"/>
    <w:rsid w:val="009F7727"/>
    <w:rsid w:val="00A02493"/>
    <w:rsid w:val="00A119D6"/>
    <w:rsid w:val="00A16608"/>
    <w:rsid w:val="00A17382"/>
    <w:rsid w:val="00A25CFF"/>
    <w:rsid w:val="00A32C0A"/>
    <w:rsid w:val="00A3337E"/>
    <w:rsid w:val="00A34709"/>
    <w:rsid w:val="00A360BE"/>
    <w:rsid w:val="00A36F2B"/>
    <w:rsid w:val="00A42C2A"/>
    <w:rsid w:val="00A43650"/>
    <w:rsid w:val="00A470D2"/>
    <w:rsid w:val="00A557DF"/>
    <w:rsid w:val="00A56364"/>
    <w:rsid w:val="00A56464"/>
    <w:rsid w:val="00A63BE8"/>
    <w:rsid w:val="00A63CE0"/>
    <w:rsid w:val="00A7694D"/>
    <w:rsid w:val="00A775E1"/>
    <w:rsid w:val="00A83694"/>
    <w:rsid w:val="00A87D7B"/>
    <w:rsid w:val="00AA5D2C"/>
    <w:rsid w:val="00AB68C0"/>
    <w:rsid w:val="00AB7B87"/>
    <w:rsid w:val="00AC520C"/>
    <w:rsid w:val="00AD18DF"/>
    <w:rsid w:val="00AE47D4"/>
    <w:rsid w:val="00AE4CBE"/>
    <w:rsid w:val="00AE56DF"/>
    <w:rsid w:val="00AF2CF3"/>
    <w:rsid w:val="00AF3C7D"/>
    <w:rsid w:val="00AF47FA"/>
    <w:rsid w:val="00AF4E47"/>
    <w:rsid w:val="00AF724B"/>
    <w:rsid w:val="00B01635"/>
    <w:rsid w:val="00B105FB"/>
    <w:rsid w:val="00B14C5C"/>
    <w:rsid w:val="00B165A7"/>
    <w:rsid w:val="00B17076"/>
    <w:rsid w:val="00B22A50"/>
    <w:rsid w:val="00B232A8"/>
    <w:rsid w:val="00B302BE"/>
    <w:rsid w:val="00B34B3D"/>
    <w:rsid w:val="00B362FB"/>
    <w:rsid w:val="00B3672F"/>
    <w:rsid w:val="00B40046"/>
    <w:rsid w:val="00B4015A"/>
    <w:rsid w:val="00B44F23"/>
    <w:rsid w:val="00B56481"/>
    <w:rsid w:val="00B627CD"/>
    <w:rsid w:val="00B63E6A"/>
    <w:rsid w:val="00B708BD"/>
    <w:rsid w:val="00B73102"/>
    <w:rsid w:val="00B776A7"/>
    <w:rsid w:val="00B81E41"/>
    <w:rsid w:val="00B85673"/>
    <w:rsid w:val="00B9033A"/>
    <w:rsid w:val="00B91019"/>
    <w:rsid w:val="00B95C18"/>
    <w:rsid w:val="00B95D83"/>
    <w:rsid w:val="00B9651F"/>
    <w:rsid w:val="00BA2B9E"/>
    <w:rsid w:val="00BA5AA0"/>
    <w:rsid w:val="00BC2625"/>
    <w:rsid w:val="00BE0A65"/>
    <w:rsid w:val="00BE276A"/>
    <w:rsid w:val="00BF02A7"/>
    <w:rsid w:val="00BF055E"/>
    <w:rsid w:val="00C114A2"/>
    <w:rsid w:val="00C26E58"/>
    <w:rsid w:val="00C303CB"/>
    <w:rsid w:val="00C34FF4"/>
    <w:rsid w:val="00C44A3A"/>
    <w:rsid w:val="00C54A65"/>
    <w:rsid w:val="00C57C9D"/>
    <w:rsid w:val="00C8192F"/>
    <w:rsid w:val="00C83D6A"/>
    <w:rsid w:val="00C93BEB"/>
    <w:rsid w:val="00C940AE"/>
    <w:rsid w:val="00C95768"/>
    <w:rsid w:val="00CA0B71"/>
    <w:rsid w:val="00CB4134"/>
    <w:rsid w:val="00CB439C"/>
    <w:rsid w:val="00CB5186"/>
    <w:rsid w:val="00CB7518"/>
    <w:rsid w:val="00CD28C0"/>
    <w:rsid w:val="00CD7F09"/>
    <w:rsid w:val="00CE1536"/>
    <w:rsid w:val="00CE60C8"/>
    <w:rsid w:val="00CF42C9"/>
    <w:rsid w:val="00CF4B07"/>
    <w:rsid w:val="00CF7A0A"/>
    <w:rsid w:val="00D12889"/>
    <w:rsid w:val="00D147FF"/>
    <w:rsid w:val="00D14CF8"/>
    <w:rsid w:val="00D15FAF"/>
    <w:rsid w:val="00D17024"/>
    <w:rsid w:val="00D2016D"/>
    <w:rsid w:val="00D337C9"/>
    <w:rsid w:val="00D3580F"/>
    <w:rsid w:val="00D42252"/>
    <w:rsid w:val="00D47AED"/>
    <w:rsid w:val="00D70DC1"/>
    <w:rsid w:val="00D7109D"/>
    <w:rsid w:val="00D7276D"/>
    <w:rsid w:val="00D8631A"/>
    <w:rsid w:val="00D902FC"/>
    <w:rsid w:val="00D9674D"/>
    <w:rsid w:val="00D976C9"/>
    <w:rsid w:val="00DB0311"/>
    <w:rsid w:val="00DB1491"/>
    <w:rsid w:val="00DE0531"/>
    <w:rsid w:val="00DE1E17"/>
    <w:rsid w:val="00DF6D86"/>
    <w:rsid w:val="00E13EAD"/>
    <w:rsid w:val="00E1761D"/>
    <w:rsid w:val="00E42B23"/>
    <w:rsid w:val="00E55033"/>
    <w:rsid w:val="00E704E4"/>
    <w:rsid w:val="00E7394A"/>
    <w:rsid w:val="00E747D7"/>
    <w:rsid w:val="00E75634"/>
    <w:rsid w:val="00E82BC1"/>
    <w:rsid w:val="00E86C24"/>
    <w:rsid w:val="00E90D5A"/>
    <w:rsid w:val="00E93502"/>
    <w:rsid w:val="00EC6120"/>
    <w:rsid w:val="00EC6CC4"/>
    <w:rsid w:val="00ED6CDB"/>
    <w:rsid w:val="00EE0ACE"/>
    <w:rsid w:val="00EF0833"/>
    <w:rsid w:val="00EF5988"/>
    <w:rsid w:val="00F16047"/>
    <w:rsid w:val="00F30670"/>
    <w:rsid w:val="00F35F86"/>
    <w:rsid w:val="00F37A1E"/>
    <w:rsid w:val="00F4131D"/>
    <w:rsid w:val="00F6015B"/>
    <w:rsid w:val="00F6023B"/>
    <w:rsid w:val="00F664E9"/>
    <w:rsid w:val="00F6796F"/>
    <w:rsid w:val="00F70003"/>
    <w:rsid w:val="00F775AB"/>
    <w:rsid w:val="00F84B07"/>
    <w:rsid w:val="00F87A48"/>
    <w:rsid w:val="00FA2E1B"/>
    <w:rsid w:val="00FA4B3E"/>
    <w:rsid w:val="00FA72AC"/>
    <w:rsid w:val="00FA7BA8"/>
    <w:rsid w:val="00FB6139"/>
    <w:rsid w:val="00FC0027"/>
    <w:rsid w:val="00FC63EB"/>
    <w:rsid w:val="00FD3081"/>
    <w:rsid w:val="00FD3C92"/>
    <w:rsid w:val="00FE391C"/>
    <w:rsid w:val="00FE43CB"/>
    <w:rsid w:val="00FE7C85"/>
    <w:rsid w:val="00FF2E37"/>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1A5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9F180D" w:rsidRDefault="00EB545F">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ABF8840-664F-40B1-BCB0-770A7155AE86}"/>
      </w:docPartPr>
      <w:docPartBody>
        <w:p w:rsidR="002A1E8A" w:rsidRDefault="006F748B">
          <w:r w:rsidRPr="0016596D">
            <w:rPr>
              <w:rStyle w:val="PlaceholderText"/>
            </w:rPr>
            <w:t>Click or tap to enter a date.</w:t>
          </w:r>
        </w:p>
      </w:docPartBody>
    </w:docPart>
    <w:docPart>
      <w:docPartPr>
        <w:name w:val="03C453D23DB94F628B601CCE205BA481"/>
        <w:category>
          <w:name w:val="General"/>
          <w:gallery w:val="placeholder"/>
        </w:category>
        <w:types>
          <w:type w:val="bbPlcHdr"/>
        </w:types>
        <w:behaviors>
          <w:behavior w:val="content"/>
        </w:behaviors>
        <w:guid w:val="{9EF83C6F-5CF5-47DE-ADA8-385E5C208D00}"/>
      </w:docPartPr>
      <w:docPartBody>
        <w:p w:rsidR="00D906B8" w:rsidRDefault="001D725E" w:rsidP="001D725E">
          <w:pPr>
            <w:pStyle w:val="03C453D23DB94F628B601CCE205BA481"/>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0525F1"/>
    <w:rsid w:val="00195D25"/>
    <w:rsid w:val="001D725E"/>
    <w:rsid w:val="002A1E8A"/>
    <w:rsid w:val="0040686A"/>
    <w:rsid w:val="00410CF5"/>
    <w:rsid w:val="005C43C6"/>
    <w:rsid w:val="00676EB0"/>
    <w:rsid w:val="006C2214"/>
    <w:rsid w:val="006C556B"/>
    <w:rsid w:val="006F748B"/>
    <w:rsid w:val="00781330"/>
    <w:rsid w:val="009B1905"/>
    <w:rsid w:val="009F180D"/>
    <w:rsid w:val="00AF1244"/>
    <w:rsid w:val="00C17B12"/>
    <w:rsid w:val="00D906B8"/>
    <w:rsid w:val="00DF629B"/>
    <w:rsid w:val="00E1153D"/>
    <w:rsid w:val="00E121D0"/>
    <w:rsid w:val="00EB545F"/>
    <w:rsid w:val="00F4344B"/>
    <w:rsid w:val="00FD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25E"/>
    <w:rPr>
      <w:color w:val="808080"/>
    </w:rPr>
  </w:style>
  <w:style w:type="paragraph" w:customStyle="1" w:styleId="03C453D23DB94F628B601CCE205BA481">
    <w:name w:val="03C453D23DB94F628B601CCE205BA481"/>
    <w:rsid w:val="001D7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184E-8014-4105-BF6B-804C1847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9860</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201</cp:revision>
  <cp:lastPrinted>2021-10-04T13:38:00Z</cp:lastPrinted>
  <dcterms:created xsi:type="dcterms:W3CDTF">2021-08-18T14:57:00Z</dcterms:created>
  <dcterms:modified xsi:type="dcterms:W3CDTF">2024-08-18T22:43:00Z</dcterms:modified>
</cp:coreProperties>
</file>