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FCE2D" w14:textId="129FD264" w:rsidR="00D345A8" w:rsidRPr="00965755" w:rsidRDefault="005E543D" w:rsidP="00965755">
      <w:pPr>
        <w:pStyle w:val="Heading1"/>
        <w:spacing w:line="240" w:lineRule="auto"/>
        <w:jc w:val="center"/>
        <w:rPr>
          <w:sz w:val="40"/>
          <w:szCs w:val="40"/>
        </w:rPr>
      </w:pPr>
      <w:r>
        <w:rPr>
          <w:sz w:val="40"/>
          <w:szCs w:val="40"/>
        </w:rPr>
        <w:t xml:space="preserve">Airport </w:t>
      </w:r>
      <w:r w:rsidR="008226E8" w:rsidRPr="008226E8">
        <w:rPr>
          <w:sz w:val="40"/>
          <w:szCs w:val="40"/>
        </w:rPr>
        <w:t xml:space="preserve">Grant Management and Invoicing </w:t>
      </w:r>
      <w:r w:rsidR="008A12DE">
        <w:rPr>
          <w:sz w:val="40"/>
          <w:szCs w:val="40"/>
        </w:rPr>
        <w:t>supplemental guidelines</w:t>
      </w:r>
    </w:p>
    <w:p w14:paraId="7D8A8229" w14:textId="77777777" w:rsidR="005E543D" w:rsidRDefault="005E543D" w:rsidP="00965755">
      <w:pPr>
        <w:pStyle w:val="BodyText"/>
        <w:spacing w:line="360" w:lineRule="auto"/>
        <w:ind w:right="250"/>
        <w:rPr>
          <w:b/>
          <w:color w:val="4F81BC"/>
        </w:rPr>
      </w:pPr>
    </w:p>
    <w:p w14:paraId="1D7774E7" w14:textId="6825646C" w:rsidR="005A2417" w:rsidRDefault="00441DA7" w:rsidP="00965755">
      <w:pPr>
        <w:pStyle w:val="BodyText"/>
        <w:spacing w:line="360" w:lineRule="auto"/>
        <w:ind w:right="250"/>
      </w:pPr>
      <w:r w:rsidRPr="001610C1">
        <w:rPr>
          <w:b/>
          <w:color w:val="4F81BC"/>
        </w:rPr>
        <w:t>IMPORTANT</w:t>
      </w:r>
      <w:r w:rsidRPr="00105FB8">
        <w:rPr>
          <w:b/>
        </w:rPr>
        <w:t>:</w:t>
      </w:r>
      <w:r w:rsidR="00903023" w:rsidRPr="00105FB8">
        <w:t xml:space="preserve"> </w:t>
      </w:r>
      <w:r w:rsidR="00105FB8" w:rsidRPr="00105FB8">
        <w:t xml:space="preserve">The </w:t>
      </w:r>
      <w:r w:rsidR="00C37C41">
        <w:t>TDOT</w:t>
      </w:r>
      <w:r w:rsidR="00105FB8" w:rsidRPr="00105FB8">
        <w:t xml:space="preserve"> Aeronautics Division has </w:t>
      </w:r>
      <w:r w:rsidR="008D73AA">
        <w:t xml:space="preserve">organized </w:t>
      </w:r>
      <w:r w:rsidR="00105FB8" w:rsidRPr="00105FB8">
        <w:t xml:space="preserve">comprehensive </w:t>
      </w:r>
      <w:r w:rsidR="00A93FCD">
        <w:t>instructions and guidelines</w:t>
      </w:r>
      <w:r w:rsidR="00105FB8" w:rsidRPr="00105FB8">
        <w:t xml:space="preserve"> for </w:t>
      </w:r>
      <w:r w:rsidR="00A93FCD">
        <w:t>A</w:t>
      </w:r>
      <w:r w:rsidR="00105FB8" w:rsidRPr="00105FB8">
        <w:t xml:space="preserve">irport </w:t>
      </w:r>
      <w:r w:rsidR="00A93FCD">
        <w:t xml:space="preserve">Sponsor </w:t>
      </w:r>
      <w:r w:rsidR="00105FB8" w:rsidRPr="00105FB8">
        <w:t xml:space="preserve">grant management to ensure </w:t>
      </w:r>
      <w:r w:rsidR="00A93FCD">
        <w:t xml:space="preserve">more </w:t>
      </w:r>
      <w:r w:rsidR="00105FB8" w:rsidRPr="00105FB8">
        <w:t xml:space="preserve">efficient project execution and financial oversight. This document provides </w:t>
      </w:r>
      <w:r w:rsidR="00FA4060">
        <w:t>A</w:t>
      </w:r>
      <w:r w:rsidR="00105FB8" w:rsidRPr="00105FB8">
        <w:t xml:space="preserve">irport </w:t>
      </w:r>
      <w:r w:rsidR="00FA4060">
        <w:t>S</w:t>
      </w:r>
      <w:r w:rsidR="00105FB8" w:rsidRPr="00105FB8">
        <w:t xml:space="preserve">ponsors with detailed information </w:t>
      </w:r>
      <w:r w:rsidR="008D73AA">
        <w:t xml:space="preserve">referencing </w:t>
      </w:r>
      <w:r w:rsidR="00105FB8" w:rsidRPr="00105FB8">
        <w:t>grant obligations, invoicing requirements, and processing procedures that support successful project implementation throughout Tennessee's aviation infrastructure network.</w:t>
      </w:r>
      <w:r w:rsidR="008F28A4">
        <w:t xml:space="preserve"> </w:t>
      </w:r>
      <w:r w:rsidR="00D36106">
        <w:t xml:space="preserve">Please refer to the most recent </w:t>
      </w:r>
      <w:hyperlink r:id="rId8" w:history="1">
        <w:r w:rsidR="00D36106" w:rsidRPr="001F71D0">
          <w:rPr>
            <w:rStyle w:val="Hyperlink"/>
          </w:rPr>
          <w:t>TN Airport Management Guide</w:t>
        </w:r>
      </w:hyperlink>
      <w:r w:rsidR="00D36106">
        <w:t xml:space="preserve"> for more information </w:t>
      </w:r>
      <w:r w:rsidR="001F71D0">
        <w:t>on the overall program.</w:t>
      </w:r>
    </w:p>
    <w:p w14:paraId="7CEBF921" w14:textId="036BDFD4" w:rsidR="00105FB8" w:rsidRPr="008F28A4" w:rsidRDefault="00043E23" w:rsidP="009371DA">
      <w:pPr>
        <w:pStyle w:val="BodyText"/>
        <w:spacing w:line="360" w:lineRule="auto"/>
        <w:ind w:right="250"/>
      </w:pPr>
      <w:r>
        <w:t>Specifically, w</w:t>
      </w:r>
      <w:r w:rsidR="007601CB">
        <w:t>e hope you find the list of common invoice rejection reasons and the</w:t>
      </w:r>
      <w:r w:rsidR="008F28A4">
        <w:t xml:space="preserve"> </w:t>
      </w:r>
      <w:r w:rsidR="008F28A4" w:rsidRPr="00DC734C">
        <w:t>attached</w:t>
      </w:r>
      <w:r w:rsidR="008F28A4">
        <w:t xml:space="preserve"> </w:t>
      </w:r>
      <w:hyperlink w:anchor="_Table_1" w:history="1">
        <w:r w:rsidR="008F28A4" w:rsidRPr="001618D3">
          <w:rPr>
            <w:rStyle w:val="Hyperlink"/>
          </w:rPr>
          <w:t>table</w:t>
        </w:r>
      </w:hyperlink>
      <w:r w:rsidR="00D20179" w:rsidRPr="003E57D7">
        <w:t xml:space="preserve"> </w:t>
      </w:r>
      <w:r w:rsidR="007601CB">
        <w:t>on</w:t>
      </w:r>
      <w:r w:rsidR="008F28A4">
        <w:t xml:space="preserve"> </w:t>
      </w:r>
      <w:r w:rsidR="007601CB">
        <w:t>required documents for invoice submissions especially helpful</w:t>
      </w:r>
      <w:r w:rsidR="008F28A4">
        <w:t>.</w:t>
      </w:r>
      <w:r w:rsidR="00EA13BE">
        <w:t xml:space="preserve"> We encourage you to print this out to assist when submitting an invoice reimbursement request</w:t>
      </w:r>
      <w:r w:rsidR="00F06061">
        <w:t xml:space="preserve"> to TDOT Aeronautics Division</w:t>
      </w:r>
      <w:r w:rsidR="00EA13BE">
        <w:t>.</w:t>
      </w:r>
      <w:r w:rsidR="000C1BC5">
        <w:t xml:space="preserve"> </w:t>
      </w:r>
      <w:r w:rsidR="009A75E1">
        <w:t xml:space="preserve">Example invoice packets to reference are also included with the table. </w:t>
      </w:r>
      <w:r w:rsidR="000C1BC5">
        <w:t xml:space="preserve">To use this document to its fully intended functionality, please toggle each section below on and off by clicking the </w:t>
      </w:r>
      <w:r w:rsidR="0051119E" w:rsidRPr="0051119E">
        <w:rPr>
          <w:noProof/>
        </w:rPr>
        <w:drawing>
          <wp:inline distT="0" distB="0" distL="0" distR="0" wp14:anchorId="735831D4" wp14:editId="197C95AB">
            <wp:extent cx="123842" cy="133369"/>
            <wp:effectExtent l="0" t="0" r="0" b="0"/>
            <wp:docPr id="164136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68320" name=""/>
                    <pic:cNvPicPr/>
                  </pic:nvPicPr>
                  <pic:blipFill>
                    <a:blip r:embed="rId9"/>
                    <a:stretch>
                      <a:fillRect/>
                    </a:stretch>
                  </pic:blipFill>
                  <pic:spPr>
                    <a:xfrm>
                      <a:off x="0" y="0"/>
                      <a:ext cx="123842" cy="133369"/>
                    </a:xfrm>
                    <a:prstGeom prst="rect">
                      <a:avLst/>
                    </a:prstGeom>
                  </pic:spPr>
                </pic:pic>
              </a:graphicData>
            </a:graphic>
          </wp:inline>
        </w:drawing>
      </w:r>
      <w:r w:rsidR="0051119E">
        <w:t xml:space="preserve"> </w:t>
      </w:r>
      <w:r w:rsidR="00F07A04">
        <w:rPr>
          <w:color w:val="244061" w:themeColor="accent2" w:themeShade="80"/>
        </w:rPr>
        <w:t>[</w:t>
      </w:r>
      <w:r w:rsidR="009371DA">
        <w:rPr>
          <w:color w:val="244061" w:themeColor="accent2" w:themeShade="80"/>
        </w:rPr>
        <w:t>T</w:t>
      </w:r>
      <w:r w:rsidR="000C1BC5" w:rsidRPr="003E57D7">
        <w:rPr>
          <w:color w:val="244061" w:themeColor="accent2" w:themeShade="80"/>
        </w:rPr>
        <w:t>riangles</w:t>
      </w:r>
      <w:r w:rsidR="00F07A04">
        <w:rPr>
          <w:color w:val="244061" w:themeColor="accent2" w:themeShade="80"/>
        </w:rPr>
        <w:t>]</w:t>
      </w:r>
      <w:r w:rsidR="000C1BC5" w:rsidRPr="003E57D7">
        <w:rPr>
          <w:color w:val="244061" w:themeColor="accent2" w:themeShade="80"/>
        </w:rPr>
        <w:t>.</w:t>
      </w:r>
    </w:p>
    <w:p w14:paraId="545CE802" w14:textId="79B80467" w:rsidR="008F28A4" w:rsidRPr="008F28A4" w:rsidRDefault="00105FB8" w:rsidP="006F1236">
      <w:pPr>
        <w:pStyle w:val="Heading3"/>
        <w:spacing w:line="360" w:lineRule="auto"/>
        <w15:collapsed/>
        <w:rPr>
          <w:sz w:val="22"/>
          <w:szCs w:val="22"/>
        </w:rPr>
      </w:pPr>
      <w:r w:rsidRPr="008F28A4">
        <w:rPr>
          <w:sz w:val="22"/>
          <w:szCs w:val="22"/>
        </w:rPr>
        <w:t>Grant Obligations and Financial Accountability</w:t>
      </w:r>
    </w:p>
    <w:p w14:paraId="2B227142" w14:textId="7878F9C8" w:rsidR="00105FB8" w:rsidRPr="008F28A4" w:rsidRDefault="00BC0427" w:rsidP="008F28A4">
      <w:pPr>
        <w:pStyle w:val="BodyText"/>
        <w:spacing w:line="360" w:lineRule="auto"/>
        <w:ind w:left="200" w:right="250"/>
      </w:pPr>
      <w:r>
        <w:t xml:space="preserve">Not only do </w:t>
      </w:r>
      <w:hyperlink r:id="rId10" w:history="1">
        <w:r w:rsidRPr="001F71D0">
          <w:rPr>
            <w:rStyle w:val="Hyperlink"/>
          </w:rPr>
          <w:t>FAA Grant Assurances</w:t>
        </w:r>
      </w:hyperlink>
      <w:r>
        <w:t xml:space="preserve"> apply to NPIAS Airport Sponsors, but </w:t>
      </w:r>
      <w:r w:rsidRPr="00FA4060">
        <w:rPr>
          <w:b/>
          <w:bCs/>
          <w:u w:val="single"/>
        </w:rPr>
        <w:t>ALL</w:t>
      </w:r>
      <w:r>
        <w:t xml:space="preserve"> </w:t>
      </w:r>
      <w:r w:rsidR="00105FB8" w:rsidRPr="008F28A4">
        <w:t xml:space="preserve">Airport Sponsors </w:t>
      </w:r>
      <w:r w:rsidR="005762B4">
        <w:t>that accept a grant from TDOT Aeronautics Division</w:t>
      </w:r>
      <w:r w:rsidR="00105FB8" w:rsidRPr="008F28A4">
        <w:t xml:space="preserve"> maintain specific grant obligations to ensure all expenditures are necessary, justified, and documented appropriately. With an executed grant agreement in place, the TDOT Aeronautics Division processes payment requests submitted by Airport Sponsors according to established protocols that maintain both fiscal responsibility and operational flexibility. Payment requests may be submitted no more frequently than monthly and must include all necessary supporting documentation to validate the expenditures being claimed. The Aeronautics Division recognizes the diverse categories of invoices that Sponsors </w:t>
      </w:r>
      <w:r w:rsidR="00B300A2">
        <w:t xml:space="preserve">could </w:t>
      </w:r>
      <w:r w:rsidR="00105FB8" w:rsidRPr="008F28A4">
        <w:t>submit and has developed specific guidance regarding required documentation to facilitate timely processing and minimize administrative delays.</w:t>
      </w:r>
    </w:p>
    <w:p w14:paraId="635FCB7D" w14:textId="77777777" w:rsidR="00105FB8" w:rsidRPr="008F28A4" w:rsidRDefault="00105FB8" w:rsidP="008F28A4">
      <w:pPr>
        <w:pStyle w:val="BodyText"/>
        <w:spacing w:line="360" w:lineRule="auto"/>
        <w:ind w:left="200" w:right="250"/>
      </w:pPr>
    </w:p>
    <w:p w14:paraId="6D0E646E" w14:textId="77777777" w:rsidR="00105FB8" w:rsidRPr="008F28A4" w:rsidRDefault="00105FB8" w:rsidP="008F28A4">
      <w:pPr>
        <w:pStyle w:val="BodyText"/>
        <w:spacing w:line="360" w:lineRule="auto"/>
        <w:ind w:left="200" w:right="250"/>
      </w:pPr>
      <w:r w:rsidRPr="008F28A4">
        <w:t>It is essential for Airport Sponsors to thoroughly familiarize themselves with the grant language and provisions set forth in the Grant Contract between the State of Tennessee and the Airport Sponsor. These contracts contain critical information regarding Scope of Services, Deliverables, and Contract/Payment/Standard/Special Terms and Conditions that govern the administration of grant funds. Additionally, documentation attached to the grant that was included in the Sponsor's original application dictates the financial breakdown information that will be used throughout the project lifecycle. Understanding these elements before initiating project work can prevent misunderstandings and ensure compliance with all applicable requirements.</w:t>
      </w:r>
    </w:p>
    <w:p w14:paraId="5C2FD0FC" w14:textId="77777777" w:rsidR="00105FB8" w:rsidRPr="008F28A4" w:rsidRDefault="00105FB8" w:rsidP="008F28A4">
      <w:pPr>
        <w:pStyle w:val="BodyText"/>
        <w:spacing w:line="360" w:lineRule="auto"/>
        <w:ind w:left="200" w:right="250"/>
      </w:pPr>
    </w:p>
    <w:p w14:paraId="31714BA8" w14:textId="77777777" w:rsidR="00105FB8" w:rsidRPr="008F28A4" w:rsidRDefault="00105FB8" w:rsidP="006F1236">
      <w:pPr>
        <w:pStyle w:val="Heading3"/>
        <w:spacing w:line="360" w:lineRule="auto"/>
        <w15:collapsed/>
        <w:rPr>
          <w:sz w:val="22"/>
          <w:szCs w:val="22"/>
        </w:rPr>
      </w:pPr>
      <w:r w:rsidRPr="008F28A4">
        <w:rPr>
          <w:sz w:val="22"/>
          <w:szCs w:val="22"/>
        </w:rPr>
        <w:t>Grant Execution Process</w:t>
      </w:r>
    </w:p>
    <w:p w14:paraId="62704C63" w14:textId="4C418875" w:rsidR="00105FB8" w:rsidRPr="008F28A4" w:rsidRDefault="00105FB8" w:rsidP="008F28A4">
      <w:pPr>
        <w:pStyle w:val="BodyText"/>
        <w:spacing w:line="360" w:lineRule="auto"/>
        <w:ind w:left="200" w:right="250"/>
      </w:pPr>
      <w:r w:rsidRPr="008F28A4">
        <w:t xml:space="preserve">The pathway to accessing grant funding begins after your project receives approval through either the TDOT Aeronautics Project Staff Review (PSR) or the Tennessee Aeronautics Commission (TAC), depending on the nature and scope of the proposed work. Once </w:t>
      </w:r>
      <w:r w:rsidR="00954CF0">
        <w:t>approved</w:t>
      </w:r>
      <w:r w:rsidRPr="008F28A4">
        <w:t xml:space="preserve">, the grant execution process commences with specific administrative requirements that must be fulfilled. Your assigned Grants </w:t>
      </w:r>
      <w:r w:rsidR="00954CF0">
        <w:t>&amp;</w:t>
      </w:r>
      <w:r w:rsidRPr="008F28A4">
        <w:t xml:space="preserve"> Compliance contact will coordinate directly with your organization to obtain the proper grant signatures and Sponsor certifications necessary for your specific project. This collaborative approach ensures all documentation meets state and</w:t>
      </w:r>
      <w:r w:rsidR="00954CF0">
        <w:t>/or</w:t>
      </w:r>
      <w:r w:rsidRPr="008F28A4">
        <w:t xml:space="preserve"> federal requirements while establishing clear lines of communication for the duration of the project.</w:t>
      </w:r>
    </w:p>
    <w:p w14:paraId="092F6270" w14:textId="77777777" w:rsidR="00105FB8" w:rsidRPr="008F28A4" w:rsidRDefault="00105FB8" w:rsidP="008F28A4">
      <w:pPr>
        <w:pStyle w:val="BodyText"/>
        <w:spacing w:line="360" w:lineRule="auto"/>
        <w:ind w:left="200" w:right="250"/>
      </w:pPr>
    </w:p>
    <w:p w14:paraId="36262F9A" w14:textId="77777777" w:rsidR="006C1CE4" w:rsidRDefault="00105FB8" w:rsidP="008F28A4">
      <w:pPr>
        <w:pStyle w:val="BodyText"/>
        <w:spacing w:line="360" w:lineRule="auto"/>
        <w:ind w:left="200" w:right="250"/>
      </w:pPr>
      <w:r w:rsidRPr="008F28A4">
        <w:t xml:space="preserve">For projects designated as </w:t>
      </w:r>
      <w:r w:rsidRPr="00FA4060">
        <w:rPr>
          <w:b/>
          <w:bCs/>
        </w:rPr>
        <w:t>Match</w:t>
      </w:r>
      <w:r w:rsidRPr="008F28A4">
        <w:t xml:space="preserve"> grants, a local share contribution is required as part of the funding structure. </w:t>
      </w:r>
      <w:r w:rsidR="00B7381E">
        <w:t>Your assigned Grants &amp; Compliance contact will provide more detail on this during the grant execution process.</w:t>
      </w:r>
      <w:r w:rsidRPr="008F28A4">
        <w:t xml:space="preserve"> </w:t>
      </w:r>
      <w:r w:rsidR="006C1CE4">
        <w:t xml:space="preserve">                                                                       </w:t>
      </w:r>
    </w:p>
    <w:p w14:paraId="79E00873" w14:textId="29F7D074" w:rsidR="00105FB8" w:rsidRPr="008F28A4" w:rsidRDefault="00105FB8" w:rsidP="003E57D7">
      <w:pPr>
        <w:pStyle w:val="BodyText"/>
        <w:spacing w:line="360" w:lineRule="auto"/>
        <w:ind w:left="200" w:right="250"/>
        <w:jc w:val="center"/>
      </w:pPr>
      <w:r w:rsidRPr="00FA4060">
        <w:rPr>
          <w:u w:val="single"/>
        </w:rPr>
        <w:t>As of 2025, all local share contributions must be submitted</w:t>
      </w:r>
      <w:r w:rsidR="00604F01">
        <w:rPr>
          <w:u w:val="single"/>
        </w:rPr>
        <w:t xml:space="preserve"> via certified mail</w:t>
      </w:r>
      <w:r w:rsidRPr="00FA4060">
        <w:rPr>
          <w:u w:val="single"/>
        </w:rPr>
        <w:t xml:space="preserve"> to:</w:t>
      </w:r>
    </w:p>
    <w:p w14:paraId="7E2343EE" w14:textId="77777777" w:rsidR="00105FB8" w:rsidRPr="00FA4060" w:rsidRDefault="00105FB8" w:rsidP="003E57D7">
      <w:pPr>
        <w:pStyle w:val="BodyText"/>
        <w:ind w:left="2" w:right="245" w:firstLine="6568"/>
        <w:rPr>
          <w:i/>
          <w:iCs/>
        </w:rPr>
      </w:pPr>
      <w:r w:rsidRPr="00FA4060">
        <w:rPr>
          <w:i/>
          <w:iCs/>
        </w:rPr>
        <w:t>TDOT Finance Division</w:t>
      </w:r>
    </w:p>
    <w:p w14:paraId="29F20530" w14:textId="7CA975ED" w:rsidR="00105FB8" w:rsidRPr="00FA4060" w:rsidRDefault="00105FB8" w:rsidP="003E57D7">
      <w:pPr>
        <w:pStyle w:val="BodyText"/>
        <w:ind w:left="2" w:right="245" w:firstLine="6568"/>
        <w:rPr>
          <w:i/>
          <w:iCs/>
        </w:rPr>
      </w:pPr>
      <w:r w:rsidRPr="00FA4060">
        <w:rPr>
          <w:i/>
          <w:iCs/>
        </w:rPr>
        <w:t xml:space="preserve">Attn: </w:t>
      </w:r>
      <w:r w:rsidR="00604F01">
        <w:rPr>
          <w:i/>
          <w:iCs/>
        </w:rPr>
        <w:t>Accounts Receivable (</w:t>
      </w:r>
      <w:r w:rsidRPr="00FA4060">
        <w:rPr>
          <w:i/>
          <w:iCs/>
        </w:rPr>
        <w:t>Lacey Bryant</w:t>
      </w:r>
      <w:r w:rsidR="00604F01">
        <w:rPr>
          <w:i/>
          <w:iCs/>
        </w:rPr>
        <w:t>)</w:t>
      </w:r>
    </w:p>
    <w:p w14:paraId="44BDC280" w14:textId="77777777" w:rsidR="00105FB8" w:rsidRPr="00FA4060" w:rsidRDefault="00105FB8" w:rsidP="003E57D7">
      <w:pPr>
        <w:pStyle w:val="BodyText"/>
        <w:ind w:left="2" w:right="245" w:firstLine="6568"/>
        <w:rPr>
          <w:i/>
          <w:iCs/>
        </w:rPr>
      </w:pPr>
      <w:r w:rsidRPr="00FA4060">
        <w:rPr>
          <w:i/>
          <w:iCs/>
        </w:rPr>
        <w:t>505 Deaderick Street</w:t>
      </w:r>
    </w:p>
    <w:p w14:paraId="3EDB8DF4" w14:textId="77777777" w:rsidR="00105FB8" w:rsidRPr="00FA4060" w:rsidRDefault="00105FB8" w:rsidP="003E57D7">
      <w:pPr>
        <w:pStyle w:val="BodyText"/>
        <w:ind w:left="2" w:right="245" w:firstLine="6568"/>
        <w:rPr>
          <w:i/>
          <w:iCs/>
        </w:rPr>
      </w:pPr>
      <w:r w:rsidRPr="00FA4060">
        <w:rPr>
          <w:i/>
          <w:iCs/>
        </w:rPr>
        <w:t>Suite 800, James K. Polk Building</w:t>
      </w:r>
    </w:p>
    <w:p w14:paraId="07E1A13C" w14:textId="77777777" w:rsidR="00105FB8" w:rsidRPr="00FA4060" w:rsidRDefault="00105FB8" w:rsidP="003E57D7">
      <w:pPr>
        <w:pStyle w:val="BodyText"/>
        <w:ind w:left="2" w:right="245" w:firstLine="6568"/>
        <w:rPr>
          <w:i/>
          <w:iCs/>
        </w:rPr>
      </w:pPr>
      <w:r w:rsidRPr="00FA4060">
        <w:rPr>
          <w:i/>
          <w:iCs/>
        </w:rPr>
        <w:t>Nashville, TN 37243-0329</w:t>
      </w:r>
    </w:p>
    <w:p w14:paraId="75F33B3B" w14:textId="77777777" w:rsidR="00105FB8" w:rsidRPr="008F28A4" w:rsidRDefault="00105FB8" w:rsidP="008F28A4">
      <w:pPr>
        <w:pStyle w:val="BodyText"/>
        <w:spacing w:line="360" w:lineRule="auto"/>
        <w:ind w:left="200" w:right="250"/>
      </w:pPr>
    </w:p>
    <w:p w14:paraId="0F344EBB" w14:textId="4242F2FE" w:rsidR="00105FB8" w:rsidRDefault="00105FB8" w:rsidP="008F28A4">
      <w:pPr>
        <w:pStyle w:val="BodyText"/>
        <w:spacing w:line="360" w:lineRule="auto"/>
        <w:ind w:left="200" w:right="250"/>
      </w:pPr>
      <w:r w:rsidRPr="008F28A4">
        <w:t>The timely submission of local share funding is a prerequisite for invoice processing on Match grants. Once your grant is executed and your local share has been properly submitted (if required), your organization will be fully equipped to begin the invoicing process as project services are rendered according to the approved scope of work.</w:t>
      </w:r>
      <w:r w:rsidR="0093253D">
        <w:t xml:space="preserve"> Please see the graphic</w:t>
      </w:r>
      <w:r w:rsidR="00966A3D">
        <w:t xml:space="preserve"> right</w:t>
      </w:r>
      <w:r w:rsidR="0093253D">
        <w:t xml:space="preserve"> below that shows the lifecycle of an invoice at a glance.</w:t>
      </w:r>
    </w:p>
    <w:p w14:paraId="71F9F32B" w14:textId="62CBB0A6" w:rsidR="0093253D" w:rsidRPr="008F28A4" w:rsidRDefault="00F6020E" w:rsidP="003E57D7">
      <w:pPr>
        <w:pStyle w:val="BodyText"/>
        <w:spacing w:line="360" w:lineRule="auto"/>
        <w:ind w:left="200" w:right="250"/>
        <w:jc w:val="center"/>
      </w:pPr>
      <w:r>
        <w:rPr>
          <w:noProof/>
        </w:rPr>
        <mc:AlternateContent>
          <mc:Choice Requires="wps">
            <w:drawing>
              <wp:anchor distT="0" distB="0" distL="114300" distR="114300" simplePos="0" relativeHeight="251661312" behindDoc="0" locked="0" layoutInCell="1" allowOverlap="1" wp14:anchorId="1E61F1B3" wp14:editId="3C67F027">
                <wp:simplePos x="0" y="0"/>
                <wp:positionH relativeFrom="column">
                  <wp:posOffset>1095375</wp:posOffset>
                </wp:positionH>
                <wp:positionV relativeFrom="paragraph">
                  <wp:posOffset>3166110</wp:posOffset>
                </wp:positionV>
                <wp:extent cx="2457450" cy="1200150"/>
                <wp:effectExtent l="0" t="0" r="0" b="0"/>
                <wp:wrapNone/>
                <wp:docPr id="3" name="TextBox 2">
                  <a:extLst xmlns:a="http://schemas.openxmlformats.org/drawingml/2006/main">
                    <a:ext uri="{FF2B5EF4-FFF2-40B4-BE49-F238E27FC236}">
                      <a16:creationId xmlns:a16="http://schemas.microsoft.com/office/drawing/2014/main" id="{E3A6D375-3D83-163B-AE9B-70F508F4C9F9}"/>
                    </a:ext>
                  </a:extLst>
                </wp:docPr>
                <wp:cNvGraphicFramePr/>
                <a:graphic xmlns:a="http://schemas.openxmlformats.org/drawingml/2006/main">
                  <a:graphicData uri="http://schemas.microsoft.com/office/word/2010/wordprocessingShape">
                    <wps:wsp>
                      <wps:cNvSpPr txBox="1"/>
                      <wps:spPr>
                        <a:xfrm>
                          <a:off x="0" y="0"/>
                          <a:ext cx="2457450" cy="12001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8EBDFA4" w14:textId="38EA1EC2" w:rsidR="0093253D" w:rsidRPr="003E57D7" w:rsidRDefault="0093253D" w:rsidP="0093253D">
                            <w:pPr>
                              <w:rPr>
                                <w:rFonts w:hAnsi="Calibri"/>
                                <w:i/>
                                <w:iCs/>
                                <w:color w:val="000000" w:themeColor="dark1"/>
                              </w:rPr>
                            </w:pPr>
                            <w:r w:rsidRPr="003E57D7">
                              <w:rPr>
                                <w:rFonts w:hAnsi="Calibri"/>
                                <w:i/>
                                <w:iCs/>
                                <w:color w:val="000000" w:themeColor="dark1"/>
                              </w:rPr>
                              <w:t>TDOT employee</w:t>
                            </w:r>
                            <w:r>
                              <w:rPr>
                                <w:rFonts w:hAnsi="Calibri"/>
                                <w:i/>
                                <w:iCs/>
                                <w:color w:val="000000" w:themeColor="dark1"/>
                              </w:rPr>
                              <w:t>s</w:t>
                            </w:r>
                            <w:r w:rsidRPr="003E57D7">
                              <w:rPr>
                                <w:rFonts w:hAnsi="Calibri"/>
                                <w:i/>
                                <w:iCs/>
                                <w:color w:val="000000" w:themeColor="dark1"/>
                              </w:rPr>
                              <w:t xml:space="preserve"> </w:t>
                            </w:r>
                            <w:r>
                              <w:rPr>
                                <w:rFonts w:hAnsi="Calibri"/>
                                <w:i/>
                                <w:iCs/>
                                <w:color w:val="000000" w:themeColor="dark1"/>
                              </w:rPr>
                              <w:t xml:space="preserve">are </w:t>
                            </w:r>
                            <w:r w:rsidRPr="003E57D7">
                              <w:rPr>
                                <w:rFonts w:hAnsi="Calibri"/>
                                <w:i/>
                                <w:iCs/>
                                <w:color w:val="000000" w:themeColor="dark1"/>
                              </w:rPr>
                              <w:t xml:space="preserve">held to a monitored &amp; practical invoice review timeframe and required to process them promptly. </w:t>
                            </w:r>
                            <w:r w:rsidR="00F6020E">
                              <w:rPr>
                                <w:rFonts w:hAnsi="Calibri"/>
                                <w:i/>
                                <w:iCs/>
                                <w:color w:val="000000" w:themeColor="dark1"/>
                              </w:rPr>
                              <w:t>Airport Sponsors can typically expect invoice reimbursement within 45 days of initial submission to TDOT.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1E61F1B3" id="_x0000_t202" coordsize="21600,21600" o:spt="202" path="m,l,21600r21600,l21600,xe">
                <v:stroke joinstyle="miter"/>
                <v:path gradientshapeok="t" o:connecttype="rect"/>
              </v:shapetype>
              <v:shape id="TextBox 2" o:spid="_x0000_s1026" type="#_x0000_t202" style="position:absolute;left:0;text-align:left;margin-left:86.25pt;margin-top:249.3pt;width:193.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" fillcolor="white [3201]" stroked="f">
                <v:textbox>
                  <w:txbxContent>
                    <w:p w14:paraId="58EBDFA4" w14:textId="38EA1EC2" w:rsidR="0093253D" w:rsidRPr="003E57D7" w:rsidRDefault="0093253D" w:rsidP="0093253D">
                      <w:pPr>
                        <w:rPr>
                          <w:rFonts w:hAnsi="Calibri"/>
                          <w:i/>
                          <w:iCs/>
                          <w:color w:val="000000" w:themeColor="dark1"/>
                        </w:rPr>
                      </w:pPr>
                      <w:r w:rsidRPr="003E57D7">
                        <w:rPr>
                          <w:rFonts w:hAnsi="Calibri"/>
                          <w:i/>
                          <w:iCs/>
                          <w:color w:val="000000" w:themeColor="dark1"/>
                        </w:rPr>
                        <w:t>TDOT employee</w:t>
                      </w:r>
                      <w:r>
                        <w:rPr>
                          <w:rFonts w:hAnsi="Calibri"/>
                          <w:i/>
                          <w:iCs/>
                          <w:color w:val="000000" w:themeColor="dark1"/>
                        </w:rPr>
                        <w:t>s</w:t>
                      </w:r>
                      <w:r w:rsidRPr="003E57D7">
                        <w:rPr>
                          <w:rFonts w:hAnsi="Calibri"/>
                          <w:i/>
                          <w:iCs/>
                          <w:color w:val="000000" w:themeColor="dark1"/>
                        </w:rPr>
                        <w:t xml:space="preserve"> </w:t>
                      </w:r>
                      <w:r>
                        <w:rPr>
                          <w:rFonts w:hAnsi="Calibri"/>
                          <w:i/>
                          <w:iCs/>
                          <w:color w:val="000000" w:themeColor="dark1"/>
                        </w:rPr>
                        <w:t xml:space="preserve">are </w:t>
                      </w:r>
                      <w:r w:rsidRPr="003E57D7">
                        <w:rPr>
                          <w:rFonts w:hAnsi="Calibri"/>
                          <w:i/>
                          <w:iCs/>
                          <w:color w:val="000000" w:themeColor="dark1"/>
                        </w:rPr>
                        <w:t xml:space="preserve">held to a monitored &amp; practical invoice review timeframe and required to process them promptly. </w:t>
                      </w:r>
                      <w:r w:rsidR="00F6020E">
                        <w:rPr>
                          <w:rFonts w:hAnsi="Calibri"/>
                          <w:i/>
                          <w:iCs/>
                          <w:color w:val="000000" w:themeColor="dark1"/>
                        </w:rPr>
                        <w:t>Airport Sponsors can typically expect invoice reimbursement within 45 days of initial submission to TDOT.</w:t>
                      </w:r>
                    </w:p>
                  </w:txbxContent>
                </v:textbox>
              </v:shape>
            </w:pict>
          </mc:Fallback>
        </mc:AlternateContent>
      </w:r>
      <w:r w:rsidR="006F7045">
        <w:rPr>
          <w:noProof/>
        </w:rPr>
        <mc:AlternateContent>
          <mc:Choice Requires="wps">
            <w:drawing>
              <wp:anchor distT="0" distB="0" distL="114300" distR="114300" simplePos="0" relativeHeight="251659264" behindDoc="0" locked="0" layoutInCell="1" allowOverlap="1" wp14:anchorId="18FE792D" wp14:editId="5C83EFEA">
                <wp:simplePos x="0" y="0"/>
                <wp:positionH relativeFrom="column">
                  <wp:posOffset>6630964</wp:posOffset>
                </wp:positionH>
                <wp:positionV relativeFrom="paragraph">
                  <wp:posOffset>1059825</wp:posOffset>
                </wp:positionV>
                <wp:extent cx="3933825" cy="914400"/>
                <wp:effectExtent l="0" t="0" r="9525" b="0"/>
                <wp:wrapNone/>
                <wp:docPr id="5" name="TextBox 4">
                  <a:extLst xmlns:a="http://schemas.openxmlformats.org/drawingml/2006/main">
                    <a:ext uri="{FF2B5EF4-FFF2-40B4-BE49-F238E27FC236}">
                      <a16:creationId xmlns:a16="http://schemas.microsoft.com/office/drawing/2014/main" id="{EFA2EE88-115B-47F0-9131-D45D18605380}"/>
                    </a:ext>
                  </a:extLst>
                </wp:docPr>
                <wp:cNvGraphicFramePr/>
                <a:graphic xmlns:a="http://schemas.openxmlformats.org/drawingml/2006/main">
                  <a:graphicData uri="http://schemas.microsoft.com/office/word/2010/wordprocessingShape">
                    <wps:wsp>
                      <wps:cNvSpPr txBox="1"/>
                      <wps:spPr>
                        <a:xfrm>
                          <a:off x="0" y="0"/>
                          <a:ext cx="3933825" cy="9144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C87462" w14:textId="2D16DFB2" w:rsidR="0093253D" w:rsidRPr="003E57D7" w:rsidRDefault="0093253D" w:rsidP="0093253D">
                            <w:pPr>
                              <w:rPr>
                                <w:rFonts w:hAnsi="Calibri"/>
                                <w:b/>
                                <w:bCs/>
                                <w:i/>
                                <w:iCs/>
                                <w:color w:val="000000" w:themeColor="dark1"/>
                              </w:rPr>
                            </w:pPr>
                            <w:r w:rsidRPr="003E57D7">
                              <w:rPr>
                                <w:rFonts w:hAnsi="Calibri"/>
                                <w:b/>
                                <w:bCs/>
                                <w:i/>
                                <w:iCs/>
                                <w:color w:val="000000" w:themeColor="dark1"/>
                                <w:u w:val="single"/>
                              </w:rPr>
                              <w:t>Note:</w:t>
                            </w:r>
                            <w:r w:rsidRPr="003E57D7">
                              <w:rPr>
                                <w:rFonts w:hAnsi="Calibri"/>
                                <w:b/>
                                <w:bCs/>
                                <w:i/>
                                <w:iCs/>
                                <w:color w:val="000000" w:themeColor="dark1"/>
                              </w:rPr>
                              <w:t xml:space="preserve"> Contractor and Consultant invoices only apply for standard development-type projects. Airport Sponsor may submit invoice directly received by vendor.</w:t>
                            </w:r>
                            <w:r w:rsidR="006F7045">
                              <w:rPr>
                                <w:rFonts w:hAnsi="Calibri"/>
                                <w:b/>
                                <w:bCs/>
                                <w:i/>
                                <w:iCs/>
                                <w:color w:val="000000" w:themeColor="dark1"/>
                              </w:rPr>
                              <w:t xml:space="preserve"> See Table at the end of this document for full comprehension.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8FE792D" id="TextBox 4" o:spid="_x0000_s1027" type="#_x0000_t202" style="position:absolute;left:0;text-align:left;margin-left:522.1pt;margin-top:83.45pt;width:309.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" fillcolor="white [3201]" stroked="f">
                <v:textbox>
                  <w:txbxContent>
                    <w:p w14:paraId="26C87462" w14:textId="2D16DFB2" w:rsidR="0093253D" w:rsidRPr="003E57D7" w:rsidRDefault="0093253D" w:rsidP="0093253D">
                      <w:pPr>
                        <w:rPr>
                          <w:rFonts w:hAnsi="Calibri"/>
                          <w:b/>
                          <w:bCs/>
                          <w:i/>
                          <w:iCs/>
                          <w:color w:val="000000" w:themeColor="dark1"/>
                        </w:rPr>
                      </w:pPr>
                      <w:r w:rsidRPr="003E57D7">
                        <w:rPr>
                          <w:rFonts w:hAnsi="Calibri"/>
                          <w:b/>
                          <w:bCs/>
                          <w:i/>
                          <w:iCs/>
                          <w:color w:val="000000" w:themeColor="dark1"/>
                          <w:u w:val="single"/>
                        </w:rPr>
                        <w:t>Note:</w:t>
                      </w:r>
                      <w:r w:rsidRPr="003E57D7">
                        <w:rPr>
                          <w:rFonts w:hAnsi="Calibri"/>
                          <w:b/>
                          <w:bCs/>
                          <w:i/>
                          <w:iCs/>
                          <w:color w:val="000000" w:themeColor="dark1"/>
                        </w:rPr>
                        <w:t xml:space="preserve"> Contractor and Consultant invoices only apply for standard development-type projects. Airport Sponsor may submit invoice directly received by vendor.</w:t>
                      </w:r>
                      <w:r w:rsidR="006F7045">
                        <w:rPr>
                          <w:rFonts w:hAnsi="Calibri"/>
                          <w:b/>
                          <w:bCs/>
                          <w:i/>
                          <w:iCs/>
                          <w:color w:val="000000" w:themeColor="dark1"/>
                        </w:rPr>
                        <w:t xml:space="preserve"> See Table at the end of this document for full comprehension.</w:t>
                      </w:r>
                    </w:p>
                  </w:txbxContent>
                </v:textbox>
              </v:shape>
            </w:pict>
          </mc:Fallback>
        </mc:AlternateContent>
      </w:r>
      <w:r w:rsidR="0093253D">
        <w:rPr>
          <w:noProof/>
        </w:rPr>
        <w:drawing>
          <wp:inline distT="0" distB="0" distL="0" distR="0" wp14:anchorId="74B468BE" wp14:editId="4D0B7290">
            <wp:extent cx="9661852" cy="4191000"/>
            <wp:effectExtent l="190500" t="190500" r="187325" b="190500"/>
            <wp:docPr id="1848972113" name="Picture 1">
              <a:extLst xmlns:a="http://schemas.openxmlformats.org/drawingml/2006/main">
                <a:ext uri="{FF2B5EF4-FFF2-40B4-BE49-F238E27FC236}">
                  <a16:creationId xmlns:a16="http://schemas.microsoft.com/office/drawing/2014/main" id="{F3FFBD18-806C-22BC-6BF6-775E1AB20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3FFBD18-806C-22BC-6BF6-775E1AB20E66}"/>
                        </a:ext>
                      </a:extLst>
                    </pic:cNvPr>
                    <pic:cNvPicPr>
                      <a:picLocks noChangeAspect="1"/>
                    </pic:cNvPicPr>
                  </pic:nvPicPr>
                  <pic:blipFill>
                    <a:blip r:embed="rId11"/>
                    <a:stretch>
                      <a:fillRect/>
                    </a:stretch>
                  </pic:blipFill>
                  <pic:spPr>
                    <a:xfrm>
                      <a:off x="0" y="0"/>
                      <a:ext cx="9671401" cy="4195142"/>
                    </a:xfrm>
                    <a:prstGeom prst="rect">
                      <a:avLst/>
                    </a:prstGeom>
                    <a:ln>
                      <a:noFill/>
                    </a:ln>
                    <a:effectLst>
                      <a:outerShdw blurRad="190500" algn="tl" rotWithShape="0">
                        <a:srgbClr val="000000">
                          <a:alpha val="70000"/>
                        </a:srgbClr>
                      </a:outerShdw>
                    </a:effectLst>
                  </pic:spPr>
                </pic:pic>
              </a:graphicData>
            </a:graphic>
          </wp:inline>
        </w:drawing>
      </w:r>
    </w:p>
    <w:p w14:paraId="64BD1EFE" w14:textId="77777777" w:rsidR="00105FB8" w:rsidRPr="008F28A4" w:rsidRDefault="00105FB8" w:rsidP="008F28A4">
      <w:pPr>
        <w:pStyle w:val="BodyText"/>
        <w:spacing w:line="360" w:lineRule="auto"/>
        <w:ind w:left="200" w:right="250"/>
      </w:pPr>
    </w:p>
    <w:p w14:paraId="465AE5EB" w14:textId="77777777" w:rsidR="00105FB8" w:rsidRPr="008F28A4" w:rsidRDefault="00105FB8" w:rsidP="006F1236">
      <w:pPr>
        <w:pStyle w:val="Heading3"/>
        <w:spacing w:line="360" w:lineRule="auto"/>
        <w15:collapsed/>
        <w:rPr>
          <w:sz w:val="22"/>
          <w:szCs w:val="22"/>
        </w:rPr>
      </w:pPr>
      <w:bookmarkStart w:id="0" w:name="_Grant_Classification_and"/>
      <w:bookmarkEnd w:id="0"/>
      <w:r w:rsidRPr="008F28A4">
        <w:rPr>
          <w:sz w:val="22"/>
          <w:szCs w:val="22"/>
        </w:rPr>
        <w:t>Grant Classification and Financial Procedures</w:t>
      </w:r>
    </w:p>
    <w:p w14:paraId="28333493" w14:textId="1CEACCE2" w:rsidR="00105FB8" w:rsidRPr="008F28A4" w:rsidRDefault="00105FB8" w:rsidP="008F28A4">
      <w:pPr>
        <w:pStyle w:val="BodyText"/>
        <w:spacing w:line="360" w:lineRule="auto"/>
        <w:ind w:left="200" w:right="250"/>
      </w:pPr>
      <w:r w:rsidRPr="008F28A4">
        <w:t xml:space="preserve">The TDOT Aeronautics Division administers </w:t>
      </w:r>
      <w:hyperlink w:anchor="_Grant_Classification_and" w:history="1">
        <w:r w:rsidRPr="001618D3">
          <w:rPr>
            <w:rStyle w:val="Hyperlink"/>
          </w:rPr>
          <w:t>two primary categories of grants</w:t>
        </w:r>
      </w:hyperlink>
      <w:r w:rsidRPr="008F28A4">
        <w:t xml:space="preserve">, each with distinct financial procedures and requirements that Airport Sponsors must understand to ensure smooth project implementation. The most common type is the </w:t>
      </w:r>
      <w:r w:rsidRPr="00FA4060">
        <w:rPr>
          <w:b/>
          <w:bCs/>
        </w:rPr>
        <w:t>Match</w:t>
      </w:r>
      <w:r w:rsidRPr="008F28A4">
        <w:t xml:space="preserve"> grant, also frequently referred to as a </w:t>
      </w:r>
      <w:r w:rsidRPr="00FA4060">
        <w:rPr>
          <w:i/>
          <w:iCs/>
        </w:rPr>
        <w:t>Reimbursement</w:t>
      </w:r>
      <w:r w:rsidRPr="008F28A4">
        <w:t xml:space="preserve"> grant. This funding mechanism is primarily utilized for General Aviation airport</w:t>
      </w:r>
      <w:r w:rsidR="007C3093">
        <w:t xml:space="preserve"> planning,</w:t>
      </w:r>
      <w:r w:rsidRPr="008F28A4">
        <w:t xml:space="preserve"> development projects, land acquisition initiatives, and equipment procurement. The second category is the </w:t>
      </w:r>
      <w:r w:rsidRPr="00FA4060">
        <w:rPr>
          <w:b/>
          <w:bCs/>
        </w:rPr>
        <w:t>Participation</w:t>
      </w:r>
      <w:r w:rsidRPr="008F28A4">
        <w:t xml:space="preserve"> grant, which serves different purposes including annual airport maintenance funding, Air Carrier projects, and specialized programs such as the Aeronautics Economic Development Fund.</w:t>
      </w:r>
    </w:p>
    <w:p w14:paraId="4F74BAD3" w14:textId="77777777" w:rsidR="00105FB8" w:rsidRPr="008F28A4" w:rsidRDefault="00105FB8" w:rsidP="008F28A4">
      <w:pPr>
        <w:pStyle w:val="BodyText"/>
        <w:spacing w:line="360" w:lineRule="auto"/>
        <w:ind w:left="200" w:right="250"/>
      </w:pPr>
    </w:p>
    <w:p w14:paraId="4C301F2C" w14:textId="6C7693A2" w:rsidR="00105FB8" w:rsidRPr="008F28A4" w:rsidRDefault="00105FB8" w:rsidP="008F28A4">
      <w:pPr>
        <w:pStyle w:val="BodyText"/>
        <w:spacing w:line="360" w:lineRule="auto"/>
        <w:ind w:left="200" w:right="250"/>
      </w:pPr>
      <w:r w:rsidRPr="008F28A4">
        <w:t xml:space="preserve">The fundamental difference between these grant categories lies in their financial administration procedures. Under a </w:t>
      </w:r>
      <w:r w:rsidRPr="00FA4060">
        <w:rPr>
          <w:b/>
          <w:bCs/>
        </w:rPr>
        <w:t>Match</w:t>
      </w:r>
      <w:r w:rsidRPr="008F28A4">
        <w:t xml:space="preserve"> grant structure, the airport must submit a predetermined local share</w:t>
      </w:r>
      <w:r w:rsidR="00604F01">
        <w:t xml:space="preserve"> </w:t>
      </w:r>
      <w:r w:rsidRPr="008F28A4">
        <w:t>contribution</w:t>
      </w:r>
      <w:r w:rsidR="00604F01">
        <w:t xml:space="preserve"> within 15 days</w:t>
      </w:r>
      <w:r w:rsidRPr="008F28A4">
        <w:t xml:space="preserve"> to TDOT Finance before any invoices can be processed. This advance payment serves as the airport's committed portion of project funding. When submitting invoices for </w:t>
      </w:r>
      <w:r w:rsidRPr="00FA4060">
        <w:rPr>
          <w:b/>
          <w:bCs/>
        </w:rPr>
        <w:t>Match</w:t>
      </w:r>
      <w:r w:rsidRPr="008F28A4">
        <w:t xml:space="preserve"> grants, the Sponsor must request reimbursement for the full amount of the pay request, as the local share has already been accounted for through the initial contribution. Conversely, a </w:t>
      </w:r>
      <w:r w:rsidRPr="00FA4060">
        <w:rPr>
          <w:b/>
          <w:bCs/>
        </w:rPr>
        <w:t xml:space="preserve">Participation </w:t>
      </w:r>
      <w:r w:rsidRPr="008F28A4">
        <w:t xml:space="preserve">grant operates on a different financial model where the Sponsor must first pay the entire expense and subsequently request reimbursement for the grant-covered percentage of costs. No upfront local share submittal to the State is required for </w:t>
      </w:r>
      <w:r w:rsidRPr="00FA4060">
        <w:rPr>
          <w:b/>
          <w:bCs/>
        </w:rPr>
        <w:t>Participation</w:t>
      </w:r>
      <w:r w:rsidRPr="008F28A4">
        <w:t xml:space="preserve"> grants, but proof of payment becomes a primary requirement for reimbursement processing. The specific reimbursement percentage is established in the </w:t>
      </w:r>
      <w:r w:rsidRPr="00FA4060">
        <w:rPr>
          <w:i/>
          <w:iCs/>
        </w:rPr>
        <w:t>Financial Breakdown Attachment</w:t>
      </w:r>
      <w:r w:rsidRPr="008F28A4">
        <w:t xml:space="preserve"> contained within the executed grant agreement.</w:t>
      </w:r>
      <w:r w:rsidR="00966A3D">
        <w:t xml:space="preserve"> Please see the graphic right below that can be a quick resource for Match vs. Participation grants.</w:t>
      </w:r>
    </w:p>
    <w:p w14:paraId="6D28B1C0" w14:textId="536FFC3E" w:rsidR="00105FB8" w:rsidRPr="008F28A4" w:rsidRDefault="00A61C60" w:rsidP="003E57D7">
      <w:pPr>
        <w:pStyle w:val="BodyText"/>
        <w:spacing w:line="360" w:lineRule="auto"/>
        <w:ind w:left="200" w:right="250"/>
        <w:jc w:val="center"/>
      </w:pPr>
      <w:r w:rsidRPr="001618D3">
        <w:rPr>
          <w:noProof/>
        </w:rPr>
        <w:drawing>
          <wp:inline distT="0" distB="0" distL="0" distR="0" wp14:anchorId="0A2CADF8" wp14:editId="6AFCA4AF">
            <wp:extent cx="4625169" cy="4470710"/>
            <wp:effectExtent l="190500" t="190500" r="194945" b="196850"/>
            <wp:docPr id="66139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219" cy="4501690"/>
                    </a:xfrm>
                    <a:prstGeom prst="rect">
                      <a:avLst/>
                    </a:prstGeom>
                    <a:ln>
                      <a:noFill/>
                    </a:ln>
                    <a:effectLst>
                      <a:outerShdw blurRad="190500" algn="tl" rotWithShape="0">
                        <a:srgbClr val="000000">
                          <a:alpha val="70000"/>
                        </a:srgbClr>
                      </a:outerShdw>
                    </a:effectLst>
                  </pic:spPr>
                </pic:pic>
              </a:graphicData>
            </a:graphic>
          </wp:inline>
        </w:drawing>
      </w:r>
    </w:p>
    <w:p w14:paraId="4D37F9A0" w14:textId="77777777" w:rsidR="00105FB8" w:rsidRPr="008F28A4" w:rsidRDefault="00105FB8" w:rsidP="006F1236">
      <w:pPr>
        <w:pStyle w:val="Heading3"/>
        <w:spacing w:line="360" w:lineRule="auto"/>
        <w15:collapsed/>
        <w:rPr>
          <w:sz w:val="22"/>
          <w:szCs w:val="22"/>
        </w:rPr>
      </w:pPr>
      <w:r w:rsidRPr="008F28A4">
        <w:rPr>
          <w:sz w:val="22"/>
          <w:szCs w:val="22"/>
        </w:rPr>
        <w:t>Invoicing System Implementation</w:t>
      </w:r>
    </w:p>
    <w:p w14:paraId="77705819" w14:textId="440CBC0D" w:rsidR="00105FB8" w:rsidRPr="008F28A4" w:rsidRDefault="00105FB8" w:rsidP="008F28A4">
      <w:pPr>
        <w:pStyle w:val="BodyText"/>
        <w:spacing w:line="360" w:lineRule="auto"/>
        <w:ind w:left="200" w:right="250"/>
      </w:pPr>
      <w:r w:rsidRPr="008F28A4">
        <w:t>The current</w:t>
      </w:r>
      <w:r w:rsidR="00F7453A">
        <w:t xml:space="preserve"> grant management</w:t>
      </w:r>
      <w:r w:rsidRPr="008F28A4">
        <w:t xml:space="preserve"> system for invoice submission and processing is housed within </w:t>
      </w:r>
      <w:hyperlink r:id="rId13" w:history="1">
        <w:r w:rsidRPr="007C72B8">
          <w:rPr>
            <w:rStyle w:val="Hyperlink"/>
          </w:rPr>
          <w:t>BlackCat</w:t>
        </w:r>
        <w:r w:rsidR="00184FFB" w:rsidRPr="007C72B8">
          <w:rPr>
            <w:rStyle w:val="Hyperlink"/>
          </w:rPr>
          <w:t xml:space="preserve"> Aviation (BCA)</w:t>
        </w:r>
      </w:hyperlink>
      <w:r w:rsidRPr="008F28A4">
        <w:t>, the comprehensive grant management platform utilized by TDOT Aeronautics Division. This digital environment streamlines the submission process while maintaining appropriate documentation standards and approval workflows. Airport Sponsors should become familiar with the BlackCat interface and submission requirements to ensure efficient processing of payment requests throughout the project lifecycle.</w:t>
      </w:r>
      <w:r w:rsidR="00184FFB">
        <w:t xml:space="preserve"> BCA offers </w:t>
      </w:r>
      <w:r w:rsidR="0080111C">
        <w:t xml:space="preserve">a </w:t>
      </w:r>
      <w:r w:rsidR="00184FFB">
        <w:t xml:space="preserve">help section at the top right of the </w:t>
      </w:r>
      <w:r w:rsidR="0080111C">
        <w:t>screen when logged in.</w:t>
      </w:r>
      <w:r w:rsidRPr="008F28A4">
        <w:t xml:space="preserve"> The system provides a secure, transparent mechanism for tracking invoices from submission through approval and payment, offering both the Sponsor and TDOT increased visibility into the financial aspects of project implementation.</w:t>
      </w:r>
      <w:r w:rsidR="00C216D0">
        <w:t xml:space="preserve"> Contact your assigned Grants &amp; Compliance </w:t>
      </w:r>
      <w:r w:rsidR="00F7453A">
        <w:t>person for any other questions you may have regarding the grant management system.</w:t>
      </w:r>
    </w:p>
    <w:p w14:paraId="2BF0A348" w14:textId="77777777" w:rsidR="00105FB8" w:rsidRPr="008F28A4" w:rsidRDefault="00105FB8" w:rsidP="008F28A4">
      <w:pPr>
        <w:pStyle w:val="BodyText"/>
        <w:spacing w:line="360" w:lineRule="auto"/>
        <w:ind w:left="200" w:right="250"/>
      </w:pPr>
    </w:p>
    <w:p w14:paraId="49B4BFB9" w14:textId="77777777" w:rsidR="00105FB8" w:rsidRPr="008F28A4" w:rsidRDefault="00105FB8" w:rsidP="006F1236">
      <w:pPr>
        <w:pStyle w:val="Heading3"/>
        <w:spacing w:line="360" w:lineRule="auto"/>
        <w15:collapsed/>
        <w:rPr>
          <w:sz w:val="22"/>
          <w:szCs w:val="22"/>
        </w:rPr>
      </w:pPr>
      <w:r w:rsidRPr="008F28A4">
        <w:rPr>
          <w:sz w:val="22"/>
          <w:szCs w:val="22"/>
        </w:rPr>
        <w:t>Documentation Requirements and Compliance Standards</w:t>
      </w:r>
    </w:p>
    <w:p w14:paraId="362BE962" w14:textId="61C7FE75" w:rsidR="00105FB8" w:rsidRPr="008F28A4" w:rsidRDefault="00105FB8" w:rsidP="008F28A4">
      <w:pPr>
        <w:pStyle w:val="BodyText"/>
        <w:spacing w:line="360" w:lineRule="auto"/>
        <w:ind w:left="200" w:right="250"/>
      </w:pPr>
      <w:r w:rsidRPr="008F28A4">
        <w:t>Supporting documentation requirements vary based on the nature of expenses being claimed through the invoicing process. The TDOT Aeronautics Division has established categorical guidelines for minimum required documentation that must accompany each invoice submission. These requirements ensure proper validation of expenses while maintaining compliance with state and</w:t>
      </w:r>
      <w:r w:rsidR="00DE7D33">
        <w:t>/or</w:t>
      </w:r>
      <w:r w:rsidRPr="008F28A4">
        <w:t xml:space="preserve"> federal regulations governing aviation grant administration. Airport Sponsors should reference the comprehensive documentation table provided by TDOT when preparing invoice submissions to ensure all necessary supporting materials are included.</w:t>
      </w:r>
    </w:p>
    <w:p w14:paraId="4DA531E3" w14:textId="77777777" w:rsidR="00105FB8" w:rsidRPr="008F28A4" w:rsidRDefault="00105FB8" w:rsidP="008F28A4">
      <w:pPr>
        <w:pStyle w:val="BodyText"/>
        <w:spacing w:line="360" w:lineRule="auto"/>
        <w:ind w:left="200" w:right="250"/>
      </w:pPr>
    </w:p>
    <w:p w14:paraId="46039FD6" w14:textId="7D92E088" w:rsidR="00FA4060" w:rsidRDefault="00105FB8" w:rsidP="00FA4060">
      <w:pPr>
        <w:pStyle w:val="BodyText"/>
        <w:spacing w:line="360" w:lineRule="auto"/>
        <w:ind w:left="200" w:right="250"/>
      </w:pPr>
      <w:r w:rsidRPr="008F28A4">
        <w:t xml:space="preserve">As explicitly stated in the grant contract under Invoice Requirements and Payment provisions, </w:t>
      </w:r>
      <w:r w:rsidRPr="003E57D7">
        <w:rPr>
          <w:b/>
          <w:bCs/>
          <w:i/>
          <w:iCs/>
        </w:rPr>
        <w:t>"the State has the right to object to or question any reimbursement, invoice, or related matter."</w:t>
      </w:r>
      <w:r w:rsidRPr="004723F0">
        <w:rPr>
          <w:i/>
          <w:iCs/>
        </w:rPr>
        <w:t xml:space="preserve"> </w:t>
      </w:r>
      <w:r w:rsidRPr="008F28A4">
        <w:t xml:space="preserve">Understanding </w:t>
      </w:r>
      <w:r w:rsidR="007C1E98">
        <w:t>some</w:t>
      </w:r>
      <w:r w:rsidR="007C1E98" w:rsidRPr="008F28A4">
        <w:t xml:space="preserve"> </w:t>
      </w:r>
      <w:r w:rsidRPr="008F28A4">
        <w:t xml:space="preserve">common reasons for invoice rejection </w:t>
      </w:r>
      <w:r w:rsidR="004723F0">
        <w:t>will</w:t>
      </w:r>
      <w:r w:rsidR="004723F0" w:rsidRPr="008F28A4">
        <w:t xml:space="preserve"> </w:t>
      </w:r>
      <w:r w:rsidRPr="008F28A4">
        <w:t>help Airport Sponsors avoid processing delays and maintain project momentum. Some frequent issues that result in returned invoices include</w:t>
      </w:r>
      <w:r w:rsidR="00FA4060">
        <w:t xml:space="preserve"> but are not limited to:</w:t>
      </w:r>
    </w:p>
    <w:p w14:paraId="3B8DC183" w14:textId="77777777" w:rsidR="000C253A" w:rsidRDefault="000C253A" w:rsidP="003E57D7">
      <w:pPr>
        <w:pStyle w:val="BodyText"/>
        <w:spacing w:line="360" w:lineRule="auto"/>
        <w:ind w:right="250"/>
      </w:pPr>
    </w:p>
    <w:p w14:paraId="012E31F5" w14:textId="3D1A9143" w:rsidR="0091726A" w:rsidRDefault="0091726A" w:rsidP="00FA4060">
      <w:pPr>
        <w:pStyle w:val="BodyText"/>
        <w:numPr>
          <w:ilvl w:val="0"/>
          <w:numId w:val="28"/>
        </w:numPr>
        <w:spacing w:line="360" w:lineRule="auto"/>
        <w:ind w:right="250"/>
        <w:rPr>
          <w:b/>
          <w:bCs/>
        </w:rPr>
      </w:pPr>
      <w:r>
        <w:rPr>
          <w:b/>
          <w:bCs/>
        </w:rPr>
        <w:t>Insufficient Documentation</w:t>
      </w:r>
    </w:p>
    <w:p w14:paraId="1F55D530" w14:textId="21358697" w:rsidR="00984E05" w:rsidRDefault="00984E05" w:rsidP="0091726A">
      <w:pPr>
        <w:pStyle w:val="BodyText"/>
        <w:numPr>
          <w:ilvl w:val="1"/>
          <w:numId w:val="28"/>
        </w:numPr>
        <w:spacing w:line="360" w:lineRule="auto"/>
        <w:ind w:right="250"/>
      </w:pPr>
      <w:r>
        <w:t xml:space="preserve">Use </w:t>
      </w:r>
      <w:hyperlink w:anchor="_Table_1" w:history="1">
        <w:r w:rsidRPr="001C64BF">
          <w:rPr>
            <w:rStyle w:val="Hyperlink"/>
          </w:rPr>
          <w:t>Table</w:t>
        </w:r>
      </w:hyperlink>
      <w:r w:rsidR="001C64BF">
        <w:t xml:space="preserve"> below</w:t>
      </w:r>
      <w:r>
        <w:t xml:space="preserve"> to assist on what is minimally required</w:t>
      </w:r>
    </w:p>
    <w:p w14:paraId="63A3E87E" w14:textId="7AD54E6D" w:rsidR="0091726A" w:rsidRDefault="0091726A" w:rsidP="0091726A">
      <w:pPr>
        <w:pStyle w:val="BodyText"/>
        <w:numPr>
          <w:ilvl w:val="1"/>
          <w:numId w:val="28"/>
        </w:numPr>
        <w:spacing w:line="360" w:lineRule="auto"/>
        <w:ind w:right="250"/>
      </w:pPr>
      <w:r w:rsidRPr="003E57D7">
        <w:t xml:space="preserve">Utilize the </w:t>
      </w:r>
      <w:r>
        <w:t xml:space="preserve">latest website </w:t>
      </w:r>
      <w:r w:rsidRPr="003E57D7">
        <w:t xml:space="preserve">published TAD professional services and construction payform template to </w:t>
      </w:r>
      <w:r w:rsidR="009A76D5">
        <w:t>satisfy TDOT Finance and Administration office (F&amp;A) requirements</w:t>
      </w:r>
    </w:p>
    <w:p w14:paraId="18FAFE0E" w14:textId="0C110572" w:rsidR="0086541F" w:rsidRDefault="00535260" w:rsidP="0086541F">
      <w:pPr>
        <w:pStyle w:val="BodyText"/>
        <w:numPr>
          <w:ilvl w:val="2"/>
          <w:numId w:val="28"/>
        </w:numPr>
        <w:spacing w:line="360" w:lineRule="auto"/>
        <w:ind w:right="250"/>
      </w:pPr>
      <w:r w:rsidRPr="00535260">
        <w:t xml:space="preserve">Consultant RFQ satisfied, professional services executed Owner/Engineer (O/E) Work Authorization, </w:t>
      </w:r>
      <w:r w:rsidR="009371DA">
        <w:t xml:space="preserve">and </w:t>
      </w:r>
      <w:r w:rsidRPr="00535260">
        <w:t>construction services</w:t>
      </w:r>
      <w:r w:rsidR="009371DA">
        <w:t xml:space="preserve"> executed in Owner/Contractor</w:t>
      </w:r>
      <w:r w:rsidR="009A76D5">
        <w:t xml:space="preserve"> bonded</w:t>
      </w:r>
      <w:r w:rsidRPr="00535260">
        <w:t xml:space="preserve"> contract</w:t>
      </w:r>
    </w:p>
    <w:p w14:paraId="4CA5E297" w14:textId="02DA07EF" w:rsidR="0091726A" w:rsidRDefault="003C75AA" w:rsidP="0091726A">
      <w:pPr>
        <w:pStyle w:val="BodyText"/>
        <w:numPr>
          <w:ilvl w:val="2"/>
          <w:numId w:val="28"/>
        </w:numPr>
        <w:spacing w:line="360" w:lineRule="auto"/>
        <w:ind w:right="250"/>
      </w:pPr>
      <w:r>
        <w:t>E</w:t>
      </w:r>
      <w:r w:rsidR="0091726A">
        <w:t xml:space="preserve">nsure </w:t>
      </w:r>
      <w:r w:rsidR="00984E05">
        <w:t xml:space="preserve">proper heading information </w:t>
      </w:r>
      <w:r>
        <w:t>is</w:t>
      </w:r>
      <w:r w:rsidR="009371DA">
        <w:t>,</w:t>
      </w:r>
      <w:r>
        <w:t xml:space="preserve"> </w:t>
      </w:r>
      <w:r w:rsidR="0067345C">
        <w:t>undoubtedly</w:t>
      </w:r>
      <w:r w:rsidR="009371DA">
        <w:t>,</w:t>
      </w:r>
      <w:r w:rsidR="0067345C">
        <w:t xml:space="preserve"> representative of the </w:t>
      </w:r>
      <w:r>
        <w:t xml:space="preserve">project </w:t>
      </w:r>
      <w:r w:rsidR="0067345C">
        <w:t>services rendered</w:t>
      </w:r>
      <w:r w:rsidR="00984E05">
        <w:t xml:space="preserve"> (i.e. Project Number, Contract Number, Dates of Service, Working Days, etc.)</w:t>
      </w:r>
    </w:p>
    <w:p w14:paraId="02DC973B" w14:textId="317AB4CE" w:rsidR="007C1E98" w:rsidRPr="003E57D7" w:rsidRDefault="007C1E98" w:rsidP="007C1E98">
      <w:pPr>
        <w:pStyle w:val="BodyText"/>
        <w:numPr>
          <w:ilvl w:val="0"/>
          <w:numId w:val="28"/>
        </w:numPr>
        <w:spacing w:line="360" w:lineRule="auto"/>
        <w:ind w:right="250"/>
        <w:rPr>
          <w:b/>
          <w:bCs/>
        </w:rPr>
      </w:pPr>
      <w:r w:rsidRPr="003E57D7">
        <w:rPr>
          <w:b/>
          <w:bCs/>
        </w:rPr>
        <w:t>Improper Scope of Work</w:t>
      </w:r>
    </w:p>
    <w:p w14:paraId="0EF2FC7D" w14:textId="09F5DFFB" w:rsidR="007C1E98" w:rsidRPr="003E57D7" w:rsidRDefault="007C1E98" w:rsidP="003E57D7">
      <w:pPr>
        <w:pStyle w:val="BodyText"/>
        <w:numPr>
          <w:ilvl w:val="1"/>
          <w:numId w:val="28"/>
        </w:numPr>
        <w:spacing w:line="360" w:lineRule="auto"/>
        <w:ind w:right="250"/>
      </w:pPr>
      <w:r>
        <w:t xml:space="preserve">Project must line up with the approved application and be </w:t>
      </w:r>
      <w:r w:rsidR="008C00FE" w:rsidRPr="008C00FE">
        <w:rPr>
          <w:i/>
          <w:iCs/>
        </w:rPr>
        <w:t xml:space="preserve">eligible, </w:t>
      </w:r>
      <w:r w:rsidR="009A76D5" w:rsidRPr="008C00FE">
        <w:rPr>
          <w:i/>
          <w:iCs/>
        </w:rPr>
        <w:t>appropriate,</w:t>
      </w:r>
      <w:r w:rsidR="008C00FE" w:rsidRPr="008C00FE">
        <w:rPr>
          <w:i/>
          <w:iCs/>
        </w:rPr>
        <w:t xml:space="preserve"> &amp; justified</w:t>
      </w:r>
      <w:r>
        <w:t>. Contact TDOT Aeronautics Project manager for scope of work questions, if necessary.</w:t>
      </w:r>
    </w:p>
    <w:p w14:paraId="3DDDCD0B" w14:textId="06BCB925" w:rsidR="00FA4060" w:rsidRPr="003E57D7" w:rsidRDefault="00FA4060" w:rsidP="00FA4060">
      <w:pPr>
        <w:pStyle w:val="BodyText"/>
        <w:numPr>
          <w:ilvl w:val="0"/>
          <w:numId w:val="28"/>
        </w:numPr>
        <w:spacing w:line="360" w:lineRule="auto"/>
        <w:ind w:right="250"/>
        <w:rPr>
          <w:b/>
          <w:bCs/>
        </w:rPr>
      </w:pPr>
      <w:r w:rsidRPr="003E57D7">
        <w:rPr>
          <w:b/>
          <w:bCs/>
        </w:rPr>
        <w:t xml:space="preserve">Services </w:t>
      </w:r>
      <w:r w:rsidR="00105FB8" w:rsidRPr="003E57D7">
        <w:rPr>
          <w:b/>
          <w:bCs/>
        </w:rPr>
        <w:t>spanning multiple State fiscal years without appropriate separation</w:t>
      </w:r>
      <w:r w:rsidR="004723F0" w:rsidRPr="003E57D7">
        <w:rPr>
          <w:b/>
          <w:bCs/>
        </w:rPr>
        <w:t xml:space="preserve"> in documentation</w:t>
      </w:r>
      <w:r w:rsidR="00105FB8" w:rsidRPr="003E57D7">
        <w:rPr>
          <w:b/>
          <w:bCs/>
        </w:rPr>
        <w:t xml:space="preserve"> </w:t>
      </w:r>
      <w:r w:rsidR="004723F0" w:rsidRPr="003E57D7">
        <w:rPr>
          <w:b/>
          <w:bCs/>
        </w:rPr>
        <w:t>(State FY = July 1 - June 30)</w:t>
      </w:r>
    </w:p>
    <w:p w14:paraId="425713A5" w14:textId="022A8048" w:rsidR="007C74C5" w:rsidRDefault="007C74C5" w:rsidP="003E57D7">
      <w:pPr>
        <w:pStyle w:val="BodyText"/>
        <w:numPr>
          <w:ilvl w:val="1"/>
          <w:numId w:val="28"/>
        </w:numPr>
        <w:spacing w:line="360" w:lineRule="auto"/>
        <w:ind w:right="250"/>
      </w:pPr>
      <w:r>
        <w:t>Split invoices into two (or multiple) packets for reimbursement</w:t>
      </w:r>
    </w:p>
    <w:p w14:paraId="7D707C50" w14:textId="7C0112F9" w:rsidR="00FA4060" w:rsidRPr="003E57D7" w:rsidRDefault="00FA4060" w:rsidP="00FA4060">
      <w:pPr>
        <w:pStyle w:val="BodyText"/>
        <w:numPr>
          <w:ilvl w:val="0"/>
          <w:numId w:val="28"/>
        </w:numPr>
        <w:spacing w:line="360" w:lineRule="auto"/>
        <w:ind w:right="250"/>
        <w:rPr>
          <w:b/>
          <w:bCs/>
        </w:rPr>
      </w:pPr>
      <w:r w:rsidRPr="003E57D7">
        <w:rPr>
          <w:b/>
          <w:bCs/>
        </w:rPr>
        <w:t xml:space="preserve">Inconsistent </w:t>
      </w:r>
      <w:r w:rsidR="00105FB8" w:rsidRPr="003E57D7">
        <w:rPr>
          <w:b/>
          <w:bCs/>
        </w:rPr>
        <w:t xml:space="preserve">invoice numbering </w:t>
      </w:r>
    </w:p>
    <w:p w14:paraId="1B4F38A5" w14:textId="4D4DBE74" w:rsidR="00476A00" w:rsidRDefault="00476A00" w:rsidP="003E57D7">
      <w:pPr>
        <w:pStyle w:val="BodyText"/>
        <w:numPr>
          <w:ilvl w:val="1"/>
          <w:numId w:val="28"/>
        </w:numPr>
        <w:spacing w:line="360" w:lineRule="auto"/>
        <w:ind w:right="250"/>
      </w:pPr>
      <w:r w:rsidRPr="008F28A4">
        <w:t>Invoices must be numbered numerically by service type, beginning with number 1 for each service category within a new grant</w:t>
      </w:r>
      <w:r>
        <w:t xml:space="preserve"> (i.e. Professional Services #1, Construction #1, …etc.)</w:t>
      </w:r>
      <w:r w:rsidRPr="008F28A4">
        <w:t xml:space="preserve"> </w:t>
      </w:r>
    </w:p>
    <w:p w14:paraId="5DFD8553" w14:textId="67E4F6EF" w:rsidR="00FA4060" w:rsidRPr="003E57D7" w:rsidRDefault="00FA4060" w:rsidP="00FA4060">
      <w:pPr>
        <w:pStyle w:val="BodyText"/>
        <w:numPr>
          <w:ilvl w:val="0"/>
          <w:numId w:val="28"/>
        </w:numPr>
        <w:spacing w:line="360" w:lineRule="auto"/>
        <w:ind w:right="250"/>
        <w:rPr>
          <w:b/>
          <w:bCs/>
        </w:rPr>
      </w:pPr>
      <w:r w:rsidRPr="003E57D7">
        <w:rPr>
          <w:b/>
          <w:bCs/>
        </w:rPr>
        <w:t xml:space="preserve">Inadequate </w:t>
      </w:r>
      <w:r w:rsidR="00105FB8" w:rsidRPr="003E57D7">
        <w:rPr>
          <w:b/>
          <w:bCs/>
        </w:rPr>
        <w:t xml:space="preserve">redaction of sensitive financial information </w:t>
      </w:r>
      <w:r w:rsidR="00476A00" w:rsidRPr="003E57D7">
        <w:rPr>
          <w:b/>
          <w:bCs/>
        </w:rPr>
        <w:t>known as Personal or Private Information (PPI)</w:t>
      </w:r>
    </w:p>
    <w:p w14:paraId="1A6BFEEE" w14:textId="2AD7EFE6" w:rsidR="00476A00" w:rsidRDefault="00476A00" w:rsidP="003E57D7">
      <w:pPr>
        <w:pStyle w:val="BodyText"/>
        <w:numPr>
          <w:ilvl w:val="2"/>
          <w:numId w:val="28"/>
        </w:numPr>
        <w:spacing w:line="360" w:lineRule="auto"/>
        <w:ind w:right="250"/>
      </w:pPr>
      <w:r>
        <w:t xml:space="preserve">This goes for </w:t>
      </w:r>
      <w:r w:rsidRPr="008F28A4">
        <w:t>bank account numbers, routing numbers, credit card numbers,</w:t>
      </w:r>
      <w:r w:rsidR="009E0041">
        <w:t xml:space="preserve"> social security numbers, personal </w:t>
      </w:r>
      <w:r w:rsidR="008C128C">
        <w:t>addresses,</w:t>
      </w:r>
      <w:r w:rsidR="008C128C" w:rsidRPr="008F28A4">
        <w:t xml:space="preserve"> tax</w:t>
      </w:r>
      <w:r w:rsidRPr="008F28A4">
        <w:t xml:space="preserve"> identification numbers</w:t>
      </w:r>
      <w:r w:rsidR="009E0041">
        <w:t>, etc</w:t>
      </w:r>
      <w:r w:rsidRPr="008F28A4">
        <w:t>.</w:t>
      </w:r>
      <w:r w:rsidR="00555195">
        <w:t xml:space="preserve"> </w:t>
      </w:r>
      <w:r w:rsidR="009E0041" w:rsidRPr="003E57D7">
        <w:rPr>
          <w:u w:val="single"/>
        </w:rPr>
        <w:t xml:space="preserve">All </w:t>
      </w:r>
      <w:r w:rsidR="009E0041">
        <w:t>supporting documentation becomes a permanent part of the system and is considered public record</w:t>
      </w:r>
      <w:r w:rsidR="001C64BF">
        <w:t>.</w:t>
      </w:r>
    </w:p>
    <w:p w14:paraId="6A5106F1" w14:textId="0AB60867" w:rsidR="00FA4060" w:rsidRDefault="00FA4060" w:rsidP="00FA4060">
      <w:pPr>
        <w:pStyle w:val="BodyText"/>
        <w:numPr>
          <w:ilvl w:val="0"/>
          <w:numId w:val="28"/>
        </w:numPr>
        <w:spacing w:line="360" w:lineRule="auto"/>
        <w:ind w:right="250"/>
        <w:rPr>
          <w:b/>
          <w:bCs/>
        </w:rPr>
      </w:pPr>
      <w:r w:rsidRPr="003E57D7">
        <w:rPr>
          <w:b/>
          <w:bCs/>
        </w:rPr>
        <w:t xml:space="preserve">Unsigned </w:t>
      </w:r>
      <w:r w:rsidR="00105FB8" w:rsidRPr="003E57D7">
        <w:rPr>
          <w:b/>
          <w:bCs/>
        </w:rPr>
        <w:t xml:space="preserve">documents </w:t>
      </w:r>
    </w:p>
    <w:p w14:paraId="4257B0C1" w14:textId="13CF8389" w:rsidR="00E9799E" w:rsidRPr="00E9799E" w:rsidRDefault="00E9799E" w:rsidP="003E57D7">
      <w:pPr>
        <w:pStyle w:val="BodyText"/>
        <w:numPr>
          <w:ilvl w:val="1"/>
          <w:numId w:val="28"/>
        </w:numPr>
        <w:spacing w:line="360" w:lineRule="auto"/>
        <w:ind w:right="250"/>
      </w:pPr>
      <w:r w:rsidRPr="003E57D7">
        <w:t xml:space="preserve">Ensure </w:t>
      </w:r>
      <w:r>
        <w:t xml:space="preserve">invoice </w:t>
      </w:r>
      <w:r w:rsidRPr="003E57D7">
        <w:t>cover letter and other documents that require a signatory are signed</w:t>
      </w:r>
    </w:p>
    <w:p w14:paraId="271A49F6" w14:textId="77777777" w:rsidR="009E0041" w:rsidRPr="003E57D7" w:rsidRDefault="00FA4060" w:rsidP="00FA4060">
      <w:pPr>
        <w:pStyle w:val="BodyText"/>
        <w:numPr>
          <w:ilvl w:val="0"/>
          <w:numId w:val="28"/>
        </w:numPr>
        <w:spacing w:line="360" w:lineRule="auto"/>
        <w:ind w:right="250"/>
        <w:rPr>
          <w:b/>
          <w:bCs/>
        </w:rPr>
      </w:pPr>
      <w:r w:rsidRPr="003E57D7">
        <w:rPr>
          <w:b/>
          <w:bCs/>
        </w:rPr>
        <w:t xml:space="preserve">Missing </w:t>
      </w:r>
      <w:r w:rsidR="00105FB8" w:rsidRPr="003E57D7">
        <w:rPr>
          <w:b/>
          <w:bCs/>
        </w:rPr>
        <w:t>or inadequate cover letters</w:t>
      </w:r>
    </w:p>
    <w:p w14:paraId="0D998318" w14:textId="05279773" w:rsidR="00FA4060" w:rsidRDefault="009E0041" w:rsidP="00070DBB">
      <w:pPr>
        <w:pStyle w:val="BodyText"/>
        <w:numPr>
          <w:ilvl w:val="1"/>
          <w:numId w:val="28"/>
        </w:numPr>
        <w:spacing w:line="360" w:lineRule="auto"/>
        <w:ind w:right="250"/>
      </w:pPr>
      <w:r>
        <w:t>Invoice c</w:t>
      </w:r>
      <w:r w:rsidRPr="008F28A4">
        <w:t xml:space="preserve">over letters accompanying invoice submissions must be presented on official Sponsor letterhead and </w:t>
      </w:r>
      <w:r w:rsidRPr="003E57D7">
        <w:rPr>
          <w:u w:val="single"/>
        </w:rPr>
        <w:t>addressed to the appropriate TDOT Aeronautics Division personne</w:t>
      </w:r>
      <w:r w:rsidRPr="00750F1E">
        <w:t>l.</w:t>
      </w:r>
      <w:r w:rsidRPr="008F28A4">
        <w:t xml:space="preserve"> </w:t>
      </w:r>
      <w:r>
        <w:t>Please take</w:t>
      </w:r>
      <w:r w:rsidR="00AE1A43">
        <w:t xml:space="preserve"> time to review and write an appropriate letter to ensure information is updated, correct, and sufficient</w:t>
      </w:r>
      <w:r w:rsidR="00750F1E">
        <w:t>. Ensure date on letter is correct and not before the DOS of the invoice(s).</w:t>
      </w:r>
    </w:p>
    <w:p w14:paraId="08A91949" w14:textId="052EFBA5" w:rsidR="0031511F" w:rsidRDefault="0031511F" w:rsidP="0031511F">
      <w:pPr>
        <w:pStyle w:val="BodyText"/>
        <w:numPr>
          <w:ilvl w:val="2"/>
          <w:numId w:val="28"/>
        </w:numPr>
        <w:spacing w:line="360" w:lineRule="auto"/>
        <w:ind w:right="250"/>
      </w:pPr>
      <w:hyperlink r:id="rId14" w:history="1">
        <w:r w:rsidRPr="0031511F">
          <w:rPr>
            <w:rStyle w:val="Hyperlink"/>
          </w:rPr>
          <w:t>Sample Letter Here</w:t>
        </w:r>
        <w:r>
          <w:rPr>
            <w:rStyle w:val="Hyperlink"/>
          </w:rPr>
          <w:t xml:space="preserve"> (Microsoft Word)</w:t>
        </w:r>
        <w:r w:rsidRPr="0031511F">
          <w:rPr>
            <w:rStyle w:val="Hyperlink"/>
          </w:rPr>
          <w:t>.</w:t>
        </w:r>
      </w:hyperlink>
    </w:p>
    <w:p w14:paraId="41B7046B" w14:textId="0408AE78" w:rsidR="00984E05" w:rsidRDefault="00984E05" w:rsidP="00984E05">
      <w:pPr>
        <w:pStyle w:val="BodyText"/>
        <w:numPr>
          <w:ilvl w:val="0"/>
          <w:numId w:val="28"/>
        </w:numPr>
        <w:spacing w:line="360" w:lineRule="auto"/>
        <w:ind w:right="250"/>
        <w:rPr>
          <w:b/>
          <w:bCs/>
        </w:rPr>
      </w:pPr>
      <w:r w:rsidRPr="003E57D7">
        <w:rPr>
          <w:b/>
          <w:bCs/>
        </w:rPr>
        <w:t>Duplicate Invoice Submission</w:t>
      </w:r>
      <w:r>
        <w:rPr>
          <w:b/>
          <w:bCs/>
        </w:rPr>
        <w:t>s</w:t>
      </w:r>
    </w:p>
    <w:p w14:paraId="05FF7A66" w14:textId="21F7E78B" w:rsidR="00984E05" w:rsidRPr="001604E5" w:rsidRDefault="00984E05" w:rsidP="003E57D7">
      <w:pPr>
        <w:pStyle w:val="BodyText"/>
        <w:numPr>
          <w:ilvl w:val="1"/>
          <w:numId w:val="28"/>
        </w:numPr>
        <w:spacing w:line="360" w:lineRule="auto"/>
        <w:ind w:right="250"/>
      </w:pPr>
      <w:r w:rsidRPr="003E57D7">
        <w:t xml:space="preserve">If invoice was rejected, please reupload and submit revised documents under the same grant management system number. </w:t>
      </w:r>
      <w:r w:rsidR="001604E5" w:rsidRPr="003E57D7">
        <w:t>DO NOT CREATE A NEW INVOICE SUBMISSION!</w:t>
      </w:r>
    </w:p>
    <w:p w14:paraId="705E72DE" w14:textId="77777777" w:rsidR="00AE1A43" w:rsidRPr="003E57D7" w:rsidRDefault="00FA4060" w:rsidP="00FA4060">
      <w:pPr>
        <w:pStyle w:val="BodyText"/>
        <w:numPr>
          <w:ilvl w:val="0"/>
          <w:numId w:val="28"/>
        </w:numPr>
        <w:spacing w:line="360" w:lineRule="auto"/>
        <w:ind w:right="250"/>
        <w:rPr>
          <w:b/>
          <w:bCs/>
        </w:rPr>
      </w:pPr>
      <w:r w:rsidRPr="003E57D7">
        <w:rPr>
          <w:b/>
          <w:bCs/>
        </w:rPr>
        <w:t xml:space="preserve">Services </w:t>
      </w:r>
      <w:r w:rsidR="00105FB8" w:rsidRPr="003E57D7">
        <w:rPr>
          <w:b/>
          <w:bCs/>
        </w:rPr>
        <w:t>performed outside the grant period</w:t>
      </w:r>
    </w:p>
    <w:p w14:paraId="1258276C" w14:textId="3D9BF25B" w:rsidR="00FA4060" w:rsidRDefault="00AE1A43" w:rsidP="003E57D7">
      <w:pPr>
        <w:pStyle w:val="BodyText"/>
        <w:numPr>
          <w:ilvl w:val="1"/>
          <w:numId w:val="28"/>
        </w:numPr>
        <w:spacing w:line="360" w:lineRule="auto"/>
        <w:ind w:right="250"/>
      </w:pPr>
      <w:r>
        <w:t>Pay close attention to your grant start and end dates</w:t>
      </w:r>
    </w:p>
    <w:p w14:paraId="29304054" w14:textId="1D9E09F1" w:rsidR="00FA4060" w:rsidRPr="003E57D7" w:rsidRDefault="00FA4060" w:rsidP="00FA4060">
      <w:pPr>
        <w:pStyle w:val="BodyText"/>
        <w:numPr>
          <w:ilvl w:val="0"/>
          <w:numId w:val="28"/>
        </w:numPr>
        <w:spacing w:line="360" w:lineRule="auto"/>
        <w:ind w:right="250"/>
        <w:rPr>
          <w:b/>
          <w:bCs/>
        </w:rPr>
      </w:pPr>
      <w:r w:rsidRPr="003E57D7">
        <w:rPr>
          <w:b/>
          <w:bCs/>
        </w:rPr>
        <w:t xml:space="preserve">Late </w:t>
      </w:r>
      <w:r w:rsidR="00105FB8" w:rsidRPr="003E57D7">
        <w:rPr>
          <w:b/>
          <w:bCs/>
        </w:rPr>
        <w:t xml:space="preserve">submissions </w:t>
      </w:r>
    </w:p>
    <w:p w14:paraId="5A71650F" w14:textId="7A0F179B" w:rsidR="00F1225F" w:rsidRDefault="00070DBB" w:rsidP="00070DBB">
      <w:pPr>
        <w:pStyle w:val="BodyText"/>
        <w:numPr>
          <w:ilvl w:val="1"/>
          <w:numId w:val="28"/>
        </w:numPr>
        <w:spacing w:line="360" w:lineRule="auto"/>
        <w:ind w:right="250"/>
      </w:pPr>
      <w:r w:rsidRPr="008F28A4">
        <w:t xml:space="preserve">Invoices </w:t>
      </w:r>
      <w:r w:rsidR="00F1225F">
        <w:t>must</w:t>
      </w:r>
      <w:r w:rsidRPr="008F28A4">
        <w:t xml:space="preserve"> be submitted within 60 days after the end of the calendar month in which the costs were </w:t>
      </w:r>
      <w:r w:rsidR="008C128C" w:rsidRPr="008F28A4">
        <w:t>incurred,</w:t>
      </w:r>
      <w:r w:rsidRPr="008F28A4">
        <w:t xml:space="preserve"> or services were rendered. </w:t>
      </w:r>
      <w:r w:rsidR="00F1225F" w:rsidRPr="003E57D7">
        <w:rPr>
          <w:u w:val="single"/>
        </w:rPr>
        <w:t>All</w:t>
      </w:r>
      <w:r w:rsidR="00F1225F">
        <w:t xml:space="preserve"> invoices must be submitted within 60 days of the grant end date.</w:t>
      </w:r>
    </w:p>
    <w:p w14:paraId="4E4BD78C" w14:textId="41B2F0A8" w:rsidR="00070DBB" w:rsidRDefault="00F1225F" w:rsidP="00F1225F">
      <w:pPr>
        <w:pStyle w:val="BodyText"/>
        <w:numPr>
          <w:ilvl w:val="2"/>
          <w:numId w:val="28"/>
        </w:numPr>
        <w:spacing w:line="360" w:lineRule="auto"/>
        <w:ind w:right="250"/>
      </w:pPr>
      <w:r>
        <w:t>Invoice submitted after this period are not eligible for reimbursement. Submit monthly to combat this issue.</w:t>
      </w:r>
    </w:p>
    <w:p w14:paraId="4C9F1BB0" w14:textId="17969237" w:rsidR="00F1225F" w:rsidRPr="003E57D7" w:rsidRDefault="00F1225F" w:rsidP="00F1225F">
      <w:pPr>
        <w:pStyle w:val="BodyText"/>
        <w:numPr>
          <w:ilvl w:val="0"/>
          <w:numId w:val="28"/>
        </w:numPr>
        <w:spacing w:line="360" w:lineRule="auto"/>
        <w:ind w:right="250"/>
        <w:rPr>
          <w:b/>
          <w:bCs/>
        </w:rPr>
      </w:pPr>
      <w:r w:rsidRPr="003E57D7">
        <w:rPr>
          <w:b/>
          <w:bCs/>
        </w:rPr>
        <w:t>Retainage</w:t>
      </w:r>
    </w:p>
    <w:p w14:paraId="79A47A19" w14:textId="6712D402" w:rsidR="00AA5F72" w:rsidRPr="00AA5F72" w:rsidRDefault="00AA5F72" w:rsidP="00AA5F72">
      <w:pPr>
        <w:pStyle w:val="BodyText"/>
        <w:numPr>
          <w:ilvl w:val="1"/>
          <w:numId w:val="28"/>
        </w:numPr>
        <w:spacing w:line="360" w:lineRule="auto"/>
        <w:ind w:right="250"/>
        <w:rPr>
          <w:b/>
          <w:bCs/>
        </w:rPr>
      </w:pPr>
      <w:r w:rsidRPr="00AA5F72">
        <w:t xml:space="preserve">In accordance with </w:t>
      </w:r>
      <w:r w:rsidR="008648BC">
        <w:t xml:space="preserve">the </w:t>
      </w:r>
      <w:r w:rsidRPr="00AA5F72">
        <w:t>Tennessee Department of Transportation standard grant terms and conditions, the Grantee</w:t>
      </w:r>
      <w:r w:rsidR="008648BC">
        <w:t xml:space="preserve"> [and TDOT]</w:t>
      </w:r>
      <w:r w:rsidRPr="00AA5F72">
        <w:t xml:space="preserve"> may not withhold retainage on progress payments from the prime contractor and the prime contractor may not withhold retainage from their subcontractors. </w:t>
      </w:r>
    </w:p>
    <w:p w14:paraId="7E786A7B" w14:textId="6B03536D" w:rsidR="00E21A32" w:rsidRDefault="00E21A32" w:rsidP="00AA5F72">
      <w:pPr>
        <w:pStyle w:val="BodyText"/>
        <w:numPr>
          <w:ilvl w:val="0"/>
          <w:numId w:val="28"/>
        </w:numPr>
        <w:spacing w:line="360" w:lineRule="auto"/>
        <w:ind w:right="250"/>
        <w:rPr>
          <w:b/>
          <w:bCs/>
        </w:rPr>
      </w:pPr>
      <w:r w:rsidRPr="003E57D7">
        <w:rPr>
          <w:b/>
          <w:bCs/>
        </w:rPr>
        <w:t>Interest</w:t>
      </w:r>
    </w:p>
    <w:p w14:paraId="733341A7" w14:textId="1952E281" w:rsidR="00E21A32" w:rsidRPr="00E21A32" w:rsidRDefault="00E21A32" w:rsidP="003E57D7">
      <w:pPr>
        <w:pStyle w:val="BodyText"/>
        <w:numPr>
          <w:ilvl w:val="1"/>
          <w:numId w:val="28"/>
        </w:numPr>
        <w:spacing w:line="360" w:lineRule="auto"/>
        <w:ind w:right="250"/>
      </w:pPr>
      <w:r w:rsidRPr="003E57D7">
        <w:t>TDOT does not reimburse loan/bond interest</w:t>
      </w:r>
    </w:p>
    <w:p w14:paraId="1188D523" w14:textId="3C981344" w:rsidR="00105FB8" w:rsidRPr="003E57D7" w:rsidRDefault="00FA4060" w:rsidP="000C253A">
      <w:pPr>
        <w:pStyle w:val="BodyText"/>
        <w:numPr>
          <w:ilvl w:val="0"/>
          <w:numId w:val="28"/>
        </w:numPr>
        <w:spacing w:line="360" w:lineRule="auto"/>
        <w:ind w:right="250"/>
        <w:rPr>
          <w:b/>
          <w:bCs/>
        </w:rPr>
      </w:pPr>
      <w:r w:rsidRPr="003E57D7">
        <w:rPr>
          <w:b/>
          <w:bCs/>
        </w:rPr>
        <w:t>I</w:t>
      </w:r>
      <w:r w:rsidR="00105FB8" w:rsidRPr="003E57D7">
        <w:rPr>
          <w:b/>
          <w:bCs/>
        </w:rPr>
        <w:t>llegible documentation</w:t>
      </w:r>
    </w:p>
    <w:p w14:paraId="2F5B929D" w14:textId="443A5E6D" w:rsidR="003E7A95" w:rsidRDefault="003E7A95" w:rsidP="003E7A95">
      <w:pPr>
        <w:pStyle w:val="BodyText"/>
        <w:numPr>
          <w:ilvl w:val="1"/>
          <w:numId w:val="28"/>
        </w:numPr>
        <w:spacing w:line="360" w:lineRule="auto"/>
        <w:ind w:right="250"/>
      </w:pPr>
      <w:r>
        <w:t xml:space="preserve">Cut down on the number times it is machine-scanned to retain proper document resolution. </w:t>
      </w:r>
      <w:r w:rsidR="00BA651B">
        <w:t xml:space="preserve">300 DPI is minimum scanning resolution required. </w:t>
      </w:r>
      <w:r>
        <w:t>Sign electronically to combat this issue.</w:t>
      </w:r>
    </w:p>
    <w:p w14:paraId="1D114DFD" w14:textId="19AC582F" w:rsidR="003E7A95" w:rsidRPr="003E57D7" w:rsidRDefault="003E7A95" w:rsidP="003E7A95">
      <w:pPr>
        <w:pStyle w:val="BodyText"/>
        <w:numPr>
          <w:ilvl w:val="0"/>
          <w:numId w:val="28"/>
        </w:numPr>
        <w:spacing w:line="360" w:lineRule="auto"/>
        <w:ind w:right="250"/>
        <w:rPr>
          <w:b/>
          <w:bCs/>
        </w:rPr>
      </w:pPr>
      <w:r w:rsidRPr="003E57D7">
        <w:rPr>
          <w:b/>
          <w:bCs/>
        </w:rPr>
        <w:t>Incorrect upload and/or submission in BlackCat Aviation</w:t>
      </w:r>
    </w:p>
    <w:p w14:paraId="3B438D0C" w14:textId="299530C2" w:rsidR="003E7A95" w:rsidRDefault="003E7A95" w:rsidP="003E7A95">
      <w:pPr>
        <w:pStyle w:val="BodyText"/>
        <w:numPr>
          <w:ilvl w:val="1"/>
          <w:numId w:val="28"/>
        </w:numPr>
        <w:spacing w:line="360" w:lineRule="auto"/>
        <w:ind w:right="250"/>
      </w:pPr>
      <w:r>
        <w:t>Follow the correct steps and fill in the correct information in the system</w:t>
      </w:r>
      <w:r w:rsidR="00555195">
        <w:t>. Make sure it is submitted under the correct project listing.</w:t>
      </w:r>
    </w:p>
    <w:p w14:paraId="2E9CBD6D" w14:textId="4DFCD9B2" w:rsidR="00750F1E" w:rsidRDefault="00750F1E" w:rsidP="003E7A95">
      <w:pPr>
        <w:pStyle w:val="BodyText"/>
        <w:numPr>
          <w:ilvl w:val="1"/>
          <w:numId w:val="28"/>
        </w:numPr>
        <w:spacing w:line="360" w:lineRule="auto"/>
        <w:ind w:right="250"/>
      </w:pPr>
      <w:r>
        <w:t>Only mark the last invoice reimbursement request for the grant as final in the grant management system or it will create errors</w:t>
      </w:r>
    </w:p>
    <w:p w14:paraId="725546F5" w14:textId="564F97ED" w:rsidR="003E7A95" w:rsidRPr="003E57D7" w:rsidRDefault="003E7A95" w:rsidP="003E7A95">
      <w:pPr>
        <w:pStyle w:val="BodyText"/>
        <w:numPr>
          <w:ilvl w:val="0"/>
          <w:numId w:val="28"/>
        </w:numPr>
        <w:spacing w:line="360" w:lineRule="auto"/>
        <w:ind w:right="250"/>
        <w:rPr>
          <w:b/>
          <w:bCs/>
        </w:rPr>
      </w:pPr>
      <w:r w:rsidRPr="003E57D7">
        <w:rPr>
          <w:b/>
          <w:bCs/>
        </w:rPr>
        <w:t>Not showing proper decimal places on payforms</w:t>
      </w:r>
    </w:p>
    <w:p w14:paraId="1E03192D" w14:textId="5CBFEE6C" w:rsidR="003E7A95" w:rsidRDefault="003E7A95" w:rsidP="003E7A95">
      <w:pPr>
        <w:pStyle w:val="BodyText"/>
        <w:numPr>
          <w:ilvl w:val="1"/>
          <w:numId w:val="28"/>
        </w:numPr>
        <w:spacing w:line="360" w:lineRule="auto"/>
        <w:ind w:right="250"/>
      </w:pPr>
      <w:r>
        <w:t>TDOT Aeronautics recreates the payforms to check for error. The Sponsor is always responsible for submitting correct and accurate information.</w:t>
      </w:r>
    </w:p>
    <w:p w14:paraId="0674A06A" w14:textId="775E26BD" w:rsidR="001C64BF" w:rsidRDefault="001C64BF" w:rsidP="003E7A95">
      <w:pPr>
        <w:pStyle w:val="BodyText"/>
        <w:numPr>
          <w:ilvl w:val="1"/>
          <w:numId w:val="28"/>
        </w:numPr>
        <w:spacing w:line="360" w:lineRule="auto"/>
        <w:ind w:right="250"/>
      </w:pPr>
      <w:r>
        <w:t xml:space="preserve">All invoices must </w:t>
      </w:r>
      <w:r w:rsidR="00A534F3">
        <w:t xml:space="preserve">be precise and </w:t>
      </w:r>
      <w:r w:rsidR="00856420">
        <w:t>correct down to the cent.</w:t>
      </w:r>
    </w:p>
    <w:p w14:paraId="1E9B1EC3" w14:textId="6A473CBA" w:rsidR="003E7A95" w:rsidRPr="003E57D7" w:rsidRDefault="003E7A95" w:rsidP="003E7A95">
      <w:pPr>
        <w:pStyle w:val="BodyText"/>
        <w:numPr>
          <w:ilvl w:val="0"/>
          <w:numId w:val="28"/>
        </w:numPr>
        <w:spacing w:line="360" w:lineRule="auto"/>
        <w:ind w:right="250"/>
        <w:rPr>
          <w:b/>
          <w:bCs/>
        </w:rPr>
      </w:pPr>
      <w:r w:rsidRPr="003E57D7">
        <w:rPr>
          <w:b/>
          <w:bCs/>
        </w:rPr>
        <w:t>Incorrect transcription of information</w:t>
      </w:r>
    </w:p>
    <w:p w14:paraId="43EFDB5F" w14:textId="4BD86B06" w:rsidR="003E7A95" w:rsidRDefault="003E7A95" w:rsidP="003E7A95">
      <w:pPr>
        <w:pStyle w:val="BodyText"/>
        <w:numPr>
          <w:ilvl w:val="1"/>
          <w:numId w:val="28"/>
        </w:numPr>
        <w:spacing w:line="360" w:lineRule="auto"/>
        <w:ind w:right="250"/>
      </w:pPr>
      <w:r>
        <w:t>Always double check to ensure critical information like the correct project number or project title</w:t>
      </w:r>
      <w:r w:rsidR="0067345C">
        <w:t xml:space="preserve"> or even previous payments</w:t>
      </w:r>
      <w:r>
        <w:t xml:space="preserve"> is referenced</w:t>
      </w:r>
      <w:r w:rsidR="0092483C">
        <w:t xml:space="preserve"> on the documentation</w:t>
      </w:r>
    </w:p>
    <w:p w14:paraId="5A8F28BD" w14:textId="77777777" w:rsidR="000C253A" w:rsidRDefault="000C253A" w:rsidP="008F28A4">
      <w:pPr>
        <w:pStyle w:val="BodyText"/>
        <w:spacing w:line="360" w:lineRule="auto"/>
        <w:ind w:left="200" w:right="250"/>
      </w:pPr>
    </w:p>
    <w:p w14:paraId="2A3F5D89" w14:textId="5DBC144C" w:rsidR="00105FB8" w:rsidRPr="008F28A4" w:rsidRDefault="00105FB8" w:rsidP="008F28A4">
      <w:pPr>
        <w:pStyle w:val="BodyText"/>
        <w:spacing w:line="360" w:lineRule="auto"/>
        <w:ind w:left="200" w:right="250"/>
      </w:pPr>
      <w:r w:rsidRPr="008F28A4">
        <w:t xml:space="preserve">Effective grant management requires ongoing attention to both administrative details and broader compliance requirements throughout the project lifecycle. Airport Sponsors can maximize the efficiency of their grant administration by implementing several best practices developed through TDOT Aeronautics' extensive experience in aviation project oversight. Maintaining a comprehensive project file that includes all grant documents, communications, invoices, and supporting materials creates a valuable reference resource that can expedite issue resolution and support successful project audits if required. Regular communication with assigned </w:t>
      </w:r>
      <w:r w:rsidR="006A4636">
        <w:t xml:space="preserve">TDOT </w:t>
      </w:r>
      <w:r w:rsidRPr="008F28A4">
        <w:t>contact</w:t>
      </w:r>
      <w:r w:rsidR="006A4636">
        <w:t>s</w:t>
      </w:r>
      <w:r w:rsidRPr="008F28A4">
        <w:t xml:space="preserve"> helps identify potential issues before they create processing delays and ensures alignment between Sponsor activities and grant requirements.</w:t>
      </w:r>
    </w:p>
    <w:p w14:paraId="5BF418C6" w14:textId="77777777" w:rsidR="00105FB8" w:rsidRPr="008F28A4" w:rsidRDefault="00105FB8" w:rsidP="008F28A4">
      <w:pPr>
        <w:pStyle w:val="BodyText"/>
        <w:spacing w:line="360" w:lineRule="auto"/>
        <w:ind w:left="200" w:right="250"/>
      </w:pPr>
    </w:p>
    <w:p w14:paraId="3E675320" w14:textId="77777777" w:rsidR="00105FB8" w:rsidRPr="008F28A4" w:rsidRDefault="00105FB8" w:rsidP="008F28A4">
      <w:pPr>
        <w:pStyle w:val="BodyText"/>
        <w:spacing w:line="360" w:lineRule="auto"/>
        <w:ind w:left="200" w:right="250"/>
      </w:pPr>
      <w:r w:rsidRPr="008F28A4">
        <w:t>Calendar management represents another critical element of successful grant administration. Sponsors should establish internal tracking systems for key grant deadlines, including the grant expiration date, invoice submission timeframes, and project milestones. These tracking mechanisms help prevent situations where valid expenses become ineligible for reimbursement due to missed submission deadlines. Similarly, maintaining awareness of the State fiscal year calendar is essential for proper invoice preparation, particularly for projects that span multiple fiscal years and require segregated documentation.</w:t>
      </w:r>
    </w:p>
    <w:p w14:paraId="1CECBB62" w14:textId="77777777" w:rsidR="00105FB8" w:rsidRPr="008F28A4" w:rsidRDefault="00105FB8" w:rsidP="008F28A4">
      <w:pPr>
        <w:pStyle w:val="BodyText"/>
        <w:spacing w:line="360" w:lineRule="auto"/>
        <w:ind w:left="200" w:right="250"/>
      </w:pPr>
    </w:p>
    <w:p w14:paraId="40DD6064" w14:textId="77777777" w:rsidR="00105FB8" w:rsidRPr="008F28A4" w:rsidRDefault="00105FB8" w:rsidP="008F28A4">
      <w:pPr>
        <w:pStyle w:val="BodyText"/>
        <w:spacing w:line="360" w:lineRule="auto"/>
        <w:ind w:left="200" w:right="250"/>
      </w:pPr>
      <w:r w:rsidRPr="008F28A4">
        <w:t>The quality of documentation submitted through the BlackCat system directly impacts processing efficiency. Sponsors should develop internal quality control procedures to verify that all required documents are included with each submission, information is accurately transcribed from source documents, and all materials meet TDOT's legibility standards. These verification steps, while requiring additional time during the preparation phase, ultimately reduce processing delays by minimizing the need for clarifications or corrections after submission.</w:t>
      </w:r>
    </w:p>
    <w:p w14:paraId="07C7A23D" w14:textId="77777777" w:rsidR="00105FB8" w:rsidRPr="008F28A4" w:rsidRDefault="00105FB8" w:rsidP="008F28A4">
      <w:pPr>
        <w:pStyle w:val="BodyText"/>
        <w:spacing w:line="360" w:lineRule="auto"/>
        <w:ind w:left="200" w:right="250"/>
      </w:pPr>
    </w:p>
    <w:p w14:paraId="10A7C3B2" w14:textId="77777777" w:rsidR="00105FB8" w:rsidRPr="008F28A4" w:rsidRDefault="00105FB8" w:rsidP="006F1236">
      <w:pPr>
        <w:pStyle w:val="Heading3"/>
        <w:spacing w:line="360" w:lineRule="auto"/>
        <w15:collapsed/>
        <w:rPr>
          <w:sz w:val="22"/>
          <w:szCs w:val="22"/>
        </w:rPr>
      </w:pPr>
      <w:r w:rsidRPr="008F28A4">
        <w:rPr>
          <w:sz w:val="22"/>
          <w:szCs w:val="22"/>
        </w:rPr>
        <w:t>Conclusion</w:t>
      </w:r>
    </w:p>
    <w:p w14:paraId="0F0B4CB9" w14:textId="77777777" w:rsidR="00105FB8" w:rsidRPr="008F28A4" w:rsidRDefault="00105FB8" w:rsidP="008F28A4">
      <w:pPr>
        <w:pStyle w:val="BodyText"/>
        <w:spacing w:line="360" w:lineRule="auto"/>
        <w:ind w:left="200" w:right="250"/>
      </w:pPr>
      <w:r w:rsidRPr="008F28A4">
        <w:t>Successful implementation of airport development projects through TDOT Aeronautics grant programs requires attention to administrative detail, consistent compliance with established procedures, and clear communication between Airport Sponsors and Division personnel. The procedures outlined in this document are designed to facilitate efficient project execution while maintaining appropriate financial controls and documentation standards. By understanding and adhering to these requirements, Airport Sponsors can streamline the reimbursement process and focus more effectively on the technical and operational aspects of their development initiatives.</w:t>
      </w:r>
    </w:p>
    <w:p w14:paraId="3F8B0C81" w14:textId="77777777" w:rsidR="00105FB8" w:rsidRPr="008F28A4" w:rsidRDefault="00105FB8" w:rsidP="008F28A4">
      <w:pPr>
        <w:pStyle w:val="BodyText"/>
        <w:spacing w:line="360" w:lineRule="auto"/>
        <w:ind w:left="200" w:right="250"/>
      </w:pPr>
    </w:p>
    <w:p w14:paraId="22BE5C2D" w14:textId="30617A5C" w:rsidR="001C4604" w:rsidRDefault="00105FB8" w:rsidP="001C4604">
      <w:pPr>
        <w:pStyle w:val="BodyText"/>
        <w:spacing w:line="360" w:lineRule="auto"/>
        <w:ind w:left="200" w:right="250"/>
      </w:pPr>
      <w:r w:rsidRPr="008F28A4">
        <w:t>The TDOT Aeronautics Division remains committed to supporting Tennessee's aviation infrastructure through responsive grant administration and ongoing procedural refinements. As regulatory requirements or administrative processes evolve, the Division will provide updated guidance to ensure all stakeholders maintain current knowledge of grant management best practices. Through collaborative partnership between the Division and Airport Sponsors, Tennessee's aviation network will continue to develop in ways that enhance safety, expand capacity, and support economic growth throughout the state.</w:t>
      </w:r>
      <w:bookmarkStart w:id="1" w:name="_Table"/>
      <w:bookmarkEnd w:id="1"/>
    </w:p>
    <w:p w14:paraId="5D3B4EEE" w14:textId="77777777" w:rsidR="001C4604" w:rsidRDefault="001C4604" w:rsidP="001C4604">
      <w:pPr>
        <w:pStyle w:val="BodyText"/>
        <w:spacing w:line="360" w:lineRule="auto"/>
        <w:ind w:left="200" w:right="250"/>
      </w:pPr>
    </w:p>
    <w:p w14:paraId="0D0E0E62" w14:textId="48CC2241" w:rsidR="001618D3" w:rsidRPr="000C253A" w:rsidRDefault="001618D3" w:rsidP="001618D3">
      <w:pPr>
        <w:pStyle w:val="Heading3"/>
        <w:rPr>
          <w:rFonts w:eastAsia="Calibri"/>
          <w:sz w:val="22"/>
          <w:szCs w:val="22"/>
        </w:rPr>
      </w:pPr>
      <w:bookmarkStart w:id="2" w:name="_Table_1"/>
      <w:bookmarkStart w:id="3" w:name="_Graphics"/>
      <w:bookmarkStart w:id="4" w:name="_Grant_Classes"/>
      <w:bookmarkStart w:id="5" w:name="_Table_2"/>
      <w:bookmarkStart w:id="6" w:name="_Table_&amp;_Footnotes"/>
      <w:bookmarkEnd w:id="2"/>
      <w:bookmarkEnd w:id="3"/>
      <w:bookmarkEnd w:id="4"/>
      <w:bookmarkEnd w:id="5"/>
      <w:bookmarkEnd w:id="6"/>
      <w:r w:rsidRPr="000C253A">
        <w:rPr>
          <w:rFonts w:eastAsia="Calibri"/>
          <w:sz w:val="22"/>
          <w:szCs w:val="22"/>
        </w:rPr>
        <w:t>Table</w:t>
      </w:r>
      <w:r w:rsidR="007918CA">
        <w:rPr>
          <w:rFonts w:eastAsia="Calibri"/>
          <w:sz w:val="22"/>
          <w:szCs w:val="22"/>
        </w:rPr>
        <w:t xml:space="preserve"> &amp; Footnotes (See </w:t>
      </w:r>
      <w:r w:rsidR="00FB657D">
        <w:rPr>
          <w:rFonts w:eastAsia="Calibri"/>
          <w:sz w:val="22"/>
          <w:szCs w:val="22"/>
        </w:rPr>
        <w:t>NEXT PAGE</w:t>
      </w:r>
      <w:r w:rsidR="007918CA">
        <w:rPr>
          <w:rFonts w:eastAsia="Calibri"/>
          <w:sz w:val="22"/>
          <w:szCs w:val="22"/>
        </w:rPr>
        <w:t>)</w:t>
      </w:r>
    </w:p>
    <w:tbl>
      <w:tblPr>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4293"/>
        <w:gridCol w:w="1350"/>
        <w:gridCol w:w="1350"/>
        <w:gridCol w:w="1620"/>
        <w:gridCol w:w="810"/>
        <w:gridCol w:w="1260"/>
        <w:gridCol w:w="990"/>
        <w:gridCol w:w="1440"/>
        <w:gridCol w:w="1440"/>
        <w:gridCol w:w="900"/>
        <w:gridCol w:w="1440"/>
        <w:gridCol w:w="1165"/>
      </w:tblGrid>
      <w:tr w:rsidR="008226E8" w:rsidRPr="000C11A4" w14:paraId="090F2076" w14:textId="77777777" w:rsidTr="003E57D7">
        <w:trPr>
          <w:trHeight w:val="606"/>
        </w:trPr>
        <w:tc>
          <w:tcPr>
            <w:tcW w:w="18710" w:type="dxa"/>
            <w:gridSpan w:val="13"/>
            <w:shd w:val="clear" w:color="auto" w:fill="FFC000"/>
            <w:noWrap/>
            <w:vAlign w:val="center"/>
            <w:hideMark/>
          </w:tcPr>
          <w:p w14:paraId="3E1364CF" w14:textId="77777777" w:rsidR="000C11A4" w:rsidRPr="000C11A4" w:rsidRDefault="000C11A4" w:rsidP="009A75E1">
            <w:pPr>
              <w:spacing w:before="0" w:after="0" w:line="240" w:lineRule="auto"/>
              <w:jc w:val="center"/>
              <w:rPr>
                <w:rFonts w:ascii="Calibri" w:eastAsia="Times New Roman" w:hAnsi="Calibri" w:cs="Calibri"/>
                <w:b/>
                <w:bCs/>
                <w:color w:val="000000"/>
                <w:sz w:val="36"/>
                <w:szCs w:val="36"/>
              </w:rPr>
            </w:pPr>
            <w:bookmarkStart w:id="7" w:name="_Hlk191890485"/>
            <w:r w:rsidRPr="000C11A4">
              <w:rPr>
                <w:rFonts w:ascii="Calibri" w:eastAsia="Times New Roman" w:hAnsi="Calibri" w:cs="Calibri"/>
                <w:b/>
                <w:bCs/>
                <w:color w:val="000000"/>
                <w:sz w:val="36"/>
                <w:szCs w:val="36"/>
              </w:rPr>
              <w:lastRenderedPageBreak/>
              <w:t>Invoice Submission Common Supporting Documentation Requirements</w:t>
            </w:r>
          </w:p>
        </w:tc>
      </w:tr>
      <w:bookmarkEnd w:id="7"/>
      <w:tr w:rsidR="005A6042" w:rsidRPr="000C11A4" w14:paraId="0DB55C5B" w14:textId="77777777" w:rsidTr="00E127DF">
        <w:trPr>
          <w:trHeight w:val="475"/>
        </w:trPr>
        <w:tc>
          <w:tcPr>
            <w:tcW w:w="4945" w:type="dxa"/>
            <w:gridSpan w:val="2"/>
            <w:tcBorders>
              <w:right w:val="dotDash" w:sz="12" w:space="0" w:color="auto"/>
            </w:tcBorders>
            <w:shd w:val="clear" w:color="auto" w:fill="EEECE1" w:themeFill="background2"/>
            <w:noWrap/>
            <w:vAlign w:val="center"/>
            <w:hideMark/>
          </w:tcPr>
          <w:p w14:paraId="245CF861" w14:textId="4609843D" w:rsidR="000C11A4" w:rsidRPr="000C11A4" w:rsidRDefault="000C11A4" w:rsidP="000C11A4">
            <w:pPr>
              <w:spacing w:before="0" w:after="0" w:line="240" w:lineRule="auto"/>
              <w:jc w:val="center"/>
              <w:rPr>
                <w:rFonts w:ascii="Calibri" w:eastAsia="Times New Roman" w:hAnsi="Calibri" w:cs="Calibri"/>
                <w:color w:val="000000"/>
                <w:sz w:val="28"/>
                <w:szCs w:val="28"/>
              </w:rPr>
            </w:pPr>
            <w:r w:rsidRPr="003E57D7">
              <w:rPr>
                <w:rFonts w:ascii="Calibri" w:eastAsia="Times New Roman" w:hAnsi="Calibri" w:cs="Calibri"/>
                <w:b/>
                <w:bCs/>
                <w:color w:val="000000"/>
                <w:sz w:val="28"/>
                <w:szCs w:val="28"/>
              </w:rPr>
              <w:t>Grant Terms</w:t>
            </w:r>
            <w:r w:rsidR="009A75E1">
              <w:rPr>
                <w:rFonts w:ascii="Calibri" w:eastAsia="Times New Roman" w:hAnsi="Calibri" w:cs="Calibri"/>
                <w:color w:val="000000"/>
                <w:sz w:val="28"/>
                <w:szCs w:val="28"/>
              </w:rPr>
              <w:t xml:space="preserve"> </w:t>
            </w:r>
            <w:r w:rsidR="009A75E1" w:rsidRPr="009A75E1">
              <w:rPr>
                <w:rFonts w:ascii="Calibri" w:eastAsia="Times New Roman" w:hAnsi="Calibri" w:cs="Calibri"/>
                <w:color w:val="000000"/>
                <w:sz w:val="28"/>
                <w:szCs w:val="28"/>
              </w:rPr>
              <w:sym w:font="Wingdings" w:char="F0E0"/>
            </w:r>
          </w:p>
        </w:tc>
        <w:tc>
          <w:tcPr>
            <w:tcW w:w="8820" w:type="dxa"/>
            <w:gridSpan w:val="7"/>
            <w:tcBorders>
              <w:top w:val="dotDash" w:sz="12" w:space="0" w:color="auto"/>
              <w:left w:val="dotDash" w:sz="12" w:space="0" w:color="auto"/>
              <w:right w:val="dotDash" w:sz="12" w:space="0" w:color="auto"/>
            </w:tcBorders>
            <w:shd w:val="clear" w:color="auto" w:fill="EEECE1" w:themeFill="background2"/>
            <w:noWrap/>
            <w:vAlign w:val="center"/>
            <w:hideMark/>
          </w:tcPr>
          <w:p w14:paraId="1DB16CD8" w14:textId="77777777" w:rsidR="000C11A4" w:rsidRPr="000C11A4" w:rsidRDefault="000C11A4" w:rsidP="000C11A4">
            <w:pPr>
              <w:spacing w:before="0" w:after="0" w:line="240" w:lineRule="auto"/>
              <w:jc w:val="center"/>
              <w:rPr>
                <w:rFonts w:ascii="Calibri" w:eastAsia="Times New Roman" w:hAnsi="Calibri" w:cs="Calibri"/>
                <w:b/>
                <w:bCs/>
                <w:i/>
                <w:iCs/>
                <w:color w:val="000000"/>
                <w:sz w:val="28"/>
                <w:szCs w:val="28"/>
              </w:rPr>
            </w:pPr>
            <w:r w:rsidRPr="000C11A4">
              <w:rPr>
                <w:rFonts w:ascii="Calibri" w:eastAsia="Times New Roman" w:hAnsi="Calibri" w:cs="Calibri"/>
                <w:b/>
                <w:bCs/>
                <w:i/>
                <w:iCs/>
                <w:color w:val="000000"/>
                <w:sz w:val="28"/>
                <w:szCs w:val="28"/>
              </w:rPr>
              <w:t>Match (Reimbursement)</w:t>
            </w:r>
          </w:p>
        </w:tc>
        <w:tc>
          <w:tcPr>
            <w:tcW w:w="4945" w:type="dxa"/>
            <w:gridSpan w:val="4"/>
            <w:tcBorders>
              <w:top w:val="dotDash" w:sz="12" w:space="0" w:color="auto"/>
              <w:left w:val="dotDash" w:sz="12" w:space="0" w:color="auto"/>
              <w:right w:val="dotDash" w:sz="12" w:space="0" w:color="auto"/>
            </w:tcBorders>
            <w:shd w:val="clear" w:color="auto" w:fill="EEECE1" w:themeFill="background2"/>
            <w:noWrap/>
            <w:vAlign w:val="center"/>
            <w:hideMark/>
          </w:tcPr>
          <w:p w14:paraId="3AA95883" w14:textId="77777777" w:rsidR="000C11A4" w:rsidRPr="000C11A4" w:rsidRDefault="000C11A4" w:rsidP="000C11A4">
            <w:pPr>
              <w:spacing w:before="0" w:after="0" w:line="240" w:lineRule="auto"/>
              <w:jc w:val="center"/>
              <w:rPr>
                <w:rFonts w:ascii="Calibri" w:eastAsia="Times New Roman" w:hAnsi="Calibri" w:cs="Calibri"/>
                <w:b/>
                <w:bCs/>
                <w:i/>
                <w:iCs/>
                <w:color w:val="000000"/>
                <w:sz w:val="28"/>
                <w:szCs w:val="28"/>
              </w:rPr>
            </w:pPr>
            <w:r w:rsidRPr="000C11A4">
              <w:rPr>
                <w:rFonts w:ascii="Calibri" w:eastAsia="Times New Roman" w:hAnsi="Calibri" w:cs="Calibri"/>
                <w:b/>
                <w:bCs/>
                <w:i/>
                <w:iCs/>
                <w:color w:val="000000"/>
                <w:sz w:val="28"/>
                <w:szCs w:val="28"/>
              </w:rPr>
              <w:t>Participation</w:t>
            </w:r>
          </w:p>
        </w:tc>
      </w:tr>
      <w:tr w:rsidR="009A75E1" w:rsidRPr="000C11A4" w14:paraId="25B3F500" w14:textId="77777777" w:rsidTr="00E127DF">
        <w:trPr>
          <w:trHeight w:val="395"/>
        </w:trPr>
        <w:tc>
          <w:tcPr>
            <w:tcW w:w="4945" w:type="dxa"/>
            <w:gridSpan w:val="2"/>
            <w:vMerge w:val="restart"/>
            <w:tcBorders>
              <w:right w:val="dotDash" w:sz="12" w:space="0" w:color="auto"/>
            </w:tcBorders>
            <w:shd w:val="clear" w:color="auto" w:fill="EEECE1" w:themeFill="background2"/>
            <w:noWrap/>
            <w:vAlign w:val="center"/>
            <w:hideMark/>
          </w:tcPr>
          <w:p w14:paraId="1BA4357B" w14:textId="25D22D62" w:rsidR="009A75E1" w:rsidRPr="000C11A4" w:rsidRDefault="009A75E1" w:rsidP="009A75E1">
            <w:pPr>
              <w:spacing w:before="0" w:after="0" w:line="240" w:lineRule="auto"/>
              <w:jc w:val="center"/>
              <w:rPr>
                <w:rFonts w:ascii="Calibri" w:eastAsia="Times New Roman" w:hAnsi="Calibri" w:cs="Calibri"/>
                <w:color w:val="000000"/>
                <w:sz w:val="22"/>
                <w:szCs w:val="22"/>
              </w:rPr>
            </w:pPr>
          </w:p>
          <w:p w14:paraId="01A4BC78" w14:textId="05A46FD3" w:rsidR="009A75E1" w:rsidRPr="000C11A4" w:rsidRDefault="009A75E1" w:rsidP="009A75E1">
            <w:pPr>
              <w:spacing w:before="0" w:after="0" w:line="240" w:lineRule="auto"/>
              <w:jc w:val="center"/>
              <w:rPr>
                <w:rFonts w:ascii="Calibri" w:eastAsia="Times New Roman" w:hAnsi="Calibri" w:cs="Calibri"/>
                <w:color w:val="000000"/>
                <w:sz w:val="22"/>
                <w:szCs w:val="22"/>
              </w:rPr>
            </w:pPr>
            <w:r w:rsidRPr="003E57D7">
              <w:rPr>
                <w:rFonts w:ascii="Calibri" w:eastAsia="Times New Roman" w:hAnsi="Calibri" w:cs="Calibri"/>
                <w:b/>
                <w:bCs/>
                <w:color w:val="000000"/>
                <w:sz w:val="28"/>
                <w:szCs w:val="28"/>
              </w:rPr>
              <w:t>Grant Type</w:t>
            </w:r>
            <w:r w:rsidRPr="000C11A4">
              <w:rPr>
                <w:rFonts w:ascii="Calibri" w:eastAsia="Times New Roman" w:hAnsi="Calibri" w:cs="Calibri"/>
                <w:color w:val="000000"/>
                <w:sz w:val="28"/>
                <w:szCs w:val="28"/>
              </w:rPr>
              <w:t xml:space="preserve"> </w:t>
            </w:r>
            <w:r w:rsidRPr="009A75E1">
              <w:rPr>
                <w:rFonts w:ascii="Calibri" w:eastAsia="Times New Roman" w:hAnsi="Calibri" w:cs="Calibri"/>
                <w:color w:val="000000"/>
                <w:sz w:val="28"/>
                <w:szCs w:val="28"/>
              </w:rPr>
              <w:sym w:font="Wingdings" w:char="F0E0"/>
            </w:r>
          </w:p>
        </w:tc>
        <w:tc>
          <w:tcPr>
            <w:tcW w:w="6390" w:type="dxa"/>
            <w:gridSpan w:val="5"/>
            <w:tcBorders>
              <w:left w:val="dotDash" w:sz="12" w:space="0" w:color="auto"/>
            </w:tcBorders>
            <w:shd w:val="clear" w:color="auto" w:fill="EEECE1" w:themeFill="background2"/>
            <w:noWrap/>
            <w:vAlign w:val="center"/>
            <w:hideMark/>
          </w:tcPr>
          <w:p w14:paraId="27DEFDEB" w14:textId="77777777" w:rsidR="009A75E1" w:rsidRPr="003E57D7" w:rsidRDefault="009A75E1" w:rsidP="000C11A4">
            <w:pPr>
              <w:spacing w:before="0" w:after="0" w:line="240" w:lineRule="auto"/>
              <w:jc w:val="center"/>
              <w:rPr>
                <w:rFonts w:ascii="Calibri" w:eastAsia="Times New Roman" w:hAnsi="Calibri" w:cs="Calibri"/>
                <w:color w:val="000000"/>
                <w:sz w:val="24"/>
                <w:szCs w:val="24"/>
              </w:rPr>
            </w:pPr>
            <w:r w:rsidRPr="003E57D7">
              <w:rPr>
                <w:rFonts w:ascii="Calibri" w:eastAsia="Times New Roman" w:hAnsi="Calibri" w:cs="Calibri"/>
                <w:color w:val="000000"/>
                <w:sz w:val="24"/>
                <w:szCs w:val="24"/>
              </w:rPr>
              <w:t>Airport Development</w:t>
            </w:r>
          </w:p>
        </w:tc>
        <w:tc>
          <w:tcPr>
            <w:tcW w:w="990" w:type="dxa"/>
            <w:vMerge w:val="restart"/>
            <w:shd w:val="clear" w:color="000000" w:fill="E7E6E6"/>
            <w:vAlign w:val="center"/>
            <w:hideMark/>
          </w:tcPr>
          <w:p w14:paraId="30BFEE4D" w14:textId="76849AFF"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Airport Spons</w:t>
            </w:r>
            <w:r>
              <w:rPr>
                <w:rFonts w:ascii="Calibri" w:eastAsia="Times New Roman" w:hAnsi="Calibri" w:cs="Calibri"/>
                <w:color w:val="000000"/>
                <w:sz w:val="22"/>
                <w:szCs w:val="22"/>
              </w:rPr>
              <w:t>o</w:t>
            </w:r>
            <w:r w:rsidRPr="000C11A4">
              <w:rPr>
                <w:rFonts w:ascii="Calibri" w:eastAsia="Times New Roman" w:hAnsi="Calibri" w:cs="Calibri"/>
                <w:color w:val="000000"/>
                <w:sz w:val="22"/>
                <w:szCs w:val="22"/>
              </w:rPr>
              <w:t>r Invoice</w:t>
            </w:r>
            <w:r w:rsidR="005A59F9">
              <w:rPr>
                <w:rFonts w:ascii="Calibri" w:eastAsia="Times New Roman" w:hAnsi="Calibri" w:cs="Calibri"/>
                <w:b/>
                <w:bCs/>
                <w:color w:val="000000"/>
                <w:sz w:val="22"/>
                <w:szCs w:val="22"/>
                <w:vertAlign w:val="superscript"/>
              </w:rPr>
              <w:t>6</w:t>
            </w:r>
          </w:p>
        </w:tc>
        <w:tc>
          <w:tcPr>
            <w:tcW w:w="1440" w:type="dxa"/>
            <w:vMerge w:val="restart"/>
            <w:tcBorders>
              <w:right w:val="dotDash" w:sz="12" w:space="0" w:color="auto"/>
            </w:tcBorders>
            <w:shd w:val="clear" w:color="000000" w:fill="E2EFDA"/>
            <w:vAlign w:val="center"/>
            <w:hideMark/>
          </w:tcPr>
          <w:p w14:paraId="4E25BB5A" w14:textId="40EFA739" w:rsidR="009A75E1" w:rsidRPr="008038FD" w:rsidRDefault="009A75E1" w:rsidP="000C11A4">
            <w:pPr>
              <w:spacing w:before="0" w:after="0" w:line="240" w:lineRule="auto"/>
              <w:jc w:val="center"/>
              <w:rPr>
                <w:rFonts w:ascii="Calibri" w:eastAsia="Times New Roman" w:hAnsi="Calibri" w:cs="Calibri"/>
                <w:color w:val="000000"/>
                <w:sz w:val="22"/>
                <w:szCs w:val="22"/>
                <w:vertAlign w:val="superscript"/>
              </w:rPr>
            </w:pPr>
            <w:r w:rsidRPr="000C11A4">
              <w:rPr>
                <w:rFonts w:ascii="Calibri" w:eastAsia="Times New Roman" w:hAnsi="Calibri" w:cs="Calibri"/>
                <w:color w:val="000000"/>
                <w:sz w:val="22"/>
                <w:szCs w:val="22"/>
              </w:rPr>
              <w:t>Grounds Maintenance Equipment</w:t>
            </w:r>
            <w:r w:rsidR="008038FD" w:rsidRPr="008038FD">
              <w:rPr>
                <w:rFonts w:ascii="Calibri" w:eastAsia="Times New Roman" w:hAnsi="Calibri" w:cs="Calibri"/>
                <w:b/>
                <w:bCs/>
                <w:color w:val="000000"/>
                <w:sz w:val="22"/>
                <w:szCs w:val="22"/>
                <w:vertAlign w:val="superscript"/>
              </w:rPr>
              <w:t>7</w:t>
            </w:r>
          </w:p>
        </w:tc>
        <w:tc>
          <w:tcPr>
            <w:tcW w:w="1440" w:type="dxa"/>
            <w:tcBorders>
              <w:left w:val="dotDash" w:sz="12" w:space="0" w:color="auto"/>
            </w:tcBorders>
            <w:shd w:val="clear" w:color="000000" w:fill="93E3FF"/>
            <w:vAlign w:val="center"/>
            <w:hideMark/>
          </w:tcPr>
          <w:p w14:paraId="189156CF"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General Aviation (GA)</w:t>
            </w:r>
          </w:p>
        </w:tc>
        <w:tc>
          <w:tcPr>
            <w:tcW w:w="900" w:type="dxa"/>
            <w:shd w:val="clear" w:color="000000" w:fill="FFBDBD"/>
            <w:vAlign w:val="center"/>
            <w:hideMark/>
          </w:tcPr>
          <w:p w14:paraId="1ABBFC99"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Air Carrier</w:t>
            </w:r>
          </w:p>
        </w:tc>
        <w:tc>
          <w:tcPr>
            <w:tcW w:w="1440" w:type="dxa"/>
            <w:shd w:val="clear" w:color="000000" w:fill="DDEBF7"/>
            <w:noWrap/>
            <w:vAlign w:val="center"/>
            <w:hideMark/>
          </w:tcPr>
          <w:p w14:paraId="38D6324E"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AEDF</w:t>
            </w:r>
          </w:p>
        </w:tc>
        <w:tc>
          <w:tcPr>
            <w:tcW w:w="1165" w:type="dxa"/>
            <w:tcBorders>
              <w:right w:val="dotDash" w:sz="12" w:space="0" w:color="auto"/>
            </w:tcBorders>
            <w:shd w:val="clear" w:color="000000" w:fill="CBA9E5"/>
            <w:vAlign w:val="center"/>
            <w:hideMark/>
          </w:tcPr>
          <w:p w14:paraId="0C54A112"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TAC Policy 170-02</w:t>
            </w:r>
          </w:p>
        </w:tc>
      </w:tr>
      <w:tr w:rsidR="009A75E1" w:rsidRPr="000C11A4" w14:paraId="09B8AB62" w14:textId="77777777" w:rsidTr="00E127DF">
        <w:trPr>
          <w:trHeight w:val="423"/>
        </w:trPr>
        <w:tc>
          <w:tcPr>
            <w:tcW w:w="4945" w:type="dxa"/>
            <w:gridSpan w:val="2"/>
            <w:vMerge/>
            <w:tcBorders>
              <w:right w:val="dotDash" w:sz="12" w:space="0" w:color="auto"/>
            </w:tcBorders>
            <w:shd w:val="clear" w:color="auto" w:fill="EEECE1" w:themeFill="background2"/>
            <w:noWrap/>
            <w:vAlign w:val="center"/>
            <w:hideMark/>
          </w:tcPr>
          <w:p w14:paraId="03CAC317" w14:textId="4DC50D83" w:rsidR="009A75E1" w:rsidRPr="000C11A4" w:rsidRDefault="009A75E1" w:rsidP="000C11A4">
            <w:pPr>
              <w:spacing w:before="0" w:after="0" w:line="240" w:lineRule="auto"/>
              <w:jc w:val="center"/>
              <w:rPr>
                <w:rFonts w:ascii="Calibri" w:eastAsia="Times New Roman" w:hAnsi="Calibri" w:cs="Calibri"/>
                <w:color w:val="000000"/>
                <w:sz w:val="28"/>
                <w:szCs w:val="28"/>
              </w:rPr>
            </w:pPr>
          </w:p>
        </w:tc>
        <w:tc>
          <w:tcPr>
            <w:tcW w:w="1350" w:type="dxa"/>
            <w:tcBorders>
              <w:left w:val="dotDash" w:sz="12" w:space="0" w:color="auto"/>
            </w:tcBorders>
            <w:shd w:val="clear" w:color="000000" w:fill="FFF2CC"/>
            <w:noWrap/>
            <w:vAlign w:val="center"/>
            <w:hideMark/>
          </w:tcPr>
          <w:p w14:paraId="14AB04C7" w14:textId="6C8A00AA"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Airport </w:t>
            </w:r>
            <w:r w:rsidR="001A547E" w:rsidRPr="000C11A4">
              <w:rPr>
                <w:rFonts w:ascii="Calibri" w:eastAsia="Times New Roman" w:hAnsi="Calibri" w:cs="Calibri"/>
                <w:color w:val="000000"/>
                <w:sz w:val="22"/>
                <w:szCs w:val="22"/>
              </w:rPr>
              <w:t>Planning</w:t>
            </w:r>
            <w:r w:rsidR="001A547E">
              <w:rPr>
                <w:rFonts w:ascii="Calibri" w:eastAsia="Times New Roman" w:hAnsi="Calibri" w:cs="Calibri"/>
                <w:b/>
                <w:bCs/>
                <w:color w:val="000000"/>
                <w:sz w:val="22"/>
                <w:szCs w:val="22"/>
                <w:vertAlign w:val="superscript"/>
              </w:rPr>
              <w:t>3</w:t>
            </w:r>
          </w:p>
        </w:tc>
        <w:tc>
          <w:tcPr>
            <w:tcW w:w="2970" w:type="dxa"/>
            <w:gridSpan w:val="2"/>
            <w:shd w:val="clear" w:color="000000" w:fill="D9E1F2"/>
            <w:noWrap/>
            <w:vAlign w:val="center"/>
            <w:hideMark/>
          </w:tcPr>
          <w:p w14:paraId="7FE2FB57"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Capital Project</w:t>
            </w:r>
          </w:p>
        </w:tc>
        <w:tc>
          <w:tcPr>
            <w:tcW w:w="2070" w:type="dxa"/>
            <w:gridSpan w:val="2"/>
            <w:shd w:val="clear" w:color="000000" w:fill="FCE4D6"/>
            <w:noWrap/>
            <w:vAlign w:val="center"/>
            <w:hideMark/>
          </w:tcPr>
          <w:p w14:paraId="41D12986"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Land/Easement Acquisition</w:t>
            </w:r>
          </w:p>
        </w:tc>
        <w:tc>
          <w:tcPr>
            <w:tcW w:w="990" w:type="dxa"/>
            <w:vMerge/>
            <w:vAlign w:val="center"/>
            <w:hideMark/>
          </w:tcPr>
          <w:p w14:paraId="1032C955" w14:textId="77777777" w:rsidR="009A75E1" w:rsidRPr="000C11A4" w:rsidRDefault="009A75E1" w:rsidP="000C11A4">
            <w:pPr>
              <w:spacing w:before="0" w:after="0" w:line="240" w:lineRule="auto"/>
              <w:rPr>
                <w:rFonts w:ascii="Calibri" w:eastAsia="Times New Roman" w:hAnsi="Calibri" w:cs="Calibri"/>
                <w:color w:val="000000"/>
                <w:sz w:val="22"/>
                <w:szCs w:val="22"/>
              </w:rPr>
            </w:pPr>
          </w:p>
        </w:tc>
        <w:tc>
          <w:tcPr>
            <w:tcW w:w="1440" w:type="dxa"/>
            <w:vMerge/>
            <w:tcBorders>
              <w:right w:val="dotDash" w:sz="12" w:space="0" w:color="auto"/>
            </w:tcBorders>
            <w:vAlign w:val="center"/>
            <w:hideMark/>
          </w:tcPr>
          <w:p w14:paraId="07627895" w14:textId="77777777" w:rsidR="009A75E1" w:rsidRPr="000C11A4" w:rsidRDefault="009A75E1" w:rsidP="000C11A4">
            <w:pPr>
              <w:spacing w:before="0" w:after="0" w:line="240" w:lineRule="auto"/>
              <w:rPr>
                <w:rFonts w:ascii="Calibri" w:eastAsia="Times New Roman" w:hAnsi="Calibri" w:cs="Calibri"/>
                <w:color w:val="000000"/>
                <w:sz w:val="22"/>
                <w:szCs w:val="22"/>
              </w:rPr>
            </w:pPr>
          </w:p>
        </w:tc>
        <w:tc>
          <w:tcPr>
            <w:tcW w:w="1440" w:type="dxa"/>
            <w:vMerge w:val="restart"/>
            <w:tcBorders>
              <w:left w:val="dotDash" w:sz="12" w:space="0" w:color="auto"/>
            </w:tcBorders>
            <w:shd w:val="clear" w:color="000000" w:fill="93E3FF"/>
            <w:vAlign w:val="center"/>
            <w:hideMark/>
          </w:tcPr>
          <w:p w14:paraId="67B8902B"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Airport Maintenance Grants</w:t>
            </w:r>
          </w:p>
        </w:tc>
        <w:tc>
          <w:tcPr>
            <w:tcW w:w="900" w:type="dxa"/>
            <w:vMerge w:val="restart"/>
            <w:shd w:val="clear" w:color="000000" w:fill="FFBDBD"/>
            <w:vAlign w:val="center"/>
            <w:hideMark/>
          </w:tcPr>
          <w:p w14:paraId="2E7FA99F"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MEM, BNA, CHA, TYS, TRI</w:t>
            </w:r>
          </w:p>
        </w:tc>
        <w:tc>
          <w:tcPr>
            <w:tcW w:w="1440" w:type="dxa"/>
            <w:vMerge w:val="restart"/>
            <w:shd w:val="clear" w:color="000000" w:fill="DDEBF7"/>
            <w:vAlign w:val="center"/>
            <w:hideMark/>
          </w:tcPr>
          <w:p w14:paraId="729B1718"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Aeronautics Economic Development Fund</w:t>
            </w:r>
          </w:p>
        </w:tc>
        <w:tc>
          <w:tcPr>
            <w:tcW w:w="1165" w:type="dxa"/>
            <w:vMerge w:val="restart"/>
            <w:tcBorders>
              <w:right w:val="dotDash" w:sz="12" w:space="0" w:color="auto"/>
            </w:tcBorders>
            <w:shd w:val="clear" w:color="000000" w:fill="CBA9E5"/>
            <w:vAlign w:val="center"/>
            <w:hideMark/>
          </w:tcPr>
          <w:p w14:paraId="42D1E7DC" w14:textId="0BB0FC05"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Terminals State Funded</w:t>
            </w:r>
          </w:p>
        </w:tc>
      </w:tr>
      <w:tr w:rsidR="009A75E1" w:rsidRPr="000C11A4" w14:paraId="42EBAE19" w14:textId="77777777" w:rsidTr="00E127DF">
        <w:trPr>
          <w:trHeight w:val="1138"/>
        </w:trPr>
        <w:tc>
          <w:tcPr>
            <w:tcW w:w="4945" w:type="dxa"/>
            <w:gridSpan w:val="2"/>
            <w:vMerge/>
            <w:tcBorders>
              <w:right w:val="dotDash" w:sz="12" w:space="0" w:color="auto"/>
            </w:tcBorders>
            <w:shd w:val="clear" w:color="auto" w:fill="EEECE1" w:themeFill="background2"/>
            <w:vAlign w:val="center"/>
            <w:hideMark/>
          </w:tcPr>
          <w:p w14:paraId="0C937485" w14:textId="77777777" w:rsidR="009A75E1" w:rsidRPr="000C11A4" w:rsidRDefault="009A75E1" w:rsidP="000C11A4">
            <w:pPr>
              <w:spacing w:before="0" w:after="0" w:line="240" w:lineRule="auto"/>
              <w:rPr>
                <w:rFonts w:ascii="Calibri" w:eastAsia="Times New Roman" w:hAnsi="Calibri" w:cs="Calibri"/>
                <w:color w:val="000000"/>
                <w:sz w:val="28"/>
                <w:szCs w:val="28"/>
              </w:rPr>
            </w:pPr>
          </w:p>
        </w:tc>
        <w:tc>
          <w:tcPr>
            <w:tcW w:w="1350" w:type="dxa"/>
            <w:tcBorders>
              <w:left w:val="dotDash" w:sz="12" w:space="0" w:color="auto"/>
            </w:tcBorders>
            <w:shd w:val="clear" w:color="000000" w:fill="FFF2CC"/>
            <w:vAlign w:val="center"/>
            <w:hideMark/>
          </w:tcPr>
          <w:p w14:paraId="0DCE03A1" w14:textId="77777777" w:rsidR="009A75E1"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Professional Services</w:t>
            </w:r>
          </w:p>
          <w:p w14:paraId="0FE9C259" w14:textId="05CCE5D8" w:rsidR="008038FD" w:rsidRPr="008038FD" w:rsidRDefault="008038FD" w:rsidP="000C11A4">
            <w:pPr>
              <w:spacing w:before="0" w:after="0" w:line="240" w:lineRule="auto"/>
              <w:jc w:val="center"/>
              <w:rPr>
                <w:rFonts w:ascii="Calibri" w:eastAsia="Times New Roman" w:hAnsi="Calibri" w:cs="Calibri"/>
                <w:i/>
                <w:iCs/>
                <w:color w:val="000000"/>
                <w:sz w:val="22"/>
                <w:szCs w:val="22"/>
              </w:rPr>
            </w:pPr>
            <w:r w:rsidRPr="008038FD">
              <w:rPr>
                <w:rFonts w:ascii="Calibri" w:eastAsia="Times New Roman" w:hAnsi="Calibri" w:cs="Calibri"/>
                <w:i/>
                <w:iCs/>
                <w:color w:val="000000"/>
                <w:sz w:val="22"/>
                <w:szCs w:val="22"/>
              </w:rPr>
              <w:t>(Planning)</w:t>
            </w:r>
          </w:p>
        </w:tc>
        <w:tc>
          <w:tcPr>
            <w:tcW w:w="1350" w:type="dxa"/>
            <w:shd w:val="clear" w:color="000000" w:fill="D9E1F2"/>
            <w:vAlign w:val="center"/>
            <w:hideMark/>
          </w:tcPr>
          <w:p w14:paraId="15D1945F" w14:textId="67C4586A"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Professional Services</w:t>
            </w:r>
            <w:r w:rsidR="003E0D10">
              <w:rPr>
                <w:rFonts w:ascii="Calibri" w:eastAsia="Times New Roman" w:hAnsi="Calibri" w:cs="Calibri"/>
                <w:color w:val="000000"/>
                <w:sz w:val="22"/>
                <w:szCs w:val="22"/>
              </w:rPr>
              <w:t xml:space="preserve"> </w:t>
            </w:r>
            <w:r w:rsidR="003E0D10" w:rsidRPr="003E0D10">
              <w:rPr>
                <w:rFonts w:ascii="Calibri" w:eastAsia="Times New Roman" w:hAnsi="Calibri" w:cs="Calibri"/>
                <w:i/>
                <w:iCs/>
                <w:color w:val="000000"/>
                <w:sz w:val="22"/>
                <w:szCs w:val="22"/>
              </w:rPr>
              <w:t>(Design)</w:t>
            </w:r>
          </w:p>
        </w:tc>
        <w:tc>
          <w:tcPr>
            <w:tcW w:w="1620" w:type="dxa"/>
            <w:shd w:val="clear" w:color="000000" w:fill="D9E1F2"/>
            <w:vAlign w:val="center"/>
            <w:hideMark/>
          </w:tcPr>
          <w:p w14:paraId="2435B14B" w14:textId="05487C23"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Construction</w:t>
            </w:r>
            <w:r w:rsidR="00CA1867">
              <w:rPr>
                <w:rFonts w:ascii="Calibri" w:eastAsia="Times New Roman" w:hAnsi="Calibri" w:cs="Calibri"/>
                <w:b/>
                <w:bCs/>
                <w:color w:val="000000"/>
                <w:sz w:val="22"/>
                <w:szCs w:val="22"/>
                <w:vertAlign w:val="superscript"/>
              </w:rPr>
              <w:t>4,5</w:t>
            </w:r>
          </w:p>
        </w:tc>
        <w:tc>
          <w:tcPr>
            <w:tcW w:w="810" w:type="dxa"/>
            <w:shd w:val="clear" w:color="000000" w:fill="FCE4D6"/>
            <w:vAlign w:val="center"/>
            <w:hideMark/>
          </w:tcPr>
          <w:p w14:paraId="3ADF473D"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Study Phase</w:t>
            </w:r>
          </w:p>
        </w:tc>
        <w:tc>
          <w:tcPr>
            <w:tcW w:w="1260" w:type="dxa"/>
            <w:shd w:val="clear" w:color="000000" w:fill="FCE4D6"/>
            <w:vAlign w:val="center"/>
            <w:hideMark/>
          </w:tcPr>
          <w:p w14:paraId="22BCC375" w14:textId="77777777" w:rsidR="009A75E1" w:rsidRPr="000C11A4" w:rsidRDefault="009A75E1"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Acquisition Phase</w:t>
            </w:r>
          </w:p>
        </w:tc>
        <w:tc>
          <w:tcPr>
            <w:tcW w:w="990" w:type="dxa"/>
            <w:vMerge/>
            <w:vAlign w:val="center"/>
            <w:hideMark/>
          </w:tcPr>
          <w:p w14:paraId="3EA3203E" w14:textId="77777777" w:rsidR="009A75E1" w:rsidRPr="000C11A4" w:rsidRDefault="009A75E1" w:rsidP="000C11A4">
            <w:pPr>
              <w:spacing w:before="0" w:after="0" w:line="240" w:lineRule="auto"/>
              <w:rPr>
                <w:rFonts w:ascii="Calibri" w:eastAsia="Times New Roman" w:hAnsi="Calibri" w:cs="Calibri"/>
                <w:color w:val="000000"/>
                <w:sz w:val="22"/>
                <w:szCs w:val="22"/>
              </w:rPr>
            </w:pPr>
          </w:p>
        </w:tc>
        <w:tc>
          <w:tcPr>
            <w:tcW w:w="1440" w:type="dxa"/>
            <w:vMerge/>
            <w:tcBorders>
              <w:right w:val="dotDash" w:sz="12" w:space="0" w:color="auto"/>
            </w:tcBorders>
            <w:vAlign w:val="center"/>
            <w:hideMark/>
          </w:tcPr>
          <w:p w14:paraId="1318C1F8" w14:textId="77777777" w:rsidR="009A75E1" w:rsidRPr="000C11A4" w:rsidRDefault="009A75E1" w:rsidP="000C11A4">
            <w:pPr>
              <w:spacing w:before="0" w:after="0" w:line="240" w:lineRule="auto"/>
              <w:rPr>
                <w:rFonts w:ascii="Calibri" w:eastAsia="Times New Roman" w:hAnsi="Calibri" w:cs="Calibri"/>
                <w:color w:val="000000"/>
                <w:sz w:val="22"/>
                <w:szCs w:val="22"/>
              </w:rPr>
            </w:pPr>
          </w:p>
        </w:tc>
        <w:tc>
          <w:tcPr>
            <w:tcW w:w="1440" w:type="dxa"/>
            <w:vMerge/>
            <w:tcBorders>
              <w:left w:val="dotDash" w:sz="12" w:space="0" w:color="auto"/>
            </w:tcBorders>
            <w:vAlign w:val="center"/>
            <w:hideMark/>
          </w:tcPr>
          <w:p w14:paraId="37D5F999" w14:textId="77777777" w:rsidR="009A75E1" w:rsidRPr="000C11A4" w:rsidRDefault="009A75E1" w:rsidP="000C11A4">
            <w:pPr>
              <w:spacing w:before="0" w:after="0" w:line="240" w:lineRule="auto"/>
              <w:rPr>
                <w:rFonts w:ascii="Calibri" w:eastAsia="Times New Roman" w:hAnsi="Calibri" w:cs="Calibri"/>
                <w:color w:val="000000"/>
                <w:sz w:val="22"/>
                <w:szCs w:val="22"/>
              </w:rPr>
            </w:pPr>
          </w:p>
        </w:tc>
        <w:tc>
          <w:tcPr>
            <w:tcW w:w="900" w:type="dxa"/>
            <w:vMerge/>
            <w:vAlign w:val="center"/>
            <w:hideMark/>
          </w:tcPr>
          <w:p w14:paraId="26D52665" w14:textId="77777777" w:rsidR="009A75E1" w:rsidRPr="000C11A4" w:rsidRDefault="009A75E1" w:rsidP="000C11A4">
            <w:pPr>
              <w:spacing w:before="0" w:after="0" w:line="240" w:lineRule="auto"/>
              <w:rPr>
                <w:rFonts w:ascii="Calibri" w:eastAsia="Times New Roman" w:hAnsi="Calibri" w:cs="Calibri"/>
                <w:color w:val="000000"/>
                <w:sz w:val="22"/>
                <w:szCs w:val="22"/>
              </w:rPr>
            </w:pPr>
          </w:p>
        </w:tc>
        <w:tc>
          <w:tcPr>
            <w:tcW w:w="1440" w:type="dxa"/>
            <w:vMerge/>
            <w:vAlign w:val="center"/>
            <w:hideMark/>
          </w:tcPr>
          <w:p w14:paraId="5A2EB2ED" w14:textId="77777777" w:rsidR="009A75E1" w:rsidRPr="000C11A4" w:rsidRDefault="009A75E1" w:rsidP="000C11A4">
            <w:pPr>
              <w:spacing w:before="0" w:after="0" w:line="240" w:lineRule="auto"/>
              <w:rPr>
                <w:rFonts w:ascii="Calibri" w:eastAsia="Times New Roman" w:hAnsi="Calibri" w:cs="Calibri"/>
                <w:color w:val="000000"/>
                <w:sz w:val="22"/>
                <w:szCs w:val="22"/>
              </w:rPr>
            </w:pPr>
          </w:p>
        </w:tc>
        <w:tc>
          <w:tcPr>
            <w:tcW w:w="1165" w:type="dxa"/>
            <w:vMerge/>
            <w:tcBorders>
              <w:right w:val="dotDash" w:sz="12" w:space="0" w:color="auto"/>
            </w:tcBorders>
            <w:vAlign w:val="center"/>
            <w:hideMark/>
          </w:tcPr>
          <w:p w14:paraId="4C931DD1" w14:textId="77777777" w:rsidR="009A75E1" w:rsidRPr="000C11A4" w:rsidRDefault="009A75E1" w:rsidP="000C11A4">
            <w:pPr>
              <w:spacing w:before="0" w:after="0" w:line="240" w:lineRule="auto"/>
              <w:rPr>
                <w:rFonts w:ascii="Calibri" w:eastAsia="Times New Roman" w:hAnsi="Calibri" w:cs="Calibri"/>
                <w:color w:val="000000"/>
                <w:sz w:val="22"/>
                <w:szCs w:val="22"/>
              </w:rPr>
            </w:pPr>
          </w:p>
        </w:tc>
      </w:tr>
      <w:tr w:rsidR="005A6042" w:rsidRPr="000C11A4" w14:paraId="1D95C376" w14:textId="77777777" w:rsidTr="00E127DF">
        <w:trPr>
          <w:trHeight w:val="371"/>
        </w:trPr>
        <w:tc>
          <w:tcPr>
            <w:tcW w:w="652" w:type="dxa"/>
            <w:vMerge w:val="restart"/>
            <w:shd w:val="clear" w:color="auto" w:fill="FFC000"/>
            <w:noWrap/>
            <w:textDirection w:val="btLr"/>
            <w:vAlign w:val="center"/>
            <w:hideMark/>
          </w:tcPr>
          <w:p w14:paraId="6682C062" w14:textId="77777777" w:rsidR="000C11A4" w:rsidRPr="000C11A4" w:rsidRDefault="000C11A4" w:rsidP="009A75E1">
            <w:pPr>
              <w:spacing w:before="0" w:after="0" w:line="240" w:lineRule="auto"/>
              <w:jc w:val="center"/>
              <w:rPr>
                <w:rFonts w:ascii="Calibri" w:eastAsia="Times New Roman" w:hAnsi="Calibri" w:cs="Calibri"/>
                <w:color w:val="000000"/>
                <w:sz w:val="36"/>
                <w:szCs w:val="36"/>
              </w:rPr>
            </w:pPr>
            <w:r w:rsidRPr="000C11A4">
              <w:rPr>
                <w:rFonts w:ascii="Calibri" w:eastAsia="Times New Roman" w:hAnsi="Calibri" w:cs="Calibri"/>
                <w:color w:val="000000"/>
                <w:sz w:val="36"/>
                <w:szCs w:val="36"/>
              </w:rPr>
              <w:t>What's Required?</w:t>
            </w:r>
          </w:p>
        </w:tc>
        <w:tc>
          <w:tcPr>
            <w:tcW w:w="4293" w:type="dxa"/>
            <w:tcBorders>
              <w:right w:val="dotDash" w:sz="12" w:space="0" w:color="auto"/>
            </w:tcBorders>
            <w:shd w:val="clear" w:color="auto" w:fill="EEECE1" w:themeFill="background2"/>
            <w:noWrap/>
            <w:vAlign w:val="center"/>
            <w:hideMark/>
          </w:tcPr>
          <w:p w14:paraId="411B5E7F" w14:textId="77777777" w:rsidR="000C11A4"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Cover Letter on Letterhead signed by Grant Signatory</w:t>
            </w:r>
          </w:p>
        </w:tc>
        <w:tc>
          <w:tcPr>
            <w:tcW w:w="1350" w:type="dxa"/>
            <w:tcBorders>
              <w:left w:val="dotDash" w:sz="12" w:space="0" w:color="auto"/>
            </w:tcBorders>
            <w:shd w:val="clear" w:color="000000" w:fill="FFF2CC"/>
            <w:noWrap/>
            <w:vAlign w:val="center"/>
            <w:hideMark/>
          </w:tcPr>
          <w:p w14:paraId="52050162"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350" w:type="dxa"/>
            <w:shd w:val="clear" w:color="000000" w:fill="D9E1F2"/>
            <w:noWrap/>
            <w:vAlign w:val="center"/>
            <w:hideMark/>
          </w:tcPr>
          <w:p w14:paraId="2512DEE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620" w:type="dxa"/>
            <w:shd w:val="clear" w:color="000000" w:fill="D9E1F2"/>
            <w:noWrap/>
            <w:vAlign w:val="center"/>
            <w:hideMark/>
          </w:tcPr>
          <w:p w14:paraId="5FFCFBC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810" w:type="dxa"/>
            <w:shd w:val="clear" w:color="000000" w:fill="FCE4D6"/>
            <w:noWrap/>
            <w:vAlign w:val="center"/>
            <w:hideMark/>
          </w:tcPr>
          <w:p w14:paraId="075421A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260" w:type="dxa"/>
            <w:shd w:val="clear" w:color="000000" w:fill="FCE4D6"/>
            <w:noWrap/>
            <w:vAlign w:val="center"/>
            <w:hideMark/>
          </w:tcPr>
          <w:p w14:paraId="419B5F5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90" w:type="dxa"/>
            <w:shd w:val="clear" w:color="000000" w:fill="E7E6E6"/>
            <w:noWrap/>
            <w:vAlign w:val="center"/>
            <w:hideMark/>
          </w:tcPr>
          <w:p w14:paraId="00A4EFB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440" w:type="dxa"/>
            <w:tcBorders>
              <w:right w:val="dotDash" w:sz="12" w:space="0" w:color="auto"/>
            </w:tcBorders>
            <w:shd w:val="clear" w:color="000000" w:fill="E2EFDA"/>
            <w:noWrap/>
            <w:vAlign w:val="center"/>
            <w:hideMark/>
          </w:tcPr>
          <w:p w14:paraId="528BE211"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440" w:type="dxa"/>
            <w:tcBorders>
              <w:left w:val="dotDash" w:sz="12" w:space="0" w:color="auto"/>
            </w:tcBorders>
            <w:shd w:val="clear" w:color="000000" w:fill="93E3FF"/>
            <w:noWrap/>
            <w:vAlign w:val="center"/>
            <w:hideMark/>
          </w:tcPr>
          <w:p w14:paraId="5B6C89A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00" w:type="dxa"/>
            <w:shd w:val="clear" w:color="000000" w:fill="FFBDBD"/>
            <w:noWrap/>
            <w:vAlign w:val="center"/>
            <w:hideMark/>
          </w:tcPr>
          <w:p w14:paraId="6DEAC5E7"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440" w:type="dxa"/>
            <w:shd w:val="clear" w:color="000000" w:fill="DDEBF7"/>
            <w:noWrap/>
            <w:vAlign w:val="center"/>
            <w:hideMark/>
          </w:tcPr>
          <w:p w14:paraId="62B72C1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165" w:type="dxa"/>
            <w:tcBorders>
              <w:right w:val="dotDash" w:sz="12" w:space="0" w:color="auto"/>
            </w:tcBorders>
            <w:shd w:val="clear" w:color="000000" w:fill="CBA9E5"/>
            <w:noWrap/>
            <w:vAlign w:val="center"/>
            <w:hideMark/>
          </w:tcPr>
          <w:p w14:paraId="28248F2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r>
      <w:tr w:rsidR="005A6042" w:rsidRPr="000C11A4" w14:paraId="5273BB56" w14:textId="77777777" w:rsidTr="00E127DF">
        <w:trPr>
          <w:trHeight w:val="371"/>
        </w:trPr>
        <w:tc>
          <w:tcPr>
            <w:tcW w:w="652" w:type="dxa"/>
            <w:vMerge/>
            <w:shd w:val="clear" w:color="auto" w:fill="FFC000"/>
            <w:vAlign w:val="center"/>
            <w:hideMark/>
          </w:tcPr>
          <w:p w14:paraId="157840FD"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auto" w:fill="EEECE1" w:themeFill="background2"/>
            <w:noWrap/>
            <w:vAlign w:val="center"/>
            <w:hideMark/>
          </w:tcPr>
          <w:p w14:paraId="4161E973" w14:textId="77777777" w:rsidR="000C11A4"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Invoice from Vendor</w:t>
            </w:r>
          </w:p>
        </w:tc>
        <w:tc>
          <w:tcPr>
            <w:tcW w:w="1350" w:type="dxa"/>
            <w:tcBorders>
              <w:left w:val="dotDash" w:sz="12" w:space="0" w:color="auto"/>
            </w:tcBorders>
            <w:shd w:val="clear" w:color="auto" w:fill="EEECE1" w:themeFill="background2"/>
            <w:noWrap/>
            <w:vAlign w:val="center"/>
            <w:hideMark/>
          </w:tcPr>
          <w:p w14:paraId="6445BBD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62430F0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000000" w:fill="D9E1F2"/>
            <w:noWrap/>
            <w:vAlign w:val="center"/>
            <w:hideMark/>
          </w:tcPr>
          <w:p w14:paraId="41A3572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810" w:type="dxa"/>
            <w:shd w:val="clear" w:color="000000" w:fill="FCE4D6"/>
            <w:noWrap/>
            <w:vAlign w:val="center"/>
            <w:hideMark/>
          </w:tcPr>
          <w:p w14:paraId="325453E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260" w:type="dxa"/>
            <w:shd w:val="clear" w:color="000000" w:fill="FCE4D6"/>
            <w:noWrap/>
            <w:vAlign w:val="center"/>
            <w:hideMark/>
          </w:tcPr>
          <w:p w14:paraId="6824B19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90" w:type="dxa"/>
            <w:shd w:val="clear" w:color="000000" w:fill="E7E6E6"/>
            <w:noWrap/>
            <w:vAlign w:val="center"/>
            <w:hideMark/>
          </w:tcPr>
          <w:p w14:paraId="62BDEFC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440" w:type="dxa"/>
            <w:tcBorders>
              <w:right w:val="dotDash" w:sz="12" w:space="0" w:color="auto"/>
            </w:tcBorders>
            <w:shd w:val="clear" w:color="000000" w:fill="E2EFDA"/>
            <w:noWrap/>
            <w:vAlign w:val="center"/>
            <w:hideMark/>
          </w:tcPr>
          <w:p w14:paraId="2BA4A426"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440" w:type="dxa"/>
            <w:tcBorders>
              <w:left w:val="dotDash" w:sz="12" w:space="0" w:color="auto"/>
            </w:tcBorders>
            <w:shd w:val="clear" w:color="000000" w:fill="93E3FF"/>
            <w:noWrap/>
            <w:vAlign w:val="center"/>
            <w:hideMark/>
          </w:tcPr>
          <w:p w14:paraId="663A0D22"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00" w:type="dxa"/>
            <w:shd w:val="clear" w:color="000000" w:fill="FFBDBD"/>
            <w:noWrap/>
            <w:vAlign w:val="center"/>
            <w:hideMark/>
          </w:tcPr>
          <w:p w14:paraId="5C16CE8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440" w:type="dxa"/>
            <w:shd w:val="clear" w:color="000000" w:fill="DDEBF7"/>
            <w:noWrap/>
            <w:vAlign w:val="center"/>
            <w:hideMark/>
          </w:tcPr>
          <w:p w14:paraId="71FF0B6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165" w:type="dxa"/>
            <w:tcBorders>
              <w:right w:val="dotDash" w:sz="12" w:space="0" w:color="auto"/>
            </w:tcBorders>
            <w:shd w:val="clear" w:color="000000" w:fill="CBA9E5"/>
            <w:noWrap/>
            <w:vAlign w:val="center"/>
            <w:hideMark/>
          </w:tcPr>
          <w:p w14:paraId="60665FBD"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r>
      <w:tr w:rsidR="005A6042" w:rsidRPr="000C11A4" w14:paraId="58F872A6" w14:textId="77777777" w:rsidTr="00E127DF">
        <w:trPr>
          <w:trHeight w:val="371"/>
        </w:trPr>
        <w:tc>
          <w:tcPr>
            <w:tcW w:w="652" w:type="dxa"/>
            <w:vMerge/>
            <w:shd w:val="clear" w:color="auto" w:fill="FFC000"/>
            <w:vAlign w:val="center"/>
            <w:hideMark/>
          </w:tcPr>
          <w:p w14:paraId="3CE6BEBD"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auto" w:fill="EEECE1" w:themeFill="background2"/>
            <w:noWrap/>
            <w:vAlign w:val="center"/>
            <w:hideMark/>
          </w:tcPr>
          <w:p w14:paraId="7B303318" w14:textId="77777777" w:rsidR="000C11A4"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Deliverable Obtained</w:t>
            </w:r>
          </w:p>
        </w:tc>
        <w:tc>
          <w:tcPr>
            <w:tcW w:w="1350" w:type="dxa"/>
            <w:tcBorders>
              <w:left w:val="dotDash" w:sz="12" w:space="0" w:color="auto"/>
            </w:tcBorders>
            <w:shd w:val="clear" w:color="000000" w:fill="FFF2CC"/>
            <w:noWrap/>
            <w:vAlign w:val="center"/>
            <w:hideMark/>
          </w:tcPr>
          <w:p w14:paraId="0325292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350" w:type="dxa"/>
            <w:shd w:val="clear" w:color="000000" w:fill="D9E1F2"/>
            <w:noWrap/>
            <w:vAlign w:val="center"/>
            <w:hideMark/>
          </w:tcPr>
          <w:p w14:paraId="43A802A6"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620" w:type="dxa"/>
            <w:shd w:val="clear" w:color="auto" w:fill="EEECE1" w:themeFill="background2"/>
            <w:noWrap/>
            <w:vAlign w:val="center"/>
            <w:hideMark/>
          </w:tcPr>
          <w:p w14:paraId="1F7A797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shd w:val="clear" w:color="000000" w:fill="FCE4D6"/>
            <w:noWrap/>
            <w:vAlign w:val="center"/>
            <w:hideMark/>
          </w:tcPr>
          <w:p w14:paraId="3892AEE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260" w:type="dxa"/>
            <w:shd w:val="clear" w:color="auto" w:fill="EEECE1" w:themeFill="background2"/>
            <w:noWrap/>
            <w:vAlign w:val="center"/>
            <w:hideMark/>
          </w:tcPr>
          <w:p w14:paraId="6E4DE57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90" w:type="dxa"/>
            <w:shd w:val="clear" w:color="000000" w:fill="E7E6E6"/>
            <w:noWrap/>
            <w:vAlign w:val="center"/>
            <w:hideMark/>
          </w:tcPr>
          <w:p w14:paraId="3D68A327"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tcBorders>
              <w:right w:val="dotDash" w:sz="12" w:space="0" w:color="auto"/>
            </w:tcBorders>
            <w:shd w:val="clear" w:color="auto" w:fill="EEECE1" w:themeFill="background2"/>
            <w:noWrap/>
            <w:vAlign w:val="center"/>
            <w:hideMark/>
          </w:tcPr>
          <w:p w14:paraId="7247ED8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4C6F3BA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000000" w:fill="FFBDBD"/>
            <w:noWrap/>
            <w:vAlign w:val="center"/>
            <w:hideMark/>
          </w:tcPr>
          <w:p w14:paraId="624FCB0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shd w:val="clear" w:color="auto" w:fill="EEECE1" w:themeFill="background2"/>
            <w:noWrap/>
            <w:vAlign w:val="center"/>
            <w:hideMark/>
          </w:tcPr>
          <w:p w14:paraId="2A2CE48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165" w:type="dxa"/>
            <w:tcBorders>
              <w:right w:val="dotDash" w:sz="12" w:space="0" w:color="auto"/>
            </w:tcBorders>
            <w:shd w:val="clear" w:color="auto" w:fill="EEECE1" w:themeFill="background2"/>
            <w:noWrap/>
            <w:vAlign w:val="center"/>
            <w:hideMark/>
          </w:tcPr>
          <w:p w14:paraId="1748A541"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r>
      <w:tr w:rsidR="005A6042" w:rsidRPr="000C11A4" w14:paraId="4FE1994F" w14:textId="77777777" w:rsidTr="00E127DF">
        <w:trPr>
          <w:trHeight w:val="423"/>
        </w:trPr>
        <w:tc>
          <w:tcPr>
            <w:tcW w:w="652" w:type="dxa"/>
            <w:vMerge/>
            <w:shd w:val="clear" w:color="auto" w:fill="FFC000"/>
            <w:vAlign w:val="center"/>
            <w:hideMark/>
          </w:tcPr>
          <w:p w14:paraId="4E532172"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auto" w:fill="EEECE1" w:themeFill="background2"/>
            <w:noWrap/>
            <w:vAlign w:val="center"/>
            <w:hideMark/>
          </w:tcPr>
          <w:p w14:paraId="6636F5C4" w14:textId="484AEBDA" w:rsidR="000C11A4"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Proof of </w:t>
            </w:r>
            <w:r w:rsidR="001A547E" w:rsidRPr="000C11A4">
              <w:rPr>
                <w:rFonts w:ascii="Calibri" w:eastAsia="Times New Roman" w:hAnsi="Calibri" w:cs="Calibri"/>
                <w:color w:val="000000"/>
                <w:sz w:val="22"/>
                <w:szCs w:val="22"/>
              </w:rPr>
              <w:t>Payment</w:t>
            </w:r>
            <w:r w:rsidR="001A547E" w:rsidRPr="00856420">
              <w:rPr>
                <w:rFonts w:ascii="Calibri" w:eastAsia="Times New Roman" w:hAnsi="Calibri" w:cs="Calibri"/>
                <w:b/>
                <w:bCs/>
                <w:color w:val="000000"/>
                <w:sz w:val="22"/>
                <w:szCs w:val="22"/>
                <w:vertAlign w:val="superscript"/>
              </w:rPr>
              <w:t>1</w:t>
            </w:r>
          </w:p>
        </w:tc>
        <w:tc>
          <w:tcPr>
            <w:tcW w:w="1350" w:type="dxa"/>
            <w:tcBorders>
              <w:left w:val="dotDash" w:sz="12" w:space="0" w:color="auto"/>
            </w:tcBorders>
            <w:shd w:val="clear" w:color="auto" w:fill="EEECE1" w:themeFill="background2"/>
            <w:noWrap/>
            <w:vAlign w:val="center"/>
            <w:hideMark/>
          </w:tcPr>
          <w:p w14:paraId="657F5AD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61CD910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auto" w:fill="EEECE1" w:themeFill="background2"/>
            <w:noWrap/>
            <w:vAlign w:val="center"/>
            <w:hideMark/>
          </w:tcPr>
          <w:p w14:paraId="26416A9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shd w:val="clear" w:color="auto" w:fill="EEECE1" w:themeFill="background2"/>
            <w:noWrap/>
            <w:vAlign w:val="center"/>
            <w:hideMark/>
          </w:tcPr>
          <w:p w14:paraId="36A42EA1"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shd w:val="clear" w:color="000000" w:fill="FCE4D6"/>
            <w:noWrap/>
            <w:vAlign w:val="center"/>
            <w:hideMark/>
          </w:tcPr>
          <w:p w14:paraId="539D9A4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90" w:type="dxa"/>
            <w:shd w:val="clear" w:color="000000" w:fill="E7E6E6"/>
            <w:noWrap/>
            <w:vAlign w:val="center"/>
            <w:hideMark/>
          </w:tcPr>
          <w:p w14:paraId="60353E3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tcBorders>
              <w:right w:val="dotDash" w:sz="12" w:space="0" w:color="auto"/>
            </w:tcBorders>
            <w:shd w:val="clear" w:color="000000" w:fill="E2EFDA"/>
            <w:noWrap/>
            <w:vAlign w:val="center"/>
            <w:hideMark/>
          </w:tcPr>
          <w:p w14:paraId="75A066F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tcBorders>
              <w:left w:val="dotDash" w:sz="12" w:space="0" w:color="auto"/>
            </w:tcBorders>
            <w:shd w:val="clear" w:color="000000" w:fill="93E3FF"/>
            <w:noWrap/>
            <w:vAlign w:val="center"/>
            <w:hideMark/>
          </w:tcPr>
          <w:p w14:paraId="259B31A1"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00" w:type="dxa"/>
            <w:shd w:val="clear" w:color="000000" w:fill="FFBDBD"/>
            <w:noWrap/>
            <w:vAlign w:val="center"/>
            <w:hideMark/>
          </w:tcPr>
          <w:p w14:paraId="4DCBB8F1"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440" w:type="dxa"/>
            <w:shd w:val="clear" w:color="000000" w:fill="DDEBF7"/>
            <w:noWrap/>
            <w:vAlign w:val="center"/>
            <w:hideMark/>
          </w:tcPr>
          <w:p w14:paraId="1B82CC0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165" w:type="dxa"/>
            <w:tcBorders>
              <w:right w:val="dotDash" w:sz="12" w:space="0" w:color="auto"/>
            </w:tcBorders>
            <w:shd w:val="clear" w:color="000000" w:fill="CBA9E5"/>
            <w:noWrap/>
            <w:vAlign w:val="center"/>
            <w:hideMark/>
          </w:tcPr>
          <w:p w14:paraId="03D9A6D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r>
      <w:tr w:rsidR="005A6042" w:rsidRPr="000C11A4" w14:paraId="03085748" w14:textId="77777777" w:rsidTr="00E127DF">
        <w:trPr>
          <w:trHeight w:val="371"/>
        </w:trPr>
        <w:tc>
          <w:tcPr>
            <w:tcW w:w="652" w:type="dxa"/>
            <w:vMerge/>
            <w:shd w:val="clear" w:color="auto" w:fill="FFC000"/>
            <w:vAlign w:val="center"/>
            <w:hideMark/>
          </w:tcPr>
          <w:p w14:paraId="1CC34F6E"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auto" w:fill="EEECE1" w:themeFill="background2"/>
            <w:noWrap/>
            <w:vAlign w:val="center"/>
            <w:hideMark/>
          </w:tcPr>
          <w:p w14:paraId="0BCAFFBD" w14:textId="3498BCB0" w:rsidR="000C11A4" w:rsidRPr="000C11A4" w:rsidRDefault="000C11A4" w:rsidP="000C11A4">
            <w:pPr>
              <w:spacing w:before="0" w:after="0" w:line="240" w:lineRule="auto"/>
              <w:rPr>
                <w:rFonts w:ascii="Calibri" w:eastAsia="Times New Roman" w:hAnsi="Calibri" w:cs="Calibri"/>
                <w:color w:val="0563C1"/>
                <w:sz w:val="22"/>
                <w:szCs w:val="22"/>
                <w:u w:val="single"/>
              </w:rPr>
            </w:pPr>
            <w:hyperlink r:id="rId15" w:history="1">
              <w:r w:rsidRPr="000C11A4">
                <w:rPr>
                  <w:rFonts w:ascii="Calibri" w:eastAsia="Times New Roman" w:hAnsi="Calibri" w:cs="Calibri"/>
                  <w:color w:val="0563C1"/>
                  <w:sz w:val="22"/>
                  <w:szCs w:val="22"/>
                  <w:u w:val="single"/>
                </w:rPr>
                <w:t xml:space="preserve">TAD Professional Services </w:t>
              </w:r>
              <w:proofErr w:type="spellStart"/>
              <w:r w:rsidR="006F1236" w:rsidRPr="000C11A4">
                <w:rPr>
                  <w:rFonts w:ascii="Calibri" w:eastAsia="Times New Roman" w:hAnsi="Calibri" w:cs="Calibri"/>
                  <w:color w:val="0563C1"/>
                  <w:sz w:val="22"/>
                  <w:szCs w:val="22"/>
                  <w:u w:val="single"/>
                </w:rPr>
                <w:t>Payform</w:t>
              </w:r>
              <w:proofErr w:type="spellEnd"/>
            </w:hyperlink>
          </w:p>
        </w:tc>
        <w:tc>
          <w:tcPr>
            <w:tcW w:w="1350" w:type="dxa"/>
            <w:tcBorders>
              <w:left w:val="dotDash" w:sz="12" w:space="0" w:color="auto"/>
            </w:tcBorders>
            <w:shd w:val="clear" w:color="000000" w:fill="FFF2CC"/>
            <w:noWrap/>
            <w:vAlign w:val="center"/>
            <w:hideMark/>
          </w:tcPr>
          <w:p w14:paraId="05C1A1C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350" w:type="dxa"/>
            <w:shd w:val="clear" w:color="000000" w:fill="D9E1F2"/>
            <w:noWrap/>
            <w:vAlign w:val="center"/>
            <w:hideMark/>
          </w:tcPr>
          <w:p w14:paraId="7068C20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620" w:type="dxa"/>
            <w:shd w:val="clear" w:color="auto" w:fill="EEECE1" w:themeFill="background2"/>
            <w:noWrap/>
            <w:vAlign w:val="center"/>
            <w:hideMark/>
          </w:tcPr>
          <w:p w14:paraId="7DE9A711"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shd w:val="clear" w:color="000000" w:fill="FCE4D6"/>
            <w:noWrap/>
            <w:vAlign w:val="center"/>
            <w:hideMark/>
          </w:tcPr>
          <w:p w14:paraId="07BB2D7E" w14:textId="4A0A84D6" w:rsidR="000C11A4" w:rsidRPr="000C11A4" w:rsidRDefault="000A695A" w:rsidP="000C11A4">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 </w:t>
            </w:r>
            <w:r w:rsidR="000C11A4" w:rsidRPr="000C11A4">
              <w:rPr>
                <w:rFonts w:ascii="Calibri" w:eastAsia="Times New Roman" w:hAnsi="Calibri" w:cs="Calibri"/>
                <w:color w:val="000000"/>
                <w:sz w:val="22"/>
                <w:szCs w:val="22"/>
              </w:rPr>
              <w:t>x*</w:t>
            </w:r>
          </w:p>
        </w:tc>
        <w:tc>
          <w:tcPr>
            <w:tcW w:w="1260" w:type="dxa"/>
            <w:shd w:val="clear" w:color="000000" w:fill="FCE4D6"/>
            <w:noWrap/>
            <w:vAlign w:val="center"/>
            <w:hideMark/>
          </w:tcPr>
          <w:p w14:paraId="32CCE70F" w14:textId="4377126C" w:rsidR="000C11A4" w:rsidRPr="000C11A4" w:rsidRDefault="000A695A" w:rsidP="000C11A4">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 </w:t>
            </w:r>
            <w:r w:rsidR="000C11A4" w:rsidRPr="000C11A4">
              <w:rPr>
                <w:rFonts w:ascii="Calibri" w:eastAsia="Times New Roman" w:hAnsi="Calibri" w:cs="Calibri"/>
                <w:color w:val="000000"/>
                <w:sz w:val="22"/>
                <w:szCs w:val="22"/>
              </w:rPr>
              <w:t>x*</w:t>
            </w:r>
          </w:p>
        </w:tc>
        <w:tc>
          <w:tcPr>
            <w:tcW w:w="990" w:type="dxa"/>
            <w:shd w:val="clear" w:color="auto" w:fill="EEECE1" w:themeFill="background2"/>
            <w:noWrap/>
            <w:vAlign w:val="center"/>
            <w:hideMark/>
          </w:tcPr>
          <w:p w14:paraId="79C8EB5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right w:val="dotDash" w:sz="12" w:space="0" w:color="auto"/>
            </w:tcBorders>
            <w:shd w:val="clear" w:color="auto" w:fill="EEECE1" w:themeFill="background2"/>
            <w:noWrap/>
            <w:vAlign w:val="center"/>
            <w:hideMark/>
          </w:tcPr>
          <w:p w14:paraId="2BF9279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1071CF76"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auto" w:fill="EEECE1" w:themeFill="background2"/>
            <w:noWrap/>
            <w:vAlign w:val="center"/>
            <w:hideMark/>
          </w:tcPr>
          <w:p w14:paraId="7930AD6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shd w:val="clear" w:color="000000" w:fill="DDEBF7"/>
            <w:noWrap/>
            <w:vAlign w:val="center"/>
            <w:hideMark/>
          </w:tcPr>
          <w:p w14:paraId="5B78D92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1165" w:type="dxa"/>
            <w:tcBorders>
              <w:right w:val="dotDash" w:sz="12" w:space="0" w:color="auto"/>
            </w:tcBorders>
            <w:shd w:val="clear" w:color="000000" w:fill="CBA9E5"/>
            <w:noWrap/>
            <w:vAlign w:val="center"/>
            <w:hideMark/>
          </w:tcPr>
          <w:p w14:paraId="462E8DF2"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r>
      <w:tr w:rsidR="005A6042" w:rsidRPr="000C11A4" w14:paraId="023920B0" w14:textId="77777777" w:rsidTr="000A695A">
        <w:trPr>
          <w:trHeight w:val="371"/>
        </w:trPr>
        <w:tc>
          <w:tcPr>
            <w:tcW w:w="652" w:type="dxa"/>
            <w:vMerge/>
            <w:shd w:val="clear" w:color="auto" w:fill="FFC000"/>
            <w:vAlign w:val="center"/>
            <w:hideMark/>
          </w:tcPr>
          <w:p w14:paraId="72091AE1"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auto" w:fill="EEECE1" w:themeFill="background2"/>
            <w:noWrap/>
            <w:vAlign w:val="center"/>
            <w:hideMark/>
          </w:tcPr>
          <w:p w14:paraId="62590CA5" w14:textId="77777777" w:rsidR="000C11A4" w:rsidRPr="000C11A4" w:rsidRDefault="000C11A4" w:rsidP="000C11A4">
            <w:pPr>
              <w:spacing w:before="0" w:after="0" w:line="240" w:lineRule="auto"/>
              <w:rPr>
                <w:rFonts w:ascii="Calibri" w:eastAsia="Times New Roman" w:hAnsi="Calibri" w:cs="Calibri"/>
                <w:color w:val="0563C1"/>
                <w:sz w:val="22"/>
                <w:szCs w:val="22"/>
                <w:u w:val="single"/>
              </w:rPr>
            </w:pPr>
            <w:hyperlink r:id="rId16" w:history="1">
              <w:r w:rsidRPr="000C11A4">
                <w:rPr>
                  <w:rFonts w:ascii="Calibri" w:eastAsia="Times New Roman" w:hAnsi="Calibri" w:cs="Calibri"/>
                  <w:color w:val="0563C1"/>
                  <w:sz w:val="22"/>
                  <w:szCs w:val="22"/>
                  <w:u w:val="single"/>
                </w:rPr>
                <w:t>TAD Contractor Payform</w:t>
              </w:r>
            </w:hyperlink>
          </w:p>
        </w:tc>
        <w:tc>
          <w:tcPr>
            <w:tcW w:w="1350" w:type="dxa"/>
            <w:tcBorders>
              <w:left w:val="dotDash" w:sz="12" w:space="0" w:color="auto"/>
            </w:tcBorders>
            <w:shd w:val="clear" w:color="auto" w:fill="EEECE1" w:themeFill="background2"/>
            <w:noWrap/>
            <w:vAlign w:val="center"/>
            <w:hideMark/>
          </w:tcPr>
          <w:p w14:paraId="0D46FDD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7786050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auto" w:fill="D9E1F2"/>
            <w:noWrap/>
            <w:vAlign w:val="center"/>
            <w:hideMark/>
          </w:tcPr>
          <w:p w14:paraId="6B7B3C59" w14:textId="4A308BFC" w:rsidR="000C11A4" w:rsidRPr="000C11A4" w:rsidRDefault="000A695A" w:rsidP="000C11A4">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x</w:t>
            </w:r>
            <w:r w:rsidR="000C11A4" w:rsidRPr="000C11A4">
              <w:rPr>
                <w:rFonts w:ascii="Calibri" w:eastAsia="Times New Roman" w:hAnsi="Calibri" w:cs="Calibri"/>
                <w:color w:val="000000"/>
                <w:sz w:val="22"/>
                <w:szCs w:val="22"/>
              </w:rPr>
              <w:t> </w:t>
            </w:r>
          </w:p>
        </w:tc>
        <w:tc>
          <w:tcPr>
            <w:tcW w:w="810" w:type="dxa"/>
            <w:shd w:val="clear" w:color="auto" w:fill="EEECE1" w:themeFill="background2"/>
            <w:noWrap/>
            <w:vAlign w:val="center"/>
            <w:hideMark/>
          </w:tcPr>
          <w:p w14:paraId="71C710B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shd w:val="clear" w:color="auto" w:fill="EEECE1" w:themeFill="background2"/>
            <w:noWrap/>
            <w:vAlign w:val="center"/>
            <w:hideMark/>
          </w:tcPr>
          <w:p w14:paraId="7CD8924B"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90" w:type="dxa"/>
            <w:shd w:val="clear" w:color="auto" w:fill="EEECE1" w:themeFill="background2"/>
            <w:noWrap/>
            <w:vAlign w:val="center"/>
            <w:hideMark/>
          </w:tcPr>
          <w:p w14:paraId="1B713D69"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right w:val="dotDash" w:sz="12" w:space="0" w:color="auto"/>
            </w:tcBorders>
            <w:shd w:val="clear" w:color="auto" w:fill="EEECE1" w:themeFill="background2"/>
            <w:noWrap/>
            <w:vAlign w:val="center"/>
            <w:hideMark/>
          </w:tcPr>
          <w:p w14:paraId="624DA9DA"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5879FFB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000000" w:fill="FFBDBD"/>
            <w:noWrap/>
            <w:vAlign w:val="center"/>
            <w:hideMark/>
          </w:tcPr>
          <w:p w14:paraId="5B52E791"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shd w:val="clear" w:color="auto" w:fill="EEECE1" w:themeFill="background2"/>
            <w:noWrap/>
            <w:vAlign w:val="center"/>
            <w:hideMark/>
          </w:tcPr>
          <w:p w14:paraId="168A7D5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165" w:type="dxa"/>
            <w:tcBorders>
              <w:right w:val="dotDash" w:sz="12" w:space="0" w:color="auto"/>
            </w:tcBorders>
            <w:shd w:val="clear" w:color="000000" w:fill="CBA9E5"/>
            <w:noWrap/>
            <w:vAlign w:val="center"/>
            <w:hideMark/>
          </w:tcPr>
          <w:p w14:paraId="59F7606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r>
      <w:tr w:rsidR="005A6042" w:rsidRPr="000C11A4" w14:paraId="2A85816E" w14:textId="77777777" w:rsidTr="00E127DF">
        <w:trPr>
          <w:trHeight w:val="423"/>
        </w:trPr>
        <w:tc>
          <w:tcPr>
            <w:tcW w:w="652" w:type="dxa"/>
            <w:vMerge/>
            <w:shd w:val="clear" w:color="auto" w:fill="FFC000"/>
            <w:vAlign w:val="center"/>
            <w:hideMark/>
          </w:tcPr>
          <w:p w14:paraId="64A7C34C"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auto" w:fill="EEECE1" w:themeFill="background2"/>
            <w:noWrap/>
            <w:vAlign w:val="center"/>
            <w:hideMark/>
          </w:tcPr>
          <w:p w14:paraId="12FC1FC5" w14:textId="77777777" w:rsidR="000C11A4"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AIA -Type Construction Invoice Form </w:t>
            </w:r>
          </w:p>
        </w:tc>
        <w:tc>
          <w:tcPr>
            <w:tcW w:w="1350" w:type="dxa"/>
            <w:tcBorders>
              <w:left w:val="dotDash" w:sz="12" w:space="0" w:color="auto"/>
            </w:tcBorders>
            <w:shd w:val="clear" w:color="auto" w:fill="EEECE1" w:themeFill="background2"/>
            <w:noWrap/>
            <w:vAlign w:val="center"/>
            <w:hideMark/>
          </w:tcPr>
          <w:p w14:paraId="6D5B74E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68A16FF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000000" w:fill="D9E1F2"/>
            <w:noWrap/>
            <w:vAlign w:val="center"/>
            <w:hideMark/>
          </w:tcPr>
          <w:p w14:paraId="1450C4FA" w14:textId="5A296286" w:rsidR="000C11A4" w:rsidRPr="000C11A4" w:rsidRDefault="00CA1867"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r w:rsidR="008038FD">
              <w:rPr>
                <w:rFonts w:ascii="Calibri" w:eastAsia="Times New Roman" w:hAnsi="Calibri" w:cs="Calibri"/>
                <w:b/>
                <w:bCs/>
                <w:color w:val="000000"/>
                <w:sz w:val="22"/>
                <w:szCs w:val="22"/>
                <w:vertAlign w:val="superscript"/>
              </w:rPr>
              <w:t>8</w:t>
            </w:r>
          </w:p>
        </w:tc>
        <w:tc>
          <w:tcPr>
            <w:tcW w:w="810" w:type="dxa"/>
            <w:shd w:val="clear" w:color="auto" w:fill="EEECE1" w:themeFill="background2"/>
            <w:noWrap/>
            <w:vAlign w:val="center"/>
            <w:hideMark/>
          </w:tcPr>
          <w:p w14:paraId="79A15C6B"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shd w:val="clear" w:color="auto" w:fill="EEECE1" w:themeFill="background2"/>
            <w:noWrap/>
            <w:vAlign w:val="center"/>
            <w:hideMark/>
          </w:tcPr>
          <w:p w14:paraId="3E637E8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90" w:type="dxa"/>
            <w:shd w:val="clear" w:color="auto" w:fill="EEECE1" w:themeFill="background2"/>
            <w:noWrap/>
            <w:vAlign w:val="center"/>
            <w:hideMark/>
          </w:tcPr>
          <w:p w14:paraId="09F95B5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right w:val="dotDash" w:sz="12" w:space="0" w:color="auto"/>
            </w:tcBorders>
            <w:shd w:val="clear" w:color="auto" w:fill="EEECE1" w:themeFill="background2"/>
            <w:noWrap/>
            <w:vAlign w:val="center"/>
            <w:hideMark/>
          </w:tcPr>
          <w:p w14:paraId="3E327DE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32144069"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000000" w:fill="FFBDBD"/>
            <w:noWrap/>
            <w:vAlign w:val="center"/>
            <w:hideMark/>
          </w:tcPr>
          <w:p w14:paraId="4DF7D8E8" w14:textId="500F3ECE"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w:t>
            </w:r>
            <w:r w:rsidR="00CA1867" w:rsidRPr="000C11A4">
              <w:rPr>
                <w:rFonts w:ascii="Calibri" w:eastAsia="Times New Roman" w:hAnsi="Calibri" w:cs="Calibri"/>
                <w:color w:val="000000"/>
                <w:sz w:val="22"/>
                <w:szCs w:val="22"/>
              </w:rPr>
              <w:t>X</w:t>
            </w:r>
            <w:r w:rsidR="008038FD">
              <w:rPr>
                <w:rFonts w:ascii="Calibri" w:eastAsia="Times New Roman" w:hAnsi="Calibri" w:cs="Calibri"/>
                <w:b/>
                <w:bCs/>
                <w:color w:val="000000"/>
                <w:sz w:val="22"/>
                <w:szCs w:val="22"/>
                <w:vertAlign w:val="superscript"/>
              </w:rPr>
              <w:t>8</w:t>
            </w:r>
          </w:p>
        </w:tc>
        <w:tc>
          <w:tcPr>
            <w:tcW w:w="1440" w:type="dxa"/>
            <w:shd w:val="clear" w:color="000000" w:fill="DDEBF7"/>
            <w:noWrap/>
            <w:vAlign w:val="center"/>
            <w:hideMark/>
          </w:tcPr>
          <w:p w14:paraId="3849112D" w14:textId="582A180F" w:rsidR="000C11A4" w:rsidRPr="000C11A4" w:rsidRDefault="00CA1867"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r w:rsidR="008038FD">
              <w:rPr>
                <w:rFonts w:ascii="Calibri" w:eastAsia="Times New Roman" w:hAnsi="Calibri" w:cs="Calibri"/>
                <w:b/>
                <w:bCs/>
                <w:color w:val="000000"/>
                <w:sz w:val="22"/>
                <w:szCs w:val="22"/>
                <w:vertAlign w:val="superscript"/>
              </w:rPr>
              <w:t>8</w:t>
            </w:r>
          </w:p>
        </w:tc>
        <w:tc>
          <w:tcPr>
            <w:tcW w:w="1165" w:type="dxa"/>
            <w:tcBorders>
              <w:right w:val="dotDash" w:sz="12" w:space="0" w:color="auto"/>
            </w:tcBorders>
            <w:shd w:val="clear" w:color="000000" w:fill="CBA9E5"/>
            <w:noWrap/>
            <w:vAlign w:val="center"/>
            <w:hideMark/>
          </w:tcPr>
          <w:p w14:paraId="6624BD78" w14:textId="6184DBC3"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w:t>
            </w:r>
            <w:r w:rsidR="00CA1867" w:rsidRPr="000C11A4">
              <w:rPr>
                <w:rFonts w:ascii="Calibri" w:eastAsia="Times New Roman" w:hAnsi="Calibri" w:cs="Calibri"/>
                <w:color w:val="000000"/>
                <w:sz w:val="22"/>
                <w:szCs w:val="22"/>
              </w:rPr>
              <w:t>X</w:t>
            </w:r>
            <w:r w:rsidR="008038FD">
              <w:rPr>
                <w:rFonts w:ascii="Calibri" w:eastAsia="Times New Roman" w:hAnsi="Calibri" w:cs="Calibri"/>
                <w:b/>
                <w:bCs/>
                <w:color w:val="000000"/>
                <w:sz w:val="22"/>
                <w:szCs w:val="22"/>
                <w:vertAlign w:val="superscript"/>
              </w:rPr>
              <w:t>8</w:t>
            </w:r>
          </w:p>
        </w:tc>
      </w:tr>
      <w:tr w:rsidR="005A6042" w:rsidRPr="000C11A4" w14:paraId="11791B88" w14:textId="77777777" w:rsidTr="00E127DF">
        <w:trPr>
          <w:trHeight w:val="371"/>
        </w:trPr>
        <w:tc>
          <w:tcPr>
            <w:tcW w:w="652" w:type="dxa"/>
            <w:vMerge/>
            <w:shd w:val="clear" w:color="auto" w:fill="FFC000"/>
            <w:vAlign w:val="center"/>
            <w:hideMark/>
          </w:tcPr>
          <w:p w14:paraId="5EC334D2"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auto" w:fill="EEECE1" w:themeFill="background2"/>
            <w:noWrap/>
            <w:vAlign w:val="center"/>
            <w:hideMark/>
          </w:tcPr>
          <w:p w14:paraId="01CE50A8" w14:textId="77777777" w:rsidR="000C11A4"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Invoice Request Summary (Draw Request Summary)</w:t>
            </w:r>
          </w:p>
        </w:tc>
        <w:tc>
          <w:tcPr>
            <w:tcW w:w="1350" w:type="dxa"/>
            <w:tcBorders>
              <w:left w:val="dotDash" w:sz="12" w:space="0" w:color="auto"/>
            </w:tcBorders>
            <w:shd w:val="clear" w:color="auto" w:fill="EEECE1" w:themeFill="background2"/>
            <w:noWrap/>
            <w:vAlign w:val="center"/>
            <w:hideMark/>
          </w:tcPr>
          <w:p w14:paraId="62F8F3E1"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03B0D716"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auto" w:fill="EEECE1" w:themeFill="background2"/>
            <w:noWrap/>
            <w:vAlign w:val="center"/>
            <w:hideMark/>
          </w:tcPr>
          <w:p w14:paraId="32381107"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shd w:val="clear" w:color="auto" w:fill="EEECE1" w:themeFill="background2"/>
            <w:noWrap/>
            <w:vAlign w:val="center"/>
            <w:hideMark/>
          </w:tcPr>
          <w:p w14:paraId="2BF20F9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shd w:val="clear" w:color="auto" w:fill="EEECE1" w:themeFill="background2"/>
            <w:noWrap/>
            <w:vAlign w:val="center"/>
            <w:hideMark/>
          </w:tcPr>
          <w:p w14:paraId="004BCEE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90" w:type="dxa"/>
            <w:shd w:val="clear" w:color="auto" w:fill="EEECE1" w:themeFill="background2"/>
            <w:noWrap/>
            <w:vAlign w:val="center"/>
            <w:hideMark/>
          </w:tcPr>
          <w:p w14:paraId="774C066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right w:val="dotDash" w:sz="12" w:space="0" w:color="auto"/>
            </w:tcBorders>
            <w:shd w:val="clear" w:color="auto" w:fill="EEECE1" w:themeFill="background2"/>
            <w:noWrap/>
            <w:vAlign w:val="center"/>
            <w:hideMark/>
          </w:tcPr>
          <w:p w14:paraId="3A9E322D"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61F7B659"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000000" w:fill="FFBDBD"/>
            <w:noWrap/>
            <w:vAlign w:val="center"/>
            <w:hideMark/>
          </w:tcPr>
          <w:p w14:paraId="771B518A"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shd w:val="clear" w:color="auto" w:fill="EEECE1" w:themeFill="background2"/>
            <w:noWrap/>
            <w:vAlign w:val="center"/>
            <w:hideMark/>
          </w:tcPr>
          <w:p w14:paraId="6E1419D6"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165" w:type="dxa"/>
            <w:tcBorders>
              <w:right w:val="dotDash" w:sz="12" w:space="0" w:color="auto"/>
            </w:tcBorders>
            <w:shd w:val="clear" w:color="auto" w:fill="EEECE1" w:themeFill="background2"/>
            <w:noWrap/>
            <w:vAlign w:val="center"/>
            <w:hideMark/>
          </w:tcPr>
          <w:p w14:paraId="1430069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r>
      <w:tr w:rsidR="005A6042" w:rsidRPr="000C11A4" w14:paraId="7B5D53E6" w14:textId="77777777" w:rsidTr="00E127DF">
        <w:trPr>
          <w:trHeight w:val="423"/>
        </w:trPr>
        <w:tc>
          <w:tcPr>
            <w:tcW w:w="652" w:type="dxa"/>
            <w:vMerge/>
            <w:shd w:val="clear" w:color="auto" w:fill="FFC000"/>
            <w:vAlign w:val="center"/>
            <w:hideMark/>
          </w:tcPr>
          <w:p w14:paraId="6E21F9FC"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000000" w:fill="FCE4D6"/>
            <w:noWrap/>
            <w:vAlign w:val="center"/>
            <w:hideMark/>
          </w:tcPr>
          <w:p w14:paraId="288020A0" w14:textId="5A931045" w:rsidR="000C11A4"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Warranty </w:t>
            </w:r>
            <w:r w:rsidR="001A547E" w:rsidRPr="000C11A4">
              <w:rPr>
                <w:rFonts w:ascii="Calibri" w:eastAsia="Times New Roman" w:hAnsi="Calibri" w:cs="Calibri"/>
                <w:color w:val="000000"/>
                <w:sz w:val="22"/>
                <w:szCs w:val="22"/>
              </w:rPr>
              <w:t>Deed</w:t>
            </w:r>
            <w:r w:rsidR="001A547E">
              <w:rPr>
                <w:rFonts w:ascii="Calibri" w:eastAsia="Times New Roman" w:hAnsi="Calibri" w:cs="Calibri"/>
                <w:b/>
                <w:bCs/>
                <w:color w:val="000000"/>
                <w:sz w:val="22"/>
                <w:szCs w:val="22"/>
                <w:vertAlign w:val="superscript"/>
              </w:rPr>
              <w:t>2</w:t>
            </w:r>
          </w:p>
        </w:tc>
        <w:tc>
          <w:tcPr>
            <w:tcW w:w="1350" w:type="dxa"/>
            <w:tcBorders>
              <w:left w:val="dotDash" w:sz="12" w:space="0" w:color="auto"/>
            </w:tcBorders>
            <w:shd w:val="clear" w:color="auto" w:fill="EEECE1" w:themeFill="background2"/>
            <w:noWrap/>
            <w:vAlign w:val="center"/>
            <w:hideMark/>
          </w:tcPr>
          <w:p w14:paraId="5670592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2F188AB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auto" w:fill="EEECE1" w:themeFill="background2"/>
            <w:noWrap/>
            <w:vAlign w:val="center"/>
            <w:hideMark/>
          </w:tcPr>
          <w:p w14:paraId="5B8DDFF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shd w:val="clear" w:color="auto" w:fill="EEECE1" w:themeFill="background2"/>
            <w:noWrap/>
            <w:vAlign w:val="center"/>
            <w:hideMark/>
          </w:tcPr>
          <w:p w14:paraId="6CD54ED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shd w:val="clear" w:color="000000" w:fill="FCE4D6"/>
            <w:noWrap/>
            <w:vAlign w:val="center"/>
            <w:hideMark/>
          </w:tcPr>
          <w:p w14:paraId="4E3E2E4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90" w:type="dxa"/>
            <w:shd w:val="clear" w:color="auto" w:fill="EEECE1" w:themeFill="background2"/>
            <w:noWrap/>
            <w:vAlign w:val="center"/>
            <w:hideMark/>
          </w:tcPr>
          <w:p w14:paraId="4281243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right w:val="dotDash" w:sz="12" w:space="0" w:color="auto"/>
            </w:tcBorders>
            <w:shd w:val="clear" w:color="auto" w:fill="EEECE1" w:themeFill="background2"/>
            <w:noWrap/>
            <w:vAlign w:val="center"/>
            <w:hideMark/>
          </w:tcPr>
          <w:p w14:paraId="6F5833F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25CD8117"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000000" w:fill="FCE4D6"/>
            <w:noWrap/>
            <w:vAlign w:val="center"/>
            <w:hideMark/>
          </w:tcPr>
          <w:p w14:paraId="57DE0F6B"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shd w:val="clear" w:color="auto" w:fill="EEECE1" w:themeFill="background2"/>
            <w:noWrap/>
            <w:vAlign w:val="center"/>
            <w:hideMark/>
          </w:tcPr>
          <w:p w14:paraId="7D026152"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165" w:type="dxa"/>
            <w:tcBorders>
              <w:right w:val="dotDash" w:sz="12" w:space="0" w:color="auto"/>
            </w:tcBorders>
            <w:shd w:val="clear" w:color="auto" w:fill="EEECE1" w:themeFill="background2"/>
            <w:noWrap/>
            <w:vAlign w:val="center"/>
            <w:hideMark/>
          </w:tcPr>
          <w:p w14:paraId="5F5C84B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r>
      <w:tr w:rsidR="005A6042" w:rsidRPr="000C11A4" w14:paraId="1664E753" w14:textId="77777777" w:rsidTr="00E127DF">
        <w:trPr>
          <w:trHeight w:val="371"/>
        </w:trPr>
        <w:tc>
          <w:tcPr>
            <w:tcW w:w="652" w:type="dxa"/>
            <w:vMerge/>
            <w:shd w:val="clear" w:color="auto" w:fill="FFC000"/>
            <w:vAlign w:val="center"/>
            <w:hideMark/>
          </w:tcPr>
          <w:p w14:paraId="46688774"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000000" w:fill="FCE4D6"/>
            <w:noWrap/>
            <w:vAlign w:val="center"/>
            <w:hideMark/>
          </w:tcPr>
          <w:p w14:paraId="3321525F" w14:textId="164070DE" w:rsidR="00856420"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Re</w:t>
            </w:r>
            <w:r w:rsidR="000577C8">
              <w:rPr>
                <w:rFonts w:ascii="Calibri" w:eastAsia="Times New Roman" w:hAnsi="Calibri" w:cs="Calibri"/>
                <w:color w:val="000000"/>
                <w:sz w:val="22"/>
                <w:szCs w:val="22"/>
              </w:rPr>
              <w:t>placement</w:t>
            </w:r>
            <w:r w:rsidRPr="000C11A4">
              <w:rPr>
                <w:rFonts w:ascii="Calibri" w:eastAsia="Times New Roman" w:hAnsi="Calibri" w:cs="Calibri"/>
                <w:color w:val="000000"/>
                <w:sz w:val="22"/>
                <w:szCs w:val="22"/>
              </w:rPr>
              <w:t xml:space="preserve"> Housing Program (RHP)</w:t>
            </w:r>
            <w:r w:rsidR="00856420">
              <w:rPr>
                <w:rFonts w:ascii="Calibri" w:eastAsia="Times New Roman" w:hAnsi="Calibri" w:cs="Calibri"/>
                <w:color w:val="000000"/>
                <w:sz w:val="22"/>
                <w:szCs w:val="22"/>
              </w:rPr>
              <w:t xml:space="preserve"> Docs</w:t>
            </w:r>
          </w:p>
        </w:tc>
        <w:tc>
          <w:tcPr>
            <w:tcW w:w="1350" w:type="dxa"/>
            <w:tcBorders>
              <w:left w:val="dotDash" w:sz="12" w:space="0" w:color="auto"/>
            </w:tcBorders>
            <w:shd w:val="clear" w:color="auto" w:fill="EEECE1" w:themeFill="background2"/>
            <w:noWrap/>
            <w:vAlign w:val="center"/>
            <w:hideMark/>
          </w:tcPr>
          <w:p w14:paraId="2061C93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6270765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auto" w:fill="EEECE1" w:themeFill="background2"/>
            <w:noWrap/>
            <w:vAlign w:val="center"/>
            <w:hideMark/>
          </w:tcPr>
          <w:p w14:paraId="0F78555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shd w:val="clear" w:color="auto" w:fill="EEECE1" w:themeFill="background2"/>
            <w:noWrap/>
            <w:vAlign w:val="center"/>
            <w:hideMark/>
          </w:tcPr>
          <w:p w14:paraId="166E1EB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shd w:val="clear" w:color="000000" w:fill="FCE4D6"/>
            <w:noWrap/>
            <w:vAlign w:val="center"/>
            <w:hideMark/>
          </w:tcPr>
          <w:p w14:paraId="199CB92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990" w:type="dxa"/>
            <w:shd w:val="clear" w:color="auto" w:fill="EEECE1" w:themeFill="background2"/>
            <w:noWrap/>
            <w:vAlign w:val="center"/>
            <w:hideMark/>
          </w:tcPr>
          <w:p w14:paraId="2C77FE3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right w:val="dotDash" w:sz="12" w:space="0" w:color="auto"/>
            </w:tcBorders>
            <w:shd w:val="clear" w:color="auto" w:fill="EEECE1" w:themeFill="background2"/>
            <w:noWrap/>
            <w:vAlign w:val="center"/>
            <w:hideMark/>
          </w:tcPr>
          <w:p w14:paraId="1261214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3347A18D"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000000" w:fill="FCE4D6"/>
            <w:noWrap/>
            <w:vAlign w:val="center"/>
            <w:hideMark/>
          </w:tcPr>
          <w:p w14:paraId="5E0D6D7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shd w:val="clear" w:color="auto" w:fill="EEECE1" w:themeFill="background2"/>
            <w:noWrap/>
            <w:vAlign w:val="center"/>
            <w:hideMark/>
          </w:tcPr>
          <w:p w14:paraId="442E81B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165" w:type="dxa"/>
            <w:tcBorders>
              <w:right w:val="dotDash" w:sz="12" w:space="0" w:color="auto"/>
            </w:tcBorders>
            <w:shd w:val="clear" w:color="auto" w:fill="EEECE1" w:themeFill="background2"/>
            <w:noWrap/>
            <w:vAlign w:val="center"/>
            <w:hideMark/>
          </w:tcPr>
          <w:p w14:paraId="47334EDA"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r>
      <w:tr w:rsidR="005A6042" w:rsidRPr="000C11A4" w14:paraId="2FDB743A" w14:textId="77777777" w:rsidTr="00E127DF">
        <w:trPr>
          <w:trHeight w:val="423"/>
        </w:trPr>
        <w:tc>
          <w:tcPr>
            <w:tcW w:w="652" w:type="dxa"/>
            <w:vMerge/>
            <w:shd w:val="clear" w:color="auto" w:fill="FFC000"/>
            <w:vAlign w:val="center"/>
            <w:hideMark/>
          </w:tcPr>
          <w:p w14:paraId="380B24BC"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000000" w:fill="FCE4D6"/>
            <w:noWrap/>
            <w:vAlign w:val="center"/>
            <w:hideMark/>
          </w:tcPr>
          <w:p w14:paraId="1E8D0203" w14:textId="0D2A937E" w:rsidR="000C11A4" w:rsidRPr="000C11A4" w:rsidRDefault="001A547E" w:rsidP="000C11A4">
            <w:pPr>
              <w:spacing w:before="0" w:after="0" w:line="240" w:lineRule="auto"/>
              <w:rPr>
                <w:rFonts w:ascii="Calibri" w:eastAsia="Times New Roman" w:hAnsi="Calibri" w:cs="Calibri"/>
                <w:color w:val="0563C1"/>
                <w:sz w:val="22"/>
                <w:szCs w:val="22"/>
                <w:u w:val="single"/>
              </w:rPr>
            </w:pPr>
            <w:hyperlink r:id="rId17" w:history="1">
              <w:r w:rsidRPr="000C11A4">
                <w:rPr>
                  <w:rFonts w:ascii="Calibri" w:eastAsia="Times New Roman" w:hAnsi="Calibri" w:cs="Calibri"/>
                  <w:color w:val="0563C1"/>
                  <w:sz w:val="22"/>
                  <w:szCs w:val="22"/>
                  <w:u w:val="single"/>
                </w:rPr>
                <w:t>HUD-1 Settlement Statement</w:t>
              </w:r>
              <w:r>
                <w:rPr>
                  <w:rFonts w:ascii="Calibri" w:eastAsia="Times New Roman" w:hAnsi="Calibri" w:cs="Calibri"/>
                  <w:b/>
                  <w:bCs/>
                  <w:color w:val="0563C1"/>
                  <w:sz w:val="22"/>
                  <w:szCs w:val="22"/>
                  <w:u w:val="single"/>
                  <w:vertAlign w:val="superscript"/>
                </w:rPr>
                <w:t>2</w:t>
              </w:r>
            </w:hyperlink>
          </w:p>
        </w:tc>
        <w:tc>
          <w:tcPr>
            <w:tcW w:w="1350" w:type="dxa"/>
            <w:tcBorders>
              <w:left w:val="dotDash" w:sz="12" w:space="0" w:color="auto"/>
            </w:tcBorders>
            <w:shd w:val="clear" w:color="auto" w:fill="EEECE1" w:themeFill="background2"/>
            <w:noWrap/>
            <w:vAlign w:val="center"/>
            <w:hideMark/>
          </w:tcPr>
          <w:p w14:paraId="2292EC0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7975B88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auto" w:fill="EEECE1" w:themeFill="background2"/>
            <w:noWrap/>
            <w:vAlign w:val="center"/>
            <w:hideMark/>
          </w:tcPr>
          <w:p w14:paraId="343634F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shd w:val="clear" w:color="auto" w:fill="EEECE1" w:themeFill="background2"/>
            <w:noWrap/>
            <w:vAlign w:val="center"/>
            <w:hideMark/>
          </w:tcPr>
          <w:p w14:paraId="1E9BD59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shd w:val="clear" w:color="000000" w:fill="FCE4D6"/>
            <w:noWrap/>
            <w:vAlign w:val="center"/>
            <w:hideMark/>
          </w:tcPr>
          <w:p w14:paraId="5B5E7346"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90" w:type="dxa"/>
            <w:shd w:val="clear" w:color="auto" w:fill="EEECE1" w:themeFill="background2"/>
            <w:noWrap/>
            <w:vAlign w:val="center"/>
            <w:hideMark/>
          </w:tcPr>
          <w:p w14:paraId="517927B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right w:val="dotDash" w:sz="12" w:space="0" w:color="auto"/>
            </w:tcBorders>
            <w:shd w:val="clear" w:color="auto" w:fill="EEECE1" w:themeFill="background2"/>
            <w:noWrap/>
            <w:vAlign w:val="center"/>
            <w:hideMark/>
          </w:tcPr>
          <w:p w14:paraId="2FF53E72"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6E69604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000000" w:fill="FCE4D6"/>
            <w:noWrap/>
            <w:vAlign w:val="center"/>
            <w:hideMark/>
          </w:tcPr>
          <w:p w14:paraId="5B9F347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shd w:val="clear" w:color="auto" w:fill="EEECE1" w:themeFill="background2"/>
            <w:noWrap/>
            <w:vAlign w:val="center"/>
            <w:hideMark/>
          </w:tcPr>
          <w:p w14:paraId="05ADC8AD"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165" w:type="dxa"/>
            <w:tcBorders>
              <w:right w:val="dotDash" w:sz="12" w:space="0" w:color="auto"/>
            </w:tcBorders>
            <w:shd w:val="clear" w:color="auto" w:fill="EEECE1" w:themeFill="background2"/>
            <w:noWrap/>
            <w:vAlign w:val="center"/>
            <w:hideMark/>
          </w:tcPr>
          <w:p w14:paraId="76F854D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r>
      <w:tr w:rsidR="005A6042" w:rsidRPr="000C11A4" w14:paraId="49F9FA29" w14:textId="77777777" w:rsidTr="00E127DF">
        <w:trPr>
          <w:trHeight w:val="371"/>
        </w:trPr>
        <w:tc>
          <w:tcPr>
            <w:tcW w:w="652" w:type="dxa"/>
            <w:vMerge/>
            <w:shd w:val="clear" w:color="auto" w:fill="FFC000"/>
            <w:vAlign w:val="center"/>
            <w:hideMark/>
          </w:tcPr>
          <w:p w14:paraId="1106B0DC"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000000" w:fill="FCE4D6"/>
            <w:noWrap/>
            <w:vAlign w:val="center"/>
            <w:hideMark/>
          </w:tcPr>
          <w:p w14:paraId="48BBAEF4" w14:textId="77777777" w:rsidR="000C11A4" w:rsidRPr="000C11A4" w:rsidRDefault="000C11A4" w:rsidP="000C11A4">
            <w:pPr>
              <w:spacing w:before="0" w:after="0" w:line="240" w:lineRule="auto"/>
              <w:rPr>
                <w:rFonts w:ascii="Calibri" w:eastAsia="Times New Roman" w:hAnsi="Calibri" w:cs="Calibri"/>
                <w:color w:val="0563C1"/>
                <w:sz w:val="22"/>
                <w:szCs w:val="22"/>
                <w:u w:val="single"/>
              </w:rPr>
            </w:pPr>
            <w:hyperlink r:id="rId18" w:history="1">
              <w:r w:rsidRPr="000C11A4">
                <w:rPr>
                  <w:rFonts w:ascii="Calibri" w:eastAsia="Times New Roman" w:hAnsi="Calibri" w:cs="Calibri"/>
                  <w:color w:val="0563C1"/>
                  <w:sz w:val="22"/>
                  <w:szCs w:val="22"/>
                  <w:u w:val="single"/>
                </w:rPr>
                <w:t>Title Opinion or Certificate of Title</w:t>
              </w:r>
            </w:hyperlink>
          </w:p>
        </w:tc>
        <w:tc>
          <w:tcPr>
            <w:tcW w:w="1350" w:type="dxa"/>
            <w:tcBorders>
              <w:left w:val="dotDash" w:sz="12" w:space="0" w:color="auto"/>
            </w:tcBorders>
            <w:shd w:val="clear" w:color="auto" w:fill="EEECE1" w:themeFill="background2"/>
            <w:noWrap/>
            <w:vAlign w:val="center"/>
            <w:hideMark/>
          </w:tcPr>
          <w:p w14:paraId="6333A7F8"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shd w:val="clear" w:color="auto" w:fill="EEECE1" w:themeFill="background2"/>
            <w:noWrap/>
            <w:vAlign w:val="center"/>
            <w:hideMark/>
          </w:tcPr>
          <w:p w14:paraId="4FBFD36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shd w:val="clear" w:color="auto" w:fill="EEECE1" w:themeFill="background2"/>
            <w:noWrap/>
            <w:vAlign w:val="center"/>
            <w:hideMark/>
          </w:tcPr>
          <w:p w14:paraId="0D1EB98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shd w:val="clear" w:color="auto" w:fill="EEECE1" w:themeFill="background2"/>
            <w:noWrap/>
            <w:vAlign w:val="center"/>
            <w:hideMark/>
          </w:tcPr>
          <w:p w14:paraId="6EBFCA47"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shd w:val="clear" w:color="000000" w:fill="FCE4D6"/>
            <w:noWrap/>
            <w:vAlign w:val="center"/>
            <w:hideMark/>
          </w:tcPr>
          <w:p w14:paraId="4EBFF10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x</w:t>
            </w:r>
          </w:p>
        </w:tc>
        <w:tc>
          <w:tcPr>
            <w:tcW w:w="990" w:type="dxa"/>
            <w:shd w:val="clear" w:color="auto" w:fill="EEECE1" w:themeFill="background2"/>
            <w:noWrap/>
            <w:vAlign w:val="center"/>
            <w:hideMark/>
          </w:tcPr>
          <w:p w14:paraId="348DFD99"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right w:val="dotDash" w:sz="12" w:space="0" w:color="auto"/>
            </w:tcBorders>
            <w:shd w:val="clear" w:color="auto" w:fill="EEECE1" w:themeFill="background2"/>
            <w:noWrap/>
            <w:vAlign w:val="center"/>
            <w:hideMark/>
          </w:tcPr>
          <w:p w14:paraId="4646939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tcBorders>
            <w:shd w:val="clear" w:color="auto" w:fill="EEECE1" w:themeFill="background2"/>
            <w:noWrap/>
            <w:vAlign w:val="center"/>
            <w:hideMark/>
          </w:tcPr>
          <w:p w14:paraId="1C9842B3"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shd w:val="clear" w:color="000000" w:fill="FCE4D6"/>
            <w:noWrap/>
            <w:vAlign w:val="center"/>
            <w:hideMark/>
          </w:tcPr>
          <w:p w14:paraId="18438DC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1440" w:type="dxa"/>
            <w:shd w:val="clear" w:color="auto" w:fill="EEECE1" w:themeFill="background2"/>
            <w:noWrap/>
            <w:vAlign w:val="center"/>
            <w:hideMark/>
          </w:tcPr>
          <w:p w14:paraId="72A26FA4"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165" w:type="dxa"/>
            <w:tcBorders>
              <w:right w:val="dotDash" w:sz="12" w:space="0" w:color="auto"/>
            </w:tcBorders>
            <w:shd w:val="clear" w:color="auto" w:fill="EEECE1" w:themeFill="background2"/>
            <w:noWrap/>
            <w:vAlign w:val="center"/>
            <w:hideMark/>
          </w:tcPr>
          <w:p w14:paraId="5CA1E5C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r>
      <w:tr w:rsidR="005A6042" w:rsidRPr="000C11A4" w14:paraId="66A280D0" w14:textId="77777777" w:rsidTr="00E127DF">
        <w:trPr>
          <w:trHeight w:val="371"/>
        </w:trPr>
        <w:tc>
          <w:tcPr>
            <w:tcW w:w="652" w:type="dxa"/>
            <w:vMerge/>
            <w:shd w:val="clear" w:color="auto" w:fill="FFC000"/>
            <w:vAlign w:val="center"/>
            <w:hideMark/>
          </w:tcPr>
          <w:p w14:paraId="15FEC712" w14:textId="77777777" w:rsidR="000C11A4" w:rsidRPr="000C11A4" w:rsidRDefault="000C11A4" w:rsidP="000C11A4">
            <w:pPr>
              <w:spacing w:before="0" w:after="0" w:line="240" w:lineRule="auto"/>
              <w:rPr>
                <w:rFonts w:ascii="Calibri" w:eastAsia="Times New Roman" w:hAnsi="Calibri" w:cs="Calibri"/>
                <w:color w:val="000000"/>
                <w:sz w:val="36"/>
                <w:szCs w:val="36"/>
              </w:rPr>
            </w:pPr>
          </w:p>
        </w:tc>
        <w:tc>
          <w:tcPr>
            <w:tcW w:w="4293" w:type="dxa"/>
            <w:tcBorders>
              <w:right w:val="dotDash" w:sz="12" w:space="0" w:color="auto"/>
            </w:tcBorders>
            <w:shd w:val="clear" w:color="000000" w:fill="FCE4D6"/>
            <w:noWrap/>
            <w:vAlign w:val="center"/>
            <w:hideMark/>
          </w:tcPr>
          <w:p w14:paraId="6A27BEA6" w14:textId="77777777" w:rsidR="000C11A4" w:rsidRPr="000C11A4" w:rsidRDefault="000C11A4" w:rsidP="000C11A4">
            <w:pPr>
              <w:spacing w:before="0" w:after="0" w:line="240" w:lineRule="auto"/>
              <w:rPr>
                <w:rFonts w:ascii="Calibri" w:eastAsia="Times New Roman" w:hAnsi="Calibri" w:cs="Calibri"/>
                <w:color w:val="000000"/>
                <w:sz w:val="22"/>
                <w:szCs w:val="22"/>
              </w:rPr>
            </w:pPr>
            <w:r w:rsidRPr="000C11A4">
              <w:rPr>
                <w:rFonts w:ascii="Calibri" w:eastAsia="Times New Roman" w:hAnsi="Calibri" w:cs="Calibri"/>
                <w:color w:val="000000"/>
                <w:sz w:val="22"/>
                <w:szCs w:val="22"/>
              </w:rPr>
              <w:t>Administrative Settlement Form</w:t>
            </w:r>
          </w:p>
        </w:tc>
        <w:tc>
          <w:tcPr>
            <w:tcW w:w="1350" w:type="dxa"/>
            <w:tcBorders>
              <w:left w:val="dotDash" w:sz="12" w:space="0" w:color="auto"/>
              <w:bottom w:val="dotDash" w:sz="12" w:space="0" w:color="auto"/>
            </w:tcBorders>
            <w:shd w:val="clear" w:color="auto" w:fill="EEECE1" w:themeFill="background2"/>
            <w:noWrap/>
            <w:vAlign w:val="center"/>
            <w:hideMark/>
          </w:tcPr>
          <w:p w14:paraId="11C9E097"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350" w:type="dxa"/>
            <w:tcBorders>
              <w:bottom w:val="dotDash" w:sz="12" w:space="0" w:color="auto"/>
            </w:tcBorders>
            <w:shd w:val="clear" w:color="auto" w:fill="EEECE1" w:themeFill="background2"/>
            <w:noWrap/>
            <w:vAlign w:val="center"/>
            <w:hideMark/>
          </w:tcPr>
          <w:p w14:paraId="08B9C51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620" w:type="dxa"/>
            <w:tcBorders>
              <w:bottom w:val="dotDash" w:sz="12" w:space="0" w:color="auto"/>
            </w:tcBorders>
            <w:shd w:val="clear" w:color="auto" w:fill="EEECE1" w:themeFill="background2"/>
            <w:noWrap/>
            <w:vAlign w:val="center"/>
            <w:hideMark/>
          </w:tcPr>
          <w:p w14:paraId="59CBD59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810" w:type="dxa"/>
            <w:tcBorders>
              <w:bottom w:val="dotDash" w:sz="12" w:space="0" w:color="auto"/>
            </w:tcBorders>
            <w:shd w:val="clear" w:color="auto" w:fill="EEECE1" w:themeFill="background2"/>
            <w:noWrap/>
            <w:vAlign w:val="center"/>
            <w:hideMark/>
          </w:tcPr>
          <w:p w14:paraId="7BCD8C1E"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260" w:type="dxa"/>
            <w:tcBorders>
              <w:bottom w:val="dotDash" w:sz="12" w:space="0" w:color="auto"/>
            </w:tcBorders>
            <w:shd w:val="clear" w:color="000000" w:fill="FCE4D6"/>
            <w:noWrap/>
            <w:vAlign w:val="center"/>
            <w:hideMark/>
          </w:tcPr>
          <w:p w14:paraId="178556A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xml:space="preserve">  x*</w:t>
            </w:r>
          </w:p>
        </w:tc>
        <w:tc>
          <w:tcPr>
            <w:tcW w:w="990" w:type="dxa"/>
            <w:tcBorders>
              <w:bottom w:val="dotDash" w:sz="12" w:space="0" w:color="auto"/>
            </w:tcBorders>
            <w:shd w:val="clear" w:color="auto" w:fill="EEECE1" w:themeFill="background2"/>
            <w:noWrap/>
            <w:vAlign w:val="center"/>
            <w:hideMark/>
          </w:tcPr>
          <w:p w14:paraId="715B2DBF"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bottom w:val="dotDash" w:sz="12" w:space="0" w:color="auto"/>
              <w:right w:val="dotDash" w:sz="12" w:space="0" w:color="auto"/>
            </w:tcBorders>
            <w:shd w:val="clear" w:color="auto" w:fill="EEECE1" w:themeFill="background2"/>
            <w:noWrap/>
            <w:vAlign w:val="center"/>
            <w:hideMark/>
          </w:tcPr>
          <w:p w14:paraId="51F6DEBD"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left w:val="dotDash" w:sz="12" w:space="0" w:color="auto"/>
              <w:bottom w:val="dotDash" w:sz="12" w:space="0" w:color="auto"/>
            </w:tcBorders>
            <w:shd w:val="clear" w:color="auto" w:fill="EEECE1" w:themeFill="background2"/>
            <w:noWrap/>
            <w:vAlign w:val="center"/>
            <w:hideMark/>
          </w:tcPr>
          <w:p w14:paraId="06CBD74C"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900" w:type="dxa"/>
            <w:tcBorders>
              <w:bottom w:val="dotDash" w:sz="12" w:space="0" w:color="auto"/>
            </w:tcBorders>
            <w:shd w:val="clear" w:color="auto" w:fill="EEECE1" w:themeFill="background2"/>
            <w:noWrap/>
            <w:vAlign w:val="center"/>
            <w:hideMark/>
          </w:tcPr>
          <w:p w14:paraId="550F41E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440" w:type="dxa"/>
            <w:tcBorders>
              <w:bottom w:val="dotDash" w:sz="12" w:space="0" w:color="auto"/>
            </w:tcBorders>
            <w:shd w:val="clear" w:color="auto" w:fill="EEECE1" w:themeFill="background2"/>
            <w:noWrap/>
            <w:vAlign w:val="center"/>
            <w:hideMark/>
          </w:tcPr>
          <w:p w14:paraId="455FCC60"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c>
          <w:tcPr>
            <w:tcW w:w="1165" w:type="dxa"/>
            <w:tcBorders>
              <w:bottom w:val="dotDash" w:sz="12" w:space="0" w:color="auto"/>
              <w:right w:val="dotDash" w:sz="12" w:space="0" w:color="auto"/>
            </w:tcBorders>
            <w:shd w:val="clear" w:color="auto" w:fill="EEECE1" w:themeFill="background2"/>
            <w:noWrap/>
            <w:vAlign w:val="center"/>
            <w:hideMark/>
          </w:tcPr>
          <w:p w14:paraId="07306515" w14:textId="77777777" w:rsidR="000C11A4" w:rsidRPr="000C11A4" w:rsidRDefault="000C11A4" w:rsidP="000C11A4">
            <w:pPr>
              <w:spacing w:before="0" w:after="0" w:line="240" w:lineRule="auto"/>
              <w:jc w:val="center"/>
              <w:rPr>
                <w:rFonts w:ascii="Calibri" w:eastAsia="Times New Roman" w:hAnsi="Calibri" w:cs="Calibri"/>
                <w:color w:val="000000"/>
                <w:sz w:val="22"/>
                <w:szCs w:val="22"/>
              </w:rPr>
            </w:pPr>
            <w:r w:rsidRPr="000C11A4">
              <w:rPr>
                <w:rFonts w:ascii="Calibri" w:eastAsia="Times New Roman" w:hAnsi="Calibri" w:cs="Calibri"/>
                <w:color w:val="000000"/>
                <w:sz w:val="22"/>
                <w:szCs w:val="22"/>
              </w:rPr>
              <w:t> </w:t>
            </w:r>
          </w:p>
        </w:tc>
      </w:tr>
    </w:tbl>
    <w:p w14:paraId="52A2DF5F" w14:textId="45D8B2AD" w:rsidR="00485DC4" w:rsidRPr="00645B9A" w:rsidRDefault="00E877A1" w:rsidP="00485DC4">
      <w:pPr>
        <w:rPr>
          <w:rFonts w:ascii="Calibri" w:eastAsia="Times New Roman" w:hAnsi="Calibri" w:cs="Calibri"/>
          <w:color w:val="0563C1"/>
          <w:sz w:val="22"/>
          <w:szCs w:val="22"/>
          <w:u w:val="single"/>
        </w:rPr>
      </w:pPr>
      <w:bookmarkStart w:id="8" w:name="Sheet2"/>
      <w:bookmarkEnd w:id="8"/>
      <w:r>
        <w:rPr>
          <w:noProof/>
        </w:rPr>
        <mc:AlternateContent>
          <mc:Choice Requires="wps">
            <w:drawing>
              <wp:anchor distT="0" distB="0" distL="114300" distR="114300" simplePos="0" relativeHeight="251662336" behindDoc="0" locked="0" layoutInCell="1" allowOverlap="1" wp14:anchorId="42E575A4" wp14:editId="0DAAC8B5">
                <wp:simplePos x="0" y="0"/>
                <wp:positionH relativeFrom="margin">
                  <wp:align>left</wp:align>
                </wp:positionH>
                <wp:positionV relativeFrom="paragraph">
                  <wp:posOffset>5928360</wp:posOffset>
                </wp:positionV>
                <wp:extent cx="10991850" cy="485775"/>
                <wp:effectExtent l="0" t="0" r="0" b="9525"/>
                <wp:wrapNone/>
                <wp:docPr id="812903019" name="Text Box 1"/>
                <wp:cNvGraphicFramePr/>
                <a:graphic xmlns:a="http://schemas.openxmlformats.org/drawingml/2006/main">
                  <a:graphicData uri="http://schemas.microsoft.com/office/word/2010/wordprocessingShape">
                    <wps:wsp>
                      <wps:cNvSpPr txBox="1"/>
                      <wps:spPr>
                        <a:xfrm>
                          <a:off x="0" y="0"/>
                          <a:ext cx="10991850" cy="485775"/>
                        </a:xfrm>
                        <a:prstGeom prst="rect">
                          <a:avLst/>
                        </a:prstGeom>
                        <a:solidFill>
                          <a:schemeClr val="lt1"/>
                        </a:solidFill>
                        <a:ln w="6350">
                          <a:noFill/>
                        </a:ln>
                      </wps:spPr>
                      <wps:txbx>
                        <w:txbxContent>
                          <w:p w14:paraId="1E511FCA" w14:textId="37573352" w:rsidR="00E877A1" w:rsidRDefault="00E877A1">
                            <w:r w:rsidRPr="00E877A1">
                              <w:t>Note: The table is not meant to be all-encompassing and should only be used as a resource. The table covers most common scenarios. Contact TDOT for more Information if your scenario is not listed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75A4" id="Text Box 1" o:spid="_x0000_s1028" type="#_x0000_t202" style="position:absolute;margin-left:0;margin-top:466.8pt;width:865.5pt;height:38.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" fillcolor="white [3201]" stroked="f" strokeweight=".5pt">
                <v:textbox>
                  <w:txbxContent>
                    <w:p w14:paraId="1E511FCA" w14:textId="37573352" w:rsidR="00E877A1" w:rsidRDefault="00E877A1">
                      <w:r w:rsidRPr="00E877A1">
                        <w:t>Note: The table is not meant to be all-encompassing and should only be used as a resource. The table covers most common scenarios. Contact TDOT for more Information if your scenario is not listed above.</w:t>
                      </w:r>
                    </w:p>
                  </w:txbxContent>
                </v:textbox>
                <w10:wrap anchorx="margin"/>
              </v:shape>
            </w:pict>
          </mc:Fallback>
        </mc:AlternateContent>
      </w:r>
      <w:r w:rsidR="00485DC4">
        <w:tab/>
      </w:r>
      <w:r w:rsidR="00485DC4">
        <w:tab/>
      </w:r>
      <w:r w:rsidR="00485DC4">
        <w:tab/>
      </w:r>
      <w:r w:rsidR="00485DC4">
        <w:tab/>
      </w:r>
      <w:r w:rsidR="00485DC4">
        <w:tab/>
      </w:r>
      <w:r w:rsidR="00485DC4">
        <w:tab/>
      </w:r>
      <w:r w:rsidR="00485DC4">
        <w:tab/>
      </w:r>
      <w:r w:rsidR="00485DC4">
        <w:tab/>
        <w:t xml:space="preserve">              </w:t>
      </w:r>
      <w:r w:rsidR="00485DC4">
        <w:rPr>
          <w:vertAlign w:val="superscript"/>
        </w:rPr>
        <w:t xml:space="preserve">   </w:t>
      </w:r>
      <w:hyperlink r:id="rId19" w:history="1">
        <w:r w:rsidR="00485DC4" w:rsidRPr="00210CD1">
          <w:rPr>
            <w:rFonts w:ascii="Calibri" w:eastAsia="Times New Roman" w:hAnsi="Calibri" w:cs="Calibri"/>
            <w:color w:val="E36C0A" w:themeColor="accent6" w:themeShade="BF"/>
            <w:sz w:val="22"/>
            <w:szCs w:val="22"/>
            <w:u w:val="single"/>
            <w:vertAlign w:val="superscript"/>
          </w:rPr>
          <w:t>Example Packet</w:t>
        </w:r>
      </w:hyperlink>
      <w:r w:rsidR="00485DC4" w:rsidRPr="00210CD1">
        <w:rPr>
          <w:rFonts w:ascii="Calibri" w:eastAsia="Times New Roman" w:hAnsi="Calibri" w:cs="Calibri"/>
          <w:color w:val="E36C0A" w:themeColor="accent6" w:themeShade="BF"/>
          <w:sz w:val="22"/>
          <w:szCs w:val="22"/>
          <w:vertAlign w:val="superscript"/>
        </w:rPr>
        <w:t xml:space="preserve">                    </w:t>
      </w:r>
      <w:hyperlink r:id="rId20" w:history="1">
        <w:r w:rsidR="00485DC4" w:rsidRPr="00210CD1">
          <w:rPr>
            <w:rFonts w:ascii="Calibri" w:eastAsia="Times New Roman" w:hAnsi="Calibri" w:cs="Calibri"/>
            <w:color w:val="E36C0A" w:themeColor="accent6" w:themeShade="BF"/>
            <w:sz w:val="22"/>
            <w:szCs w:val="22"/>
            <w:u w:val="single"/>
            <w:vertAlign w:val="superscript"/>
          </w:rPr>
          <w:t>Example Packet</w:t>
        </w:r>
      </w:hyperlink>
      <w:r w:rsidR="00485DC4" w:rsidRPr="00210CD1">
        <w:rPr>
          <w:rFonts w:ascii="Calibri" w:eastAsia="Times New Roman" w:hAnsi="Calibri" w:cs="Calibri"/>
          <w:color w:val="E36C0A" w:themeColor="accent6" w:themeShade="BF"/>
          <w:sz w:val="22"/>
          <w:szCs w:val="22"/>
          <w:vertAlign w:val="superscript"/>
        </w:rPr>
        <w:t xml:space="preserve">                                          </w:t>
      </w:r>
      <w:hyperlink r:id="rId21" w:history="1">
        <w:r w:rsidR="00485DC4" w:rsidRPr="00210CD1">
          <w:rPr>
            <w:rFonts w:ascii="Calibri" w:eastAsia="Times New Roman" w:hAnsi="Calibri" w:cs="Calibri"/>
            <w:color w:val="E36C0A" w:themeColor="accent6" w:themeShade="BF"/>
            <w:sz w:val="22"/>
            <w:szCs w:val="22"/>
            <w:u w:val="single"/>
            <w:vertAlign w:val="superscript"/>
          </w:rPr>
          <w:t>Example Packet</w:t>
        </w:r>
      </w:hyperlink>
      <w:r w:rsidR="00485DC4" w:rsidRPr="00210CD1">
        <w:rPr>
          <w:rFonts w:ascii="Calibri" w:eastAsia="Times New Roman" w:hAnsi="Calibri" w:cs="Calibri"/>
          <w:color w:val="E36C0A" w:themeColor="accent6" w:themeShade="BF"/>
          <w:sz w:val="22"/>
          <w:szCs w:val="22"/>
          <w:vertAlign w:val="superscript"/>
        </w:rPr>
        <w:t xml:space="preserve">       </w:t>
      </w:r>
      <w:hyperlink r:id="rId22" w:history="1">
        <w:r w:rsidR="00485DC4" w:rsidRPr="00210CD1">
          <w:rPr>
            <w:rStyle w:val="Hyperlink"/>
            <w:rFonts w:ascii="Calibri" w:eastAsia="Times New Roman" w:hAnsi="Calibri" w:cs="Calibri"/>
            <w:color w:val="E36C0A" w:themeColor="accent6" w:themeShade="BF"/>
            <w:sz w:val="22"/>
            <w:szCs w:val="22"/>
            <w:vertAlign w:val="superscript"/>
          </w:rPr>
          <w:t>Example Packet</w:t>
        </w:r>
      </w:hyperlink>
      <w:r w:rsidR="00485DC4" w:rsidRPr="00210CD1">
        <w:rPr>
          <w:rFonts w:ascii="Calibri" w:eastAsia="Times New Roman" w:hAnsi="Calibri" w:cs="Calibri"/>
          <w:color w:val="E36C0A" w:themeColor="accent6" w:themeShade="BF"/>
          <w:sz w:val="22"/>
          <w:szCs w:val="22"/>
          <w:vertAlign w:val="superscript"/>
        </w:rPr>
        <w:t xml:space="preserve">          </w:t>
      </w:r>
      <w:hyperlink r:id="rId23" w:history="1">
        <w:r w:rsidR="00485DC4" w:rsidRPr="00210CD1">
          <w:rPr>
            <w:rStyle w:val="Hyperlink"/>
            <w:rFonts w:ascii="Calibri" w:eastAsia="Times New Roman" w:hAnsi="Calibri" w:cs="Calibri"/>
            <w:color w:val="E36C0A" w:themeColor="accent6" w:themeShade="BF"/>
            <w:sz w:val="22"/>
            <w:szCs w:val="22"/>
            <w:vertAlign w:val="superscript"/>
          </w:rPr>
          <w:t>Example Packet</w:t>
        </w:r>
      </w:hyperlink>
      <w:r w:rsidR="00485DC4" w:rsidRPr="00210CD1">
        <w:rPr>
          <w:rFonts w:ascii="Calibri" w:eastAsia="Times New Roman" w:hAnsi="Calibri" w:cs="Calibri"/>
          <w:color w:val="E36C0A" w:themeColor="accent6" w:themeShade="BF"/>
          <w:sz w:val="22"/>
          <w:szCs w:val="22"/>
          <w:vertAlign w:val="superscript"/>
        </w:rPr>
        <w:t xml:space="preserve">                  </w:t>
      </w:r>
      <w:hyperlink r:id="rId24" w:history="1">
        <w:r w:rsidR="00485DC4" w:rsidRPr="00210CD1">
          <w:rPr>
            <w:rFonts w:ascii="Calibri" w:eastAsia="Times New Roman" w:hAnsi="Calibri" w:cs="Calibri"/>
            <w:color w:val="E36C0A" w:themeColor="accent6" w:themeShade="BF"/>
            <w:sz w:val="22"/>
            <w:szCs w:val="22"/>
            <w:u w:val="single"/>
            <w:vertAlign w:val="superscript"/>
          </w:rPr>
          <w:t>Example Packet</w:t>
        </w:r>
      </w:hyperlink>
      <w:r w:rsidR="00485DC4" w:rsidRPr="00210CD1">
        <w:rPr>
          <w:rFonts w:ascii="Calibri" w:eastAsia="Times New Roman" w:hAnsi="Calibri" w:cs="Calibri"/>
          <w:color w:val="E36C0A" w:themeColor="accent6" w:themeShade="BF"/>
          <w:sz w:val="22"/>
          <w:szCs w:val="22"/>
          <w:vertAlign w:val="superscript"/>
        </w:rPr>
        <w:t xml:space="preserve">         </w:t>
      </w:r>
      <w:hyperlink r:id="rId25" w:history="1">
        <w:r w:rsidR="00485DC4" w:rsidRPr="00210CD1">
          <w:rPr>
            <w:rFonts w:ascii="Calibri" w:eastAsia="Times New Roman" w:hAnsi="Calibri" w:cs="Calibri"/>
            <w:color w:val="E36C0A" w:themeColor="accent6" w:themeShade="BF"/>
            <w:sz w:val="22"/>
            <w:szCs w:val="22"/>
            <w:u w:val="single"/>
            <w:vertAlign w:val="superscript"/>
          </w:rPr>
          <w:t>Example Packet</w:t>
        </w:r>
      </w:hyperlink>
      <w:r w:rsidR="00485DC4" w:rsidRPr="00210CD1">
        <w:rPr>
          <w:rFonts w:ascii="Calibri" w:eastAsia="Times New Roman" w:hAnsi="Calibri" w:cs="Calibri"/>
          <w:color w:val="E36C0A" w:themeColor="accent6" w:themeShade="BF"/>
          <w:sz w:val="22"/>
          <w:szCs w:val="22"/>
          <w:vertAlign w:val="superscript"/>
        </w:rPr>
        <w:t xml:space="preserve">          </w:t>
      </w:r>
      <w:hyperlink r:id="rId26" w:history="1">
        <w:r w:rsidR="00485DC4" w:rsidRPr="00210CD1">
          <w:rPr>
            <w:rFonts w:ascii="Calibri" w:eastAsia="Times New Roman" w:hAnsi="Calibri" w:cs="Calibri"/>
            <w:color w:val="E36C0A" w:themeColor="accent6" w:themeShade="BF"/>
            <w:sz w:val="22"/>
            <w:szCs w:val="22"/>
            <w:u w:val="single"/>
            <w:vertAlign w:val="superscript"/>
          </w:rPr>
          <w:t>Example Packet</w:t>
        </w:r>
      </w:hyperlink>
    </w:p>
    <w:p w14:paraId="420CC034" w14:textId="47D520E4" w:rsidR="001618D3" w:rsidRPr="001618D3" w:rsidRDefault="001618D3" w:rsidP="00485DC4">
      <w:pPr>
        <w:pStyle w:val="BodyText"/>
        <w:spacing w:line="360" w:lineRule="auto"/>
        <w:ind w:right="250"/>
        <w:rPr>
          <w:u w:val="single"/>
        </w:rPr>
      </w:pPr>
      <w:r w:rsidRPr="001618D3">
        <w:rPr>
          <w:u w:val="single"/>
        </w:rPr>
        <w:lastRenderedPageBreak/>
        <w:t>Table Footnotes:</w:t>
      </w:r>
    </w:p>
    <w:p w14:paraId="09A33603" w14:textId="77777777" w:rsidR="001618D3" w:rsidRDefault="001618D3" w:rsidP="005A6042">
      <w:pPr>
        <w:pStyle w:val="BodyText"/>
        <w:spacing w:line="360" w:lineRule="auto"/>
        <w:ind w:left="200" w:right="250"/>
      </w:pPr>
    </w:p>
    <w:p w14:paraId="0B5B34C7" w14:textId="77777777" w:rsidR="00C54EBB" w:rsidRPr="00485DC4" w:rsidRDefault="00C54EBB" w:rsidP="00C54EBB">
      <w:pPr>
        <w:pStyle w:val="BodyText"/>
        <w:spacing w:line="360" w:lineRule="auto"/>
        <w:ind w:right="250" w:firstLine="200"/>
        <w:rPr>
          <w:b/>
          <w:bCs/>
        </w:rPr>
      </w:pPr>
      <w:r w:rsidRPr="001618D3">
        <w:rPr>
          <w:b/>
          <w:bCs/>
        </w:rPr>
        <w:t>*As Needed or only required if TDOT Aeronautics is not in receipt of the deliverable obtained</w:t>
      </w:r>
      <w:r>
        <w:rPr>
          <w:b/>
          <w:bCs/>
        </w:rPr>
        <w:t>.</w:t>
      </w:r>
    </w:p>
    <w:p w14:paraId="2A96F97A" w14:textId="77777777" w:rsidR="00C54EBB" w:rsidRDefault="00C54EBB" w:rsidP="005A6042">
      <w:pPr>
        <w:pStyle w:val="BodyText"/>
        <w:spacing w:line="360" w:lineRule="auto"/>
        <w:ind w:left="200" w:right="250"/>
      </w:pPr>
    </w:p>
    <w:p w14:paraId="56DDF84E" w14:textId="76809932" w:rsidR="005A6042" w:rsidRDefault="005A6042" w:rsidP="005A6042">
      <w:pPr>
        <w:pStyle w:val="BodyText"/>
        <w:spacing w:line="360" w:lineRule="auto"/>
        <w:ind w:left="200" w:right="250"/>
      </w:pPr>
      <w:r>
        <w:t xml:space="preserve">1. </w:t>
      </w:r>
      <w:r w:rsidR="001A547E">
        <w:t>This can be a receipt, bank statement, copy of check, or other document that verifies a payment. Please ensure sensitive TAX ID/Account is redacted.</w:t>
      </w:r>
      <w:r w:rsidR="001A547E">
        <w:tab/>
      </w:r>
      <w:r>
        <w:tab/>
      </w:r>
      <w:r>
        <w:tab/>
      </w:r>
      <w:r>
        <w:tab/>
      </w:r>
    </w:p>
    <w:p w14:paraId="1C8BA83F" w14:textId="1E113BA0" w:rsidR="005A6042" w:rsidRDefault="005A6042" w:rsidP="003E57D7">
      <w:pPr>
        <w:pStyle w:val="BodyText"/>
        <w:spacing w:line="360" w:lineRule="auto"/>
        <w:ind w:left="450" w:right="250" w:hanging="250"/>
      </w:pPr>
      <w:r>
        <w:t xml:space="preserve">2. </w:t>
      </w:r>
      <w:r w:rsidR="001A547E">
        <w:t>This could also be an avigation or other easement, as applicable.</w:t>
      </w:r>
      <w:r>
        <w:tab/>
      </w:r>
      <w:r>
        <w:tab/>
      </w:r>
      <w:r>
        <w:tab/>
      </w:r>
    </w:p>
    <w:p w14:paraId="7DD5DA06" w14:textId="58DDA6E9" w:rsidR="001A547E" w:rsidRDefault="005A6042" w:rsidP="003E57D7">
      <w:pPr>
        <w:pStyle w:val="BodyText"/>
        <w:spacing w:line="360" w:lineRule="auto"/>
        <w:ind w:left="450" w:right="250" w:hanging="250"/>
      </w:pPr>
      <w:r>
        <w:t>3.</w:t>
      </w:r>
      <w:r w:rsidR="001A547E">
        <w:t xml:space="preserve"> </w:t>
      </w:r>
      <w:r w:rsidR="001A547E" w:rsidRPr="009E2B49">
        <w:t>Refer to applicable ALP Pay Provisions on the TAD website for more detail on what is required with your submission.</w:t>
      </w:r>
      <w:r w:rsidR="001A547E">
        <w:t xml:space="preserve"> </w:t>
      </w:r>
    </w:p>
    <w:p w14:paraId="3F101A64" w14:textId="77777777" w:rsidR="005A59F9" w:rsidRDefault="005A6042" w:rsidP="005A59F9">
      <w:pPr>
        <w:pStyle w:val="BodyText"/>
        <w:spacing w:line="360" w:lineRule="auto"/>
        <w:ind w:left="450" w:right="250" w:hanging="250"/>
      </w:pPr>
      <w:r>
        <w:t xml:space="preserve">4. </w:t>
      </w:r>
      <w:r w:rsidR="005A59F9">
        <w:t xml:space="preserve">Federal Construction contracts that exceed $2,000 have certified payrolls submitted with the project invoices. Additionally, DBE/Subcontractor commitment is required and submit the </w:t>
      </w:r>
      <w:hyperlink r:id="rId27" w:history="1">
        <w:r w:rsidR="005A59F9" w:rsidRPr="001618D3">
          <w:rPr>
            <w:rStyle w:val="Hyperlink"/>
          </w:rPr>
          <w:t>Contract Commitments/Awards and Payments Report</w:t>
        </w:r>
      </w:hyperlink>
      <w:r w:rsidR="005A59F9">
        <w:t>.</w:t>
      </w:r>
    </w:p>
    <w:p w14:paraId="67D13C40" w14:textId="5F1C618E" w:rsidR="005A59F9" w:rsidRDefault="005A59F9" w:rsidP="005A59F9">
      <w:pPr>
        <w:pStyle w:val="BodyText"/>
        <w:spacing w:line="360" w:lineRule="auto"/>
        <w:ind w:left="450" w:right="250" w:hanging="250"/>
      </w:pPr>
      <w:r>
        <w:t>5. For documentation purposes and as applicable, submit the fully executed change order/supplemental agreement(s) with the accompanying invoice(s). If invoice required procedures like, for example, stored materials or bituminous/fuel indexing, attach the supporting documentation.</w:t>
      </w:r>
    </w:p>
    <w:p w14:paraId="2C608604" w14:textId="65330F37" w:rsidR="009E2B49" w:rsidRDefault="005A59F9" w:rsidP="005A59F9">
      <w:pPr>
        <w:pStyle w:val="BodyText"/>
        <w:spacing w:line="360" w:lineRule="auto"/>
        <w:ind w:left="450" w:right="250" w:hanging="250"/>
      </w:pPr>
      <w:r>
        <w:t>6. This might be invoices for project advertisements, project legal expenses, Independent Fee Reviews, Audit Fees, or any project invoices that the Airport Sponsor is managing independently. For FAA Reimbursable Agreements (RA), the Sponsor should pay the invoice first and understand that the FAA may give money back or charge more at the end of the project. Sponsor must read the terms of the agreement and work with TAD on proper invoicing procedure. Common RAs are FAA Commissioning Flight Checks and Special Studies (like ATC Siting).</w:t>
      </w:r>
      <w:r>
        <w:tab/>
      </w:r>
    </w:p>
    <w:p w14:paraId="23849067" w14:textId="41461546" w:rsidR="008038FD" w:rsidRDefault="009E2B49" w:rsidP="005A59F9">
      <w:pPr>
        <w:pStyle w:val="BodyText"/>
        <w:spacing w:line="360" w:lineRule="auto"/>
        <w:ind w:left="450" w:right="250" w:hanging="250"/>
      </w:pPr>
      <w:r>
        <w:t>7.</w:t>
      </w:r>
      <w:r w:rsidR="005A6042">
        <w:tab/>
      </w:r>
      <w:r w:rsidR="008038FD">
        <w:t>This is a specialized grant that is different from the annual FY Maintenance Grants the airport receives. It is commonly used for equipment like tractors, mowers, &amp; bushhogs</w:t>
      </w:r>
      <w:r w:rsidR="00137FCA">
        <w:t xml:space="preserve"> </w:t>
      </w:r>
      <w:r w:rsidR="008038FD">
        <w:t>to</w:t>
      </w:r>
      <w:r w:rsidR="00137FCA">
        <w:t xml:space="preserve"> </w:t>
      </w:r>
      <w:r w:rsidR="008038FD">
        <w:t>maintain airport grounds.</w:t>
      </w:r>
    </w:p>
    <w:p w14:paraId="1F63C696" w14:textId="08051F11" w:rsidR="005A59F9" w:rsidRDefault="008038FD" w:rsidP="005A59F9">
      <w:pPr>
        <w:pStyle w:val="BodyText"/>
        <w:spacing w:line="360" w:lineRule="auto"/>
        <w:ind w:left="450" w:right="250" w:hanging="250"/>
      </w:pPr>
      <w:r>
        <w:t xml:space="preserve">8. </w:t>
      </w:r>
      <w:r w:rsidR="005A59F9">
        <w:t>Typically used for architectural building projects that have many construction line items (i.e. Terminals, ATC Towers, Multi-component hangar/lean-tos., etc.)</w:t>
      </w:r>
      <w:r w:rsidR="000045AC">
        <w:t>.</w:t>
      </w:r>
      <w:r w:rsidR="005A59F9">
        <w:t xml:space="preserve"> NOT A REQUIRED FORM, BUT IT IS ALLOWED TO BE USED IN LIEU OF TAD CONTRACTOR PAYFORM.</w:t>
      </w:r>
    </w:p>
    <w:p w14:paraId="65AB5016" w14:textId="51C62A94" w:rsidR="005A6042" w:rsidRDefault="005A6042" w:rsidP="003E57D7">
      <w:pPr>
        <w:pStyle w:val="BodyText"/>
        <w:spacing w:line="360" w:lineRule="auto"/>
        <w:ind w:left="450" w:right="250" w:hanging="250"/>
      </w:pPr>
      <w:r>
        <w:tab/>
      </w:r>
      <w:r>
        <w:tab/>
      </w:r>
    </w:p>
    <w:p w14:paraId="0021497D" w14:textId="77777777" w:rsidR="00C54EBB" w:rsidRDefault="00C54EBB" w:rsidP="00485DC4">
      <w:pPr>
        <w:pStyle w:val="BodyText"/>
        <w:spacing w:line="360" w:lineRule="auto"/>
        <w:ind w:right="250" w:firstLine="200"/>
        <w:rPr>
          <w:b/>
          <w:bCs/>
        </w:rPr>
      </w:pPr>
    </w:p>
    <w:p w14:paraId="51DEB68F" w14:textId="27E34918" w:rsidR="000C253A" w:rsidRPr="00485DC4" w:rsidRDefault="000C253A" w:rsidP="00C54EBB">
      <w:pPr>
        <w:pStyle w:val="BodyText"/>
        <w:spacing w:line="360" w:lineRule="auto"/>
        <w:ind w:right="250" w:firstLine="200"/>
        <w:rPr>
          <w:b/>
          <w:bCs/>
        </w:rPr>
      </w:pPr>
    </w:p>
    <w:sectPr w:rsidR="000C253A" w:rsidRPr="00485DC4" w:rsidSect="001C4604">
      <w:headerReference w:type="default" r:id="rId28"/>
      <w:footerReference w:type="default" r:id="rId29"/>
      <w:pgSz w:w="2016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6B116" w14:textId="77777777" w:rsidR="008300A9" w:rsidRDefault="008300A9" w:rsidP="00EB24AE">
      <w:pPr>
        <w:spacing w:before="0" w:after="0" w:line="240" w:lineRule="auto"/>
      </w:pPr>
      <w:r>
        <w:separator/>
      </w:r>
    </w:p>
  </w:endnote>
  <w:endnote w:type="continuationSeparator" w:id="0">
    <w:p w14:paraId="1872AFD9" w14:textId="77777777" w:rsidR="008300A9" w:rsidRDefault="008300A9" w:rsidP="00EB24AE">
      <w:pPr>
        <w:spacing w:before="0" w:after="0" w:line="240" w:lineRule="auto"/>
      </w:pPr>
      <w:r>
        <w:continuationSeparator/>
      </w:r>
    </w:p>
  </w:endnote>
  <w:endnote w:type="continuationNotice" w:id="1">
    <w:p w14:paraId="20C393F9" w14:textId="77777777" w:rsidR="008300A9" w:rsidRDefault="008300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265397"/>
      <w:docPartObj>
        <w:docPartGallery w:val="Page Numbers (Bottom of Page)"/>
        <w:docPartUnique/>
      </w:docPartObj>
    </w:sdtPr>
    <w:sdtEndPr>
      <w:rPr>
        <w:color w:val="7F7F7F" w:themeColor="background1" w:themeShade="7F"/>
        <w:spacing w:val="60"/>
      </w:rPr>
    </w:sdtEndPr>
    <w:sdtContent>
      <w:p w14:paraId="4A17DDB8" w14:textId="106266F8" w:rsidR="006F1236" w:rsidRDefault="006F1236" w:rsidP="006F123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152E6" w14:textId="77777777" w:rsidR="008300A9" w:rsidRDefault="008300A9" w:rsidP="00EB24AE">
      <w:pPr>
        <w:spacing w:before="0" w:after="0" w:line="240" w:lineRule="auto"/>
      </w:pPr>
      <w:r>
        <w:separator/>
      </w:r>
    </w:p>
  </w:footnote>
  <w:footnote w:type="continuationSeparator" w:id="0">
    <w:p w14:paraId="5786DC8A" w14:textId="77777777" w:rsidR="008300A9" w:rsidRDefault="008300A9" w:rsidP="00EB24AE">
      <w:pPr>
        <w:spacing w:before="0" w:after="0" w:line="240" w:lineRule="auto"/>
      </w:pPr>
      <w:r>
        <w:continuationSeparator/>
      </w:r>
    </w:p>
  </w:footnote>
  <w:footnote w:type="continuationNotice" w:id="1">
    <w:p w14:paraId="5F25F8B4" w14:textId="77777777" w:rsidR="008300A9" w:rsidRDefault="008300A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5CF7" w14:textId="6F65892A" w:rsidR="00EB24AE" w:rsidRDefault="00EB24AE" w:rsidP="0015770B">
    <w:pPr>
      <w:pStyle w:val="Header"/>
      <w:spacing w:line="360" w:lineRule="auto"/>
      <w:jc w:val="center"/>
    </w:pPr>
    <w:r>
      <w:rPr>
        <w:noProof/>
      </w:rPr>
      <w:drawing>
        <wp:inline distT="0" distB="0" distL="0" distR="0" wp14:anchorId="429BF406" wp14:editId="6375F38E">
          <wp:extent cx="1464487" cy="640080"/>
          <wp:effectExtent l="0" t="0" r="2540" b="7620"/>
          <wp:docPr id="384279046" name="Picture 3842790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4487" cy="640080"/>
                  </a:xfrm>
                  <a:prstGeom prst="rect">
                    <a:avLst/>
                  </a:prstGeom>
                </pic:spPr>
              </pic:pic>
            </a:graphicData>
          </a:graphic>
        </wp:inline>
      </w:drawing>
    </w:r>
    <w:r>
      <w:ptab w:relativeTo="margin" w:alignment="center" w:leader="none"/>
    </w:r>
    <w:r w:rsidR="00EF6A59">
      <w:rPr>
        <w:rFonts w:ascii="Open Sans" w:hAnsi="Open Sans" w:cs="Open Sans"/>
        <w:sz w:val="24"/>
        <w:szCs w:val="24"/>
      </w:rPr>
      <w:t>May</w:t>
    </w:r>
    <w:r w:rsidR="00705990">
      <w:rPr>
        <w:rFonts w:ascii="Open Sans" w:hAnsi="Open Sans" w:cs="Open Sans"/>
        <w:sz w:val="24"/>
        <w:szCs w:val="24"/>
      </w:rPr>
      <w:t xml:space="preserve"> </w:t>
    </w:r>
    <w:r w:rsidR="00EF6A59">
      <w:rPr>
        <w:rFonts w:ascii="Open Sans" w:hAnsi="Open Sans" w:cs="Open Sans"/>
        <w:sz w:val="24"/>
        <w:szCs w:val="24"/>
      </w:rPr>
      <w:t>30</w:t>
    </w:r>
    <w:r w:rsidRPr="004A13A7">
      <w:rPr>
        <w:rFonts w:ascii="Open Sans" w:hAnsi="Open Sans" w:cs="Open Sans"/>
        <w:sz w:val="24"/>
        <w:szCs w:val="24"/>
      </w:rPr>
      <w:t>, 202</w:t>
    </w:r>
    <w:r w:rsidR="00697299">
      <w:rPr>
        <w:rFonts w:ascii="Open Sans" w:hAnsi="Open Sans" w:cs="Open Sans"/>
        <w:sz w:val="24"/>
        <w:szCs w:val="24"/>
      </w:rPr>
      <w:t xml:space="preserve">5 </w:t>
    </w:r>
    <w:r w:rsidR="00697299" w:rsidRPr="00697299">
      <w:rPr>
        <w:rFonts w:ascii="Open Sans" w:hAnsi="Open Sans" w:cs="Open Sans"/>
        <w:color w:val="FF0000"/>
        <w:sz w:val="24"/>
        <w:szCs w:val="24"/>
      </w:rPr>
      <w:t>(Updated 2/10/2026)</w:t>
    </w:r>
    <w:r w:rsidRPr="004A13A7">
      <w:rPr>
        <w:rFonts w:ascii="Open Sans" w:hAnsi="Open Sans" w:cs="Open Sans"/>
        <w:sz w:val="24"/>
        <w:szCs w:val="24"/>
      </w:rPr>
      <w:ptab w:relativeTo="margin" w:alignment="right" w:leader="none"/>
    </w:r>
    <w:r w:rsidR="004A13A7">
      <w:rPr>
        <w:noProof/>
      </w:rPr>
      <w:drawing>
        <wp:inline distT="0" distB="0" distL="0" distR="0" wp14:anchorId="027180B7" wp14:editId="3F8ABAB5">
          <wp:extent cx="1749378" cy="640080"/>
          <wp:effectExtent l="0" t="0" r="3810" b="7620"/>
          <wp:docPr id="1231578630" name="Picture 12315786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rotWithShape="1">
                  <a:blip r:embed="rId2">
                    <a:extLst>
                      <a:ext uri="{28A0092B-C50C-407E-A947-70E740481C1C}">
                        <a14:useLocalDpi xmlns:a14="http://schemas.microsoft.com/office/drawing/2010/main" val="0"/>
                      </a:ext>
                    </a:extLst>
                  </a:blip>
                  <a:srcRect t="14516" b="12306"/>
                  <a:stretch/>
                </pic:blipFill>
                <pic:spPr bwMode="auto">
                  <a:xfrm>
                    <a:off x="0" y="0"/>
                    <a:ext cx="1749378" cy="64008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F566"/>
      </v:shape>
    </w:pict>
  </w:numPicBullet>
  <w:abstractNum w:abstractNumId="0" w15:restartNumberingAfterBreak="0">
    <w:nsid w:val="009627AC"/>
    <w:multiLevelType w:val="hybridMultilevel"/>
    <w:tmpl w:val="58DA194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7F607C"/>
    <w:multiLevelType w:val="hybridMultilevel"/>
    <w:tmpl w:val="1D8E4C38"/>
    <w:lvl w:ilvl="0" w:tplc="09B82A90">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27F80"/>
    <w:multiLevelType w:val="hybridMultilevel"/>
    <w:tmpl w:val="9F20F892"/>
    <w:lvl w:ilvl="0" w:tplc="0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C693E5B"/>
    <w:multiLevelType w:val="hybridMultilevel"/>
    <w:tmpl w:val="C246ACD8"/>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5593694"/>
    <w:multiLevelType w:val="hybridMultilevel"/>
    <w:tmpl w:val="390E5A64"/>
    <w:lvl w:ilvl="0" w:tplc="26A4AA2C">
      <w:numFmt w:val="bullet"/>
      <w:lvlText w:val=""/>
      <w:lvlJc w:val="left"/>
      <w:pPr>
        <w:ind w:left="919" w:hanging="360"/>
      </w:pPr>
      <w:rPr>
        <w:rFonts w:ascii="Wingdings" w:eastAsia="Wingdings" w:hAnsi="Wingdings" w:cs="Wingdings" w:hint="default"/>
        <w:b w:val="0"/>
        <w:bCs w:val="0"/>
        <w:i w:val="0"/>
        <w:iCs w:val="0"/>
        <w:spacing w:val="0"/>
        <w:w w:val="100"/>
        <w:sz w:val="22"/>
        <w:szCs w:val="22"/>
        <w:lang w:val="en-US" w:eastAsia="en-US" w:bidi="ar-SA"/>
      </w:rPr>
    </w:lvl>
    <w:lvl w:ilvl="1" w:tplc="CA802F88">
      <w:numFmt w:val="bullet"/>
      <w:lvlText w:val="o"/>
      <w:lvlJc w:val="left"/>
      <w:pPr>
        <w:ind w:left="1640" w:hanging="361"/>
      </w:pPr>
      <w:rPr>
        <w:rFonts w:ascii="Courier New" w:eastAsia="Courier New" w:hAnsi="Courier New" w:cs="Courier New" w:hint="default"/>
        <w:b w:val="0"/>
        <w:bCs w:val="0"/>
        <w:i w:val="0"/>
        <w:iCs w:val="0"/>
        <w:spacing w:val="0"/>
        <w:w w:val="100"/>
        <w:sz w:val="22"/>
        <w:szCs w:val="22"/>
        <w:lang w:val="en-US" w:eastAsia="en-US" w:bidi="ar-SA"/>
      </w:rPr>
    </w:lvl>
    <w:lvl w:ilvl="2" w:tplc="FFB08DB2">
      <w:numFmt w:val="bullet"/>
      <w:lvlText w:val="•"/>
      <w:lvlJc w:val="left"/>
      <w:pPr>
        <w:ind w:left="2702" w:hanging="361"/>
      </w:pPr>
      <w:rPr>
        <w:rFonts w:hint="default"/>
        <w:lang w:val="en-US" w:eastAsia="en-US" w:bidi="ar-SA"/>
      </w:rPr>
    </w:lvl>
    <w:lvl w:ilvl="3" w:tplc="6CD0E310">
      <w:numFmt w:val="bullet"/>
      <w:lvlText w:val="•"/>
      <w:lvlJc w:val="left"/>
      <w:pPr>
        <w:ind w:left="3764" w:hanging="361"/>
      </w:pPr>
      <w:rPr>
        <w:rFonts w:hint="default"/>
        <w:lang w:val="en-US" w:eastAsia="en-US" w:bidi="ar-SA"/>
      </w:rPr>
    </w:lvl>
    <w:lvl w:ilvl="4" w:tplc="657A71B6">
      <w:numFmt w:val="bullet"/>
      <w:lvlText w:val="•"/>
      <w:lvlJc w:val="left"/>
      <w:pPr>
        <w:ind w:left="4826" w:hanging="361"/>
      </w:pPr>
      <w:rPr>
        <w:rFonts w:hint="default"/>
        <w:lang w:val="en-US" w:eastAsia="en-US" w:bidi="ar-SA"/>
      </w:rPr>
    </w:lvl>
    <w:lvl w:ilvl="5" w:tplc="DA06BF6A">
      <w:numFmt w:val="bullet"/>
      <w:lvlText w:val="•"/>
      <w:lvlJc w:val="left"/>
      <w:pPr>
        <w:ind w:left="5888" w:hanging="361"/>
      </w:pPr>
      <w:rPr>
        <w:rFonts w:hint="default"/>
        <w:lang w:val="en-US" w:eastAsia="en-US" w:bidi="ar-SA"/>
      </w:rPr>
    </w:lvl>
    <w:lvl w:ilvl="6" w:tplc="ECA05A20">
      <w:numFmt w:val="bullet"/>
      <w:lvlText w:val="•"/>
      <w:lvlJc w:val="left"/>
      <w:pPr>
        <w:ind w:left="6951" w:hanging="361"/>
      </w:pPr>
      <w:rPr>
        <w:rFonts w:hint="default"/>
        <w:lang w:val="en-US" w:eastAsia="en-US" w:bidi="ar-SA"/>
      </w:rPr>
    </w:lvl>
    <w:lvl w:ilvl="7" w:tplc="F82E88EA">
      <w:numFmt w:val="bullet"/>
      <w:lvlText w:val="•"/>
      <w:lvlJc w:val="left"/>
      <w:pPr>
        <w:ind w:left="8013" w:hanging="361"/>
      </w:pPr>
      <w:rPr>
        <w:rFonts w:hint="default"/>
        <w:lang w:val="en-US" w:eastAsia="en-US" w:bidi="ar-SA"/>
      </w:rPr>
    </w:lvl>
    <w:lvl w:ilvl="8" w:tplc="FC32CB1C">
      <w:numFmt w:val="bullet"/>
      <w:lvlText w:val="•"/>
      <w:lvlJc w:val="left"/>
      <w:pPr>
        <w:ind w:left="9075" w:hanging="361"/>
      </w:pPr>
      <w:rPr>
        <w:rFonts w:hint="default"/>
        <w:lang w:val="en-US" w:eastAsia="en-US" w:bidi="ar-SA"/>
      </w:rPr>
    </w:lvl>
  </w:abstractNum>
  <w:abstractNum w:abstractNumId="5" w15:restartNumberingAfterBreak="0">
    <w:nsid w:val="17072292"/>
    <w:multiLevelType w:val="hybridMultilevel"/>
    <w:tmpl w:val="F608534E"/>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15:restartNumberingAfterBreak="0">
    <w:nsid w:val="1A1B4323"/>
    <w:multiLevelType w:val="hybridMultilevel"/>
    <w:tmpl w:val="D0C6E804"/>
    <w:lvl w:ilvl="0" w:tplc="8B801556">
      <w:numFmt w:val="bullet"/>
      <w:lvlText w:val="o"/>
      <w:lvlJc w:val="left"/>
      <w:pPr>
        <w:ind w:left="920" w:hanging="361"/>
      </w:pPr>
      <w:rPr>
        <w:rFonts w:ascii="Courier New" w:eastAsia="Courier New" w:hAnsi="Courier New" w:cs="Courier New" w:hint="default"/>
        <w:b w:val="0"/>
        <w:bCs w:val="0"/>
        <w:i w:val="0"/>
        <w:iCs w:val="0"/>
        <w:spacing w:val="0"/>
        <w:w w:val="100"/>
        <w:sz w:val="22"/>
        <w:szCs w:val="22"/>
        <w:lang w:val="en-US" w:eastAsia="en-US" w:bidi="ar-SA"/>
      </w:rPr>
    </w:lvl>
    <w:lvl w:ilvl="1" w:tplc="F3B40732">
      <w:numFmt w:val="bullet"/>
      <w:lvlText w:val="•"/>
      <w:lvlJc w:val="left"/>
      <w:pPr>
        <w:ind w:left="1948" w:hanging="361"/>
      </w:pPr>
      <w:rPr>
        <w:rFonts w:hint="default"/>
        <w:lang w:val="en-US" w:eastAsia="en-US" w:bidi="ar-SA"/>
      </w:rPr>
    </w:lvl>
    <w:lvl w:ilvl="2" w:tplc="8A100E1A">
      <w:numFmt w:val="bullet"/>
      <w:lvlText w:val="•"/>
      <w:lvlJc w:val="left"/>
      <w:pPr>
        <w:ind w:left="2976" w:hanging="361"/>
      </w:pPr>
      <w:rPr>
        <w:rFonts w:hint="default"/>
        <w:lang w:val="en-US" w:eastAsia="en-US" w:bidi="ar-SA"/>
      </w:rPr>
    </w:lvl>
    <w:lvl w:ilvl="3" w:tplc="61DCBA6C">
      <w:numFmt w:val="bullet"/>
      <w:lvlText w:val="•"/>
      <w:lvlJc w:val="left"/>
      <w:pPr>
        <w:ind w:left="4004" w:hanging="361"/>
      </w:pPr>
      <w:rPr>
        <w:rFonts w:hint="default"/>
        <w:lang w:val="en-US" w:eastAsia="en-US" w:bidi="ar-SA"/>
      </w:rPr>
    </w:lvl>
    <w:lvl w:ilvl="4" w:tplc="6C12507A">
      <w:numFmt w:val="bullet"/>
      <w:lvlText w:val="•"/>
      <w:lvlJc w:val="left"/>
      <w:pPr>
        <w:ind w:left="5032" w:hanging="361"/>
      </w:pPr>
      <w:rPr>
        <w:rFonts w:hint="default"/>
        <w:lang w:val="en-US" w:eastAsia="en-US" w:bidi="ar-SA"/>
      </w:rPr>
    </w:lvl>
    <w:lvl w:ilvl="5" w:tplc="CC2666D4">
      <w:numFmt w:val="bullet"/>
      <w:lvlText w:val="•"/>
      <w:lvlJc w:val="left"/>
      <w:pPr>
        <w:ind w:left="6060" w:hanging="361"/>
      </w:pPr>
      <w:rPr>
        <w:rFonts w:hint="default"/>
        <w:lang w:val="en-US" w:eastAsia="en-US" w:bidi="ar-SA"/>
      </w:rPr>
    </w:lvl>
    <w:lvl w:ilvl="6" w:tplc="598E02B0">
      <w:numFmt w:val="bullet"/>
      <w:lvlText w:val="•"/>
      <w:lvlJc w:val="left"/>
      <w:pPr>
        <w:ind w:left="7088" w:hanging="361"/>
      </w:pPr>
      <w:rPr>
        <w:rFonts w:hint="default"/>
        <w:lang w:val="en-US" w:eastAsia="en-US" w:bidi="ar-SA"/>
      </w:rPr>
    </w:lvl>
    <w:lvl w:ilvl="7" w:tplc="5E40389E">
      <w:numFmt w:val="bullet"/>
      <w:lvlText w:val="•"/>
      <w:lvlJc w:val="left"/>
      <w:pPr>
        <w:ind w:left="8116" w:hanging="361"/>
      </w:pPr>
      <w:rPr>
        <w:rFonts w:hint="default"/>
        <w:lang w:val="en-US" w:eastAsia="en-US" w:bidi="ar-SA"/>
      </w:rPr>
    </w:lvl>
    <w:lvl w:ilvl="8" w:tplc="72AC95EE">
      <w:numFmt w:val="bullet"/>
      <w:lvlText w:val="•"/>
      <w:lvlJc w:val="left"/>
      <w:pPr>
        <w:ind w:left="9144" w:hanging="361"/>
      </w:pPr>
      <w:rPr>
        <w:rFonts w:hint="default"/>
        <w:lang w:val="en-US" w:eastAsia="en-US" w:bidi="ar-SA"/>
      </w:rPr>
    </w:lvl>
  </w:abstractNum>
  <w:abstractNum w:abstractNumId="7" w15:restartNumberingAfterBreak="0">
    <w:nsid w:val="22635E45"/>
    <w:multiLevelType w:val="hybridMultilevel"/>
    <w:tmpl w:val="9D2ABBCE"/>
    <w:lvl w:ilvl="0" w:tplc="0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2752239"/>
    <w:multiLevelType w:val="hybridMultilevel"/>
    <w:tmpl w:val="A91C2E72"/>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3FF25CD"/>
    <w:multiLevelType w:val="hybridMultilevel"/>
    <w:tmpl w:val="80D84E56"/>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A69276C"/>
    <w:multiLevelType w:val="hybridMultilevel"/>
    <w:tmpl w:val="3AF400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806D09"/>
    <w:multiLevelType w:val="hybridMultilevel"/>
    <w:tmpl w:val="89DE6F1E"/>
    <w:lvl w:ilvl="0" w:tplc="458A5692">
      <w:start w:val="1"/>
      <w:numFmt w:val="decimal"/>
      <w:lvlText w:val="%1."/>
      <w:lvlJc w:val="left"/>
      <w:pPr>
        <w:ind w:left="1280" w:hanging="361"/>
      </w:pPr>
      <w:rPr>
        <w:rFonts w:ascii="Calibri" w:eastAsia="Calibri" w:hAnsi="Calibri" w:cs="Calibri" w:hint="default"/>
        <w:b/>
        <w:bCs/>
        <w:i w:val="0"/>
        <w:iCs w:val="0"/>
        <w:spacing w:val="0"/>
        <w:w w:val="100"/>
        <w:sz w:val="16"/>
        <w:szCs w:val="16"/>
        <w:lang w:val="en-US" w:eastAsia="en-US" w:bidi="ar-SA"/>
      </w:rPr>
    </w:lvl>
    <w:lvl w:ilvl="1" w:tplc="AC10633C">
      <w:numFmt w:val="bullet"/>
      <w:lvlText w:val="•"/>
      <w:lvlJc w:val="left"/>
      <w:pPr>
        <w:ind w:left="2272" w:hanging="361"/>
      </w:pPr>
      <w:rPr>
        <w:rFonts w:hint="default"/>
        <w:lang w:val="en-US" w:eastAsia="en-US" w:bidi="ar-SA"/>
      </w:rPr>
    </w:lvl>
    <w:lvl w:ilvl="2" w:tplc="5A6E8854">
      <w:numFmt w:val="bullet"/>
      <w:lvlText w:val="•"/>
      <w:lvlJc w:val="left"/>
      <w:pPr>
        <w:ind w:left="3264" w:hanging="361"/>
      </w:pPr>
      <w:rPr>
        <w:rFonts w:hint="default"/>
        <w:lang w:val="en-US" w:eastAsia="en-US" w:bidi="ar-SA"/>
      </w:rPr>
    </w:lvl>
    <w:lvl w:ilvl="3" w:tplc="6B94A710">
      <w:numFmt w:val="bullet"/>
      <w:lvlText w:val="•"/>
      <w:lvlJc w:val="left"/>
      <w:pPr>
        <w:ind w:left="4256" w:hanging="361"/>
      </w:pPr>
      <w:rPr>
        <w:rFonts w:hint="default"/>
        <w:lang w:val="en-US" w:eastAsia="en-US" w:bidi="ar-SA"/>
      </w:rPr>
    </w:lvl>
    <w:lvl w:ilvl="4" w:tplc="C22CCA82">
      <w:numFmt w:val="bullet"/>
      <w:lvlText w:val="•"/>
      <w:lvlJc w:val="left"/>
      <w:pPr>
        <w:ind w:left="5248" w:hanging="361"/>
      </w:pPr>
      <w:rPr>
        <w:rFonts w:hint="default"/>
        <w:lang w:val="en-US" w:eastAsia="en-US" w:bidi="ar-SA"/>
      </w:rPr>
    </w:lvl>
    <w:lvl w:ilvl="5" w:tplc="6206E284">
      <w:numFmt w:val="bullet"/>
      <w:lvlText w:val="•"/>
      <w:lvlJc w:val="left"/>
      <w:pPr>
        <w:ind w:left="6240" w:hanging="361"/>
      </w:pPr>
      <w:rPr>
        <w:rFonts w:hint="default"/>
        <w:lang w:val="en-US" w:eastAsia="en-US" w:bidi="ar-SA"/>
      </w:rPr>
    </w:lvl>
    <w:lvl w:ilvl="6" w:tplc="A184D5F6">
      <w:numFmt w:val="bullet"/>
      <w:lvlText w:val="•"/>
      <w:lvlJc w:val="left"/>
      <w:pPr>
        <w:ind w:left="7232" w:hanging="361"/>
      </w:pPr>
      <w:rPr>
        <w:rFonts w:hint="default"/>
        <w:lang w:val="en-US" w:eastAsia="en-US" w:bidi="ar-SA"/>
      </w:rPr>
    </w:lvl>
    <w:lvl w:ilvl="7" w:tplc="EBC6A0BA">
      <w:numFmt w:val="bullet"/>
      <w:lvlText w:val="•"/>
      <w:lvlJc w:val="left"/>
      <w:pPr>
        <w:ind w:left="8224" w:hanging="361"/>
      </w:pPr>
      <w:rPr>
        <w:rFonts w:hint="default"/>
        <w:lang w:val="en-US" w:eastAsia="en-US" w:bidi="ar-SA"/>
      </w:rPr>
    </w:lvl>
    <w:lvl w:ilvl="8" w:tplc="A1EEA74C">
      <w:numFmt w:val="bullet"/>
      <w:lvlText w:val="•"/>
      <w:lvlJc w:val="left"/>
      <w:pPr>
        <w:ind w:left="9216" w:hanging="361"/>
      </w:pPr>
      <w:rPr>
        <w:rFonts w:hint="default"/>
        <w:lang w:val="en-US" w:eastAsia="en-US" w:bidi="ar-SA"/>
      </w:rPr>
    </w:lvl>
  </w:abstractNum>
  <w:abstractNum w:abstractNumId="12" w15:restartNumberingAfterBreak="0">
    <w:nsid w:val="31984541"/>
    <w:multiLevelType w:val="hybridMultilevel"/>
    <w:tmpl w:val="1718614A"/>
    <w:lvl w:ilvl="0" w:tplc="DBB2FE60">
      <w:start w:val="1"/>
      <w:numFmt w:val="decimal"/>
      <w:lvlText w:val="%1"/>
      <w:lvlJc w:val="left"/>
      <w:pPr>
        <w:ind w:left="1080" w:hanging="72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B43EB3"/>
    <w:multiLevelType w:val="hybridMultilevel"/>
    <w:tmpl w:val="37F2BFB6"/>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6AE6299"/>
    <w:multiLevelType w:val="hybridMultilevel"/>
    <w:tmpl w:val="B906C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805E73"/>
    <w:multiLevelType w:val="hybridMultilevel"/>
    <w:tmpl w:val="4F303D08"/>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6" w15:restartNumberingAfterBreak="0">
    <w:nsid w:val="469B7456"/>
    <w:multiLevelType w:val="hybridMultilevel"/>
    <w:tmpl w:val="D320EC02"/>
    <w:lvl w:ilvl="0" w:tplc="86F61EF2">
      <w:numFmt w:val="bullet"/>
      <w:lvlText w:val=""/>
      <w:lvlJc w:val="left"/>
      <w:pPr>
        <w:ind w:left="200" w:hanging="361"/>
      </w:pPr>
      <w:rPr>
        <w:rFonts w:ascii="Symbol" w:eastAsia="Symbol" w:hAnsi="Symbol" w:cs="Symbol" w:hint="default"/>
        <w:b w:val="0"/>
        <w:bCs w:val="0"/>
        <w:i w:val="0"/>
        <w:iCs w:val="0"/>
        <w:spacing w:val="0"/>
        <w:w w:val="100"/>
        <w:sz w:val="22"/>
        <w:szCs w:val="22"/>
        <w:lang w:val="en-US" w:eastAsia="en-US" w:bidi="ar-SA"/>
      </w:rPr>
    </w:lvl>
    <w:lvl w:ilvl="1" w:tplc="87F8C5B8">
      <w:numFmt w:val="bullet"/>
      <w:lvlText w:val="•"/>
      <w:lvlJc w:val="left"/>
      <w:pPr>
        <w:ind w:left="1300" w:hanging="361"/>
      </w:pPr>
      <w:rPr>
        <w:rFonts w:hint="default"/>
        <w:lang w:val="en-US" w:eastAsia="en-US" w:bidi="ar-SA"/>
      </w:rPr>
    </w:lvl>
    <w:lvl w:ilvl="2" w:tplc="CA0CE96C">
      <w:numFmt w:val="bullet"/>
      <w:lvlText w:val="•"/>
      <w:lvlJc w:val="left"/>
      <w:pPr>
        <w:ind w:left="2400" w:hanging="361"/>
      </w:pPr>
      <w:rPr>
        <w:rFonts w:hint="default"/>
        <w:lang w:val="en-US" w:eastAsia="en-US" w:bidi="ar-SA"/>
      </w:rPr>
    </w:lvl>
    <w:lvl w:ilvl="3" w:tplc="8BFA9DA0">
      <w:numFmt w:val="bullet"/>
      <w:lvlText w:val="•"/>
      <w:lvlJc w:val="left"/>
      <w:pPr>
        <w:ind w:left="3500" w:hanging="361"/>
      </w:pPr>
      <w:rPr>
        <w:rFonts w:hint="default"/>
        <w:lang w:val="en-US" w:eastAsia="en-US" w:bidi="ar-SA"/>
      </w:rPr>
    </w:lvl>
    <w:lvl w:ilvl="4" w:tplc="870AF878">
      <w:numFmt w:val="bullet"/>
      <w:lvlText w:val="•"/>
      <w:lvlJc w:val="left"/>
      <w:pPr>
        <w:ind w:left="4600" w:hanging="361"/>
      </w:pPr>
      <w:rPr>
        <w:rFonts w:hint="default"/>
        <w:lang w:val="en-US" w:eastAsia="en-US" w:bidi="ar-SA"/>
      </w:rPr>
    </w:lvl>
    <w:lvl w:ilvl="5" w:tplc="9BD4AB20">
      <w:numFmt w:val="bullet"/>
      <w:lvlText w:val="•"/>
      <w:lvlJc w:val="left"/>
      <w:pPr>
        <w:ind w:left="5700" w:hanging="361"/>
      </w:pPr>
      <w:rPr>
        <w:rFonts w:hint="default"/>
        <w:lang w:val="en-US" w:eastAsia="en-US" w:bidi="ar-SA"/>
      </w:rPr>
    </w:lvl>
    <w:lvl w:ilvl="6" w:tplc="8D6A9D18">
      <w:numFmt w:val="bullet"/>
      <w:lvlText w:val="•"/>
      <w:lvlJc w:val="left"/>
      <w:pPr>
        <w:ind w:left="6800" w:hanging="361"/>
      </w:pPr>
      <w:rPr>
        <w:rFonts w:hint="default"/>
        <w:lang w:val="en-US" w:eastAsia="en-US" w:bidi="ar-SA"/>
      </w:rPr>
    </w:lvl>
    <w:lvl w:ilvl="7" w:tplc="23FE2A10">
      <w:numFmt w:val="bullet"/>
      <w:lvlText w:val="•"/>
      <w:lvlJc w:val="left"/>
      <w:pPr>
        <w:ind w:left="7900" w:hanging="361"/>
      </w:pPr>
      <w:rPr>
        <w:rFonts w:hint="default"/>
        <w:lang w:val="en-US" w:eastAsia="en-US" w:bidi="ar-SA"/>
      </w:rPr>
    </w:lvl>
    <w:lvl w:ilvl="8" w:tplc="2CCACF56">
      <w:numFmt w:val="bullet"/>
      <w:lvlText w:val="•"/>
      <w:lvlJc w:val="left"/>
      <w:pPr>
        <w:ind w:left="9000" w:hanging="361"/>
      </w:pPr>
      <w:rPr>
        <w:rFonts w:hint="default"/>
        <w:lang w:val="en-US" w:eastAsia="en-US" w:bidi="ar-SA"/>
      </w:rPr>
    </w:lvl>
  </w:abstractNum>
  <w:abstractNum w:abstractNumId="17" w15:restartNumberingAfterBreak="0">
    <w:nsid w:val="48593157"/>
    <w:multiLevelType w:val="hybridMultilevel"/>
    <w:tmpl w:val="325441C8"/>
    <w:lvl w:ilvl="0" w:tplc="07BE4A3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871A7"/>
    <w:multiLevelType w:val="hybridMultilevel"/>
    <w:tmpl w:val="CBA86A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4B5F0D"/>
    <w:multiLevelType w:val="hybridMultilevel"/>
    <w:tmpl w:val="CAEA0D8A"/>
    <w:lvl w:ilvl="0" w:tplc="04090001">
      <w:start w:val="1"/>
      <w:numFmt w:val="bullet"/>
      <w:lvlText w:val=""/>
      <w:lvlJc w:val="left"/>
      <w:pPr>
        <w:ind w:left="720" w:hanging="360"/>
      </w:pPr>
      <w:rPr>
        <w:rFonts w:ascii="Symbol" w:hAnsi="Symbol" w:hint="default"/>
      </w:rPr>
    </w:lvl>
    <w:lvl w:ilvl="1" w:tplc="A97213BC">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80BB2"/>
    <w:multiLevelType w:val="hybridMultilevel"/>
    <w:tmpl w:val="B8B48B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A52038"/>
    <w:multiLevelType w:val="hybridMultilevel"/>
    <w:tmpl w:val="84E27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90B79"/>
    <w:multiLevelType w:val="hybridMultilevel"/>
    <w:tmpl w:val="8F7C2816"/>
    <w:lvl w:ilvl="0" w:tplc="04090007">
      <w:start w:val="1"/>
      <w:numFmt w:val="bullet"/>
      <w:lvlText w:val=""/>
      <w:lvlPicBulletId w:val="0"/>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804271B"/>
    <w:multiLevelType w:val="hybridMultilevel"/>
    <w:tmpl w:val="CDB648B4"/>
    <w:lvl w:ilvl="0" w:tplc="91CA83CE">
      <w:start w:val="1"/>
      <w:numFmt w:val="lowerLetter"/>
      <w:lvlText w:val="%1."/>
      <w:lvlJc w:val="left"/>
      <w:pPr>
        <w:ind w:left="1279" w:hanging="360"/>
      </w:pPr>
      <w:rPr>
        <w:rFonts w:ascii="Calibri" w:eastAsia="Calibri" w:hAnsi="Calibri" w:cs="Calibri" w:hint="default"/>
        <w:b w:val="0"/>
        <w:bCs w:val="0"/>
        <w:i w:val="0"/>
        <w:iCs w:val="0"/>
        <w:spacing w:val="-1"/>
        <w:w w:val="100"/>
        <w:sz w:val="22"/>
        <w:szCs w:val="22"/>
        <w:lang w:val="en-US" w:eastAsia="en-US" w:bidi="ar-SA"/>
      </w:rPr>
    </w:lvl>
    <w:lvl w:ilvl="1" w:tplc="069494E6">
      <w:numFmt w:val="bullet"/>
      <w:lvlText w:val="•"/>
      <w:lvlJc w:val="left"/>
      <w:pPr>
        <w:ind w:left="2272" w:hanging="360"/>
      </w:pPr>
      <w:rPr>
        <w:rFonts w:hint="default"/>
        <w:lang w:val="en-US" w:eastAsia="en-US" w:bidi="ar-SA"/>
      </w:rPr>
    </w:lvl>
    <w:lvl w:ilvl="2" w:tplc="D5269A7E">
      <w:numFmt w:val="bullet"/>
      <w:lvlText w:val="•"/>
      <w:lvlJc w:val="left"/>
      <w:pPr>
        <w:ind w:left="3264" w:hanging="360"/>
      </w:pPr>
      <w:rPr>
        <w:rFonts w:hint="default"/>
        <w:lang w:val="en-US" w:eastAsia="en-US" w:bidi="ar-SA"/>
      </w:rPr>
    </w:lvl>
    <w:lvl w:ilvl="3" w:tplc="488EC31E">
      <w:numFmt w:val="bullet"/>
      <w:lvlText w:val="•"/>
      <w:lvlJc w:val="left"/>
      <w:pPr>
        <w:ind w:left="4256" w:hanging="360"/>
      </w:pPr>
      <w:rPr>
        <w:rFonts w:hint="default"/>
        <w:lang w:val="en-US" w:eastAsia="en-US" w:bidi="ar-SA"/>
      </w:rPr>
    </w:lvl>
    <w:lvl w:ilvl="4" w:tplc="0BC26760">
      <w:numFmt w:val="bullet"/>
      <w:lvlText w:val="•"/>
      <w:lvlJc w:val="left"/>
      <w:pPr>
        <w:ind w:left="5248" w:hanging="360"/>
      </w:pPr>
      <w:rPr>
        <w:rFonts w:hint="default"/>
        <w:lang w:val="en-US" w:eastAsia="en-US" w:bidi="ar-SA"/>
      </w:rPr>
    </w:lvl>
    <w:lvl w:ilvl="5" w:tplc="42F88BAA">
      <w:numFmt w:val="bullet"/>
      <w:lvlText w:val="•"/>
      <w:lvlJc w:val="left"/>
      <w:pPr>
        <w:ind w:left="6240" w:hanging="360"/>
      </w:pPr>
      <w:rPr>
        <w:rFonts w:hint="default"/>
        <w:lang w:val="en-US" w:eastAsia="en-US" w:bidi="ar-SA"/>
      </w:rPr>
    </w:lvl>
    <w:lvl w:ilvl="6" w:tplc="62A0EC70">
      <w:numFmt w:val="bullet"/>
      <w:lvlText w:val="•"/>
      <w:lvlJc w:val="left"/>
      <w:pPr>
        <w:ind w:left="7232" w:hanging="360"/>
      </w:pPr>
      <w:rPr>
        <w:rFonts w:hint="default"/>
        <w:lang w:val="en-US" w:eastAsia="en-US" w:bidi="ar-SA"/>
      </w:rPr>
    </w:lvl>
    <w:lvl w:ilvl="7" w:tplc="094AB588">
      <w:numFmt w:val="bullet"/>
      <w:lvlText w:val="•"/>
      <w:lvlJc w:val="left"/>
      <w:pPr>
        <w:ind w:left="8224" w:hanging="360"/>
      </w:pPr>
      <w:rPr>
        <w:rFonts w:hint="default"/>
        <w:lang w:val="en-US" w:eastAsia="en-US" w:bidi="ar-SA"/>
      </w:rPr>
    </w:lvl>
    <w:lvl w:ilvl="8" w:tplc="C2EC7C52">
      <w:numFmt w:val="bullet"/>
      <w:lvlText w:val="•"/>
      <w:lvlJc w:val="left"/>
      <w:pPr>
        <w:ind w:left="9216" w:hanging="360"/>
      </w:pPr>
      <w:rPr>
        <w:rFonts w:hint="default"/>
        <w:lang w:val="en-US" w:eastAsia="en-US" w:bidi="ar-SA"/>
      </w:rPr>
    </w:lvl>
  </w:abstractNum>
  <w:abstractNum w:abstractNumId="24" w15:restartNumberingAfterBreak="0">
    <w:nsid w:val="6B990A26"/>
    <w:multiLevelType w:val="hybridMultilevel"/>
    <w:tmpl w:val="E9502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08594E"/>
    <w:multiLevelType w:val="hybridMultilevel"/>
    <w:tmpl w:val="B45CBB8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50C1DEB"/>
    <w:multiLevelType w:val="hybridMultilevel"/>
    <w:tmpl w:val="F72AB8A2"/>
    <w:lvl w:ilvl="0" w:tplc="88BC01E6">
      <w:start w:val="1"/>
      <w:numFmt w:val="decimal"/>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9C95E25"/>
    <w:multiLevelType w:val="hybridMultilevel"/>
    <w:tmpl w:val="1B80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123432"/>
    <w:multiLevelType w:val="hybridMultilevel"/>
    <w:tmpl w:val="BA421BD2"/>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174145950">
    <w:abstractNumId w:val="14"/>
  </w:num>
  <w:num w:numId="2" w16cid:durableId="1910576278">
    <w:abstractNumId w:val="21"/>
  </w:num>
  <w:num w:numId="3" w16cid:durableId="1073047731">
    <w:abstractNumId w:val="22"/>
  </w:num>
  <w:num w:numId="4" w16cid:durableId="563444720">
    <w:abstractNumId w:val="0"/>
  </w:num>
  <w:num w:numId="5" w16cid:durableId="1399549908">
    <w:abstractNumId w:val="27"/>
  </w:num>
  <w:num w:numId="6" w16cid:durableId="808478933">
    <w:abstractNumId w:val="17"/>
  </w:num>
  <w:num w:numId="7" w16cid:durableId="1230769498">
    <w:abstractNumId w:val="20"/>
  </w:num>
  <w:num w:numId="8" w16cid:durableId="254680018">
    <w:abstractNumId w:val="1"/>
  </w:num>
  <w:num w:numId="9" w16cid:durableId="1334258112">
    <w:abstractNumId w:val="19"/>
  </w:num>
  <w:num w:numId="10" w16cid:durableId="743794646">
    <w:abstractNumId w:val="18"/>
  </w:num>
  <w:num w:numId="11" w16cid:durableId="1966890442">
    <w:abstractNumId w:val="24"/>
  </w:num>
  <w:num w:numId="12" w16cid:durableId="282348474">
    <w:abstractNumId w:val="12"/>
  </w:num>
  <w:num w:numId="13" w16cid:durableId="1352293881">
    <w:abstractNumId w:val="25"/>
  </w:num>
  <w:num w:numId="14" w16cid:durableId="1686788522">
    <w:abstractNumId w:val="10"/>
  </w:num>
  <w:num w:numId="15" w16cid:durableId="125857199">
    <w:abstractNumId w:val="13"/>
  </w:num>
  <w:num w:numId="16" w16cid:durableId="1768497071">
    <w:abstractNumId w:val="26"/>
  </w:num>
  <w:num w:numId="17" w16cid:durableId="509680976">
    <w:abstractNumId w:val="2"/>
  </w:num>
  <w:num w:numId="18" w16cid:durableId="1911497809">
    <w:abstractNumId w:val="3"/>
  </w:num>
  <w:num w:numId="19" w16cid:durableId="396440357">
    <w:abstractNumId w:val="8"/>
  </w:num>
  <w:num w:numId="20" w16cid:durableId="1945115854">
    <w:abstractNumId w:val="9"/>
  </w:num>
  <w:num w:numId="21" w16cid:durableId="1081559023">
    <w:abstractNumId w:val="7"/>
  </w:num>
  <w:num w:numId="22" w16cid:durableId="517159318">
    <w:abstractNumId w:val="28"/>
  </w:num>
  <w:num w:numId="23" w16cid:durableId="1027485898">
    <w:abstractNumId w:val="11"/>
  </w:num>
  <w:num w:numId="24" w16cid:durableId="241960595">
    <w:abstractNumId w:val="23"/>
  </w:num>
  <w:num w:numId="25" w16cid:durableId="2054428699">
    <w:abstractNumId w:val="4"/>
  </w:num>
  <w:num w:numId="26" w16cid:durableId="263461156">
    <w:abstractNumId w:val="6"/>
  </w:num>
  <w:num w:numId="27" w16cid:durableId="1991710300">
    <w:abstractNumId w:val="16"/>
  </w:num>
  <w:num w:numId="28" w16cid:durableId="641274308">
    <w:abstractNumId w:val="15"/>
  </w:num>
  <w:num w:numId="29" w16cid:durableId="2445328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35D"/>
    <w:rsid w:val="00003A3E"/>
    <w:rsid w:val="000045AC"/>
    <w:rsid w:val="00010A49"/>
    <w:rsid w:val="00016474"/>
    <w:rsid w:val="00020D47"/>
    <w:rsid w:val="000210AD"/>
    <w:rsid w:val="000211E7"/>
    <w:rsid w:val="00025E7C"/>
    <w:rsid w:val="00041313"/>
    <w:rsid w:val="000414FF"/>
    <w:rsid w:val="00043E23"/>
    <w:rsid w:val="00044C49"/>
    <w:rsid w:val="00050E42"/>
    <w:rsid w:val="000568DC"/>
    <w:rsid w:val="000577C8"/>
    <w:rsid w:val="00070BC1"/>
    <w:rsid w:val="00070DBB"/>
    <w:rsid w:val="000738DC"/>
    <w:rsid w:val="0007518F"/>
    <w:rsid w:val="00082145"/>
    <w:rsid w:val="00082DA6"/>
    <w:rsid w:val="000844E2"/>
    <w:rsid w:val="00086A95"/>
    <w:rsid w:val="00090089"/>
    <w:rsid w:val="0009033F"/>
    <w:rsid w:val="000943ED"/>
    <w:rsid w:val="0009508C"/>
    <w:rsid w:val="00097999"/>
    <w:rsid w:val="000A180C"/>
    <w:rsid w:val="000A4243"/>
    <w:rsid w:val="000A695A"/>
    <w:rsid w:val="000A7FCB"/>
    <w:rsid w:val="000B1AD2"/>
    <w:rsid w:val="000B20DF"/>
    <w:rsid w:val="000C11A4"/>
    <w:rsid w:val="000C1BC5"/>
    <w:rsid w:val="000C253A"/>
    <w:rsid w:val="000C3A0A"/>
    <w:rsid w:val="000C3D70"/>
    <w:rsid w:val="000C5C2E"/>
    <w:rsid w:val="000C67EC"/>
    <w:rsid w:val="000D3096"/>
    <w:rsid w:val="000D3D44"/>
    <w:rsid w:val="000E1049"/>
    <w:rsid w:val="000F11AD"/>
    <w:rsid w:val="00105FB8"/>
    <w:rsid w:val="001070DA"/>
    <w:rsid w:val="00111F2E"/>
    <w:rsid w:val="00114913"/>
    <w:rsid w:val="00114DCD"/>
    <w:rsid w:val="001157D6"/>
    <w:rsid w:val="00120B7E"/>
    <w:rsid w:val="00122E0C"/>
    <w:rsid w:val="00123988"/>
    <w:rsid w:val="00125161"/>
    <w:rsid w:val="00125C0D"/>
    <w:rsid w:val="0012723C"/>
    <w:rsid w:val="00127D0E"/>
    <w:rsid w:val="0013388B"/>
    <w:rsid w:val="00137FCA"/>
    <w:rsid w:val="00144143"/>
    <w:rsid w:val="0015175D"/>
    <w:rsid w:val="0015770B"/>
    <w:rsid w:val="001604E5"/>
    <w:rsid w:val="001610C1"/>
    <w:rsid w:val="001618D3"/>
    <w:rsid w:val="0016539D"/>
    <w:rsid w:val="00176067"/>
    <w:rsid w:val="001830E9"/>
    <w:rsid w:val="00183D64"/>
    <w:rsid w:val="00184FFB"/>
    <w:rsid w:val="0019167F"/>
    <w:rsid w:val="001A2445"/>
    <w:rsid w:val="001A4138"/>
    <w:rsid w:val="001A547E"/>
    <w:rsid w:val="001A7D90"/>
    <w:rsid w:val="001B79A9"/>
    <w:rsid w:val="001B7D51"/>
    <w:rsid w:val="001C4604"/>
    <w:rsid w:val="001C4CE0"/>
    <w:rsid w:val="001C64BF"/>
    <w:rsid w:val="001D460A"/>
    <w:rsid w:val="001F2E5E"/>
    <w:rsid w:val="001F71D0"/>
    <w:rsid w:val="0020079E"/>
    <w:rsid w:val="002021F0"/>
    <w:rsid w:val="00204AAA"/>
    <w:rsid w:val="00206B6E"/>
    <w:rsid w:val="00210CD1"/>
    <w:rsid w:val="00213589"/>
    <w:rsid w:val="00213CAE"/>
    <w:rsid w:val="00216640"/>
    <w:rsid w:val="0022471E"/>
    <w:rsid w:val="00226738"/>
    <w:rsid w:val="002328DB"/>
    <w:rsid w:val="00234A17"/>
    <w:rsid w:val="002433D9"/>
    <w:rsid w:val="00246833"/>
    <w:rsid w:val="002502A2"/>
    <w:rsid w:val="002507B4"/>
    <w:rsid w:val="0025648B"/>
    <w:rsid w:val="0026195B"/>
    <w:rsid w:val="00262EA6"/>
    <w:rsid w:val="00263334"/>
    <w:rsid w:val="002638C9"/>
    <w:rsid w:val="002674CA"/>
    <w:rsid w:val="00280035"/>
    <w:rsid w:val="0028022A"/>
    <w:rsid w:val="00282E5F"/>
    <w:rsid w:val="002A32DD"/>
    <w:rsid w:val="002A66B3"/>
    <w:rsid w:val="002A697A"/>
    <w:rsid w:val="002A72AF"/>
    <w:rsid w:val="002B6BBA"/>
    <w:rsid w:val="002C3618"/>
    <w:rsid w:val="002C4481"/>
    <w:rsid w:val="002D74F8"/>
    <w:rsid w:val="002E2D3F"/>
    <w:rsid w:val="002F018F"/>
    <w:rsid w:val="002F0E70"/>
    <w:rsid w:val="00305C52"/>
    <w:rsid w:val="00307090"/>
    <w:rsid w:val="0031511F"/>
    <w:rsid w:val="00321877"/>
    <w:rsid w:val="0033082F"/>
    <w:rsid w:val="00330CEB"/>
    <w:rsid w:val="003330EF"/>
    <w:rsid w:val="00334B5F"/>
    <w:rsid w:val="003434AB"/>
    <w:rsid w:val="00343FE9"/>
    <w:rsid w:val="00347802"/>
    <w:rsid w:val="00347EE3"/>
    <w:rsid w:val="00351A4A"/>
    <w:rsid w:val="00361B95"/>
    <w:rsid w:val="0036448D"/>
    <w:rsid w:val="003653E3"/>
    <w:rsid w:val="00366229"/>
    <w:rsid w:val="003705AB"/>
    <w:rsid w:val="00372966"/>
    <w:rsid w:val="00374ACA"/>
    <w:rsid w:val="003759E2"/>
    <w:rsid w:val="00375EDE"/>
    <w:rsid w:val="00381D71"/>
    <w:rsid w:val="00382E2A"/>
    <w:rsid w:val="00383917"/>
    <w:rsid w:val="00383AEF"/>
    <w:rsid w:val="00390A03"/>
    <w:rsid w:val="00392376"/>
    <w:rsid w:val="003929D1"/>
    <w:rsid w:val="003952C2"/>
    <w:rsid w:val="003A3BC1"/>
    <w:rsid w:val="003B257B"/>
    <w:rsid w:val="003B2CEF"/>
    <w:rsid w:val="003B410C"/>
    <w:rsid w:val="003B601A"/>
    <w:rsid w:val="003C08D3"/>
    <w:rsid w:val="003C191E"/>
    <w:rsid w:val="003C3671"/>
    <w:rsid w:val="003C52A8"/>
    <w:rsid w:val="003C5E1B"/>
    <w:rsid w:val="003C75AA"/>
    <w:rsid w:val="003C7C50"/>
    <w:rsid w:val="003D100C"/>
    <w:rsid w:val="003D3FDD"/>
    <w:rsid w:val="003D5E80"/>
    <w:rsid w:val="003D62A7"/>
    <w:rsid w:val="003E0D10"/>
    <w:rsid w:val="003E57D7"/>
    <w:rsid w:val="003E7608"/>
    <w:rsid w:val="003E7A95"/>
    <w:rsid w:val="003F1D0E"/>
    <w:rsid w:val="0040435C"/>
    <w:rsid w:val="00410513"/>
    <w:rsid w:val="00414B79"/>
    <w:rsid w:val="00421C41"/>
    <w:rsid w:val="00423FE7"/>
    <w:rsid w:val="004332B0"/>
    <w:rsid w:val="00434DB0"/>
    <w:rsid w:val="00441DA7"/>
    <w:rsid w:val="004452E7"/>
    <w:rsid w:val="00447D38"/>
    <w:rsid w:val="00450F1B"/>
    <w:rsid w:val="00451AAB"/>
    <w:rsid w:val="00455F3E"/>
    <w:rsid w:val="0045745D"/>
    <w:rsid w:val="004643EB"/>
    <w:rsid w:val="00466D81"/>
    <w:rsid w:val="00466ED3"/>
    <w:rsid w:val="0047047D"/>
    <w:rsid w:val="004720CF"/>
    <w:rsid w:val="004723F0"/>
    <w:rsid w:val="00476A00"/>
    <w:rsid w:val="0048021D"/>
    <w:rsid w:val="0048391B"/>
    <w:rsid w:val="00483D35"/>
    <w:rsid w:val="004841C4"/>
    <w:rsid w:val="00484358"/>
    <w:rsid w:val="00484ED0"/>
    <w:rsid w:val="00485DC4"/>
    <w:rsid w:val="004860F1"/>
    <w:rsid w:val="00491CF8"/>
    <w:rsid w:val="00494DA0"/>
    <w:rsid w:val="0049755B"/>
    <w:rsid w:val="00497D6B"/>
    <w:rsid w:val="004A13A7"/>
    <w:rsid w:val="004A3A66"/>
    <w:rsid w:val="004A7884"/>
    <w:rsid w:val="004B2605"/>
    <w:rsid w:val="004B6536"/>
    <w:rsid w:val="004C3436"/>
    <w:rsid w:val="004D2BFF"/>
    <w:rsid w:val="004D2DCA"/>
    <w:rsid w:val="004E0B76"/>
    <w:rsid w:val="004E1E8C"/>
    <w:rsid w:val="004E2677"/>
    <w:rsid w:val="004E3552"/>
    <w:rsid w:val="004F0BF0"/>
    <w:rsid w:val="004F0EA2"/>
    <w:rsid w:val="004F2641"/>
    <w:rsid w:val="004F41B0"/>
    <w:rsid w:val="005006DE"/>
    <w:rsid w:val="005022A4"/>
    <w:rsid w:val="00505F02"/>
    <w:rsid w:val="005074F5"/>
    <w:rsid w:val="0051119E"/>
    <w:rsid w:val="00515B4E"/>
    <w:rsid w:val="00526B33"/>
    <w:rsid w:val="00526F96"/>
    <w:rsid w:val="00531552"/>
    <w:rsid w:val="00535260"/>
    <w:rsid w:val="00542A79"/>
    <w:rsid w:val="00546672"/>
    <w:rsid w:val="00546EA7"/>
    <w:rsid w:val="00550CEC"/>
    <w:rsid w:val="00555195"/>
    <w:rsid w:val="005570FF"/>
    <w:rsid w:val="00557D55"/>
    <w:rsid w:val="005605F8"/>
    <w:rsid w:val="00565B93"/>
    <w:rsid w:val="005663E8"/>
    <w:rsid w:val="00567548"/>
    <w:rsid w:val="005750CC"/>
    <w:rsid w:val="0057617F"/>
    <w:rsid w:val="005762B4"/>
    <w:rsid w:val="00577216"/>
    <w:rsid w:val="00580DF9"/>
    <w:rsid w:val="005810BA"/>
    <w:rsid w:val="005822ED"/>
    <w:rsid w:val="005932A6"/>
    <w:rsid w:val="005A2417"/>
    <w:rsid w:val="005A32B0"/>
    <w:rsid w:val="005A56A7"/>
    <w:rsid w:val="005A59F9"/>
    <w:rsid w:val="005A5AD5"/>
    <w:rsid w:val="005A6042"/>
    <w:rsid w:val="005A61BE"/>
    <w:rsid w:val="005B05F2"/>
    <w:rsid w:val="005B1DFA"/>
    <w:rsid w:val="005B4691"/>
    <w:rsid w:val="005B557B"/>
    <w:rsid w:val="005C14EA"/>
    <w:rsid w:val="005D23D2"/>
    <w:rsid w:val="005E5091"/>
    <w:rsid w:val="005E543D"/>
    <w:rsid w:val="005E5990"/>
    <w:rsid w:val="00601A3E"/>
    <w:rsid w:val="00604114"/>
    <w:rsid w:val="00604F01"/>
    <w:rsid w:val="00605D2D"/>
    <w:rsid w:val="00605E51"/>
    <w:rsid w:val="006072A4"/>
    <w:rsid w:val="00615561"/>
    <w:rsid w:val="00615A6B"/>
    <w:rsid w:val="00620D89"/>
    <w:rsid w:val="00621F35"/>
    <w:rsid w:val="00630647"/>
    <w:rsid w:val="00631B77"/>
    <w:rsid w:val="00645B9A"/>
    <w:rsid w:val="006512CD"/>
    <w:rsid w:val="0066068D"/>
    <w:rsid w:val="00671F4C"/>
    <w:rsid w:val="0067345C"/>
    <w:rsid w:val="006738FA"/>
    <w:rsid w:val="00675976"/>
    <w:rsid w:val="0067717D"/>
    <w:rsid w:val="00697299"/>
    <w:rsid w:val="006A4636"/>
    <w:rsid w:val="006A4CA2"/>
    <w:rsid w:val="006C1528"/>
    <w:rsid w:val="006C1CE4"/>
    <w:rsid w:val="006D0F91"/>
    <w:rsid w:val="006D2649"/>
    <w:rsid w:val="006D45D2"/>
    <w:rsid w:val="006E083A"/>
    <w:rsid w:val="006E3771"/>
    <w:rsid w:val="006F0E23"/>
    <w:rsid w:val="006F1236"/>
    <w:rsid w:val="006F653D"/>
    <w:rsid w:val="006F7045"/>
    <w:rsid w:val="00705990"/>
    <w:rsid w:val="00712754"/>
    <w:rsid w:val="00713033"/>
    <w:rsid w:val="00715F6E"/>
    <w:rsid w:val="00717639"/>
    <w:rsid w:val="00725520"/>
    <w:rsid w:val="0073306B"/>
    <w:rsid w:val="00735492"/>
    <w:rsid w:val="007449EF"/>
    <w:rsid w:val="00744FC8"/>
    <w:rsid w:val="00746D98"/>
    <w:rsid w:val="00750F1E"/>
    <w:rsid w:val="00752EC1"/>
    <w:rsid w:val="007558AC"/>
    <w:rsid w:val="007601CB"/>
    <w:rsid w:val="007624E1"/>
    <w:rsid w:val="00762F22"/>
    <w:rsid w:val="0076711C"/>
    <w:rsid w:val="007752C1"/>
    <w:rsid w:val="0077579A"/>
    <w:rsid w:val="00783799"/>
    <w:rsid w:val="007918CA"/>
    <w:rsid w:val="00793605"/>
    <w:rsid w:val="007A0675"/>
    <w:rsid w:val="007A3919"/>
    <w:rsid w:val="007A598A"/>
    <w:rsid w:val="007B2D3E"/>
    <w:rsid w:val="007C053A"/>
    <w:rsid w:val="007C1250"/>
    <w:rsid w:val="007C1E98"/>
    <w:rsid w:val="007C3093"/>
    <w:rsid w:val="007C72B8"/>
    <w:rsid w:val="007C74C5"/>
    <w:rsid w:val="007C7855"/>
    <w:rsid w:val="007D163F"/>
    <w:rsid w:val="007D22E0"/>
    <w:rsid w:val="007D30F8"/>
    <w:rsid w:val="007D689D"/>
    <w:rsid w:val="007E02F0"/>
    <w:rsid w:val="007E4178"/>
    <w:rsid w:val="007F2852"/>
    <w:rsid w:val="0080111C"/>
    <w:rsid w:val="0080313E"/>
    <w:rsid w:val="008038FD"/>
    <w:rsid w:val="00812173"/>
    <w:rsid w:val="008226E8"/>
    <w:rsid w:val="00823FBB"/>
    <w:rsid w:val="00826161"/>
    <w:rsid w:val="008300A9"/>
    <w:rsid w:val="008321E1"/>
    <w:rsid w:val="00832836"/>
    <w:rsid w:val="00832D77"/>
    <w:rsid w:val="008351F2"/>
    <w:rsid w:val="008452D3"/>
    <w:rsid w:val="00856420"/>
    <w:rsid w:val="008648BC"/>
    <w:rsid w:val="0086541F"/>
    <w:rsid w:val="00866E3F"/>
    <w:rsid w:val="0087430D"/>
    <w:rsid w:val="008745EF"/>
    <w:rsid w:val="008758D4"/>
    <w:rsid w:val="0087766B"/>
    <w:rsid w:val="00877C46"/>
    <w:rsid w:val="0088338B"/>
    <w:rsid w:val="008850BD"/>
    <w:rsid w:val="008861FC"/>
    <w:rsid w:val="0089113F"/>
    <w:rsid w:val="0089576E"/>
    <w:rsid w:val="00896B16"/>
    <w:rsid w:val="008A12DE"/>
    <w:rsid w:val="008A74AD"/>
    <w:rsid w:val="008B1B9D"/>
    <w:rsid w:val="008B32A4"/>
    <w:rsid w:val="008C00FE"/>
    <w:rsid w:val="008C128C"/>
    <w:rsid w:val="008C223F"/>
    <w:rsid w:val="008C360C"/>
    <w:rsid w:val="008D73AA"/>
    <w:rsid w:val="008E0C52"/>
    <w:rsid w:val="008E3D2C"/>
    <w:rsid w:val="008F28A4"/>
    <w:rsid w:val="009021D3"/>
    <w:rsid w:val="00903023"/>
    <w:rsid w:val="00903319"/>
    <w:rsid w:val="00906A9A"/>
    <w:rsid w:val="00907F3A"/>
    <w:rsid w:val="00915829"/>
    <w:rsid w:val="0091726A"/>
    <w:rsid w:val="0091790D"/>
    <w:rsid w:val="00917F9B"/>
    <w:rsid w:val="009208A7"/>
    <w:rsid w:val="0092483C"/>
    <w:rsid w:val="0092691F"/>
    <w:rsid w:val="0093188A"/>
    <w:rsid w:val="009323FB"/>
    <w:rsid w:val="0093253D"/>
    <w:rsid w:val="00935855"/>
    <w:rsid w:val="009371DA"/>
    <w:rsid w:val="00945A53"/>
    <w:rsid w:val="00954CF0"/>
    <w:rsid w:val="009567D8"/>
    <w:rsid w:val="0096336A"/>
    <w:rsid w:val="0096449C"/>
    <w:rsid w:val="00965755"/>
    <w:rsid w:val="00966A3D"/>
    <w:rsid w:val="00971072"/>
    <w:rsid w:val="009733FC"/>
    <w:rsid w:val="00974BB0"/>
    <w:rsid w:val="00982A2B"/>
    <w:rsid w:val="00984E05"/>
    <w:rsid w:val="0098610D"/>
    <w:rsid w:val="0099388D"/>
    <w:rsid w:val="00995F0F"/>
    <w:rsid w:val="00995FC0"/>
    <w:rsid w:val="009A43CB"/>
    <w:rsid w:val="009A69D7"/>
    <w:rsid w:val="009A6C19"/>
    <w:rsid w:val="009A75E1"/>
    <w:rsid w:val="009A76D5"/>
    <w:rsid w:val="009B4CC5"/>
    <w:rsid w:val="009C26F4"/>
    <w:rsid w:val="009C6E5A"/>
    <w:rsid w:val="009D616B"/>
    <w:rsid w:val="009D67BC"/>
    <w:rsid w:val="009E0041"/>
    <w:rsid w:val="009E00C5"/>
    <w:rsid w:val="009E2B49"/>
    <w:rsid w:val="009E5B25"/>
    <w:rsid w:val="009F1A4F"/>
    <w:rsid w:val="009F368E"/>
    <w:rsid w:val="009F3CCB"/>
    <w:rsid w:val="009F6DE9"/>
    <w:rsid w:val="00A00E5C"/>
    <w:rsid w:val="00A01DDF"/>
    <w:rsid w:val="00A21217"/>
    <w:rsid w:val="00A2363B"/>
    <w:rsid w:val="00A23664"/>
    <w:rsid w:val="00A23A81"/>
    <w:rsid w:val="00A24F87"/>
    <w:rsid w:val="00A2628F"/>
    <w:rsid w:val="00A26960"/>
    <w:rsid w:val="00A27303"/>
    <w:rsid w:val="00A31704"/>
    <w:rsid w:val="00A40120"/>
    <w:rsid w:val="00A4086D"/>
    <w:rsid w:val="00A40C76"/>
    <w:rsid w:val="00A43EE2"/>
    <w:rsid w:val="00A4679C"/>
    <w:rsid w:val="00A500FE"/>
    <w:rsid w:val="00A50B4C"/>
    <w:rsid w:val="00A50C57"/>
    <w:rsid w:val="00A50D15"/>
    <w:rsid w:val="00A534F3"/>
    <w:rsid w:val="00A56BD7"/>
    <w:rsid w:val="00A570BE"/>
    <w:rsid w:val="00A57B3C"/>
    <w:rsid w:val="00A619B8"/>
    <w:rsid w:val="00A61C60"/>
    <w:rsid w:val="00A643B9"/>
    <w:rsid w:val="00A66918"/>
    <w:rsid w:val="00A676AB"/>
    <w:rsid w:val="00A74780"/>
    <w:rsid w:val="00A765A7"/>
    <w:rsid w:val="00A836E5"/>
    <w:rsid w:val="00A861A8"/>
    <w:rsid w:val="00A867CF"/>
    <w:rsid w:val="00A93FCD"/>
    <w:rsid w:val="00A96F93"/>
    <w:rsid w:val="00AA5351"/>
    <w:rsid w:val="00AA53BB"/>
    <w:rsid w:val="00AA53D0"/>
    <w:rsid w:val="00AA5F72"/>
    <w:rsid w:val="00AB1B4F"/>
    <w:rsid w:val="00AB55A0"/>
    <w:rsid w:val="00AB6DE5"/>
    <w:rsid w:val="00AC2512"/>
    <w:rsid w:val="00AD03B0"/>
    <w:rsid w:val="00AD75E7"/>
    <w:rsid w:val="00AE1A43"/>
    <w:rsid w:val="00AE1E30"/>
    <w:rsid w:val="00AE4DDA"/>
    <w:rsid w:val="00AE60BF"/>
    <w:rsid w:val="00AE7A94"/>
    <w:rsid w:val="00B075A9"/>
    <w:rsid w:val="00B1592F"/>
    <w:rsid w:val="00B1596A"/>
    <w:rsid w:val="00B2089B"/>
    <w:rsid w:val="00B229B2"/>
    <w:rsid w:val="00B23BB4"/>
    <w:rsid w:val="00B24097"/>
    <w:rsid w:val="00B246F7"/>
    <w:rsid w:val="00B300A2"/>
    <w:rsid w:val="00B35E67"/>
    <w:rsid w:val="00B37D16"/>
    <w:rsid w:val="00B41FB9"/>
    <w:rsid w:val="00B46CD2"/>
    <w:rsid w:val="00B56C02"/>
    <w:rsid w:val="00B57649"/>
    <w:rsid w:val="00B616C6"/>
    <w:rsid w:val="00B62E04"/>
    <w:rsid w:val="00B70635"/>
    <w:rsid w:val="00B71CF7"/>
    <w:rsid w:val="00B72A24"/>
    <w:rsid w:val="00B7381E"/>
    <w:rsid w:val="00B74CBD"/>
    <w:rsid w:val="00B75897"/>
    <w:rsid w:val="00B7617C"/>
    <w:rsid w:val="00B76A52"/>
    <w:rsid w:val="00B94B25"/>
    <w:rsid w:val="00B95C4B"/>
    <w:rsid w:val="00BA1D75"/>
    <w:rsid w:val="00BA456D"/>
    <w:rsid w:val="00BA4E6B"/>
    <w:rsid w:val="00BA6194"/>
    <w:rsid w:val="00BA651B"/>
    <w:rsid w:val="00BB05C3"/>
    <w:rsid w:val="00BB5D64"/>
    <w:rsid w:val="00BC0427"/>
    <w:rsid w:val="00BC799B"/>
    <w:rsid w:val="00BD22E8"/>
    <w:rsid w:val="00BD7DEA"/>
    <w:rsid w:val="00BE0186"/>
    <w:rsid w:val="00BF440B"/>
    <w:rsid w:val="00BF59F7"/>
    <w:rsid w:val="00C068CD"/>
    <w:rsid w:val="00C15FAB"/>
    <w:rsid w:val="00C16296"/>
    <w:rsid w:val="00C216D0"/>
    <w:rsid w:val="00C2713C"/>
    <w:rsid w:val="00C27AEF"/>
    <w:rsid w:val="00C31458"/>
    <w:rsid w:val="00C3236B"/>
    <w:rsid w:val="00C3382B"/>
    <w:rsid w:val="00C37C41"/>
    <w:rsid w:val="00C4114B"/>
    <w:rsid w:val="00C54EBB"/>
    <w:rsid w:val="00C63924"/>
    <w:rsid w:val="00C752A2"/>
    <w:rsid w:val="00C81651"/>
    <w:rsid w:val="00C82F07"/>
    <w:rsid w:val="00C90295"/>
    <w:rsid w:val="00C93A41"/>
    <w:rsid w:val="00C93EF5"/>
    <w:rsid w:val="00C961B2"/>
    <w:rsid w:val="00C975C4"/>
    <w:rsid w:val="00CA0C86"/>
    <w:rsid w:val="00CA128C"/>
    <w:rsid w:val="00CA1867"/>
    <w:rsid w:val="00CA2AB3"/>
    <w:rsid w:val="00CA6C6F"/>
    <w:rsid w:val="00CB6128"/>
    <w:rsid w:val="00CC3F24"/>
    <w:rsid w:val="00CC5525"/>
    <w:rsid w:val="00CD2E89"/>
    <w:rsid w:val="00CD5A49"/>
    <w:rsid w:val="00CD6F1E"/>
    <w:rsid w:val="00CE59B0"/>
    <w:rsid w:val="00CF4D78"/>
    <w:rsid w:val="00CF703F"/>
    <w:rsid w:val="00D00F39"/>
    <w:rsid w:val="00D05F04"/>
    <w:rsid w:val="00D0703B"/>
    <w:rsid w:val="00D11751"/>
    <w:rsid w:val="00D12252"/>
    <w:rsid w:val="00D172D4"/>
    <w:rsid w:val="00D20179"/>
    <w:rsid w:val="00D20E5F"/>
    <w:rsid w:val="00D277F8"/>
    <w:rsid w:val="00D31DDA"/>
    <w:rsid w:val="00D328DD"/>
    <w:rsid w:val="00D345A8"/>
    <w:rsid w:val="00D36106"/>
    <w:rsid w:val="00D3694D"/>
    <w:rsid w:val="00D37C80"/>
    <w:rsid w:val="00D40CF6"/>
    <w:rsid w:val="00D474F3"/>
    <w:rsid w:val="00D5207C"/>
    <w:rsid w:val="00D53D52"/>
    <w:rsid w:val="00D546C7"/>
    <w:rsid w:val="00D61C5D"/>
    <w:rsid w:val="00D620B6"/>
    <w:rsid w:val="00D76752"/>
    <w:rsid w:val="00D7736C"/>
    <w:rsid w:val="00D8048E"/>
    <w:rsid w:val="00D82214"/>
    <w:rsid w:val="00D82A39"/>
    <w:rsid w:val="00D916EF"/>
    <w:rsid w:val="00DA1821"/>
    <w:rsid w:val="00DA1FEC"/>
    <w:rsid w:val="00DA20E6"/>
    <w:rsid w:val="00DA2D11"/>
    <w:rsid w:val="00DA2FD3"/>
    <w:rsid w:val="00DA3635"/>
    <w:rsid w:val="00DC3D83"/>
    <w:rsid w:val="00DC6035"/>
    <w:rsid w:val="00DC734C"/>
    <w:rsid w:val="00DC7C75"/>
    <w:rsid w:val="00DD553D"/>
    <w:rsid w:val="00DD5A21"/>
    <w:rsid w:val="00DD5B43"/>
    <w:rsid w:val="00DE1C95"/>
    <w:rsid w:val="00DE23F8"/>
    <w:rsid w:val="00DE30FB"/>
    <w:rsid w:val="00DE5C35"/>
    <w:rsid w:val="00DE7D33"/>
    <w:rsid w:val="00E06433"/>
    <w:rsid w:val="00E127DF"/>
    <w:rsid w:val="00E1392A"/>
    <w:rsid w:val="00E1466C"/>
    <w:rsid w:val="00E2109F"/>
    <w:rsid w:val="00E21A32"/>
    <w:rsid w:val="00E23BC5"/>
    <w:rsid w:val="00E2586E"/>
    <w:rsid w:val="00E2663D"/>
    <w:rsid w:val="00E32F67"/>
    <w:rsid w:val="00E346BA"/>
    <w:rsid w:val="00E4655D"/>
    <w:rsid w:val="00E576F9"/>
    <w:rsid w:val="00E61A58"/>
    <w:rsid w:val="00E64E5C"/>
    <w:rsid w:val="00E7132E"/>
    <w:rsid w:val="00E728CF"/>
    <w:rsid w:val="00E72D2E"/>
    <w:rsid w:val="00E73CF4"/>
    <w:rsid w:val="00E75541"/>
    <w:rsid w:val="00E83FB3"/>
    <w:rsid w:val="00E846CB"/>
    <w:rsid w:val="00E8742C"/>
    <w:rsid w:val="00E877A1"/>
    <w:rsid w:val="00E91C73"/>
    <w:rsid w:val="00E933C2"/>
    <w:rsid w:val="00E974C2"/>
    <w:rsid w:val="00E9799E"/>
    <w:rsid w:val="00EA13BE"/>
    <w:rsid w:val="00EA667A"/>
    <w:rsid w:val="00EB1E20"/>
    <w:rsid w:val="00EB24AE"/>
    <w:rsid w:val="00EB26F6"/>
    <w:rsid w:val="00EB48C4"/>
    <w:rsid w:val="00EC07C8"/>
    <w:rsid w:val="00EC5794"/>
    <w:rsid w:val="00EC67B0"/>
    <w:rsid w:val="00ED3720"/>
    <w:rsid w:val="00EE0166"/>
    <w:rsid w:val="00EE087D"/>
    <w:rsid w:val="00EE20E0"/>
    <w:rsid w:val="00EF0353"/>
    <w:rsid w:val="00EF068F"/>
    <w:rsid w:val="00EF6A59"/>
    <w:rsid w:val="00EF7F50"/>
    <w:rsid w:val="00F03718"/>
    <w:rsid w:val="00F0534A"/>
    <w:rsid w:val="00F05E7E"/>
    <w:rsid w:val="00F06061"/>
    <w:rsid w:val="00F068C9"/>
    <w:rsid w:val="00F07A04"/>
    <w:rsid w:val="00F11BF5"/>
    <w:rsid w:val="00F1225F"/>
    <w:rsid w:val="00F2035E"/>
    <w:rsid w:val="00F22D57"/>
    <w:rsid w:val="00F22FA6"/>
    <w:rsid w:val="00F24007"/>
    <w:rsid w:val="00F24368"/>
    <w:rsid w:val="00F447E8"/>
    <w:rsid w:val="00F5141D"/>
    <w:rsid w:val="00F51E0B"/>
    <w:rsid w:val="00F537A0"/>
    <w:rsid w:val="00F54B36"/>
    <w:rsid w:val="00F55FA1"/>
    <w:rsid w:val="00F6020E"/>
    <w:rsid w:val="00F70171"/>
    <w:rsid w:val="00F7453A"/>
    <w:rsid w:val="00F80197"/>
    <w:rsid w:val="00F84715"/>
    <w:rsid w:val="00F94E4D"/>
    <w:rsid w:val="00FA2949"/>
    <w:rsid w:val="00FA2F26"/>
    <w:rsid w:val="00FA4060"/>
    <w:rsid w:val="00FA45F7"/>
    <w:rsid w:val="00FB5FF4"/>
    <w:rsid w:val="00FB657D"/>
    <w:rsid w:val="00FD0F80"/>
    <w:rsid w:val="00FD33D0"/>
    <w:rsid w:val="00FE40AB"/>
    <w:rsid w:val="00FE4567"/>
    <w:rsid w:val="00FE4E90"/>
    <w:rsid w:val="00FF035D"/>
    <w:rsid w:val="00FF25F5"/>
    <w:rsid w:val="00FF4C1F"/>
    <w:rsid w:val="4C19BE8A"/>
    <w:rsid w:val="5C206DE5"/>
    <w:rsid w:val="71A7C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0496E412"/>
  <w15:chartTrackingRefBased/>
  <w15:docId w15:val="{9711DBCE-3BE8-4D72-9FCD-42B5BBA7A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0BF"/>
  </w:style>
  <w:style w:type="paragraph" w:styleId="Heading1">
    <w:name w:val="heading 1"/>
    <w:basedOn w:val="Normal"/>
    <w:next w:val="Normal"/>
    <w:link w:val="Heading1Char"/>
    <w:uiPriority w:val="9"/>
    <w:qFormat/>
    <w:rsid w:val="00AE60B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E60B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E60BF"/>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AE60BF"/>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AE60BF"/>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AE60BF"/>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AE60BF"/>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AE60B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E60B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60BF"/>
    <w:rPr>
      <w:caps/>
      <w:spacing w:val="15"/>
      <w:shd w:val="clear" w:color="auto" w:fill="DBE5F1" w:themeFill="accent1" w:themeFillTint="33"/>
    </w:rPr>
  </w:style>
  <w:style w:type="character" w:customStyle="1" w:styleId="Heading1Char">
    <w:name w:val="Heading 1 Char"/>
    <w:basedOn w:val="DefaultParagraphFont"/>
    <w:link w:val="Heading1"/>
    <w:uiPriority w:val="9"/>
    <w:rsid w:val="00AE60BF"/>
    <w:rPr>
      <w:caps/>
      <w:color w:val="FFFFFF" w:themeColor="background1"/>
      <w:spacing w:val="15"/>
      <w:sz w:val="22"/>
      <w:szCs w:val="22"/>
      <w:shd w:val="clear" w:color="auto" w:fill="4F81BD" w:themeFill="accent1"/>
    </w:rPr>
  </w:style>
  <w:style w:type="character" w:customStyle="1" w:styleId="Heading3Char">
    <w:name w:val="Heading 3 Char"/>
    <w:basedOn w:val="DefaultParagraphFont"/>
    <w:link w:val="Heading3"/>
    <w:uiPriority w:val="9"/>
    <w:rsid w:val="00AE60BF"/>
    <w:rPr>
      <w:caps/>
      <w:color w:val="243F60" w:themeColor="accent1" w:themeShade="7F"/>
      <w:spacing w:val="15"/>
    </w:rPr>
  </w:style>
  <w:style w:type="character" w:customStyle="1" w:styleId="Heading4Char">
    <w:name w:val="Heading 4 Char"/>
    <w:basedOn w:val="DefaultParagraphFont"/>
    <w:link w:val="Heading4"/>
    <w:uiPriority w:val="9"/>
    <w:semiHidden/>
    <w:rsid w:val="00AE60BF"/>
    <w:rPr>
      <w:caps/>
      <w:color w:val="365F91" w:themeColor="accent1" w:themeShade="BF"/>
      <w:spacing w:val="10"/>
    </w:rPr>
  </w:style>
  <w:style w:type="character" w:customStyle="1" w:styleId="Heading5Char">
    <w:name w:val="Heading 5 Char"/>
    <w:basedOn w:val="DefaultParagraphFont"/>
    <w:link w:val="Heading5"/>
    <w:uiPriority w:val="9"/>
    <w:semiHidden/>
    <w:rsid w:val="00AE60BF"/>
    <w:rPr>
      <w:caps/>
      <w:color w:val="365F91" w:themeColor="accent1" w:themeShade="BF"/>
      <w:spacing w:val="10"/>
    </w:rPr>
  </w:style>
  <w:style w:type="character" w:customStyle="1" w:styleId="Heading6Char">
    <w:name w:val="Heading 6 Char"/>
    <w:basedOn w:val="DefaultParagraphFont"/>
    <w:link w:val="Heading6"/>
    <w:uiPriority w:val="9"/>
    <w:semiHidden/>
    <w:rsid w:val="00AE60BF"/>
    <w:rPr>
      <w:caps/>
      <w:color w:val="365F91" w:themeColor="accent1" w:themeShade="BF"/>
      <w:spacing w:val="10"/>
    </w:rPr>
  </w:style>
  <w:style w:type="character" w:customStyle="1" w:styleId="Heading7Char">
    <w:name w:val="Heading 7 Char"/>
    <w:basedOn w:val="DefaultParagraphFont"/>
    <w:link w:val="Heading7"/>
    <w:uiPriority w:val="9"/>
    <w:semiHidden/>
    <w:rsid w:val="00AE60BF"/>
    <w:rPr>
      <w:caps/>
      <w:color w:val="365F91" w:themeColor="accent1" w:themeShade="BF"/>
      <w:spacing w:val="10"/>
    </w:rPr>
  </w:style>
  <w:style w:type="character" w:customStyle="1" w:styleId="Heading8Char">
    <w:name w:val="Heading 8 Char"/>
    <w:basedOn w:val="DefaultParagraphFont"/>
    <w:link w:val="Heading8"/>
    <w:uiPriority w:val="9"/>
    <w:semiHidden/>
    <w:rsid w:val="00AE60BF"/>
    <w:rPr>
      <w:caps/>
      <w:spacing w:val="10"/>
      <w:sz w:val="18"/>
      <w:szCs w:val="18"/>
    </w:rPr>
  </w:style>
  <w:style w:type="character" w:customStyle="1" w:styleId="Heading9Char">
    <w:name w:val="Heading 9 Char"/>
    <w:basedOn w:val="DefaultParagraphFont"/>
    <w:link w:val="Heading9"/>
    <w:uiPriority w:val="9"/>
    <w:semiHidden/>
    <w:rsid w:val="00AE60BF"/>
    <w:rPr>
      <w:i/>
      <w:iCs/>
      <w:caps/>
      <w:spacing w:val="10"/>
      <w:sz w:val="18"/>
      <w:szCs w:val="18"/>
    </w:rPr>
  </w:style>
  <w:style w:type="paragraph" w:styleId="Caption">
    <w:name w:val="caption"/>
    <w:basedOn w:val="Normal"/>
    <w:next w:val="Normal"/>
    <w:uiPriority w:val="35"/>
    <w:semiHidden/>
    <w:unhideWhenUsed/>
    <w:qFormat/>
    <w:rsid w:val="00AE60BF"/>
    <w:rPr>
      <w:b/>
      <w:bCs/>
      <w:color w:val="365F91" w:themeColor="accent1" w:themeShade="BF"/>
      <w:sz w:val="16"/>
      <w:szCs w:val="16"/>
    </w:rPr>
  </w:style>
  <w:style w:type="paragraph" w:styleId="Title">
    <w:name w:val="Title"/>
    <w:basedOn w:val="Normal"/>
    <w:next w:val="Normal"/>
    <w:link w:val="TitleChar"/>
    <w:uiPriority w:val="10"/>
    <w:qFormat/>
    <w:rsid w:val="00C93A41"/>
    <w:pPr>
      <w:pBdr>
        <w:top w:val="single" w:sz="4" w:space="1" w:color="auto"/>
        <w:bottom w:val="single" w:sz="4" w:space="1" w:color="auto"/>
      </w:pBd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C93A41"/>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AE60B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0BF"/>
    <w:rPr>
      <w:caps/>
      <w:color w:val="595959" w:themeColor="text1" w:themeTint="A6"/>
      <w:spacing w:val="10"/>
      <w:sz w:val="21"/>
      <w:szCs w:val="21"/>
    </w:rPr>
  </w:style>
  <w:style w:type="character" w:styleId="Strong">
    <w:name w:val="Strong"/>
    <w:uiPriority w:val="22"/>
    <w:qFormat/>
    <w:rsid w:val="00AE60BF"/>
    <w:rPr>
      <w:b/>
      <w:bCs/>
    </w:rPr>
  </w:style>
  <w:style w:type="character" w:styleId="Emphasis">
    <w:name w:val="Emphasis"/>
    <w:uiPriority w:val="20"/>
    <w:qFormat/>
    <w:rsid w:val="00AE60BF"/>
    <w:rPr>
      <w:caps/>
      <w:color w:val="243F60" w:themeColor="accent1" w:themeShade="7F"/>
      <w:spacing w:val="5"/>
    </w:rPr>
  </w:style>
  <w:style w:type="paragraph" w:styleId="NoSpacing">
    <w:name w:val="No Spacing"/>
    <w:uiPriority w:val="1"/>
    <w:qFormat/>
    <w:rsid w:val="00AE60BF"/>
    <w:pPr>
      <w:spacing w:after="0" w:line="240" w:lineRule="auto"/>
    </w:pPr>
  </w:style>
  <w:style w:type="paragraph" w:styleId="Quote">
    <w:name w:val="Quote"/>
    <w:basedOn w:val="Normal"/>
    <w:next w:val="Normal"/>
    <w:link w:val="QuoteChar"/>
    <w:uiPriority w:val="29"/>
    <w:qFormat/>
    <w:rsid w:val="00AE60BF"/>
    <w:rPr>
      <w:i/>
      <w:iCs/>
      <w:sz w:val="24"/>
      <w:szCs w:val="24"/>
    </w:rPr>
  </w:style>
  <w:style w:type="character" w:customStyle="1" w:styleId="QuoteChar">
    <w:name w:val="Quote Char"/>
    <w:basedOn w:val="DefaultParagraphFont"/>
    <w:link w:val="Quote"/>
    <w:uiPriority w:val="29"/>
    <w:rsid w:val="00AE60BF"/>
    <w:rPr>
      <w:i/>
      <w:iCs/>
      <w:sz w:val="24"/>
      <w:szCs w:val="24"/>
    </w:rPr>
  </w:style>
  <w:style w:type="paragraph" w:styleId="IntenseQuote">
    <w:name w:val="Intense Quote"/>
    <w:basedOn w:val="Normal"/>
    <w:next w:val="Normal"/>
    <w:link w:val="IntenseQuoteChar"/>
    <w:uiPriority w:val="30"/>
    <w:qFormat/>
    <w:rsid w:val="00AE60BF"/>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AE60BF"/>
    <w:rPr>
      <w:color w:val="4F81BD" w:themeColor="accent1"/>
      <w:sz w:val="24"/>
      <w:szCs w:val="24"/>
    </w:rPr>
  </w:style>
  <w:style w:type="character" w:styleId="SubtleEmphasis">
    <w:name w:val="Subtle Emphasis"/>
    <w:uiPriority w:val="19"/>
    <w:qFormat/>
    <w:rsid w:val="00AE60BF"/>
    <w:rPr>
      <w:i/>
      <w:iCs/>
      <w:color w:val="243F60" w:themeColor="accent1" w:themeShade="7F"/>
    </w:rPr>
  </w:style>
  <w:style w:type="character" w:styleId="IntenseEmphasis">
    <w:name w:val="Intense Emphasis"/>
    <w:uiPriority w:val="21"/>
    <w:qFormat/>
    <w:rsid w:val="00AE60BF"/>
    <w:rPr>
      <w:b/>
      <w:bCs/>
      <w:caps/>
      <w:color w:val="243F60" w:themeColor="accent1" w:themeShade="7F"/>
      <w:spacing w:val="10"/>
    </w:rPr>
  </w:style>
  <w:style w:type="character" w:styleId="SubtleReference">
    <w:name w:val="Subtle Reference"/>
    <w:uiPriority w:val="31"/>
    <w:qFormat/>
    <w:rsid w:val="00AE60BF"/>
    <w:rPr>
      <w:b/>
      <w:bCs/>
      <w:color w:val="4F81BD" w:themeColor="accent1"/>
    </w:rPr>
  </w:style>
  <w:style w:type="character" w:styleId="IntenseReference">
    <w:name w:val="Intense Reference"/>
    <w:uiPriority w:val="32"/>
    <w:qFormat/>
    <w:rsid w:val="00AE60BF"/>
    <w:rPr>
      <w:b/>
      <w:bCs/>
      <w:i/>
      <w:iCs/>
      <w:caps/>
      <w:color w:val="4F81BD" w:themeColor="accent1"/>
    </w:rPr>
  </w:style>
  <w:style w:type="character" w:styleId="BookTitle">
    <w:name w:val="Book Title"/>
    <w:uiPriority w:val="33"/>
    <w:qFormat/>
    <w:rsid w:val="00AE60BF"/>
    <w:rPr>
      <w:b/>
      <w:bCs/>
      <w:i/>
      <w:iCs/>
      <w:spacing w:val="0"/>
    </w:rPr>
  </w:style>
  <w:style w:type="paragraph" w:styleId="TOCHeading">
    <w:name w:val="TOC Heading"/>
    <w:basedOn w:val="Heading1"/>
    <w:next w:val="Normal"/>
    <w:uiPriority w:val="39"/>
    <w:semiHidden/>
    <w:unhideWhenUsed/>
    <w:qFormat/>
    <w:rsid w:val="00AE60BF"/>
    <w:pPr>
      <w:outlineLvl w:val="9"/>
    </w:pPr>
  </w:style>
  <w:style w:type="paragraph" w:styleId="Header">
    <w:name w:val="header"/>
    <w:basedOn w:val="Normal"/>
    <w:link w:val="HeaderChar"/>
    <w:uiPriority w:val="99"/>
    <w:unhideWhenUsed/>
    <w:rsid w:val="00EB24A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B24AE"/>
  </w:style>
  <w:style w:type="paragraph" w:styleId="Footer">
    <w:name w:val="footer"/>
    <w:basedOn w:val="Normal"/>
    <w:link w:val="FooterChar"/>
    <w:uiPriority w:val="99"/>
    <w:unhideWhenUsed/>
    <w:rsid w:val="00EB24A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B24AE"/>
  </w:style>
  <w:style w:type="character" w:styleId="Hyperlink">
    <w:name w:val="Hyperlink"/>
    <w:basedOn w:val="DefaultParagraphFont"/>
    <w:uiPriority w:val="99"/>
    <w:unhideWhenUsed/>
    <w:rsid w:val="00A4679C"/>
    <w:rPr>
      <w:color w:val="0000FF" w:themeColor="hyperlink"/>
      <w:u w:val="single"/>
    </w:rPr>
  </w:style>
  <w:style w:type="character" w:styleId="UnresolvedMention">
    <w:name w:val="Unresolved Mention"/>
    <w:basedOn w:val="DefaultParagraphFont"/>
    <w:uiPriority w:val="99"/>
    <w:semiHidden/>
    <w:unhideWhenUsed/>
    <w:rsid w:val="00A4679C"/>
    <w:rPr>
      <w:color w:val="605E5C"/>
      <w:shd w:val="clear" w:color="auto" w:fill="E1DFDD"/>
    </w:rPr>
  </w:style>
  <w:style w:type="paragraph" w:styleId="Revision">
    <w:name w:val="Revision"/>
    <w:hidden/>
    <w:uiPriority w:val="99"/>
    <w:semiHidden/>
    <w:rsid w:val="00491CF8"/>
    <w:pPr>
      <w:spacing w:before="0" w:after="0" w:line="240" w:lineRule="auto"/>
    </w:pPr>
  </w:style>
  <w:style w:type="paragraph" w:styleId="CommentText">
    <w:name w:val="annotation text"/>
    <w:basedOn w:val="Normal"/>
    <w:link w:val="CommentTextChar"/>
    <w:uiPriority w:val="99"/>
    <w:unhideWhenUsed/>
    <w:rsid w:val="00F22FA6"/>
    <w:pPr>
      <w:spacing w:line="240" w:lineRule="auto"/>
    </w:pPr>
  </w:style>
  <w:style w:type="character" w:customStyle="1" w:styleId="CommentTextChar">
    <w:name w:val="Comment Text Char"/>
    <w:basedOn w:val="DefaultParagraphFont"/>
    <w:link w:val="CommentText"/>
    <w:uiPriority w:val="99"/>
    <w:rsid w:val="00F22FA6"/>
  </w:style>
  <w:style w:type="character" w:styleId="CommentReference">
    <w:name w:val="annotation reference"/>
    <w:basedOn w:val="DefaultParagraphFont"/>
    <w:uiPriority w:val="99"/>
    <w:semiHidden/>
    <w:unhideWhenUsed/>
    <w:rsid w:val="00F22FA6"/>
    <w:rPr>
      <w:sz w:val="16"/>
      <w:szCs w:val="16"/>
    </w:rPr>
  </w:style>
  <w:style w:type="character" w:styleId="FollowedHyperlink">
    <w:name w:val="FollowedHyperlink"/>
    <w:basedOn w:val="DefaultParagraphFont"/>
    <w:uiPriority w:val="99"/>
    <w:semiHidden/>
    <w:unhideWhenUsed/>
    <w:rsid w:val="00082DA6"/>
    <w:rPr>
      <w:color w:val="800080" w:themeColor="followedHyperlink"/>
      <w:u w:val="single"/>
    </w:rPr>
  </w:style>
  <w:style w:type="paragraph" w:styleId="ListParagraph">
    <w:name w:val="List Paragraph"/>
    <w:basedOn w:val="Normal"/>
    <w:uiPriority w:val="1"/>
    <w:qFormat/>
    <w:rsid w:val="00321877"/>
    <w:pPr>
      <w:ind w:left="720"/>
      <w:contextualSpacing/>
    </w:pPr>
  </w:style>
  <w:style w:type="paragraph" w:styleId="CommentSubject">
    <w:name w:val="annotation subject"/>
    <w:basedOn w:val="CommentText"/>
    <w:next w:val="CommentText"/>
    <w:link w:val="CommentSubjectChar"/>
    <w:uiPriority w:val="99"/>
    <w:semiHidden/>
    <w:unhideWhenUsed/>
    <w:rsid w:val="003F1D0E"/>
    <w:rPr>
      <w:b/>
      <w:bCs/>
    </w:rPr>
  </w:style>
  <w:style w:type="character" w:customStyle="1" w:styleId="CommentSubjectChar">
    <w:name w:val="Comment Subject Char"/>
    <w:basedOn w:val="CommentTextChar"/>
    <w:link w:val="CommentSubject"/>
    <w:uiPriority w:val="99"/>
    <w:semiHidden/>
    <w:rsid w:val="003F1D0E"/>
    <w:rPr>
      <w:b/>
      <w:bCs/>
    </w:rPr>
  </w:style>
  <w:style w:type="paragraph" w:styleId="BodyText">
    <w:name w:val="Body Text"/>
    <w:basedOn w:val="Normal"/>
    <w:link w:val="BodyTextChar"/>
    <w:uiPriority w:val="1"/>
    <w:qFormat/>
    <w:rsid w:val="00441DA7"/>
    <w:pPr>
      <w:widowControl w:val="0"/>
      <w:autoSpaceDE w:val="0"/>
      <w:autoSpaceDN w:val="0"/>
      <w:spacing w:before="0" w:after="0" w:line="240" w:lineRule="auto"/>
    </w:pPr>
    <w:rPr>
      <w:rFonts w:ascii="Calibri" w:eastAsia="Calibri" w:hAnsi="Calibri" w:cs="Calibri"/>
      <w:sz w:val="22"/>
      <w:szCs w:val="22"/>
    </w:rPr>
  </w:style>
  <w:style w:type="character" w:customStyle="1" w:styleId="BodyTextChar">
    <w:name w:val="Body Text Char"/>
    <w:basedOn w:val="DefaultParagraphFont"/>
    <w:link w:val="BodyText"/>
    <w:uiPriority w:val="1"/>
    <w:rsid w:val="00441DA7"/>
    <w:rPr>
      <w:rFonts w:ascii="Calibri" w:eastAsia="Calibri" w:hAnsi="Calibri" w:cs="Calibri"/>
      <w:sz w:val="22"/>
      <w:szCs w:val="22"/>
    </w:rPr>
  </w:style>
  <w:style w:type="paragraph" w:customStyle="1" w:styleId="xmsonormal">
    <w:name w:val="x_msonormal"/>
    <w:basedOn w:val="Normal"/>
    <w:rsid w:val="003330EF"/>
    <w:pPr>
      <w:spacing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A067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2628F"/>
    <w:pPr>
      <w:widowControl w:val="0"/>
      <w:autoSpaceDE w:val="0"/>
      <w:autoSpaceDN w:val="0"/>
      <w:spacing w:before="0" w:after="0" w:line="240"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485">
      <w:bodyDiv w:val="1"/>
      <w:marLeft w:val="0"/>
      <w:marRight w:val="0"/>
      <w:marTop w:val="0"/>
      <w:marBottom w:val="0"/>
      <w:divBdr>
        <w:top w:val="none" w:sz="0" w:space="0" w:color="auto"/>
        <w:left w:val="none" w:sz="0" w:space="0" w:color="auto"/>
        <w:bottom w:val="none" w:sz="0" w:space="0" w:color="auto"/>
        <w:right w:val="none" w:sz="0" w:space="0" w:color="auto"/>
      </w:divBdr>
      <w:divsChild>
        <w:div w:id="1987513595">
          <w:marLeft w:val="0"/>
          <w:marRight w:val="0"/>
          <w:marTop w:val="0"/>
          <w:marBottom w:val="0"/>
          <w:divBdr>
            <w:top w:val="none" w:sz="0" w:space="0" w:color="auto"/>
            <w:left w:val="none" w:sz="0" w:space="0" w:color="auto"/>
            <w:bottom w:val="none" w:sz="0" w:space="0" w:color="auto"/>
            <w:right w:val="none" w:sz="0" w:space="0" w:color="auto"/>
          </w:divBdr>
        </w:div>
      </w:divsChild>
    </w:div>
    <w:div w:id="123550548">
      <w:bodyDiv w:val="1"/>
      <w:marLeft w:val="0"/>
      <w:marRight w:val="0"/>
      <w:marTop w:val="0"/>
      <w:marBottom w:val="0"/>
      <w:divBdr>
        <w:top w:val="none" w:sz="0" w:space="0" w:color="auto"/>
        <w:left w:val="none" w:sz="0" w:space="0" w:color="auto"/>
        <w:bottom w:val="none" w:sz="0" w:space="0" w:color="auto"/>
        <w:right w:val="none" w:sz="0" w:space="0" w:color="auto"/>
      </w:divBdr>
    </w:div>
    <w:div w:id="133069089">
      <w:bodyDiv w:val="1"/>
      <w:marLeft w:val="0"/>
      <w:marRight w:val="0"/>
      <w:marTop w:val="0"/>
      <w:marBottom w:val="0"/>
      <w:divBdr>
        <w:top w:val="none" w:sz="0" w:space="0" w:color="auto"/>
        <w:left w:val="none" w:sz="0" w:space="0" w:color="auto"/>
        <w:bottom w:val="none" w:sz="0" w:space="0" w:color="auto"/>
        <w:right w:val="none" w:sz="0" w:space="0" w:color="auto"/>
      </w:divBdr>
    </w:div>
    <w:div w:id="180634738">
      <w:bodyDiv w:val="1"/>
      <w:marLeft w:val="0"/>
      <w:marRight w:val="0"/>
      <w:marTop w:val="0"/>
      <w:marBottom w:val="0"/>
      <w:divBdr>
        <w:top w:val="none" w:sz="0" w:space="0" w:color="auto"/>
        <w:left w:val="none" w:sz="0" w:space="0" w:color="auto"/>
        <w:bottom w:val="none" w:sz="0" w:space="0" w:color="auto"/>
        <w:right w:val="none" w:sz="0" w:space="0" w:color="auto"/>
      </w:divBdr>
    </w:div>
    <w:div w:id="203980583">
      <w:bodyDiv w:val="1"/>
      <w:marLeft w:val="0"/>
      <w:marRight w:val="0"/>
      <w:marTop w:val="0"/>
      <w:marBottom w:val="0"/>
      <w:divBdr>
        <w:top w:val="none" w:sz="0" w:space="0" w:color="auto"/>
        <w:left w:val="none" w:sz="0" w:space="0" w:color="auto"/>
        <w:bottom w:val="none" w:sz="0" w:space="0" w:color="auto"/>
        <w:right w:val="none" w:sz="0" w:space="0" w:color="auto"/>
      </w:divBdr>
    </w:div>
    <w:div w:id="246306748">
      <w:bodyDiv w:val="1"/>
      <w:marLeft w:val="0"/>
      <w:marRight w:val="0"/>
      <w:marTop w:val="0"/>
      <w:marBottom w:val="0"/>
      <w:divBdr>
        <w:top w:val="none" w:sz="0" w:space="0" w:color="auto"/>
        <w:left w:val="none" w:sz="0" w:space="0" w:color="auto"/>
        <w:bottom w:val="none" w:sz="0" w:space="0" w:color="auto"/>
        <w:right w:val="none" w:sz="0" w:space="0" w:color="auto"/>
      </w:divBdr>
    </w:div>
    <w:div w:id="322321399">
      <w:bodyDiv w:val="1"/>
      <w:marLeft w:val="0"/>
      <w:marRight w:val="0"/>
      <w:marTop w:val="0"/>
      <w:marBottom w:val="0"/>
      <w:divBdr>
        <w:top w:val="none" w:sz="0" w:space="0" w:color="auto"/>
        <w:left w:val="none" w:sz="0" w:space="0" w:color="auto"/>
        <w:bottom w:val="none" w:sz="0" w:space="0" w:color="auto"/>
        <w:right w:val="none" w:sz="0" w:space="0" w:color="auto"/>
      </w:divBdr>
    </w:div>
    <w:div w:id="335618817">
      <w:bodyDiv w:val="1"/>
      <w:marLeft w:val="0"/>
      <w:marRight w:val="0"/>
      <w:marTop w:val="0"/>
      <w:marBottom w:val="0"/>
      <w:divBdr>
        <w:top w:val="none" w:sz="0" w:space="0" w:color="auto"/>
        <w:left w:val="none" w:sz="0" w:space="0" w:color="auto"/>
        <w:bottom w:val="none" w:sz="0" w:space="0" w:color="auto"/>
        <w:right w:val="none" w:sz="0" w:space="0" w:color="auto"/>
      </w:divBdr>
    </w:div>
    <w:div w:id="354890878">
      <w:bodyDiv w:val="1"/>
      <w:marLeft w:val="0"/>
      <w:marRight w:val="0"/>
      <w:marTop w:val="0"/>
      <w:marBottom w:val="0"/>
      <w:divBdr>
        <w:top w:val="none" w:sz="0" w:space="0" w:color="auto"/>
        <w:left w:val="none" w:sz="0" w:space="0" w:color="auto"/>
        <w:bottom w:val="none" w:sz="0" w:space="0" w:color="auto"/>
        <w:right w:val="none" w:sz="0" w:space="0" w:color="auto"/>
      </w:divBdr>
    </w:div>
    <w:div w:id="565267576">
      <w:bodyDiv w:val="1"/>
      <w:marLeft w:val="0"/>
      <w:marRight w:val="0"/>
      <w:marTop w:val="0"/>
      <w:marBottom w:val="0"/>
      <w:divBdr>
        <w:top w:val="none" w:sz="0" w:space="0" w:color="auto"/>
        <w:left w:val="none" w:sz="0" w:space="0" w:color="auto"/>
        <w:bottom w:val="none" w:sz="0" w:space="0" w:color="auto"/>
        <w:right w:val="none" w:sz="0" w:space="0" w:color="auto"/>
      </w:divBdr>
    </w:div>
    <w:div w:id="587084745">
      <w:bodyDiv w:val="1"/>
      <w:marLeft w:val="0"/>
      <w:marRight w:val="0"/>
      <w:marTop w:val="0"/>
      <w:marBottom w:val="0"/>
      <w:divBdr>
        <w:top w:val="none" w:sz="0" w:space="0" w:color="auto"/>
        <w:left w:val="none" w:sz="0" w:space="0" w:color="auto"/>
        <w:bottom w:val="none" w:sz="0" w:space="0" w:color="auto"/>
        <w:right w:val="none" w:sz="0" w:space="0" w:color="auto"/>
      </w:divBdr>
    </w:div>
    <w:div w:id="596912302">
      <w:bodyDiv w:val="1"/>
      <w:marLeft w:val="0"/>
      <w:marRight w:val="0"/>
      <w:marTop w:val="0"/>
      <w:marBottom w:val="0"/>
      <w:divBdr>
        <w:top w:val="none" w:sz="0" w:space="0" w:color="auto"/>
        <w:left w:val="none" w:sz="0" w:space="0" w:color="auto"/>
        <w:bottom w:val="none" w:sz="0" w:space="0" w:color="auto"/>
        <w:right w:val="none" w:sz="0" w:space="0" w:color="auto"/>
      </w:divBdr>
    </w:div>
    <w:div w:id="655035591">
      <w:bodyDiv w:val="1"/>
      <w:marLeft w:val="0"/>
      <w:marRight w:val="0"/>
      <w:marTop w:val="0"/>
      <w:marBottom w:val="0"/>
      <w:divBdr>
        <w:top w:val="none" w:sz="0" w:space="0" w:color="auto"/>
        <w:left w:val="none" w:sz="0" w:space="0" w:color="auto"/>
        <w:bottom w:val="none" w:sz="0" w:space="0" w:color="auto"/>
        <w:right w:val="none" w:sz="0" w:space="0" w:color="auto"/>
      </w:divBdr>
    </w:div>
    <w:div w:id="704333401">
      <w:bodyDiv w:val="1"/>
      <w:marLeft w:val="0"/>
      <w:marRight w:val="0"/>
      <w:marTop w:val="0"/>
      <w:marBottom w:val="0"/>
      <w:divBdr>
        <w:top w:val="none" w:sz="0" w:space="0" w:color="auto"/>
        <w:left w:val="none" w:sz="0" w:space="0" w:color="auto"/>
        <w:bottom w:val="none" w:sz="0" w:space="0" w:color="auto"/>
        <w:right w:val="none" w:sz="0" w:space="0" w:color="auto"/>
      </w:divBdr>
    </w:div>
    <w:div w:id="733552906">
      <w:bodyDiv w:val="1"/>
      <w:marLeft w:val="0"/>
      <w:marRight w:val="0"/>
      <w:marTop w:val="0"/>
      <w:marBottom w:val="0"/>
      <w:divBdr>
        <w:top w:val="none" w:sz="0" w:space="0" w:color="auto"/>
        <w:left w:val="none" w:sz="0" w:space="0" w:color="auto"/>
        <w:bottom w:val="none" w:sz="0" w:space="0" w:color="auto"/>
        <w:right w:val="none" w:sz="0" w:space="0" w:color="auto"/>
      </w:divBdr>
    </w:div>
    <w:div w:id="889458073">
      <w:bodyDiv w:val="1"/>
      <w:marLeft w:val="0"/>
      <w:marRight w:val="0"/>
      <w:marTop w:val="0"/>
      <w:marBottom w:val="0"/>
      <w:divBdr>
        <w:top w:val="none" w:sz="0" w:space="0" w:color="auto"/>
        <w:left w:val="none" w:sz="0" w:space="0" w:color="auto"/>
        <w:bottom w:val="none" w:sz="0" w:space="0" w:color="auto"/>
        <w:right w:val="none" w:sz="0" w:space="0" w:color="auto"/>
      </w:divBdr>
    </w:div>
    <w:div w:id="957680571">
      <w:bodyDiv w:val="1"/>
      <w:marLeft w:val="0"/>
      <w:marRight w:val="0"/>
      <w:marTop w:val="0"/>
      <w:marBottom w:val="0"/>
      <w:divBdr>
        <w:top w:val="none" w:sz="0" w:space="0" w:color="auto"/>
        <w:left w:val="none" w:sz="0" w:space="0" w:color="auto"/>
        <w:bottom w:val="none" w:sz="0" w:space="0" w:color="auto"/>
        <w:right w:val="none" w:sz="0" w:space="0" w:color="auto"/>
      </w:divBdr>
    </w:div>
    <w:div w:id="986906774">
      <w:bodyDiv w:val="1"/>
      <w:marLeft w:val="0"/>
      <w:marRight w:val="0"/>
      <w:marTop w:val="0"/>
      <w:marBottom w:val="0"/>
      <w:divBdr>
        <w:top w:val="none" w:sz="0" w:space="0" w:color="auto"/>
        <w:left w:val="none" w:sz="0" w:space="0" w:color="auto"/>
        <w:bottom w:val="none" w:sz="0" w:space="0" w:color="auto"/>
        <w:right w:val="none" w:sz="0" w:space="0" w:color="auto"/>
      </w:divBdr>
    </w:div>
    <w:div w:id="1020278975">
      <w:bodyDiv w:val="1"/>
      <w:marLeft w:val="0"/>
      <w:marRight w:val="0"/>
      <w:marTop w:val="0"/>
      <w:marBottom w:val="0"/>
      <w:divBdr>
        <w:top w:val="none" w:sz="0" w:space="0" w:color="auto"/>
        <w:left w:val="none" w:sz="0" w:space="0" w:color="auto"/>
        <w:bottom w:val="none" w:sz="0" w:space="0" w:color="auto"/>
        <w:right w:val="none" w:sz="0" w:space="0" w:color="auto"/>
      </w:divBdr>
    </w:div>
    <w:div w:id="1203978730">
      <w:bodyDiv w:val="1"/>
      <w:marLeft w:val="0"/>
      <w:marRight w:val="0"/>
      <w:marTop w:val="0"/>
      <w:marBottom w:val="0"/>
      <w:divBdr>
        <w:top w:val="none" w:sz="0" w:space="0" w:color="auto"/>
        <w:left w:val="none" w:sz="0" w:space="0" w:color="auto"/>
        <w:bottom w:val="none" w:sz="0" w:space="0" w:color="auto"/>
        <w:right w:val="none" w:sz="0" w:space="0" w:color="auto"/>
      </w:divBdr>
    </w:div>
    <w:div w:id="1218974300">
      <w:bodyDiv w:val="1"/>
      <w:marLeft w:val="0"/>
      <w:marRight w:val="0"/>
      <w:marTop w:val="0"/>
      <w:marBottom w:val="0"/>
      <w:divBdr>
        <w:top w:val="none" w:sz="0" w:space="0" w:color="auto"/>
        <w:left w:val="none" w:sz="0" w:space="0" w:color="auto"/>
        <w:bottom w:val="none" w:sz="0" w:space="0" w:color="auto"/>
        <w:right w:val="none" w:sz="0" w:space="0" w:color="auto"/>
      </w:divBdr>
    </w:div>
    <w:div w:id="1237278279">
      <w:bodyDiv w:val="1"/>
      <w:marLeft w:val="0"/>
      <w:marRight w:val="0"/>
      <w:marTop w:val="0"/>
      <w:marBottom w:val="0"/>
      <w:divBdr>
        <w:top w:val="none" w:sz="0" w:space="0" w:color="auto"/>
        <w:left w:val="none" w:sz="0" w:space="0" w:color="auto"/>
        <w:bottom w:val="none" w:sz="0" w:space="0" w:color="auto"/>
        <w:right w:val="none" w:sz="0" w:space="0" w:color="auto"/>
      </w:divBdr>
    </w:div>
    <w:div w:id="1313632622">
      <w:bodyDiv w:val="1"/>
      <w:marLeft w:val="0"/>
      <w:marRight w:val="0"/>
      <w:marTop w:val="0"/>
      <w:marBottom w:val="0"/>
      <w:divBdr>
        <w:top w:val="none" w:sz="0" w:space="0" w:color="auto"/>
        <w:left w:val="none" w:sz="0" w:space="0" w:color="auto"/>
        <w:bottom w:val="none" w:sz="0" w:space="0" w:color="auto"/>
        <w:right w:val="none" w:sz="0" w:space="0" w:color="auto"/>
      </w:divBdr>
    </w:div>
    <w:div w:id="1442215686">
      <w:bodyDiv w:val="1"/>
      <w:marLeft w:val="0"/>
      <w:marRight w:val="0"/>
      <w:marTop w:val="0"/>
      <w:marBottom w:val="0"/>
      <w:divBdr>
        <w:top w:val="none" w:sz="0" w:space="0" w:color="auto"/>
        <w:left w:val="none" w:sz="0" w:space="0" w:color="auto"/>
        <w:bottom w:val="none" w:sz="0" w:space="0" w:color="auto"/>
        <w:right w:val="none" w:sz="0" w:space="0" w:color="auto"/>
      </w:divBdr>
    </w:div>
    <w:div w:id="1608153613">
      <w:bodyDiv w:val="1"/>
      <w:marLeft w:val="0"/>
      <w:marRight w:val="0"/>
      <w:marTop w:val="0"/>
      <w:marBottom w:val="0"/>
      <w:divBdr>
        <w:top w:val="none" w:sz="0" w:space="0" w:color="auto"/>
        <w:left w:val="none" w:sz="0" w:space="0" w:color="auto"/>
        <w:bottom w:val="none" w:sz="0" w:space="0" w:color="auto"/>
        <w:right w:val="none" w:sz="0" w:space="0" w:color="auto"/>
      </w:divBdr>
    </w:div>
    <w:div w:id="1742411614">
      <w:bodyDiv w:val="1"/>
      <w:marLeft w:val="0"/>
      <w:marRight w:val="0"/>
      <w:marTop w:val="0"/>
      <w:marBottom w:val="0"/>
      <w:divBdr>
        <w:top w:val="none" w:sz="0" w:space="0" w:color="auto"/>
        <w:left w:val="none" w:sz="0" w:space="0" w:color="auto"/>
        <w:bottom w:val="none" w:sz="0" w:space="0" w:color="auto"/>
        <w:right w:val="none" w:sz="0" w:space="0" w:color="auto"/>
      </w:divBdr>
    </w:div>
    <w:div w:id="178626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n.gov/content/dam/tn/tdot/aeronautics/TN%20Airport%20Management%20Guide%20FINAL.pdf" TargetMode="External"/><Relationship Id="rId13" Type="http://schemas.openxmlformats.org/officeDocument/2006/relationships/hyperlink" Target="https://www.blackcataviation.com/account/login" TargetMode="External"/><Relationship Id="rId18" Type="http://schemas.openxmlformats.org/officeDocument/2006/relationships/hyperlink" Target="https://www.faa.gov/sites/faa.gov/files/airports/central/aip/land/title-certificate.doc" TargetMode="External"/><Relationship Id="rId26" Type="http://schemas.openxmlformats.org/officeDocument/2006/relationships/hyperlink" Target="https://www.tn.gov/content/dam/tn/tdot/aeronautics/or-uploads/AEDF%20example%20(redacted).pdf" TargetMode="External"/><Relationship Id="rId3" Type="http://schemas.openxmlformats.org/officeDocument/2006/relationships/styles" Target="styles.xml"/><Relationship Id="rId21" Type="http://schemas.openxmlformats.org/officeDocument/2006/relationships/hyperlink" Target="https://www.tn.gov/content/dam/tn/tdot/aeronautics/or-uploads/Easement%20Acquisition%20example%20invoice%20(redacted).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hud.gov/sites/documents/1.pdf" TargetMode="External"/><Relationship Id="rId25" Type="http://schemas.openxmlformats.org/officeDocument/2006/relationships/hyperlink" Target="https://www.tn.gov/content/dam/tn/tdot/aeronautics/or-uploads/Air%20Carrier%20Example%20(Redacted).pdf" TargetMode="External"/><Relationship Id="rId2" Type="http://schemas.openxmlformats.org/officeDocument/2006/relationships/numbering" Target="numbering.xml"/><Relationship Id="rId16" Type="http://schemas.openxmlformats.org/officeDocument/2006/relationships/hyperlink" Target="https://www.tn.gov/content/dam/tn/tdot/aeronautics/or-uploads/Invoicing%20Template%20for%20Website%20-%20Sponsor%20Edition_2.0.xlsx" TargetMode="External"/><Relationship Id="rId20" Type="http://schemas.openxmlformats.org/officeDocument/2006/relationships/hyperlink" Target="https://www.tn.gov/content/dam/tn/tdot/aeronautics/or-uploads/Example%20Construction%20Packet.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n.gov/content/dam/tn/tdot/aeronautics/or-uploads/maintenance%20example%20packet%20(Redacted).pdf" TargetMode="External"/><Relationship Id="rId5" Type="http://schemas.openxmlformats.org/officeDocument/2006/relationships/webSettings" Target="webSettings.xml"/><Relationship Id="rId15" Type="http://schemas.openxmlformats.org/officeDocument/2006/relationships/hyperlink" Target="https://www.tn.gov/content/dam/tn/tdot/aeronautics/or-uploads/Invoicing%20Template%20for%20Website%20-%20Sponsor%20Edition_2.0.xlsx" TargetMode="External"/><Relationship Id="rId23" Type="http://schemas.openxmlformats.org/officeDocument/2006/relationships/hyperlink" Target="https://www.tn.gov/content/dam/tn/tdot/aeronautics/or-uploads/example%20grounds%20maintenance%20equipment%20(Redacted).pdf" TargetMode="External"/><Relationship Id="rId28" Type="http://schemas.openxmlformats.org/officeDocument/2006/relationships/header" Target="header1.xml"/><Relationship Id="rId10" Type="http://schemas.openxmlformats.org/officeDocument/2006/relationships/hyperlink" Target="https://www.faa.gov/airports/aip/grant_assurances" TargetMode="External"/><Relationship Id="rId19" Type="http://schemas.openxmlformats.org/officeDocument/2006/relationships/hyperlink" Target="https://www.tn.gov/content/dam/tn/tdot/aeronautics/or-uploads/Example%20Professional%20Services%20Packet.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tdot/aeronautics/or-uploads/Sample%20Grant%20Invoice%20Request%20Letter.docx" TargetMode="External"/><Relationship Id="rId22" Type="http://schemas.openxmlformats.org/officeDocument/2006/relationships/hyperlink" Target="https://www.tn.gov/content/dam/tn/tdot/aeronautics/or-uploads/example%20sponsor%20invoice%20packet%20(Redacted).pdf" TargetMode="External"/><Relationship Id="rId27" Type="http://schemas.openxmlformats.org/officeDocument/2006/relationships/hyperlink" Target="https://www.tn.gov/content/dam/tn/tdot/aeronautics/CONTRACT%20COMMITMENTS-AWARDS%20AND%20PAYMENTS%20REPORT.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TDOT">
      <a:dk1>
        <a:sysClr val="windowText" lastClr="000000"/>
      </a:dk1>
      <a:lt1>
        <a:sysClr val="window" lastClr="FFFFFF"/>
      </a:lt1>
      <a:dk2>
        <a:srgbClr val="1F497D"/>
      </a:dk2>
      <a:lt2>
        <a:srgbClr val="EEECE1"/>
      </a:lt2>
      <a:accent1>
        <a:srgbClr val="4F81BD"/>
      </a:accent1>
      <a:accent2>
        <a:srgbClr val="4F81B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17269-EBEB-4B1D-A7C2-A2D3A042808F}">
  <ds:schemaRefs>
    <ds:schemaRef ds:uri="http://schemas.openxmlformats.org/officeDocument/2006/bibliography"/>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Template>
  <TotalTime>4</TotalTime>
  <Pages>3</Pages>
  <Words>3195</Words>
  <Characters>18217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Saalwaechter</dc:creator>
  <cp:keywords/>
  <dc:description/>
  <cp:lastModifiedBy>Adam Guy</cp:lastModifiedBy>
  <cp:revision>3</cp:revision>
  <cp:lastPrinted>2025-03-17T14:17:00Z</cp:lastPrinted>
  <dcterms:created xsi:type="dcterms:W3CDTF">2026-02-10T21:51:00Z</dcterms:created>
  <dcterms:modified xsi:type="dcterms:W3CDTF">2026-02-10T21:52:00Z</dcterms:modified>
</cp:coreProperties>
</file>