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12B9" w14:textId="4701AFB6" w:rsidR="007B4CDF" w:rsidRDefault="007B4CDF" w:rsidP="00105846">
      <w:pPr>
        <w:spacing w:after="100"/>
        <w:jc w:val="center"/>
      </w:pPr>
      <w:r>
        <w:rPr>
          <w:b/>
          <w:bCs/>
          <w:color w:val="1E4E79"/>
          <w:sz w:val="36"/>
          <w:szCs w:val="36"/>
        </w:rPr>
        <w:t>Ten-Year Trend Analysis: Methods Documentation</w:t>
      </w:r>
    </w:p>
    <w:p w14:paraId="3FFA8941" w14:textId="77777777" w:rsidR="007B4CDF" w:rsidRPr="007B4CDF" w:rsidRDefault="007B4CDF" w:rsidP="00105846">
      <w:pPr>
        <w:spacing w:after="40" w:line="276" w:lineRule="auto"/>
        <w:jc w:val="center"/>
        <w:rPr>
          <w:sz w:val="22"/>
          <w:szCs w:val="22"/>
        </w:rPr>
      </w:pPr>
      <w:r w:rsidRPr="007B4CDF">
        <w:rPr>
          <w:sz w:val="22"/>
          <w:szCs w:val="22"/>
        </w:rPr>
        <w:t>FY2024–25 Resource Mapping Report</w:t>
      </w:r>
    </w:p>
    <w:p w14:paraId="0970551D" w14:textId="77777777" w:rsidR="007B4CDF" w:rsidRPr="007B4CDF" w:rsidRDefault="007B4CDF" w:rsidP="00105846">
      <w:pPr>
        <w:spacing w:after="40" w:line="276" w:lineRule="auto"/>
        <w:jc w:val="center"/>
        <w:rPr>
          <w:sz w:val="22"/>
          <w:szCs w:val="22"/>
        </w:rPr>
      </w:pPr>
      <w:r w:rsidRPr="007B4CDF">
        <w:rPr>
          <w:sz w:val="22"/>
          <w:szCs w:val="22"/>
        </w:rPr>
        <w:t>Tennessee Commission on Children and Youth</w:t>
      </w:r>
    </w:p>
    <w:p w14:paraId="357DEC7D" w14:textId="77777777" w:rsidR="007B4CDF" w:rsidRPr="007B4CDF" w:rsidRDefault="007B4CDF" w:rsidP="00105846">
      <w:pPr>
        <w:spacing w:after="300" w:line="276" w:lineRule="auto"/>
        <w:jc w:val="center"/>
        <w:rPr>
          <w:sz w:val="22"/>
          <w:szCs w:val="22"/>
        </w:rPr>
      </w:pPr>
      <w:r w:rsidRPr="007B4CDF">
        <w:rPr>
          <w:i/>
          <w:iCs/>
          <w:sz w:val="22"/>
          <w:szCs w:val="22"/>
        </w:rPr>
        <w:t>April 2026</w:t>
      </w:r>
    </w:p>
    <w:p w14:paraId="2F66E8AC" w14:textId="77777777" w:rsidR="006F53B0" w:rsidRDefault="006F53B0">
      <w:pPr>
        <w:spacing w:after="200"/>
      </w:pPr>
    </w:p>
    <w:p w14:paraId="19F8EC5F" w14:textId="77777777" w:rsidR="006F53B0" w:rsidRDefault="00000000">
      <w:pPr>
        <w:pStyle w:val="Heading1"/>
      </w:pPr>
      <w:r>
        <w:t>1. Purpose and Scope</w:t>
      </w:r>
    </w:p>
    <w:p w14:paraId="7D90C2D6" w14:textId="77777777" w:rsidR="006F53B0" w:rsidRDefault="00000000">
      <w:pPr>
        <w:spacing w:after="200" w:line="276" w:lineRule="auto"/>
      </w:pPr>
      <w:r>
        <w:t>This document describes the analytical methods, parameter choices, and decision rationale for the ten-year expenditure trend analysis presented in the Resource Mapping 2026 report. The trend analysis examines whether specific categories of Tennessee’s child-serving program portfolio—defined by Programmatic Focus, Primary Outcome, and Under-6 designation—have growth trajectories that diverge significantly from the portfolio as a whole. The analysis covers fiscal years 2015 through 2024 and serves as an exploratory, hypothesis-generating complement to the report’s descriptive tables.</w:t>
      </w:r>
    </w:p>
    <w:p w14:paraId="358F9323" w14:textId="77777777" w:rsidR="006F53B0" w:rsidRDefault="00000000">
      <w:pPr>
        <w:spacing w:after="200" w:line="276" w:lineRule="auto"/>
      </w:pPr>
      <w:r>
        <w:t xml:space="preserve">The analysis is implemented in </w:t>
      </w:r>
      <w:r>
        <w:rPr>
          <w:i/>
          <w:iCs/>
        </w:rPr>
        <w:t>rm_trend_analysis_consolidated.py</w:t>
      </w:r>
      <w:r>
        <w:t xml:space="preserve"> and produces three Excel workbooks (one per analysis window) containing bootstrap inference results, descriptive context tables, and TEIS sensitivity analyses. All charts are produced by a companion visualization module.</w:t>
      </w:r>
    </w:p>
    <w:p w14:paraId="600C883E" w14:textId="77777777" w:rsidR="006F53B0" w:rsidRDefault="00000000">
      <w:pPr>
        <w:pStyle w:val="Heading1"/>
      </w:pPr>
      <w:r>
        <w:t>2. Data Source and Preparation</w:t>
      </w:r>
    </w:p>
    <w:p w14:paraId="5BD3AD41" w14:textId="77777777" w:rsidR="006F53B0" w:rsidRDefault="00000000">
      <w:pPr>
        <w:pStyle w:val="Heading2"/>
        <w:spacing w:before="360" w:after="200"/>
      </w:pPr>
      <w:r>
        <w:t>2.1 Input Data</w:t>
      </w:r>
    </w:p>
    <w:p w14:paraId="62AA84AE" w14:textId="77777777" w:rsidR="006F53B0" w:rsidRDefault="00000000">
      <w:pPr>
        <w:spacing w:after="200" w:line="276" w:lineRule="auto"/>
      </w:pPr>
      <w:r>
        <w:t xml:space="preserve">The analysis uses </w:t>
      </w:r>
      <w:r>
        <w:rPr>
          <w:i/>
          <w:iCs/>
        </w:rPr>
        <w:t>RM_Step5_ChildOnly.xlsx</w:t>
      </w:r>
      <w:r>
        <w:t xml:space="preserve"> as its input file. This workbook is produced by the RM cleaning pipeline (</w:t>
      </w:r>
      <w:r>
        <w:rPr>
          <w:i/>
          <w:iCs/>
        </w:rPr>
        <w:t>rm_cleaning_pipeline.py</w:t>
      </w:r>
      <w:r>
        <w:t>) and contains one sheet per fiscal year (FY13 through FY25). Each sheet includes program-level records with agency, program name, total expenditure, state expenditure, federal expenditure, number of children served (NServed), and categorical coding fields (Programmatic Focus, Primary Outcome, Under-6 designation). The Step 5 file excludes adult-only programs as determined by the cleaning pipeline’s adult-only filter.</w:t>
      </w:r>
    </w:p>
    <w:p w14:paraId="42B100E5" w14:textId="77777777" w:rsidR="006F53B0" w:rsidRDefault="00000000">
      <w:pPr>
        <w:spacing w:after="200" w:line="276" w:lineRule="auto"/>
      </w:pPr>
      <w:r>
        <w:t>For this analysis, only sheets FY15 through FY24 are loaded. FY13 and FY14 are excluded due to legacy column-name inconsistencies and incomplete coding. FY25 is excluded because the ten-year trend window ends at FY24; FY25 data are presented as a standalone snapshot elsewhere in the report.</w:t>
      </w:r>
    </w:p>
    <w:p w14:paraId="1B7C2A6F" w14:textId="77777777" w:rsidR="006F53B0" w:rsidRDefault="00000000">
      <w:pPr>
        <w:pStyle w:val="Heading2"/>
        <w:spacing w:before="360" w:after="200"/>
      </w:pPr>
      <w:r>
        <w:t>2.2 Column Harmonization</w:t>
      </w:r>
    </w:p>
    <w:p w14:paraId="0574A49E" w14:textId="77777777" w:rsidR="006F53B0" w:rsidRDefault="00000000">
      <w:pPr>
        <w:spacing w:after="200" w:line="276" w:lineRule="auto"/>
      </w:pPr>
      <w:r>
        <w:lastRenderedPageBreak/>
        <w:t>Column names vary across fiscal years in the raw data. A standardized rename map converts all known variants to canonical names: Agency, Program, Focus, Outcome, Total, State, Federal, and NServed. All text columns undergo smart-quote normalization (Unicode curly quotes replaced with ASCII equivalents) to prevent silent mismatches in program name joins across years.</w:t>
      </w:r>
    </w:p>
    <w:p w14:paraId="66DBEF07" w14:textId="77777777" w:rsidR="006F53B0" w:rsidRDefault="00000000">
      <w:pPr>
        <w:spacing w:after="200" w:line="276" w:lineRule="auto"/>
      </w:pPr>
      <w:r>
        <w:t>Expenditure columns are coerced to numeric, stripping dollar signs and commas. NServed is similarly coerced, with non-numeric values set to zero. The Under-6 designation is normalized from the raw Under_6 field: any value of “Yes” (after stripping leading apostrophes from Excel formatting) maps to “Under 6”; all others map to “Not Under 6.”</w:t>
      </w:r>
    </w:p>
    <w:p w14:paraId="1E6DD123" w14:textId="77777777" w:rsidR="006F53B0" w:rsidRDefault="00000000">
      <w:pPr>
        <w:pStyle w:val="Heading2"/>
        <w:spacing w:before="360" w:after="200"/>
      </w:pPr>
      <w:r>
        <w:t>2.3 Exclusions</w:t>
      </w:r>
    </w:p>
    <w:p w14:paraId="75FCED46" w14:textId="77777777" w:rsidR="006F53B0" w:rsidRDefault="00000000">
      <w:pPr>
        <w:spacing w:after="200" w:line="276" w:lineRule="auto"/>
      </w:pPr>
      <w:r>
        <w:rPr>
          <w:b/>
          <w:bCs/>
        </w:rPr>
        <w:t xml:space="preserve">TISA/BEP passthroughs. </w:t>
      </w:r>
      <w:r>
        <w:t>Programs whose Agency or Program name matches BEP or TISA are excluded from the analytical panel. These represent Basic Education Program formula dollars passed through to school districts and are not discretionary child-serving programs. Including them would inflate the Educated outcome category and mask trends in actual program spending. The TISA passthrough correction removed approximately $6.5 billion in formula dollars from the FY25 snapshot analysis and correspondingly large amounts from prior years.</w:t>
      </w:r>
    </w:p>
    <w:p w14:paraId="0327942A" w14:textId="77777777" w:rsidR="006F53B0" w:rsidRDefault="00000000">
      <w:pPr>
        <w:spacing w:after="200" w:line="276" w:lineRule="auto"/>
      </w:pPr>
      <w:r>
        <w:rPr>
          <w:b/>
          <w:bCs/>
        </w:rPr>
        <w:t xml:space="preserve">Zero-expenditure records. </w:t>
      </w:r>
      <w:r>
        <w:t>Any program-year observation with Total expenditure ≤ $0 is dropped. These records represent either data entry placeholders or programs that received no funding in that year.</w:t>
      </w:r>
    </w:p>
    <w:p w14:paraId="206BBAF1" w14:textId="77777777" w:rsidR="006F53B0" w:rsidRDefault="00000000">
      <w:pPr>
        <w:spacing w:after="200" w:line="276" w:lineRule="auto"/>
      </w:pPr>
      <w:r>
        <w:rPr>
          <w:b/>
          <w:bCs/>
        </w:rPr>
        <w:t xml:space="preserve">Episodic programs. </w:t>
      </w:r>
      <w:r>
        <w:t xml:space="preserve">Programs that do not meet a minimum active-years threshold within each analysis window are excluded. For the full decade (10 years), a program must appear in at least 7 of the 10 years (70%). For the five-year sub-windows, a program must be active in all 5 years (100%). </w:t>
      </w:r>
      <w:r>
        <w:rPr>
          <w:i/>
          <w:iCs/>
        </w:rPr>
        <w:t xml:space="preserve">Rationale: </w:t>
      </w:r>
      <w:r>
        <w:t xml:space="preserve">The sub-window and full-decade thresholds differ because the statistical consequences of missing observations are qualitatively different at different window lengths. </w:t>
      </w:r>
      <w:r>
        <w:rPr>
          <w:i/>
          <w:iCs/>
        </w:rPr>
        <w:t xml:space="preserve">Sub-window requirement (5 of 5). </w:t>
      </w:r>
      <w:r>
        <w:t xml:space="preserve">OLS slope estimation quality degrades rapidly at small n. With 5 observations, the slope has 3 residual degrees of freedom; with 4, it has 2—a one-third reduction in the information available to estimate residual variance, making the slope highly sensitive to a single anomalous year. Because the bootstrap resamples program-level slopes rather than raw data, noise in individual slope estimates propagates directly into the resampled medians without being averaged away. Requiring all 5 years ensures that every slope entering the bootstrap pool is estimated from the maximum number of observations the window permits. Additionally, missingness in a short window is more likely to be informative than in a long one: a program absent for 1 of 5 years—20% of the observation window—has more likely experienced a structural event (funding loss, </w:t>
      </w:r>
      <w:r>
        <w:lastRenderedPageBreak/>
        <w:t xml:space="preserve">program restructuring, merger) that would make the remaining 4-point slope a poor summary of the program’s growth trajectory. The sample-size cost of the 5-of-5 requirement is typically small; most programs that survived 4 years in a 5-year window were also present in the fifth. </w:t>
      </w:r>
      <w:r>
        <w:rPr>
          <w:i/>
          <w:iCs/>
        </w:rPr>
        <w:t xml:space="preserve">Full-decade requirement (7 of 10). </w:t>
      </w:r>
      <w:r>
        <w:t>The full-decade threshold is set at 70% because 7 OLS data points yield 5 residual degrees of freedom, which is adequate for reliable trend estimation, and requiring all 10 years would be overly restrictive given a decade of legitimate program entry and exit.</w:t>
      </w:r>
    </w:p>
    <w:p w14:paraId="5FEF856B" w14:textId="77777777" w:rsidR="006F53B0" w:rsidRDefault="00000000">
      <w:pPr>
        <w:pStyle w:val="Heading2"/>
        <w:spacing w:before="360" w:after="200"/>
      </w:pPr>
      <w:r>
        <w:t>2.4 Derived Variables</w:t>
      </w:r>
    </w:p>
    <w:p w14:paraId="02DE50DC" w14:textId="77777777" w:rsidR="006F53B0" w:rsidRDefault="00000000">
      <w:pPr>
        <w:spacing w:after="200" w:line="276" w:lineRule="auto"/>
      </w:pPr>
      <w:r>
        <w:t>After loading and filtering, the following derived columns are computed for each program-year observation:</w:t>
      </w:r>
    </w:p>
    <w:p w14:paraId="25D0CC7C" w14:textId="77777777" w:rsidR="006F53B0" w:rsidRDefault="00000000">
      <w:pPr>
        <w:spacing w:after="200" w:line="276" w:lineRule="auto"/>
      </w:pPr>
      <w:r>
        <w:rPr>
          <w:b/>
          <w:bCs/>
        </w:rPr>
        <w:t xml:space="preserve">logTotal = ln(Total). </w:t>
      </w:r>
      <w:r>
        <w:t>Natural log of total expenditure. The slope of log(Total) over time approximates the annualized percentage change (exact conversion: exp(slope) − 1). All programs with Total &gt; 0 have valid logTotal values.</w:t>
      </w:r>
    </w:p>
    <w:p w14:paraId="56416C3E" w14:textId="77777777" w:rsidR="006F53B0" w:rsidRDefault="00000000">
      <w:pPr>
        <w:spacing w:after="200" w:line="276" w:lineRule="auto"/>
      </w:pPr>
      <w:r>
        <w:rPr>
          <w:b/>
          <w:bCs/>
        </w:rPr>
        <w:t xml:space="preserve">logState = ln(State), </w:t>
      </w:r>
      <w:r>
        <w:t>computed only where State &gt; $0. Programs with zero state funding in a given year have missing logState for that year, reducing the effective sample for state-expenditure DVs.</w:t>
      </w:r>
    </w:p>
    <w:p w14:paraId="26E26409" w14:textId="77777777" w:rsidR="006F53B0" w:rsidRDefault="00000000">
      <w:pPr>
        <w:spacing w:after="200" w:line="276" w:lineRule="auto"/>
      </w:pPr>
      <w:r>
        <w:rPr>
          <w:b/>
          <w:bCs/>
        </w:rPr>
        <w:t xml:space="preserve">logCPC = ln(Total / NServed), </w:t>
      </w:r>
      <w:r>
        <w:t>computed only where 0 &lt; NServed ≤ 2,000,000. The NServed cap excludes population-level denominators (e.g., SNAP enrollment counts of 900,000+) that would produce artificially low cost-per-child figures. The threshold of 2,000,000 was chosen conservatively to retain all plausible program-level enrollment counts while excluding state-population-scale denominators.</w:t>
      </w:r>
    </w:p>
    <w:p w14:paraId="56247B1E" w14:textId="77777777" w:rsidR="006F53B0" w:rsidRDefault="00000000">
      <w:pPr>
        <w:spacing w:after="200" w:line="276" w:lineRule="auto"/>
      </w:pPr>
      <w:r>
        <w:rPr>
          <w:b/>
          <w:bCs/>
        </w:rPr>
        <w:t xml:space="preserve">logSCPC = ln(State / NServed), </w:t>
      </w:r>
      <w:r>
        <w:t>computed where 0 &lt; NServed ≤ 2,000,000 AND State &gt; $0. This variable combines both NServed and state-funding filters, producing the most restrictive sample.</w:t>
      </w:r>
    </w:p>
    <w:p w14:paraId="50942389" w14:textId="77777777" w:rsidR="006F53B0" w:rsidRDefault="00000000">
      <w:pPr>
        <w:spacing w:after="200" w:line="276" w:lineRule="auto"/>
      </w:pPr>
      <w:r>
        <w:rPr>
          <w:b/>
          <w:bCs/>
        </w:rPr>
        <w:t xml:space="preserve">CPI adjustment. </w:t>
      </w:r>
      <w:r>
        <w:t xml:space="preserve">The pipeline includes a CPI deflator table (FY13–FY25, base year FY25) that can convert all dollar figures to real terms. For this analysis, CPI adjustment is </w:t>
      </w:r>
      <w:r>
        <w:rPr>
          <w:i/>
          <w:iCs/>
        </w:rPr>
        <w:t>disabled</w:t>
      </w:r>
      <w:r>
        <w:t>; all figures are nominal dollars. This decision was made because the trend analysis already expresses results as percentage changes, and the relative comparison (group vs. rest) is unaffected by uniform deflation. The narrative notes that nominal growth rates below approximately 3.2% per year represent real-term declines over the decade.</w:t>
      </w:r>
    </w:p>
    <w:p w14:paraId="5E241F5A" w14:textId="77777777" w:rsidR="006F53B0" w:rsidRDefault="00000000">
      <w:pPr>
        <w:pStyle w:val="Heading1"/>
      </w:pPr>
      <w:r>
        <w:t>3. Analysis Windows</w:t>
      </w:r>
    </w:p>
    <w:p w14:paraId="2AD39EB5" w14:textId="77777777" w:rsidR="006F53B0" w:rsidRDefault="00000000">
      <w:pPr>
        <w:spacing w:after="200" w:line="276" w:lineRule="auto"/>
      </w:pPr>
      <w:r>
        <w:t>Three analysis windows are examined, each with its own workbook output:</w:t>
      </w:r>
    </w:p>
    <w:tbl>
      <w:tblPr>
        <w:tblW w:w="93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200"/>
        <w:gridCol w:w="1800"/>
        <w:gridCol w:w="1800"/>
        <w:gridCol w:w="2140"/>
      </w:tblGrid>
      <w:tr w:rsidR="006F53B0" w14:paraId="64012148" w14:textId="77777777">
        <w:tc>
          <w:tcPr>
            <w:tcW w:w="14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137C4585" w14:textId="77777777" w:rsidR="006F53B0" w:rsidRDefault="00000000">
            <w:r>
              <w:rPr>
                <w:b/>
                <w:bCs/>
                <w:color w:val="FFFFFF"/>
                <w:sz w:val="20"/>
                <w:szCs w:val="20"/>
              </w:rPr>
              <w:lastRenderedPageBreak/>
              <w:t>Window</w:t>
            </w:r>
          </w:p>
        </w:tc>
        <w:tc>
          <w:tcPr>
            <w:tcW w:w="22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2183C8E6" w14:textId="77777777" w:rsidR="006F53B0" w:rsidRDefault="00000000">
            <w:r>
              <w:rPr>
                <w:b/>
                <w:bCs/>
                <w:color w:val="FFFFFF"/>
                <w:sz w:val="20"/>
                <w:szCs w:val="20"/>
              </w:rPr>
              <w:t>Label</w:t>
            </w:r>
          </w:p>
        </w:tc>
        <w:tc>
          <w:tcPr>
            <w:tcW w:w="18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57BEE144" w14:textId="77777777" w:rsidR="006F53B0" w:rsidRDefault="00000000">
            <w:r>
              <w:rPr>
                <w:b/>
                <w:bCs/>
                <w:color w:val="FFFFFF"/>
                <w:sz w:val="20"/>
                <w:szCs w:val="20"/>
              </w:rPr>
              <w:t>Fiscal Years</w:t>
            </w:r>
          </w:p>
        </w:tc>
        <w:tc>
          <w:tcPr>
            <w:tcW w:w="18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50D4D301" w14:textId="77777777" w:rsidR="006F53B0" w:rsidRDefault="00000000">
            <w:r>
              <w:rPr>
                <w:b/>
                <w:bCs/>
                <w:color w:val="FFFFFF"/>
                <w:sz w:val="20"/>
                <w:szCs w:val="20"/>
              </w:rPr>
              <w:t>Min Active Years</w:t>
            </w:r>
          </w:p>
        </w:tc>
        <w:tc>
          <w:tcPr>
            <w:tcW w:w="214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0FAFBD62" w14:textId="77777777" w:rsidR="006F53B0" w:rsidRDefault="00000000">
            <w:r>
              <w:rPr>
                <w:b/>
                <w:bCs/>
                <w:color w:val="FFFFFF"/>
                <w:sz w:val="20"/>
                <w:szCs w:val="20"/>
              </w:rPr>
              <w:t>Purpose</w:t>
            </w:r>
          </w:p>
        </w:tc>
      </w:tr>
      <w:tr w:rsidR="006F53B0" w14:paraId="7E584BF2" w14:textId="77777777">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66A857" w14:textId="77777777" w:rsidR="006F53B0" w:rsidRDefault="00000000">
            <w:r>
              <w:rPr>
                <w:color w:val="000000"/>
                <w:sz w:val="20"/>
                <w:szCs w:val="20"/>
              </w:rPr>
              <w:t>Full decade</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54DBA2" w14:textId="77777777" w:rsidR="006F53B0" w:rsidRDefault="00000000">
            <w:r>
              <w:rPr>
                <w:color w:val="000000"/>
                <w:sz w:val="20"/>
                <w:szCs w:val="20"/>
              </w:rPr>
              <w:t>FY15–FY24</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7AC160" w14:textId="77777777" w:rsidR="006F53B0" w:rsidRDefault="00000000">
            <w:r>
              <w:rPr>
                <w:color w:val="000000"/>
                <w:sz w:val="20"/>
                <w:szCs w:val="20"/>
              </w:rPr>
              <w:t>FY15–FY24 (10 yrs)</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594C86" w14:textId="77777777" w:rsidR="006F53B0" w:rsidRDefault="00000000">
            <w:r>
              <w:rPr>
                <w:color w:val="000000"/>
                <w:sz w:val="20"/>
                <w:szCs w:val="20"/>
              </w:rPr>
              <w:t>7 of 10 (70%)</w:t>
            </w:r>
          </w:p>
        </w:tc>
        <w:tc>
          <w:tcPr>
            <w:tcW w:w="21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D9A9EB" w14:textId="77777777" w:rsidR="006F53B0" w:rsidRDefault="00000000">
            <w:r>
              <w:rPr>
                <w:color w:val="000000"/>
                <w:sz w:val="20"/>
                <w:szCs w:val="20"/>
              </w:rPr>
              <w:t>Overall trajectory</w:t>
            </w:r>
          </w:p>
        </w:tc>
      </w:tr>
      <w:tr w:rsidR="006F53B0" w14:paraId="381ACB25" w14:textId="77777777">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66903B" w14:textId="77777777" w:rsidR="006F53B0" w:rsidRDefault="00000000">
            <w:r>
              <w:rPr>
                <w:color w:val="000000"/>
                <w:sz w:val="20"/>
                <w:szCs w:val="20"/>
              </w:rPr>
              <w:t>Pre-COVID</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B7F117" w14:textId="77777777" w:rsidR="006F53B0" w:rsidRDefault="00000000">
            <w:r>
              <w:rPr>
                <w:color w:val="000000"/>
                <w:sz w:val="20"/>
                <w:szCs w:val="20"/>
              </w:rPr>
              <w:t>FY15–FY19 (Pre-COVID)</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A8C80A" w14:textId="77777777" w:rsidR="006F53B0" w:rsidRDefault="00000000">
            <w:r>
              <w:rPr>
                <w:color w:val="000000"/>
                <w:sz w:val="20"/>
                <w:szCs w:val="20"/>
              </w:rPr>
              <w:t>FY15–FY19 (5 yrs)</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0EE274" w14:textId="77777777" w:rsidR="006F53B0" w:rsidRDefault="00000000">
            <w:r>
              <w:rPr>
                <w:color w:val="000000"/>
                <w:sz w:val="20"/>
                <w:szCs w:val="20"/>
              </w:rPr>
              <w:t>5 of 5 (100%)</w:t>
            </w:r>
          </w:p>
        </w:tc>
        <w:tc>
          <w:tcPr>
            <w:tcW w:w="21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12462B" w14:textId="77777777" w:rsidR="006F53B0" w:rsidRDefault="00000000">
            <w:r>
              <w:rPr>
                <w:color w:val="000000"/>
                <w:sz w:val="20"/>
                <w:szCs w:val="20"/>
              </w:rPr>
              <w:t>Pre-pandemic baseline</w:t>
            </w:r>
          </w:p>
        </w:tc>
      </w:tr>
      <w:tr w:rsidR="006F53B0" w14:paraId="2820E351" w14:textId="77777777">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F01704" w14:textId="77777777" w:rsidR="006F53B0" w:rsidRDefault="00000000">
            <w:r>
              <w:rPr>
                <w:color w:val="000000"/>
                <w:sz w:val="20"/>
                <w:szCs w:val="20"/>
              </w:rPr>
              <w:t>COVID &amp; Recovery</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3AFE6B7" w14:textId="77777777" w:rsidR="006F53B0" w:rsidRDefault="00000000">
            <w:r>
              <w:rPr>
                <w:color w:val="000000"/>
                <w:sz w:val="20"/>
                <w:szCs w:val="20"/>
              </w:rPr>
              <w:t>FY20–FY24 (COVID &amp; Recovery)</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32FAD5" w14:textId="77777777" w:rsidR="006F53B0" w:rsidRDefault="00000000">
            <w:r>
              <w:rPr>
                <w:color w:val="000000"/>
                <w:sz w:val="20"/>
                <w:szCs w:val="20"/>
              </w:rPr>
              <w:t>FY20–FY24 (5 yrs)</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CD9D10" w14:textId="77777777" w:rsidR="006F53B0" w:rsidRDefault="00000000">
            <w:r>
              <w:rPr>
                <w:color w:val="000000"/>
                <w:sz w:val="20"/>
                <w:szCs w:val="20"/>
              </w:rPr>
              <w:t>5 of 5 (100%)</w:t>
            </w:r>
          </w:p>
        </w:tc>
        <w:tc>
          <w:tcPr>
            <w:tcW w:w="21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0F46EE" w14:textId="77777777" w:rsidR="006F53B0" w:rsidRDefault="00000000">
            <w:r>
              <w:rPr>
                <w:color w:val="000000"/>
                <w:sz w:val="20"/>
                <w:szCs w:val="20"/>
              </w:rPr>
              <w:t>Pandemic and recovery period</w:t>
            </w:r>
          </w:p>
        </w:tc>
      </w:tr>
    </w:tbl>
    <w:p w14:paraId="10BD5F83" w14:textId="77777777" w:rsidR="006F53B0" w:rsidRDefault="006F53B0">
      <w:pPr>
        <w:spacing w:after="200"/>
      </w:pPr>
    </w:p>
    <w:p w14:paraId="4C05EA33" w14:textId="77777777" w:rsidR="006F53B0" w:rsidRDefault="00000000">
      <w:pPr>
        <w:spacing w:after="200" w:line="276" w:lineRule="auto"/>
      </w:pPr>
      <w:r>
        <w:rPr>
          <w:b/>
          <w:bCs/>
        </w:rPr>
        <w:t xml:space="preserve">FY20 classification. </w:t>
      </w:r>
      <w:r>
        <w:t>Tennessee’s FY20 ran July 2019 through June 2020. Approximately eight months were pre-pandemic and four months captured the initial COVID disruption. FY20 is included in the COVID &amp; Recovery window rather than the pre-COVID window because (a) it contains the initial fiscal shock, (b) splitting it would require sub-annual expenditure data unavailable from the Resource Mapping instrument, and (c) assigning it to the pre-COVID window would contaminate the baseline with pandemic effects. The COVID &amp; Recovery window is labeled accordingly to acknowledge its mixed composition.</w:t>
      </w:r>
    </w:p>
    <w:p w14:paraId="19F6768E" w14:textId="77777777" w:rsidR="006F53B0" w:rsidRDefault="00000000">
      <w:pPr>
        <w:pStyle w:val="Heading1"/>
      </w:pPr>
      <w:r>
        <w:t>4. Grouping Variables</w:t>
      </w:r>
    </w:p>
    <w:p w14:paraId="1F2ED8C4" w14:textId="77777777" w:rsidR="006F53B0" w:rsidRDefault="00000000">
      <w:pPr>
        <w:spacing w:after="200" w:line="276" w:lineRule="auto"/>
      </w:pPr>
      <w:r>
        <w:t>Three categorical grouping variables define the analytical comparisons:</w:t>
      </w:r>
    </w:p>
    <w:p w14:paraId="633E8D00" w14:textId="77777777" w:rsidR="006F53B0" w:rsidRDefault="00000000">
      <w:pPr>
        <w:spacing w:after="200" w:line="276" w:lineRule="auto"/>
      </w:pPr>
      <w:r>
        <w:rPr>
          <w:b/>
          <w:bCs/>
        </w:rPr>
        <w:t xml:space="preserve">Programmatic Focus (7 categories): </w:t>
      </w:r>
      <w:r>
        <w:t>Adult-Focused Capacity Building and Support, Early Intervention, General Services, Intensive Intervention, Moderate Intervention, Targeted Prevention, and Universal Promotion and Prevention. These categories are assigned in the RM Program Coding Reference and reflect the service-delivery continuum from universal promotion through intensive intervention.</w:t>
      </w:r>
    </w:p>
    <w:p w14:paraId="71B422DF" w14:textId="77777777" w:rsidR="006F53B0" w:rsidRDefault="00000000">
      <w:pPr>
        <w:spacing w:after="200" w:line="276" w:lineRule="auto"/>
      </w:pPr>
      <w:r>
        <w:rPr>
          <w:b/>
          <w:bCs/>
        </w:rPr>
        <w:t xml:space="preserve">Primary Outcome (5 categories): </w:t>
      </w:r>
      <w:r>
        <w:t>Educated, Engaged, Healthy, Nurtured and Supported, and Safe. These map to TCCY’s five child well-being outcome domains.</w:t>
      </w:r>
    </w:p>
    <w:p w14:paraId="26AAB81A" w14:textId="77777777" w:rsidR="006F53B0" w:rsidRDefault="00000000">
      <w:pPr>
        <w:spacing w:after="200" w:line="276" w:lineRule="auto"/>
      </w:pPr>
      <w:r>
        <w:rPr>
          <w:b/>
          <w:bCs/>
        </w:rPr>
        <w:t xml:space="preserve">Under 6 Designation (2 categories): </w:t>
      </w:r>
      <w:r>
        <w:t>Under 6 and Not Under 6. This binary grouping identifies programs whose target population is exclusively or primarily children under age six.</w:t>
      </w:r>
    </w:p>
    <w:p w14:paraId="7E659748" w14:textId="77777777" w:rsidR="006F53B0" w:rsidRDefault="00000000">
      <w:pPr>
        <w:spacing w:after="200" w:line="276" w:lineRule="auto"/>
      </w:pPr>
      <w:r>
        <w:t>Each program is classified into exactly one category per grouping variable. Programs with missing or unrecognized coding values are retained in the panel but may not appear in the specific grouping analysis if their coding field is blank.</w:t>
      </w:r>
    </w:p>
    <w:p w14:paraId="1A699D32" w14:textId="77777777" w:rsidR="006F53B0" w:rsidRDefault="00000000">
      <w:pPr>
        <w:pStyle w:val="Heading1"/>
      </w:pPr>
      <w:r>
        <w:t>5. Dependent Variables</w:t>
      </w:r>
    </w:p>
    <w:p w14:paraId="60C03A57" w14:textId="77777777" w:rsidR="006F53B0" w:rsidRDefault="00000000">
      <w:pPr>
        <w:spacing w:after="200" w:line="276" w:lineRule="auto"/>
      </w:pPr>
      <w:r>
        <w:t>Five dependent variables (DVs) are examined for each grouping:</w:t>
      </w:r>
    </w:p>
    <w:tbl>
      <w:tblPr>
        <w:tblW w:w="85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2500"/>
        <w:gridCol w:w="1800"/>
        <w:gridCol w:w="1600"/>
      </w:tblGrid>
      <w:tr w:rsidR="006F53B0" w14:paraId="091F01A6" w14:textId="77777777">
        <w:tc>
          <w:tcPr>
            <w:tcW w:w="6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498AF7C4" w14:textId="77777777" w:rsidR="006F53B0" w:rsidRDefault="00000000">
            <w:r>
              <w:rPr>
                <w:b/>
                <w:bCs/>
                <w:color w:val="FFFFFF"/>
                <w:sz w:val="20"/>
                <w:szCs w:val="20"/>
              </w:rPr>
              <w:lastRenderedPageBreak/>
              <w:t>DV</w:t>
            </w:r>
          </w:p>
        </w:tc>
        <w:tc>
          <w:tcPr>
            <w:tcW w:w="20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73500413" w14:textId="77777777" w:rsidR="006F53B0" w:rsidRDefault="00000000">
            <w:r>
              <w:rPr>
                <w:b/>
                <w:bCs/>
                <w:color w:val="FFFFFF"/>
                <w:sz w:val="20"/>
                <w:szCs w:val="20"/>
              </w:rPr>
              <w:t>Label</w:t>
            </w:r>
          </w:p>
        </w:tc>
        <w:tc>
          <w:tcPr>
            <w:tcW w:w="25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5FB93FFE" w14:textId="77777777" w:rsidR="006F53B0" w:rsidRDefault="00000000">
            <w:r>
              <w:rPr>
                <w:b/>
                <w:bCs/>
                <w:color w:val="FFFFFF"/>
                <w:sz w:val="20"/>
                <w:szCs w:val="20"/>
              </w:rPr>
              <w:t>Computation</w:t>
            </w:r>
          </w:p>
        </w:tc>
        <w:tc>
          <w:tcPr>
            <w:tcW w:w="18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60D8CD1C" w14:textId="77777777" w:rsidR="006F53B0" w:rsidRDefault="00000000">
            <w:r>
              <w:rPr>
                <w:b/>
                <w:bCs/>
                <w:color w:val="FFFFFF"/>
                <w:sz w:val="20"/>
                <w:szCs w:val="20"/>
              </w:rPr>
              <w:t>Filter</w:t>
            </w:r>
          </w:p>
        </w:tc>
        <w:tc>
          <w:tcPr>
            <w:tcW w:w="16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7841A334" w14:textId="77777777" w:rsidR="006F53B0" w:rsidRDefault="00000000">
            <w:r>
              <w:rPr>
                <w:b/>
                <w:bCs/>
                <w:color w:val="FFFFFF"/>
                <w:sz w:val="20"/>
                <w:szCs w:val="20"/>
              </w:rPr>
              <w:t>Bootstrap Type</w:t>
            </w:r>
          </w:p>
        </w:tc>
      </w:tr>
      <w:tr w:rsidR="006F53B0" w14:paraId="5DF53E62" w14:textId="77777777">
        <w:tc>
          <w:tcPr>
            <w:tcW w:w="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8EE53F" w14:textId="77777777" w:rsidR="006F53B0" w:rsidRDefault="00000000">
            <w:r>
              <w:rPr>
                <w:color w:val="000000"/>
                <w:sz w:val="20"/>
                <w:szCs w:val="20"/>
              </w:rPr>
              <w:t>DV1</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FD4E3E" w14:textId="77777777" w:rsidR="006F53B0" w:rsidRDefault="00000000">
            <w:r>
              <w:rPr>
                <w:color w:val="000000"/>
                <w:sz w:val="20"/>
                <w:szCs w:val="20"/>
              </w:rPr>
              <w:t>Total Expenditure (% change)</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AF8EBE" w14:textId="77777777" w:rsidR="006F53B0" w:rsidRDefault="00000000">
            <w:r>
              <w:rPr>
                <w:color w:val="000000"/>
                <w:sz w:val="20"/>
                <w:szCs w:val="20"/>
              </w:rPr>
              <w:t>OLS slope of logTotal per program</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03F047" w14:textId="77777777" w:rsidR="006F53B0" w:rsidRDefault="00000000">
            <w:r>
              <w:rPr>
                <w:color w:val="000000"/>
                <w:sz w:val="20"/>
                <w:szCs w:val="20"/>
              </w:rPr>
              <w:t>Total &gt; $0</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25CB4D" w14:textId="77777777" w:rsidR="006F53B0" w:rsidRDefault="00000000">
            <w:r>
              <w:rPr>
                <w:color w:val="000000"/>
                <w:sz w:val="20"/>
                <w:szCs w:val="20"/>
              </w:rPr>
              <w:t>Program-level</w:t>
            </w:r>
          </w:p>
        </w:tc>
      </w:tr>
      <w:tr w:rsidR="006F53B0" w14:paraId="1156EA4F" w14:textId="77777777">
        <w:tc>
          <w:tcPr>
            <w:tcW w:w="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6727B8" w14:textId="77777777" w:rsidR="006F53B0" w:rsidRDefault="00000000">
            <w:r>
              <w:rPr>
                <w:color w:val="000000"/>
                <w:sz w:val="20"/>
                <w:szCs w:val="20"/>
              </w:rPr>
              <w:t>DV2</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6B89D3" w14:textId="77777777" w:rsidR="006F53B0" w:rsidRDefault="00000000">
            <w:r>
              <w:rPr>
                <w:color w:val="000000"/>
                <w:sz w:val="20"/>
                <w:szCs w:val="20"/>
              </w:rPr>
              <w:t>State Expenditure (% change)</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931E2C" w14:textId="77777777" w:rsidR="006F53B0" w:rsidRDefault="00000000">
            <w:r>
              <w:rPr>
                <w:color w:val="000000"/>
                <w:sz w:val="20"/>
                <w:szCs w:val="20"/>
              </w:rPr>
              <w:t>OLS slope of logState per program</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F95281" w14:textId="77777777" w:rsidR="006F53B0" w:rsidRDefault="00000000">
            <w:r>
              <w:rPr>
                <w:color w:val="000000"/>
                <w:sz w:val="20"/>
                <w:szCs w:val="20"/>
              </w:rPr>
              <w:t>State &gt; $0</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DEF481" w14:textId="77777777" w:rsidR="006F53B0" w:rsidRDefault="00000000">
            <w:r>
              <w:rPr>
                <w:color w:val="000000"/>
                <w:sz w:val="20"/>
                <w:szCs w:val="20"/>
              </w:rPr>
              <w:t>Program-level</w:t>
            </w:r>
          </w:p>
        </w:tc>
      </w:tr>
      <w:tr w:rsidR="006F53B0" w14:paraId="419F3C2E" w14:textId="77777777">
        <w:tc>
          <w:tcPr>
            <w:tcW w:w="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678C79" w14:textId="77777777" w:rsidR="006F53B0" w:rsidRDefault="00000000">
            <w:r>
              <w:rPr>
                <w:color w:val="000000"/>
                <w:sz w:val="20"/>
                <w:szCs w:val="20"/>
              </w:rPr>
              <w:t>DV3</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84EB80" w14:textId="77777777" w:rsidR="006F53B0" w:rsidRDefault="00000000">
            <w:r>
              <w:rPr>
                <w:color w:val="000000"/>
                <w:sz w:val="20"/>
                <w:szCs w:val="20"/>
              </w:rPr>
              <w:t>Group Median Expenditure (% chg)</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4B7CC6" w14:textId="77777777" w:rsidR="006F53B0" w:rsidRDefault="00000000">
            <w:r>
              <w:rPr>
                <w:color w:val="000000"/>
                <w:sz w:val="20"/>
                <w:szCs w:val="20"/>
              </w:rPr>
              <w:t>Slope of log(group median total $ per year)</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FE615D" w14:textId="77777777" w:rsidR="006F53B0" w:rsidRDefault="00000000">
            <w:r>
              <w:rPr>
                <w:color w:val="000000"/>
                <w:sz w:val="20"/>
                <w:szCs w:val="20"/>
              </w:rPr>
              <w:t>Total &gt; $0</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EA17C9" w14:textId="77777777" w:rsidR="006F53B0" w:rsidRDefault="00000000">
            <w:r>
              <w:rPr>
                <w:color w:val="000000"/>
                <w:sz w:val="20"/>
                <w:szCs w:val="20"/>
              </w:rPr>
              <w:t>Group-aggregate</w:t>
            </w:r>
          </w:p>
        </w:tc>
      </w:tr>
      <w:tr w:rsidR="006F53B0" w14:paraId="7C36A7CA" w14:textId="77777777">
        <w:tc>
          <w:tcPr>
            <w:tcW w:w="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D49977" w14:textId="77777777" w:rsidR="006F53B0" w:rsidRDefault="00000000">
            <w:r>
              <w:rPr>
                <w:color w:val="000000"/>
                <w:sz w:val="20"/>
                <w:szCs w:val="20"/>
              </w:rPr>
              <w:t>DV4</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101B29" w14:textId="77777777" w:rsidR="006F53B0" w:rsidRDefault="00000000">
            <w:r>
              <w:rPr>
                <w:color w:val="000000"/>
                <w:sz w:val="20"/>
                <w:szCs w:val="20"/>
              </w:rPr>
              <w:t>Cost per Child (% change)</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3EEBED2" w14:textId="77777777" w:rsidR="006F53B0" w:rsidRDefault="00000000">
            <w:r>
              <w:rPr>
                <w:color w:val="000000"/>
                <w:sz w:val="20"/>
                <w:szCs w:val="20"/>
              </w:rPr>
              <w:t>OLS slope of logCPC per program</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1B70B5" w14:textId="77777777" w:rsidR="006F53B0" w:rsidRDefault="00000000">
            <w:r>
              <w:rPr>
                <w:color w:val="000000"/>
                <w:sz w:val="20"/>
                <w:szCs w:val="20"/>
              </w:rPr>
              <w:t>0 &lt; NServed ≤ 2M</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BF9152" w14:textId="77777777" w:rsidR="006F53B0" w:rsidRDefault="00000000">
            <w:r>
              <w:rPr>
                <w:color w:val="000000"/>
                <w:sz w:val="20"/>
                <w:szCs w:val="20"/>
              </w:rPr>
              <w:t>Program-level</w:t>
            </w:r>
          </w:p>
        </w:tc>
      </w:tr>
      <w:tr w:rsidR="006F53B0" w14:paraId="05C8FB29" w14:textId="77777777">
        <w:tc>
          <w:tcPr>
            <w:tcW w:w="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CFE8A4" w14:textId="77777777" w:rsidR="006F53B0" w:rsidRDefault="00000000">
            <w:r>
              <w:rPr>
                <w:color w:val="000000"/>
                <w:sz w:val="20"/>
                <w:szCs w:val="20"/>
              </w:rPr>
              <w:t>DV5</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1CC9F2" w14:textId="77777777" w:rsidR="006F53B0" w:rsidRDefault="00000000">
            <w:r>
              <w:rPr>
                <w:color w:val="000000"/>
                <w:sz w:val="20"/>
                <w:szCs w:val="20"/>
              </w:rPr>
              <w:t>State Cost per Child (% change)</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7C381C" w14:textId="77777777" w:rsidR="006F53B0" w:rsidRDefault="00000000">
            <w:r>
              <w:rPr>
                <w:color w:val="000000"/>
                <w:sz w:val="20"/>
                <w:szCs w:val="20"/>
              </w:rPr>
              <w:t>OLS slope of logSCPC per program</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8152ED" w14:textId="77777777" w:rsidR="006F53B0" w:rsidRDefault="00000000">
            <w:r>
              <w:rPr>
                <w:color w:val="000000"/>
                <w:sz w:val="20"/>
                <w:szCs w:val="20"/>
              </w:rPr>
              <w:t>NServed &amp; State &gt; $0</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573640" w14:textId="77777777" w:rsidR="006F53B0" w:rsidRDefault="00000000">
            <w:r>
              <w:rPr>
                <w:color w:val="000000"/>
                <w:sz w:val="20"/>
                <w:szCs w:val="20"/>
              </w:rPr>
              <w:t>Program-level</w:t>
            </w:r>
          </w:p>
        </w:tc>
      </w:tr>
    </w:tbl>
    <w:p w14:paraId="0A58196E" w14:textId="77777777" w:rsidR="006F53B0" w:rsidRDefault="006F53B0">
      <w:pPr>
        <w:spacing w:after="200"/>
      </w:pPr>
    </w:p>
    <w:p w14:paraId="70D45A03" w14:textId="77777777" w:rsidR="006F53B0" w:rsidRDefault="00000000">
      <w:pPr>
        <w:pStyle w:val="Heading2"/>
        <w:spacing w:before="360" w:after="200"/>
      </w:pPr>
      <w:r>
        <w:t>5.1 Program-Level Slope Estimation (DV1, DV2, DV4, DV5)</w:t>
      </w:r>
    </w:p>
    <w:p w14:paraId="1D8E291E" w14:textId="77777777" w:rsidR="006F53B0" w:rsidRDefault="00000000">
      <w:pPr>
        <w:spacing w:after="200" w:line="276" w:lineRule="auto"/>
      </w:pPr>
      <w:r>
        <w:t>For each program, an ordinary least squares (OLS) regression is fitted with the fiscal year as the independent variable and the log-transformed DV as the dependent variable. The slope coefficient approximates the annualized percentage change in the untransformed variable. A minimum of 4 data points per program is required for a slope to be computed (</w:t>
      </w:r>
      <w:r>
        <w:rPr>
          <w:i/>
          <w:iCs/>
        </w:rPr>
        <w:t>MIN_SLOPE_POINTS = 4</w:t>
      </w:r>
      <w:r>
        <w:t xml:space="preserve">). </w:t>
      </w:r>
      <w:r>
        <w:rPr>
          <w:i/>
          <w:iCs/>
        </w:rPr>
        <w:t xml:space="preserve">Rationale: </w:t>
      </w:r>
      <w:r>
        <w:t>With fewer than 4 points, the OLS fit is dominated by endpoint noise and provides no meaningful trend estimate. The threshold of 4 was chosen to balance inclusion against estimation quality, given that the five-year sub-windows already require programs to be active in all 5 years (meaning 4 is the effective minimum after allowing for one year of missing data in the DV).</w:t>
      </w:r>
    </w:p>
    <w:p w14:paraId="71CC1978" w14:textId="77777777" w:rsidR="006F53B0" w:rsidRDefault="00000000">
      <w:pPr>
        <w:spacing w:after="200" w:line="276" w:lineRule="auto"/>
      </w:pPr>
      <w:r>
        <w:t>The slope represents the logged rate of change. For interpretation, exp(slope) − 1 gives the exact annual percentage change, but for slopes near zero the linear approximation (slope ≈ percentage change) is adequate. All reported slopes are expressed as proportions (e.g., 0.05 = 5%/yr) and formatted as percentages in the output workbooks.</w:t>
      </w:r>
    </w:p>
    <w:p w14:paraId="3DFA0BED" w14:textId="77777777" w:rsidR="006F53B0" w:rsidRDefault="00000000">
      <w:pPr>
        <w:pStyle w:val="Heading2"/>
        <w:spacing w:before="360" w:after="200"/>
      </w:pPr>
      <w:r>
        <w:t>5.2 Group-Aggregate Slope (DV3)</w:t>
      </w:r>
    </w:p>
    <w:p w14:paraId="3CA85C56" w14:textId="77777777" w:rsidR="006F53B0" w:rsidRDefault="00000000">
      <w:pPr>
        <w:spacing w:after="200" w:line="276" w:lineRule="auto"/>
      </w:pPr>
      <w:r>
        <w:t>DV3 takes a different approach: instead of computing per-program slopes and aggregating, it computes the group’s median total expenditure for each fiscal year, then fits a single OLS slope on the log of that yearly median series. This captures the trajectory of the “typical” program’s spending at the group level, weighted by position in the distribution rather than by program size.</w:t>
      </w:r>
    </w:p>
    <w:p w14:paraId="21EB35E5" w14:textId="77777777" w:rsidR="006F53B0" w:rsidRDefault="00000000">
      <w:pPr>
        <w:spacing w:after="200" w:line="276" w:lineRule="auto"/>
      </w:pPr>
      <w:r>
        <w:rPr>
          <w:i/>
          <w:iCs/>
        </w:rPr>
        <w:t xml:space="preserve">Rationale: </w:t>
      </w:r>
      <w:r>
        <w:t xml:space="preserve">DV3 complements the program-level DVs by detecting cases where the median program in a category is shrinking even if aggregate expenditures are growing (because growth is concentrated in a few large programs). The Under-6 analysis </w:t>
      </w:r>
      <w:r>
        <w:lastRenderedPageBreak/>
        <w:t>provides the clearest example: aggregate Under-6 spending grew substantially, but DV3 revealed that the median Under-6 program was declining.</w:t>
      </w:r>
    </w:p>
    <w:p w14:paraId="577F662F" w14:textId="77777777" w:rsidR="006F53B0" w:rsidRDefault="00000000">
      <w:pPr>
        <w:pStyle w:val="Heading1"/>
      </w:pPr>
      <w:r>
        <w:t>6. Bootstrap Inference</w:t>
      </w:r>
    </w:p>
    <w:p w14:paraId="4D800AAA" w14:textId="77777777" w:rsidR="006F53B0" w:rsidRDefault="00000000">
      <w:pPr>
        <w:pStyle w:val="Heading2"/>
        <w:spacing w:before="360" w:after="200"/>
      </w:pPr>
      <w:r>
        <w:t>6.1 Comparison Design: Vs-Rest</w:t>
      </w:r>
    </w:p>
    <w:p w14:paraId="442603AF" w14:textId="77777777" w:rsidR="006F53B0" w:rsidRDefault="00000000">
      <w:pPr>
        <w:spacing w:after="200" w:line="276" w:lineRule="auto"/>
      </w:pPr>
      <w:r>
        <w:t>For each category within a grouping, the test statistic is the difference between the category’s median slope and the pooled median slope of all programs not in that category. This “vs-rest” design avoids the problem of comparing to a grand mean that includes the category itself, which would attenuate the contrast. The pooled rest median treats all non-category programs as a single comparison pool, regardless of their category membership.</w:t>
      </w:r>
    </w:p>
    <w:p w14:paraId="016827F2" w14:textId="77777777" w:rsidR="006F53B0" w:rsidRDefault="00000000">
      <w:pPr>
        <w:spacing w:after="200" w:line="276" w:lineRule="auto"/>
      </w:pPr>
      <w:r>
        <w:rPr>
          <w:i/>
          <w:iCs/>
        </w:rPr>
        <w:t xml:space="preserve">Rationale: </w:t>
      </w:r>
      <w:r>
        <w:t>The vs-rest design is standard in portfolio analysis and avoids arbitrary selection of a reference category. It tests a focused question: does this category’s growth trajectory differ from what the rest of the portfolio is doing? This is directly relevant to policy interpretation (e.g., “Under-6 programs grew significantly slower than the rest of the portfolio”).</w:t>
      </w:r>
    </w:p>
    <w:p w14:paraId="13D11A73" w14:textId="77777777" w:rsidR="006F53B0" w:rsidRDefault="00000000">
      <w:pPr>
        <w:pStyle w:val="Heading2"/>
        <w:spacing w:before="360" w:after="200"/>
      </w:pPr>
      <w:r>
        <w:t>6.2 Bootstrap Procedure (Program-Level DVs)</w:t>
      </w:r>
    </w:p>
    <w:p w14:paraId="57F075B5" w14:textId="77777777" w:rsidR="006F53B0" w:rsidRDefault="00000000">
      <w:pPr>
        <w:spacing w:after="200" w:line="276" w:lineRule="auto"/>
      </w:pPr>
      <w:r>
        <w:t xml:space="preserve">For DV1, DV2, DV4, and DV5, the bootstrap resamples </w:t>
      </w:r>
      <w:r>
        <w:rPr>
          <w:i/>
          <w:iCs/>
        </w:rPr>
        <w:t>individual program slopes</w:t>
      </w:r>
      <w:r>
        <w:t xml:space="preserve"> within each group. The procedure is:</w:t>
      </w:r>
    </w:p>
    <w:p w14:paraId="3EE0947B" w14:textId="77777777" w:rsidR="006F53B0" w:rsidRDefault="00000000">
      <w:pPr>
        <w:spacing w:after="200" w:line="276" w:lineRule="auto"/>
      </w:pPr>
      <w:r>
        <w:t>(1) Compute per-program slopes for the full panel. (2) For each bootstrap iteration b = 1, …, B: (a) within the focal group, draw n slopes with replacement (where n = number of programs in the group); compute the bootstrap group median; (b) within the rest pool, draw m slopes with replacement (where m = number of non-group programs); compute the bootstrap rest median; (c) record the bootstrap difference (group median − rest median). (3) Construct the confidence interval on the B bootstrap differences.</w:t>
      </w:r>
    </w:p>
    <w:p w14:paraId="48AD0E3F" w14:textId="77777777" w:rsidR="006F53B0" w:rsidRDefault="00000000">
      <w:pPr>
        <w:spacing w:after="200" w:line="276" w:lineRule="auto"/>
      </w:pPr>
      <w:r>
        <w:rPr>
          <w:b/>
          <w:bCs/>
        </w:rPr>
        <w:t xml:space="preserve">Both sides are resampled independently. </w:t>
      </w:r>
      <w:r>
        <w:t>This is important: resampling only the focal group while holding the rest fixed would underestimate the variability of the difference, producing anti-conservative confidence intervals. By resampling both sides, the procedure captures the sampling variability of both the group and the comparison pool.</w:t>
      </w:r>
    </w:p>
    <w:p w14:paraId="32085F61" w14:textId="77777777" w:rsidR="006F53B0" w:rsidRDefault="00000000">
      <w:pPr>
        <w:pStyle w:val="Heading2"/>
        <w:spacing w:before="360" w:after="200"/>
      </w:pPr>
      <w:r>
        <w:t>6.3 Bootstrap Procedure (Group-Aggregate DV3)</w:t>
      </w:r>
    </w:p>
    <w:p w14:paraId="063FD393" w14:textId="77777777" w:rsidR="006F53B0" w:rsidRDefault="00000000">
      <w:pPr>
        <w:spacing w:after="200" w:line="276" w:lineRule="auto"/>
      </w:pPr>
      <w:r>
        <w:t xml:space="preserve">For DV3, the bootstrap resamples </w:t>
      </w:r>
      <w:r>
        <w:rPr>
          <w:i/>
          <w:iCs/>
        </w:rPr>
        <w:t>programs</w:t>
      </w:r>
      <w:r>
        <w:t xml:space="preserve"> rather than slopes. Within each group, the program-by-year expenditure matrix is resampled with replacement at the program level (preserving within-program temporal structure). For each bootstrap sample, the group </w:t>
      </w:r>
      <w:r>
        <w:lastRenderedPageBreak/>
        <w:t>median per year is recomputed, the log-slope is fitted on the resulting series, and the difference between the group slope and the rest-pool slope is recorded.</w:t>
      </w:r>
    </w:p>
    <w:p w14:paraId="59A45EE1" w14:textId="77777777" w:rsidR="006F53B0" w:rsidRDefault="00000000">
      <w:pPr>
        <w:spacing w:after="200" w:line="276" w:lineRule="auto"/>
      </w:pPr>
      <w:r>
        <w:rPr>
          <w:i/>
          <w:iCs/>
        </w:rPr>
        <w:t xml:space="preserve">Rationale for program-level resampling: </w:t>
      </w:r>
      <w:r>
        <w:t>DV3 is a group-level statistic whose variability depends on which programs constitute the group. Resampling at the program level preserves the within-program year-to-year correlation structure that would be destroyed by year-level resampling.</w:t>
      </w:r>
    </w:p>
    <w:p w14:paraId="11D8CB96" w14:textId="77777777" w:rsidR="006F53B0" w:rsidRDefault="00000000">
      <w:pPr>
        <w:pStyle w:val="Heading2"/>
        <w:spacing w:before="360" w:after="200"/>
      </w:pPr>
      <w:r>
        <w:t>6.4 Confidence Interval Construction: BCa</w:t>
      </w:r>
    </w:p>
    <w:p w14:paraId="4506F7E8" w14:textId="77777777" w:rsidR="006F53B0" w:rsidRDefault="00000000">
      <w:pPr>
        <w:spacing w:after="200" w:line="276" w:lineRule="auto"/>
      </w:pPr>
      <w:r>
        <w:t>Confidence intervals are computed using the bias-corrected and accelerated (BCa) method of Efron and Tibshirani (1993). The BCa method adjusts the basic percentile CI for two sources of distortion:</w:t>
      </w:r>
    </w:p>
    <w:p w14:paraId="376164E3" w14:textId="77777777" w:rsidR="006F53B0" w:rsidRDefault="00000000">
      <w:pPr>
        <w:spacing w:after="200" w:line="276" w:lineRule="auto"/>
      </w:pPr>
      <w:r>
        <w:rPr>
          <w:b/>
          <w:bCs/>
        </w:rPr>
        <w:t xml:space="preserve">Bias correction (z₀): </w:t>
      </w:r>
      <w:r>
        <w:t>The proportion of bootstrap replicates less than the observed statistic is transformed to the normal scale. If the bootstrap distribution is centered below the observed statistic, z₀ &gt; 0 and the CI is shifted upward.</w:t>
      </w:r>
    </w:p>
    <w:p w14:paraId="2E6817A1" w14:textId="77777777" w:rsidR="006F53B0" w:rsidRDefault="00000000">
      <w:pPr>
        <w:spacing w:after="200" w:line="276" w:lineRule="auto"/>
      </w:pPr>
      <w:r>
        <w:rPr>
          <w:b/>
          <w:bCs/>
        </w:rPr>
        <w:t xml:space="preserve">Acceleration (a): </w:t>
      </w:r>
      <w:r>
        <w:t>Estimated via the jackknife. For each program in the focal group, the leave-one-out median is computed. The skewness of the jackknife distribution determines the acceleration constant, which adjusts for non-constant variance across the parameter space.</w:t>
      </w:r>
    </w:p>
    <w:p w14:paraId="6A5F5A0C" w14:textId="77777777" w:rsidR="006F53B0" w:rsidRDefault="00000000">
      <w:pPr>
        <w:spacing w:after="200" w:line="276" w:lineRule="auto"/>
      </w:pPr>
      <w:r>
        <w:t>The adjusted quantiles are: q = Φ(z₀ + (z₀ + z) / (1 − a(z₀ + z))), where z is the standard normal quantile for the desired confidence level (z = ±1.645 for 90% CI) and Φ is the standard normal CDF.</w:t>
      </w:r>
    </w:p>
    <w:p w14:paraId="670E610A" w14:textId="77777777" w:rsidR="006F53B0" w:rsidRDefault="00000000">
      <w:pPr>
        <w:spacing w:after="200" w:line="276" w:lineRule="auto"/>
      </w:pPr>
      <w:r>
        <w:rPr>
          <w:b/>
          <w:bCs/>
        </w:rPr>
        <w:t xml:space="preserve">DV3 exception: </w:t>
      </w:r>
      <w:r>
        <w:t>For DV3 (group-aggregate), the acceleration parameter is set to a = 0 because there is no clean per-observation jackknife vector for a group-level aggregate statistic. The CI is therefore bias-corrected only (BC, not BCa). This is a conservative simplification; the acceleration adjustment typically narrows the CI, so omitting it produces slightly wider intervals.</w:t>
      </w:r>
    </w:p>
    <w:p w14:paraId="2DAD9EF1" w14:textId="77777777" w:rsidR="006F53B0" w:rsidRDefault="00000000">
      <w:pPr>
        <w:spacing w:after="200" w:line="276" w:lineRule="auto"/>
      </w:pPr>
      <w:r>
        <w:rPr>
          <w:b/>
          <w:bCs/>
        </w:rPr>
        <w:t xml:space="preserve">Fallback: </w:t>
      </w:r>
      <w:r>
        <w:t>If fewer than 100 valid bootstrap replicates are available, the procedure falls back to the basic percentile CI.</w:t>
      </w:r>
    </w:p>
    <w:p w14:paraId="78B74303" w14:textId="77777777" w:rsidR="006F53B0" w:rsidRDefault="00000000">
      <w:pPr>
        <w:pStyle w:val="Heading2"/>
        <w:spacing w:before="360" w:after="200"/>
      </w:pPr>
      <w:r>
        <w:t>6.5 Bootstrap Parameters</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600"/>
        <w:gridCol w:w="6160"/>
      </w:tblGrid>
      <w:tr w:rsidR="006F53B0" w14:paraId="727F7B61" w14:textId="77777777">
        <w:tc>
          <w:tcPr>
            <w:tcW w:w="16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2992C486" w14:textId="77777777" w:rsidR="006F53B0" w:rsidRDefault="00000000">
            <w:r>
              <w:rPr>
                <w:b/>
                <w:bCs/>
                <w:color w:val="FFFFFF"/>
                <w:sz w:val="20"/>
                <w:szCs w:val="20"/>
              </w:rPr>
              <w:t>Parameter</w:t>
            </w:r>
          </w:p>
        </w:tc>
        <w:tc>
          <w:tcPr>
            <w:tcW w:w="160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7E8A1B06" w14:textId="77777777" w:rsidR="006F53B0" w:rsidRDefault="00000000">
            <w:r>
              <w:rPr>
                <w:b/>
                <w:bCs/>
                <w:color w:val="FFFFFF"/>
                <w:sz w:val="20"/>
                <w:szCs w:val="20"/>
              </w:rPr>
              <w:t>Value</w:t>
            </w:r>
          </w:p>
        </w:tc>
        <w:tc>
          <w:tcPr>
            <w:tcW w:w="6160" w:type="dxa"/>
            <w:tcBorders>
              <w:top w:val="single" w:sz="1" w:space="0" w:color="CCCCCC"/>
              <w:left w:val="single" w:sz="1" w:space="0" w:color="CCCCCC"/>
              <w:bottom w:val="single" w:sz="1" w:space="0" w:color="CCCCCC"/>
              <w:right w:val="single" w:sz="1" w:space="0" w:color="CCCCCC"/>
            </w:tcBorders>
            <w:shd w:val="clear" w:color="auto" w:fill="1E4E79"/>
            <w:tcMar>
              <w:top w:w="60" w:type="dxa"/>
              <w:left w:w="100" w:type="dxa"/>
              <w:bottom w:w="60" w:type="dxa"/>
              <w:right w:w="100" w:type="dxa"/>
            </w:tcMar>
          </w:tcPr>
          <w:p w14:paraId="133BA6ED" w14:textId="77777777" w:rsidR="006F53B0" w:rsidRDefault="00000000">
            <w:r>
              <w:rPr>
                <w:b/>
                <w:bCs/>
                <w:color w:val="FFFFFF"/>
                <w:sz w:val="20"/>
                <w:szCs w:val="20"/>
              </w:rPr>
              <w:t>Rationale</w:t>
            </w:r>
          </w:p>
        </w:tc>
      </w:tr>
      <w:tr w:rsidR="006F53B0" w14:paraId="0428EA50"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AD3BAA" w14:textId="77777777" w:rsidR="006F53B0" w:rsidRDefault="00000000">
            <w:r>
              <w:rPr>
                <w:color w:val="000000"/>
                <w:sz w:val="20"/>
                <w:szCs w:val="20"/>
              </w:rPr>
              <w:t>B (resamples)</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D6B350" w14:textId="77777777" w:rsidR="006F53B0" w:rsidRDefault="00000000">
            <w:r>
              <w:rPr>
                <w:color w:val="000000"/>
                <w:sz w:val="20"/>
                <w:szCs w:val="20"/>
              </w:rPr>
              <w:t>10,000</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A9D3A2" w14:textId="77777777" w:rsidR="006F53B0" w:rsidRDefault="00000000">
            <w:r>
              <w:rPr>
                <w:color w:val="000000"/>
                <w:sz w:val="20"/>
                <w:szCs w:val="20"/>
              </w:rPr>
              <w:t>Provides stable BCa CIs at the 90% level.</w:t>
            </w:r>
          </w:p>
        </w:tc>
      </w:tr>
      <w:tr w:rsidR="006F53B0" w14:paraId="4E2889E1"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B1A74D" w14:textId="77777777" w:rsidR="006F53B0" w:rsidRDefault="00000000">
            <w:r>
              <w:rPr>
                <w:color w:val="000000"/>
                <w:sz w:val="20"/>
                <w:szCs w:val="20"/>
              </w:rPr>
              <w:t>Seed</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6BFD35" w14:textId="77777777" w:rsidR="006F53B0" w:rsidRDefault="00000000">
            <w:r>
              <w:rPr>
                <w:color w:val="000000"/>
                <w:sz w:val="20"/>
                <w:szCs w:val="20"/>
              </w:rPr>
              <w:t>20250401</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DD91A1" w14:textId="77777777" w:rsidR="006F53B0" w:rsidRDefault="00000000">
            <w:r>
              <w:rPr>
                <w:color w:val="000000"/>
                <w:sz w:val="20"/>
                <w:szCs w:val="20"/>
              </w:rPr>
              <w:t>Fixed seed ensures exact reproducibility of all results.</w:t>
            </w:r>
          </w:p>
        </w:tc>
      </w:tr>
      <w:tr w:rsidR="006F53B0" w14:paraId="126D1644"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3E6604" w14:textId="77777777" w:rsidR="006F53B0" w:rsidRDefault="00000000">
            <w:r>
              <w:rPr>
                <w:color w:val="000000"/>
                <w:sz w:val="20"/>
                <w:szCs w:val="20"/>
              </w:rPr>
              <w:lastRenderedPageBreak/>
              <w:t>Confidence level</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DC62CB" w14:textId="77777777" w:rsidR="006F53B0" w:rsidRDefault="00000000">
            <w:r>
              <w:rPr>
                <w:color w:val="000000"/>
                <w:sz w:val="20"/>
                <w:szCs w:val="20"/>
              </w:rPr>
              <w:t>90%</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C7008D" w14:textId="77777777" w:rsidR="006F53B0" w:rsidRDefault="00000000">
            <w:r>
              <w:rPr>
                <w:color w:val="000000"/>
                <w:sz w:val="20"/>
                <w:szCs w:val="20"/>
              </w:rPr>
              <w:t>Chosen to balance sensitivity (detecting real differences) with specificity (avoiding false positives). In exploratory analyses without multiplicity correction, 90% CI is standard practice.</w:t>
            </w:r>
          </w:p>
        </w:tc>
      </w:tr>
      <w:tr w:rsidR="006F53B0" w14:paraId="546219B4"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FBD789" w14:textId="77777777" w:rsidR="006F53B0" w:rsidRDefault="00000000">
            <w:r>
              <w:rPr>
                <w:color w:val="000000"/>
                <w:sz w:val="20"/>
                <w:szCs w:val="20"/>
              </w:rPr>
              <w:t>CI method</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88A2BF" w14:textId="77777777" w:rsidR="006F53B0" w:rsidRDefault="00000000">
            <w:r>
              <w:rPr>
                <w:color w:val="000000"/>
                <w:sz w:val="20"/>
                <w:szCs w:val="20"/>
              </w:rPr>
              <w:t>BCa</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D85C85" w14:textId="77777777" w:rsidR="006F53B0" w:rsidRDefault="00000000">
            <w:r>
              <w:rPr>
                <w:color w:val="000000"/>
                <w:sz w:val="20"/>
                <w:szCs w:val="20"/>
              </w:rPr>
              <w:t>BCa is preferred over basic percentile for its superior coverage properties with skewed distributions, which are common when the test statistic is a difference of medians.</w:t>
            </w:r>
          </w:p>
        </w:tc>
      </w:tr>
      <w:tr w:rsidR="006F53B0" w14:paraId="3CB40219"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8101DB" w14:textId="77777777" w:rsidR="006F53B0" w:rsidRDefault="00000000">
            <w:r>
              <w:rPr>
                <w:color w:val="000000"/>
                <w:sz w:val="20"/>
                <w:szCs w:val="20"/>
              </w:rPr>
              <w:t>Significance criterion</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3104E0" w14:textId="77777777" w:rsidR="006F53B0" w:rsidRDefault="00000000">
            <w:r>
              <w:rPr>
                <w:color w:val="000000"/>
                <w:sz w:val="20"/>
                <w:szCs w:val="20"/>
              </w:rPr>
              <w:t>CI excludes zero</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94E8CF" w14:textId="77777777" w:rsidR="006F53B0" w:rsidRDefault="00000000">
            <w:r>
              <w:rPr>
                <w:color w:val="000000"/>
                <w:sz w:val="20"/>
                <w:szCs w:val="20"/>
              </w:rPr>
              <w:t>A BCa 90% CI that does not contain zero indicates the difference is significantly different from zero at the α = 0.10 level.</w:t>
            </w:r>
          </w:p>
        </w:tc>
      </w:tr>
    </w:tbl>
    <w:p w14:paraId="60C15C10" w14:textId="77777777" w:rsidR="006F53B0" w:rsidRDefault="006F53B0">
      <w:pPr>
        <w:spacing w:after="200"/>
      </w:pPr>
    </w:p>
    <w:p w14:paraId="74F5A9A0" w14:textId="77777777" w:rsidR="006F53B0" w:rsidRDefault="00000000">
      <w:pPr>
        <w:pStyle w:val="Heading1"/>
      </w:pPr>
      <w:r>
        <w:t>7. Descriptive Layer (Layer 1)</w:t>
      </w:r>
    </w:p>
    <w:p w14:paraId="0F795AD6" w14:textId="77777777" w:rsidR="006F53B0" w:rsidRDefault="00000000">
      <w:pPr>
        <w:spacing w:after="200" w:line="276" w:lineRule="auto"/>
      </w:pPr>
      <w:r>
        <w:t>Each output workbook includes a “Descriptive Context” sheet containing portfolio-level summary tables that provide interpretive context for the bootstrap results. These tables are computed directly from the analytical panel (after all exclusions) and include:</w:t>
      </w:r>
    </w:p>
    <w:p w14:paraId="3D9E7306" w14:textId="77777777" w:rsidR="006F53B0" w:rsidRDefault="00000000">
      <w:pPr>
        <w:spacing w:after="200" w:line="276" w:lineRule="auto"/>
      </w:pPr>
      <w:r>
        <w:rPr>
          <w:b/>
          <w:bCs/>
        </w:rPr>
        <w:t xml:space="preserve">Statewide totals: </w:t>
      </w:r>
      <w:r>
        <w:t>Total, state, and federal expenditures per year; state share of total; program count; Under-6 program count.</w:t>
      </w:r>
    </w:p>
    <w:p w14:paraId="02AF7843" w14:textId="77777777" w:rsidR="006F53B0" w:rsidRDefault="00000000">
      <w:pPr>
        <w:spacing w:after="200" w:line="276" w:lineRule="auto"/>
      </w:pPr>
      <w:r>
        <w:rPr>
          <w:b/>
          <w:bCs/>
        </w:rPr>
        <w:t xml:space="preserve">Portfolio shares by Focus and Outcome: </w:t>
      </w:r>
      <w:r>
        <w:t>Each category’s share of total expenditures per year, with first-to-last-year change.</w:t>
      </w:r>
    </w:p>
    <w:p w14:paraId="20A555F8" w14:textId="77777777" w:rsidR="006F53B0" w:rsidRDefault="00000000">
      <w:pPr>
        <w:spacing w:after="200" w:line="276" w:lineRule="auto"/>
      </w:pPr>
      <w:r>
        <w:rPr>
          <w:b/>
          <w:bCs/>
        </w:rPr>
        <w:t xml:space="preserve">Under-6 detail: </w:t>
      </w:r>
      <w:r>
        <w:t>Total and state expenditures, state share, and aggregate cost per child for Under-6 vs. Not Under-6 programs.</w:t>
      </w:r>
    </w:p>
    <w:p w14:paraId="01DFC458" w14:textId="77777777" w:rsidR="006F53B0" w:rsidRDefault="00000000">
      <w:pPr>
        <w:spacing w:after="200" w:line="276" w:lineRule="auto"/>
      </w:pPr>
      <w:r>
        <w:rPr>
          <w:b/>
          <w:bCs/>
        </w:rPr>
        <w:t xml:space="preserve">CPC summary: </w:t>
      </w:r>
      <w:r>
        <w:t>Programs with valid NServed, total children served, aggregate and median CPC and state CPC, all restricted to programs with 0 &lt; NServed ≤ 2,000,000.</w:t>
      </w:r>
    </w:p>
    <w:p w14:paraId="007C25C3" w14:textId="77777777" w:rsidR="006F53B0" w:rsidRDefault="00000000">
      <w:pPr>
        <w:spacing w:after="200" w:line="276" w:lineRule="auto"/>
      </w:pPr>
      <w:r>
        <w:rPr>
          <w:b/>
          <w:bCs/>
        </w:rPr>
        <w:t xml:space="preserve">Slope distributions: </w:t>
      </w:r>
      <w:r>
        <w:t>Non-bootstrapped descriptive statistics (median, mean, SD, 25th/75th percentiles) of program-level slopes for each DV. These provide the overall portfolio growth rates referenced in the narrative.</w:t>
      </w:r>
    </w:p>
    <w:p w14:paraId="35C14963" w14:textId="77777777" w:rsidR="006F53B0" w:rsidRDefault="00000000">
      <w:pPr>
        <w:pStyle w:val="Heading1"/>
      </w:pPr>
      <w:r>
        <w:t>8. Sensitivity Analysis: TEIS Exclusion</w:t>
      </w:r>
    </w:p>
    <w:p w14:paraId="5329377F" w14:textId="77777777" w:rsidR="006F53B0" w:rsidRDefault="00000000">
      <w:pPr>
        <w:spacing w:after="200" w:line="276" w:lineRule="auto"/>
      </w:pPr>
      <w:r>
        <w:t>Tennessee’s Early Intervention System (TEIS) is by far the largest program in the Early Intervention focus category, accounting for 49–58% of the category’s total expenditures and growing as a share over the decade. To test whether findings attributed to the Early Intervention category are driven entirely by this single program, each output workbook includes a “Programmatic Focus (excl TEIS)” sheet that reruns the full Focus analysis with all TEIS observations removed from the Early Intervention category.</w:t>
      </w:r>
    </w:p>
    <w:p w14:paraId="6F42D661" w14:textId="77777777" w:rsidR="006F53B0" w:rsidRDefault="00000000">
      <w:pPr>
        <w:spacing w:after="200" w:line="276" w:lineRule="auto"/>
      </w:pPr>
      <w:r>
        <w:rPr>
          <w:b/>
          <w:bCs/>
        </w:rPr>
        <w:t xml:space="preserve">TEIS detection: </w:t>
      </w:r>
      <w:r>
        <w:t xml:space="preserve">Programs are identified as TEIS if their name (after smart-quote normalization and lowercasing) contains “early intervention s”, “early intervention serv”, </w:t>
      </w:r>
      <w:r>
        <w:lastRenderedPageBreak/>
        <w:t>or starts with “teis”. This heuristic captures the program’s various naming conventions across fiscal years.</w:t>
      </w:r>
    </w:p>
    <w:p w14:paraId="72273FDF" w14:textId="77777777" w:rsidR="006F53B0" w:rsidRDefault="00000000">
      <w:pPr>
        <w:spacing w:after="200" w:line="276" w:lineRule="auto"/>
      </w:pPr>
      <w:r>
        <w:rPr>
          <w:b/>
          <w:bCs/>
        </w:rPr>
        <w:t xml:space="preserve">Interpretation: </w:t>
      </w:r>
      <w:r>
        <w:t>When a finding is significant in the standard analysis but loses significance in the TEIS-excluded analysis, it may be TEIS-driven. When a finding is amplified by TEIS exclusion, the non-TEIS programs in the category show an even stronger signal. When a finding is unchanged, it is robust to TEIS composition.</w:t>
      </w:r>
    </w:p>
    <w:p w14:paraId="66CA38EF" w14:textId="77777777" w:rsidR="006F53B0" w:rsidRDefault="00000000">
      <w:pPr>
        <w:pStyle w:val="Heading1"/>
      </w:pPr>
      <w:r>
        <w:t>9. Visualization</w:t>
      </w:r>
    </w:p>
    <w:p w14:paraId="76F70A74" w14:textId="77777777" w:rsidR="006F53B0" w:rsidRDefault="00000000">
      <w:pPr>
        <w:spacing w:after="200" w:line="276" w:lineRule="auto"/>
      </w:pPr>
      <w:r>
        <w:t>The analysis produces eight chart types, generated by a companion visualization module:</w:t>
      </w:r>
    </w:p>
    <w:p w14:paraId="7E58F7FA" w14:textId="77777777" w:rsidR="006F53B0" w:rsidRDefault="00000000">
      <w:pPr>
        <w:spacing w:after="200" w:line="276" w:lineRule="auto"/>
      </w:pPr>
      <w:r>
        <w:rPr>
          <w:b/>
          <w:bCs/>
        </w:rPr>
        <w:t xml:space="preserve">Stacked area charts (Figures 1–2): </w:t>
      </w:r>
      <w:r>
        <w:t>Portfolio composition by Focus and Outcome over time. Areas show total expenditures; the COVID &amp; Recovery period is highlighted with a background shading band.</w:t>
      </w:r>
    </w:p>
    <w:p w14:paraId="362E2B21" w14:textId="77777777" w:rsidR="006F53B0" w:rsidRDefault="00000000">
      <w:pPr>
        <w:spacing w:after="200" w:line="276" w:lineRule="auto"/>
      </w:pPr>
      <w:r>
        <w:rPr>
          <w:b/>
          <w:bCs/>
        </w:rPr>
        <w:t xml:space="preserve">State share timeline (Figure 3): </w:t>
      </w:r>
      <w:r>
        <w:t>State funding share of total expenditures over time, by Focus category, with the portfolio-wide average as a bold line.</w:t>
      </w:r>
    </w:p>
    <w:p w14:paraId="24396DD4" w14:textId="77777777" w:rsidR="006F53B0" w:rsidRDefault="00000000">
      <w:pPr>
        <w:spacing w:after="200" w:line="276" w:lineRule="auto"/>
      </w:pPr>
      <w:r>
        <w:rPr>
          <w:b/>
          <w:bCs/>
        </w:rPr>
        <w:t xml:space="preserve">Under-6 bar chart (Figure 4): </w:t>
      </w:r>
      <w:r>
        <w:t>Side-by-side comparison of Under-6 and Not-Under-6 total expenditures with a dual-axis line showing Under-6’s share of total.</w:t>
      </w:r>
    </w:p>
    <w:p w14:paraId="4A371384" w14:textId="77777777" w:rsidR="006F53B0" w:rsidRDefault="00000000">
      <w:pPr>
        <w:spacing w:after="200" w:line="276" w:lineRule="auto"/>
      </w:pPr>
      <w:r>
        <w:rPr>
          <w:b/>
          <w:bCs/>
        </w:rPr>
        <w:t xml:space="preserve">CPC divergence chart (Figure 6): </w:t>
      </w:r>
      <w:r>
        <w:t>Median cost per child for Under-6 vs. Not-Under-6 programs, showing the convergence pattern.</w:t>
      </w:r>
    </w:p>
    <w:p w14:paraId="3DF47CF4" w14:textId="77777777" w:rsidR="006F53B0" w:rsidRDefault="00000000">
      <w:pPr>
        <w:spacing w:after="200" w:line="276" w:lineRule="auto"/>
      </w:pPr>
      <w:r>
        <w:rPr>
          <w:b/>
          <w:bCs/>
        </w:rPr>
        <w:t xml:space="preserve">Forest plots (Figures 7–8): </w:t>
      </w:r>
      <w:r>
        <w:t>Side-by-side pre-COVID vs. COVID &amp; Recovery forest plots for each grouping variable. Each point shows the difference between a category’s median program slope and the rest of the portfolio’s median; horizontal whiskers show BCa 90% CIs. Filled circles indicate significance (CI excludes zero); hollow squares indicate non-significance.</w:t>
      </w:r>
    </w:p>
    <w:p w14:paraId="676A79D9" w14:textId="77777777" w:rsidR="006F53B0" w:rsidRDefault="00000000">
      <w:pPr>
        <w:pStyle w:val="Heading1"/>
      </w:pPr>
      <w:r>
        <w:t>10. Exploratory Framing and Multiplicity</w:t>
      </w:r>
    </w:p>
    <w:p w14:paraId="7AD17888" w14:textId="77777777" w:rsidR="006F53B0" w:rsidRDefault="00000000">
      <w:pPr>
        <w:spacing w:after="200" w:line="276" w:lineRule="auto"/>
      </w:pPr>
      <w:r>
        <w:t>The analysis is explicitly framed as exploratory. No multiplicity correction (Bonferroni, Holm, FDR, or otherwise) is applied. The total number of tests conducted is substantial: 7 focus categories × 5 DVs × 3 windows = 105 in the Focus grouping alone, plus 5 outcome categories × 5 × 3 = 75, plus 2 Under-6 categories × 5 × 3 = 30, plus 7 × 5 × 3 = 105 in the TEIS-excluded sensitivity, for a total of 315 tests across all groupings and windows.</w:t>
      </w:r>
    </w:p>
    <w:p w14:paraId="5109FF87" w14:textId="77777777" w:rsidR="006F53B0" w:rsidRDefault="00000000">
      <w:pPr>
        <w:spacing w:after="200" w:line="276" w:lineRule="auto"/>
      </w:pPr>
      <w:r>
        <w:rPr>
          <w:i/>
          <w:iCs/>
        </w:rPr>
        <w:t xml:space="preserve">Rationale for no multiplicity correction: </w:t>
      </w:r>
      <w:r>
        <w:t xml:space="preserve">These analyses are designed to identify policy-relevant signals for further investigation, not to confirm pre-specified hypotheses. </w:t>
      </w:r>
      <w:r>
        <w:lastRenderedPageBreak/>
        <w:t>Applying a strict Bonferroni correction (α = 0.10 / 315 = 0.0003) would eliminate virtually all findings and defeat the exploratory purpose. Instead, the narrative emphasizes findings that replicate across windows, groupings, or DVs as carrying more weight than isolated significant results. This approach follows recommendations for exploratory policy analysis where the cost of missing a real signal (Type II error) is at least as important as the cost of false positives (Type I error).</w:t>
      </w:r>
    </w:p>
    <w:p w14:paraId="079CBD48" w14:textId="77777777" w:rsidR="006F53B0" w:rsidRDefault="00000000">
      <w:pPr>
        <w:pStyle w:val="Heading1"/>
      </w:pPr>
      <w:r>
        <w:t>11. Known Limitations</w:t>
      </w:r>
    </w:p>
    <w:p w14:paraId="23162177" w14:textId="77777777" w:rsidR="006F53B0" w:rsidRDefault="00000000">
      <w:pPr>
        <w:spacing w:after="200" w:line="276" w:lineRule="auto"/>
      </w:pPr>
      <w:r>
        <w:rPr>
          <w:b/>
          <w:bCs/>
        </w:rPr>
        <w:t xml:space="preserve">Nominal dollars. </w:t>
      </w:r>
      <w:r>
        <w:t>All figures are nominal. CPI deflators are included in the pipeline but disabled for this analysis. Cumulative inflation from FY15 to FY24 was approximately 32% (CPI-U). A program with nominal growth below 3.2%/yr was effectively shrinking in real terms.</w:t>
      </w:r>
    </w:p>
    <w:p w14:paraId="230E8F73" w14:textId="77777777" w:rsidR="006F53B0" w:rsidRDefault="00000000">
      <w:pPr>
        <w:spacing w:after="200" w:line="276" w:lineRule="auto"/>
      </w:pPr>
      <w:r>
        <w:rPr>
          <w:b/>
          <w:bCs/>
        </w:rPr>
        <w:t xml:space="preserve">Episodic filter bias. </w:t>
      </w:r>
      <w:r>
        <w:t>The active-years filter (70% for the full decade, 100% for sub-windows) excludes programs that are new, discontinued, or reported intermittently. This favors incumbent programs and may understate trends among emerging or recently discontinued programs. The filter is necessary for slope estimation quality but introduces survivorship bias.</w:t>
      </w:r>
    </w:p>
    <w:p w14:paraId="00A1F19E" w14:textId="77777777" w:rsidR="006F53B0" w:rsidRDefault="00000000">
      <w:pPr>
        <w:spacing w:after="200" w:line="276" w:lineRule="auto"/>
      </w:pPr>
      <w:r>
        <w:rPr>
          <w:b/>
          <w:bCs/>
        </w:rPr>
        <w:t xml:space="preserve">NServed data quality. </w:t>
      </w:r>
      <w:r>
        <w:t>NServed values are self-reported by agencies and vary in definition (unduplicated vs. duplicated counts, served vs. eligible populations). The 2,000,000 cap mitigates the most extreme cases, but program-level CPC comparisons should be interpreted as approximate. The aggregate Under-6 CPC shows implausible swings in some years (e.g., $119 in FY18) that likely reflect reporting changes in a few large programs; the median CPC is more robust.</w:t>
      </w:r>
    </w:p>
    <w:p w14:paraId="5FBEEEC6" w14:textId="77777777" w:rsidR="006F53B0" w:rsidRDefault="00000000">
      <w:pPr>
        <w:spacing w:after="200" w:line="276" w:lineRule="auto"/>
      </w:pPr>
      <w:r>
        <w:rPr>
          <w:b/>
          <w:bCs/>
        </w:rPr>
        <w:t xml:space="preserve">OLS linearity assumption. </w:t>
      </w:r>
      <w:r>
        <w:t>OLS slopes assume a linear relationship between log(DV) and time, equivalent to constant exponential growth. Programs with non-linear trajectories (e.g., a spike and decline) are poorly characterized by a single slope. The COVID-era disruption makes this concern especially relevant for the full-decade window, which is one reason the two sub-period windows are analyzed separately.</w:t>
      </w:r>
    </w:p>
    <w:p w14:paraId="3ADAFA7F" w14:textId="77777777" w:rsidR="006F53B0" w:rsidRDefault="00000000">
      <w:pPr>
        <w:spacing w:after="200" w:line="276" w:lineRule="auto"/>
      </w:pPr>
      <w:r>
        <w:rPr>
          <w:b/>
          <w:bCs/>
        </w:rPr>
        <w:t xml:space="preserve">Vs-rest design. </w:t>
      </w:r>
      <w:r>
        <w:t>The test compares each category against the rest of the portfolio, not against an absolute benchmark. A category that is “significantly slower” may still be growing in absolute terms; it is growing less than the typical program in the rest of the portfolio. This design is appropriate for portfolio allocation questions but not for absolute performance assessment.</w:t>
      </w:r>
    </w:p>
    <w:p w14:paraId="7DC8B3E6" w14:textId="77777777" w:rsidR="006F53B0" w:rsidRDefault="00000000">
      <w:pPr>
        <w:spacing w:after="200" w:line="276" w:lineRule="auto"/>
      </w:pPr>
      <w:r>
        <w:rPr>
          <w:b/>
          <w:bCs/>
        </w:rPr>
        <w:t xml:space="preserve">Small-n categories. </w:t>
      </w:r>
      <w:r>
        <w:t xml:space="preserve">Several categories have small program counts (Engaged: 5–8 programs; Early Intervention: 8–12 programs). Bootstrap CIs for small groups are wider and less stable, and findings should be interpreted with appropriate caution. The BCa </w:t>
      </w:r>
      <w:r>
        <w:lastRenderedPageBreak/>
        <w:t>method provides better coverage than basic percentile CIs for small samples, but cannot fully overcome the fundamental limitation of limited data.</w:t>
      </w:r>
    </w:p>
    <w:p w14:paraId="17AA6FA0" w14:textId="77777777" w:rsidR="006F53B0" w:rsidRDefault="00000000">
      <w:pPr>
        <w:spacing w:after="200" w:line="276" w:lineRule="auto"/>
      </w:pPr>
      <w:r>
        <w:rPr>
          <w:b/>
          <w:bCs/>
        </w:rPr>
        <w:t xml:space="preserve">Median as central tendency. </w:t>
      </w:r>
      <w:r>
        <w:t>The analysis uses medians rather than means to represent group-level growth rates. Medians are robust to outliers (important when a few very large or very small programs could dominate the mean) but discard distributional information. Programs within a category may have highly heterogeneous growth rates that the median does not capture.</w:t>
      </w:r>
    </w:p>
    <w:p w14:paraId="0089045A" w14:textId="77777777" w:rsidR="006F53B0" w:rsidRDefault="00000000">
      <w:pPr>
        <w:pStyle w:val="Heading1"/>
      </w:pPr>
      <w:r>
        <w:t>12. References</w:t>
      </w:r>
    </w:p>
    <w:p w14:paraId="23789F27" w14:textId="77777777" w:rsidR="006F53B0" w:rsidRDefault="00000000">
      <w:pPr>
        <w:spacing w:after="200" w:line="276" w:lineRule="auto"/>
      </w:pPr>
      <w:r>
        <w:t xml:space="preserve">Efron, B., &amp; Tibshirani, R. J. (1993). </w:t>
      </w:r>
      <w:r>
        <w:rPr>
          <w:i/>
          <w:iCs/>
        </w:rPr>
        <w:t>An Introduction to the Bootstrap.</w:t>
      </w:r>
      <w:r>
        <w:t xml:space="preserve"> Chapman and Hall/CRC. — Source for BCa confidence interval methodology, bias correction, and acceleration estimation via jackknife.</w:t>
      </w:r>
    </w:p>
    <w:p w14:paraId="657E6652" w14:textId="77777777" w:rsidR="006F53B0" w:rsidRDefault="00000000">
      <w:pPr>
        <w:spacing w:after="200" w:line="276" w:lineRule="auto"/>
      </w:pPr>
      <w:r>
        <w:t xml:space="preserve">Efron, B. (1987). Better bootstrap confidence intervals. </w:t>
      </w:r>
      <w:r>
        <w:rPr>
          <w:i/>
          <w:iCs/>
        </w:rPr>
        <w:t>Journal of the American Statistical Association, 82</w:t>
      </w:r>
      <w:r>
        <w:t>(397), 171–185. — Original derivation of the BCa method.</w:t>
      </w:r>
    </w:p>
    <w:p w14:paraId="3D284440" w14:textId="77777777" w:rsidR="006F53B0" w:rsidRDefault="00000000">
      <w:pPr>
        <w:spacing w:after="200" w:line="276" w:lineRule="auto"/>
      </w:pPr>
      <w:r>
        <w:t>Bureau of Labor Statistics. Consumer Price Index (CPI-U), All Urban Consumers. — Source for CPI deflators used in the optional real-dollar adjustment.</w:t>
      </w:r>
    </w:p>
    <w:sectPr w:rsidR="006F53B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67C7D"/>
    <w:multiLevelType w:val="hybridMultilevel"/>
    <w:tmpl w:val="57D613D8"/>
    <w:lvl w:ilvl="0" w:tplc="A546DCB0">
      <w:start w:val="1"/>
      <w:numFmt w:val="bullet"/>
      <w:lvlText w:val="●"/>
      <w:lvlJc w:val="left"/>
      <w:pPr>
        <w:ind w:left="720" w:hanging="360"/>
      </w:pPr>
    </w:lvl>
    <w:lvl w:ilvl="1" w:tplc="D74E73C4">
      <w:start w:val="1"/>
      <w:numFmt w:val="bullet"/>
      <w:lvlText w:val="○"/>
      <w:lvlJc w:val="left"/>
      <w:pPr>
        <w:ind w:left="1440" w:hanging="360"/>
      </w:pPr>
    </w:lvl>
    <w:lvl w:ilvl="2" w:tplc="C7F0C330">
      <w:start w:val="1"/>
      <w:numFmt w:val="bullet"/>
      <w:lvlText w:val="■"/>
      <w:lvlJc w:val="left"/>
      <w:pPr>
        <w:ind w:left="2160" w:hanging="360"/>
      </w:pPr>
    </w:lvl>
    <w:lvl w:ilvl="3" w:tplc="A934C3AC">
      <w:start w:val="1"/>
      <w:numFmt w:val="bullet"/>
      <w:lvlText w:val="●"/>
      <w:lvlJc w:val="left"/>
      <w:pPr>
        <w:ind w:left="2880" w:hanging="360"/>
      </w:pPr>
    </w:lvl>
    <w:lvl w:ilvl="4" w:tplc="592C7564">
      <w:start w:val="1"/>
      <w:numFmt w:val="bullet"/>
      <w:lvlText w:val="○"/>
      <w:lvlJc w:val="left"/>
      <w:pPr>
        <w:ind w:left="3600" w:hanging="360"/>
      </w:pPr>
    </w:lvl>
    <w:lvl w:ilvl="5" w:tplc="FDA40F54">
      <w:start w:val="1"/>
      <w:numFmt w:val="bullet"/>
      <w:lvlText w:val="■"/>
      <w:lvlJc w:val="left"/>
      <w:pPr>
        <w:ind w:left="4320" w:hanging="360"/>
      </w:pPr>
    </w:lvl>
    <w:lvl w:ilvl="6" w:tplc="901A997C">
      <w:start w:val="1"/>
      <w:numFmt w:val="bullet"/>
      <w:lvlText w:val="●"/>
      <w:lvlJc w:val="left"/>
      <w:pPr>
        <w:ind w:left="5040" w:hanging="360"/>
      </w:pPr>
    </w:lvl>
    <w:lvl w:ilvl="7" w:tplc="A3522052">
      <w:start w:val="1"/>
      <w:numFmt w:val="bullet"/>
      <w:lvlText w:val="●"/>
      <w:lvlJc w:val="left"/>
      <w:pPr>
        <w:ind w:left="5760" w:hanging="360"/>
      </w:pPr>
    </w:lvl>
    <w:lvl w:ilvl="8" w:tplc="3D4E3748">
      <w:start w:val="1"/>
      <w:numFmt w:val="bullet"/>
      <w:lvlText w:val="●"/>
      <w:lvlJc w:val="left"/>
      <w:pPr>
        <w:ind w:left="6480" w:hanging="360"/>
      </w:pPr>
    </w:lvl>
  </w:abstractNum>
  <w:num w:numId="1" w16cid:durableId="14300090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3B0"/>
    <w:rsid w:val="00105846"/>
    <w:rsid w:val="001A742C"/>
    <w:rsid w:val="001C291E"/>
    <w:rsid w:val="00457A24"/>
    <w:rsid w:val="006F53B0"/>
    <w:rsid w:val="007B4CDF"/>
    <w:rsid w:val="00921D96"/>
    <w:rsid w:val="009636F8"/>
    <w:rsid w:val="00E8010E"/>
    <w:rsid w:val="00ED1E4E"/>
    <w:rsid w:val="00F31113"/>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A130"/>
  <w15:docId w15:val="{82C430AF-14AC-4F0B-B663-5F8A946D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E4E79"/>
      <w:sz w:val="32"/>
      <w:szCs w:val="32"/>
    </w:rPr>
  </w:style>
  <w:style w:type="paragraph" w:styleId="Heading2">
    <w:name w:val="heading 2"/>
    <w:uiPriority w:val="9"/>
    <w:unhideWhenUsed/>
    <w:qFormat/>
    <w:pPr>
      <w:spacing w:before="240" w:after="180"/>
      <w:outlineLvl w:val="1"/>
    </w:pPr>
    <w:rPr>
      <w:b/>
      <w:bCs/>
      <w:color w:val="1E4E79"/>
      <w:sz w:val="28"/>
      <w:szCs w:val="28"/>
    </w:rPr>
  </w:style>
  <w:style w:type="paragraph" w:styleId="Heading3">
    <w:name w:val="heading 3"/>
    <w:uiPriority w:val="9"/>
    <w:semiHidden/>
    <w:unhideWhenUsed/>
    <w:qFormat/>
    <w:pPr>
      <w:spacing w:before="200" w:after="160"/>
      <w:outlineLvl w:val="2"/>
    </w:pPr>
    <w:rPr>
      <w:b/>
      <w:bCs/>
      <w:color w:val="1E4E79"/>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455329">
      <w:bodyDiv w:val="1"/>
      <w:marLeft w:val="0"/>
      <w:marRight w:val="0"/>
      <w:marTop w:val="0"/>
      <w:marBottom w:val="0"/>
      <w:divBdr>
        <w:top w:val="none" w:sz="0" w:space="0" w:color="auto"/>
        <w:left w:val="none" w:sz="0" w:space="0" w:color="auto"/>
        <w:bottom w:val="none" w:sz="0" w:space="0" w:color="auto"/>
        <w:right w:val="none" w:sz="0" w:space="0" w:color="auto"/>
      </w:divBdr>
    </w:div>
    <w:div w:id="1215698715">
      <w:bodyDiv w:val="1"/>
      <w:marLeft w:val="0"/>
      <w:marRight w:val="0"/>
      <w:marTop w:val="0"/>
      <w:marBottom w:val="0"/>
      <w:divBdr>
        <w:top w:val="none" w:sz="0" w:space="0" w:color="auto"/>
        <w:left w:val="none" w:sz="0" w:space="0" w:color="auto"/>
        <w:bottom w:val="none" w:sz="0" w:space="0" w:color="auto"/>
        <w:right w:val="none" w:sz="0" w:space="0" w:color="auto"/>
      </w:divBdr>
    </w:div>
    <w:div w:id="1958372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3605</Words>
  <Characters>20549</Characters>
  <Application>Microsoft Office Word</Application>
  <DocSecurity>0</DocSecurity>
  <Lines>171</Lines>
  <Paragraphs>48</Paragraphs>
  <ScaleCrop>false</ScaleCrop>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Porter</dc:creator>
  <cp:lastModifiedBy>Drew Porter</cp:lastModifiedBy>
  <cp:revision>4</cp:revision>
  <dcterms:created xsi:type="dcterms:W3CDTF">2026-04-16T13:03:00Z</dcterms:created>
  <dcterms:modified xsi:type="dcterms:W3CDTF">2026-04-16T13:08:00Z</dcterms:modified>
</cp:coreProperties>
</file>