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0C44B" w14:textId="0874F413" w:rsidR="00744647" w:rsidRPr="00744647" w:rsidRDefault="00744647" w:rsidP="0091129C">
      <w:pPr>
        <w:spacing w:before="360" w:after="140"/>
        <w:jc w:val="center"/>
        <w:outlineLvl w:val="0"/>
        <w:rPr>
          <w:rFonts w:ascii="Arial" w:eastAsia="Arial" w:hAnsi="Arial" w:cs="Arial"/>
          <w:b/>
          <w:bCs/>
          <w:color w:val="1E4E79"/>
          <w:sz w:val="32"/>
          <w:szCs w:val="32"/>
        </w:rPr>
      </w:pPr>
      <w:bookmarkStart w:id="0" w:name="executive-summary"/>
      <w:r>
        <w:rPr>
          <w:rFonts w:ascii="Arial" w:eastAsia="Arial" w:hAnsi="Arial" w:cs="Arial"/>
          <w:b/>
          <w:bCs/>
          <w:color w:val="1E4E79"/>
          <w:sz w:val="32"/>
          <w:szCs w:val="32"/>
        </w:rPr>
        <w:t>Social Return on Investment Analysis</w:t>
      </w:r>
      <w:r w:rsidRPr="00744647">
        <w:rPr>
          <w:rFonts w:ascii="Arial" w:eastAsia="Arial" w:hAnsi="Arial" w:cs="Arial"/>
          <w:b/>
          <w:bCs/>
          <w:color w:val="1E4E79"/>
          <w:sz w:val="32"/>
          <w:szCs w:val="32"/>
        </w:rPr>
        <w:t>: Methods Documentation</w:t>
      </w:r>
    </w:p>
    <w:p w14:paraId="5C973940" w14:textId="77777777" w:rsidR="00744647" w:rsidRPr="00744647" w:rsidRDefault="00744647" w:rsidP="0091129C">
      <w:pPr>
        <w:spacing w:after="40" w:line="276" w:lineRule="auto"/>
        <w:jc w:val="center"/>
        <w:rPr>
          <w:rFonts w:ascii="Arial" w:eastAsia="Arial" w:hAnsi="Arial" w:cs="Arial"/>
          <w:sz w:val="22"/>
          <w:szCs w:val="22"/>
        </w:rPr>
      </w:pPr>
      <w:r w:rsidRPr="00744647">
        <w:rPr>
          <w:rFonts w:ascii="Arial" w:eastAsia="Arial" w:hAnsi="Arial" w:cs="Arial"/>
          <w:sz w:val="22"/>
          <w:szCs w:val="22"/>
        </w:rPr>
        <w:t>FY2024–25 Resource Mapping Report</w:t>
      </w:r>
    </w:p>
    <w:p w14:paraId="307C3B72" w14:textId="77777777" w:rsidR="00744647" w:rsidRPr="00744647" w:rsidRDefault="00744647" w:rsidP="0091129C">
      <w:pPr>
        <w:spacing w:after="40" w:line="276" w:lineRule="auto"/>
        <w:jc w:val="center"/>
        <w:rPr>
          <w:rFonts w:ascii="Arial" w:eastAsia="Arial" w:hAnsi="Arial" w:cs="Arial"/>
          <w:sz w:val="22"/>
          <w:szCs w:val="22"/>
        </w:rPr>
      </w:pPr>
      <w:r w:rsidRPr="00744647">
        <w:rPr>
          <w:rFonts w:ascii="Arial" w:eastAsia="Arial" w:hAnsi="Arial" w:cs="Arial"/>
          <w:sz w:val="22"/>
          <w:szCs w:val="22"/>
        </w:rPr>
        <w:t>Tennessee Commission on Children and Youth</w:t>
      </w:r>
    </w:p>
    <w:p w14:paraId="29014D2C" w14:textId="77777777" w:rsidR="00744647" w:rsidRPr="00744647" w:rsidRDefault="00744647" w:rsidP="0091129C">
      <w:pPr>
        <w:spacing w:after="300" w:line="276" w:lineRule="auto"/>
        <w:jc w:val="center"/>
        <w:rPr>
          <w:rFonts w:ascii="Arial" w:eastAsia="Arial" w:hAnsi="Arial" w:cs="Arial"/>
          <w:sz w:val="22"/>
          <w:szCs w:val="22"/>
        </w:rPr>
      </w:pPr>
      <w:r w:rsidRPr="00744647">
        <w:rPr>
          <w:rFonts w:ascii="Arial" w:eastAsia="Arial" w:hAnsi="Arial" w:cs="Arial"/>
          <w:i/>
          <w:iCs/>
          <w:sz w:val="22"/>
          <w:szCs w:val="22"/>
        </w:rPr>
        <w:t>April 2026</w:t>
      </w:r>
    </w:p>
    <w:p w14:paraId="7EDDD5BD" w14:textId="77777777" w:rsidR="0032366F" w:rsidRDefault="00000000" w:rsidP="00774FCE">
      <w:pPr>
        <w:pStyle w:val="Heading1"/>
        <w:spacing w:before="0" w:after="180"/>
      </w:pPr>
      <w:r>
        <w:t>1. Executive Summary</w:t>
      </w:r>
    </w:p>
    <w:p w14:paraId="1F5DBDAE" w14:textId="77777777" w:rsidR="0032366F" w:rsidRDefault="00000000" w:rsidP="00774FCE">
      <w:pPr>
        <w:pStyle w:val="FirstParagraph"/>
        <w:spacing w:before="0"/>
      </w:pPr>
      <w:r>
        <w:t>This analysis estimates the social return on investment (SROI) of $8.28 billion (54%) of Tennessee’s $15.3 billion annual children’s investment across 26 state agencies and 224 programs. The overlap-adjusted portfolio SROI is 1.71 (90% CI: 1.46–2.15), with 100% probability of exceeding breakeven across 10,000 bootstrap iterations. Programs serving children under six produce an SROI of 3.32× [2.47, 6.19]. The portfolio without the temporary foster care placement program rises to 1.80×.</w:t>
      </w:r>
    </w:p>
    <w:p w14:paraId="6A42862A" w14:textId="77777777" w:rsidR="0032366F" w:rsidRDefault="00000000" w:rsidP="00774FCE">
      <w:pPr>
        <w:pStyle w:val="Heading1"/>
        <w:spacing w:before="0" w:after="180"/>
      </w:pPr>
      <w:bookmarkStart w:id="1" w:name="key-concepts"/>
      <w:bookmarkEnd w:id="0"/>
      <w:r>
        <w:t>2. Key Concepts</w:t>
      </w:r>
    </w:p>
    <w:p w14:paraId="1521DDD1" w14:textId="77777777" w:rsidR="0032366F" w:rsidRDefault="00000000" w:rsidP="00774FCE">
      <w:pPr>
        <w:pStyle w:val="FirstParagraph"/>
        <w:spacing w:before="0"/>
      </w:pPr>
      <w:r>
        <w:t>SROI (Social Return on Investment): The estimated economic and social value generated per dollar invested. An SROI of 1.71 means each dollar generates approximately $1.71 in estimated value. Values above 1.00 indicate that estimated benefits exceed costs. SROI is a standard framework in public policy evaluation (Nicholls et al., 2012) and is used by the UK Treasury, the European Commission, and state agencies internationally.</w:t>
      </w:r>
    </w:p>
    <w:p w14:paraId="4F474542" w14:textId="77777777" w:rsidR="0032366F" w:rsidRDefault="00000000" w:rsidP="00774FCE">
      <w:pPr>
        <w:pStyle w:val="BodyText"/>
        <w:spacing w:before="0"/>
      </w:pPr>
      <w:r>
        <w:t>QALY (Quality-Adjusted Life Year): One year of life in perfect health, or the value of averting one year of disability. Valued at $100,000, reflecting the updated consensus in health economics (Neumann et al., 2014); this threshold is used by the WHO, the UK’s NICE, and the majority of published cost-effectiveness analyses. The original $50,000 threshold (Weinstein &amp; Stason, 1977) has not been updated for inflation or methodological advances. This analysis varies the QALY valuation from $70,000 to $130,000 in the bootstrap to capture uncertainty (Neumann et al., 2014).</w:t>
      </w:r>
    </w:p>
    <w:p w14:paraId="7C38E6DD" w14:textId="77777777" w:rsidR="0032366F" w:rsidRDefault="00000000" w:rsidP="00774FCE">
      <w:pPr>
        <w:pStyle w:val="BodyText"/>
        <w:spacing w:before="0"/>
      </w:pPr>
      <w:r>
        <w:t>Published BCR (Benefit-Cost Ratio): When a program’s benefits span multiple domains over decades—health, education, earnings, crime reduction—individual outcome monetization risks double-counting or missing benefits. The SROI Network methodology guide recommends using published BCRs for such programs (Nicholls et al., 2012, §4.3). The early childhood economics literature reports BCRs of 4.0× as a conservative consensus (Duncan &amp; Magnuson, 2013), with individual studies documenting $7–$13 per dollar (Heckman, 2006) and $10.83 per dollar for the Chicago Child-Parent Centers through age 26 (Reynolds et al., 2011).</w:t>
      </w:r>
    </w:p>
    <w:p w14:paraId="2DFDB016" w14:textId="77777777" w:rsidR="0032366F" w:rsidRDefault="00000000" w:rsidP="00774FCE">
      <w:pPr>
        <w:pStyle w:val="Heading1"/>
        <w:spacing w:before="0" w:after="180"/>
      </w:pPr>
      <w:bookmarkStart w:id="2" w:name="the-sroi-formula-parameter-by-parameter"/>
      <w:bookmarkEnd w:id="1"/>
      <w:r>
        <w:t>3. The SROI Formula — Parameter by Parameter</w:t>
      </w:r>
    </w:p>
    <w:p w14:paraId="785902F2" w14:textId="77777777" w:rsidR="0032366F" w:rsidRDefault="00000000" w:rsidP="00774FCE">
      <w:pPr>
        <w:pStyle w:val="FirstParagraph"/>
        <w:spacing w:before="0"/>
      </w:pPr>
      <w:r>
        <w:t>The general per-capita formula is:</w:t>
      </w:r>
    </w:p>
    <w:p w14:paraId="09D2FEA5" w14:textId="77777777" w:rsidR="0032366F" w:rsidRDefault="00000000" w:rsidP="00774FCE">
      <w:pPr>
        <w:pStyle w:val="BodyText"/>
        <w:spacing w:before="0"/>
      </w:pPr>
      <w:r>
        <w:rPr>
          <w:b/>
          <w:bCs/>
        </w:rPr>
        <w:lastRenderedPageBreak/>
        <w:t>Social Value = NServed × Baseline × Effectiveness × (1 – Deadweight) × Attribution × Unit Cost</w:t>
      </w:r>
    </w:p>
    <w:p w14:paraId="7E7FB5D0" w14:textId="77777777" w:rsidR="0032366F" w:rsidRDefault="00000000" w:rsidP="00774FCE">
      <w:pPr>
        <w:pStyle w:val="BodyText"/>
        <w:spacing w:before="0"/>
      </w:pPr>
      <w:r>
        <w:t>Not all parameters apply to every pathway. Per-capita pathways (QALY, Cost-Avoidance, Human Capital) use the full formula or pathway-specific variants. Published BCR programs follow a two-tier structure: Tier A (RCT-derived BCRs for Early Childhood Development and Economic Support) use SV = Expenditure × BCR with no additional DW/A, because these ratios derive from controlled studies that already net the counterfactual (Duncan &amp; Magnuson, 2013; Heckman, 2006). Tier B (observational BCRs for Physical Health, Nutrition, Youth Enrichment, MH Awareness) apply a conservative DW/A adjustment: SV = Expenditure × BCR × (1−DW) × A, because these ratios derive from population-level or meta-analytic evidence where the counterfactual is less precisely controlled (§4, Published BCR). Reduced Estimate programs use SV = Expenditure × Fallback BCR × Discount, following the SROI Network’s recommendation for conservative valuation of programs without direct evidence (Nicholls et al., 2012, §4.4). Each program’s specific inputs are documented in the Master Documentation workbook.</w:t>
      </w:r>
    </w:p>
    <w:p w14:paraId="046EDD69" w14:textId="77777777" w:rsidR="0032366F" w:rsidRDefault="00000000" w:rsidP="00774FCE">
      <w:pPr>
        <w:pStyle w:val="Heading2"/>
        <w:spacing w:before="0" w:after="180"/>
      </w:pPr>
      <w:bookmarkStart w:id="3" w:name="nserved-n"/>
      <w:r>
        <w:t>3.1 NServed (N)</w:t>
      </w:r>
    </w:p>
    <w:p w14:paraId="2C30A78A" w14:textId="77777777" w:rsidR="0032366F" w:rsidRDefault="00000000" w:rsidP="00774FCE">
      <w:pPr>
        <w:pStyle w:val="FirstParagraph"/>
        <w:spacing w:before="0"/>
      </w:pPr>
      <w:r>
        <w:t>The number of children or families directly served in FY25, as reported in the agency workbook. Twenty-three programs have NServed overrides where the reported figure does not represent direct child service—for example, website visits (Kidcentral: 304,000 visits), adult trainees (CCTE Post Secondary: 37,000 adult students), or administrative units (CPS Centralized Intake: reports received, not children served). Overrides correct these to an appropriate child count or set to null, routing the program to a BCR-based pathway.</w:t>
      </w:r>
    </w:p>
    <w:p w14:paraId="61981AEB" w14:textId="77777777" w:rsidR="0032366F" w:rsidRDefault="00000000" w:rsidP="00774FCE">
      <w:pPr>
        <w:pStyle w:val="BodyText"/>
        <w:spacing w:before="0"/>
      </w:pPr>
      <w:r>
        <w:t>Programs with N &lt; 100 receive a small-sample discount of 0.70. Small samples produce unreliable point estimates of program effectiveness; the discount reflects the expectation that roughly 30% of the observed effect may not replicate at scale, consistent with the general pattern of effect size shrinkage documented in replication studies (Open Science Collaboration, 2015). Conceptually, this follows empirical Bayes shrinkage: small-sample estimates are pulled toward zero because their signal-to-noise ratio is low (James &amp; Stein, 1961). A 30% discount is conservative relative to typical shrinkage factors observed in meta-analytic contexts, where small-study effects often overestimate true effects by 30–50%. The threshold of 100 follows standard practice in applied program evaluation.</w:t>
      </w:r>
    </w:p>
    <w:p w14:paraId="234D95A5" w14:textId="77777777" w:rsidR="0032366F" w:rsidRDefault="00000000" w:rsidP="00774FCE">
      <w:pPr>
        <w:pStyle w:val="Heading2"/>
        <w:spacing w:before="0" w:after="180"/>
      </w:pPr>
      <w:bookmarkStart w:id="4" w:name="baseline-rate-b"/>
      <w:bookmarkEnd w:id="3"/>
      <w:r>
        <w:t>3.2 Baseline Rate (B)</w:t>
      </w:r>
    </w:p>
    <w:p w14:paraId="7272A079" w14:textId="77777777" w:rsidR="0032366F" w:rsidRDefault="00000000" w:rsidP="00774FCE">
      <w:pPr>
        <w:pStyle w:val="FirstParagraph"/>
        <w:spacing w:before="0"/>
      </w:pPr>
      <w:r>
        <w:t>The population-level probability of the adverse outcome, drawn from published epidemiological or administrative data. The baseline anchors the calculation to real-world prevalence. Examples and sources:</w:t>
      </w:r>
    </w:p>
    <w:p w14:paraId="32833160" w14:textId="77777777" w:rsidR="0032366F" w:rsidRDefault="00000000" w:rsidP="00774FCE">
      <w:pPr>
        <w:pStyle w:val="BodyText"/>
        <w:spacing w:before="0"/>
      </w:pPr>
      <w:r>
        <w:t xml:space="preserve">Child maltreatment: 8.9%. The NIS-4 reported an annual incidence of 39.5 per 1,000 children under the Endangerment Standard (Sedlak et al., 2010). The 8.9% figure reflects cumulative exposure probability for children in the age range served by prevention programs, consistent with Wildeman et al. (2014), who found that 12.5% of U.S. children experience a confirmed maltreatment investigation by age 18. High school dropout: 8.6% (NCES, 2023, status dropout rate for Tennessee). Juvenile re-offense: 60% (DCS FY24 </w:t>
      </w:r>
      <w:r>
        <w:lastRenderedPageBreak/>
        <w:t>administrative data, recidivism within 12 months). Traffic crash injury: 0.6% (Blincoe et al., 2023, teen driver annual injury rate).</w:t>
      </w:r>
    </w:p>
    <w:p w14:paraId="6E0A0D9C" w14:textId="77777777" w:rsidR="0032366F" w:rsidRDefault="00000000" w:rsidP="00774FCE">
      <w:pPr>
        <w:pStyle w:val="BodyText"/>
        <w:spacing w:before="0"/>
      </w:pPr>
      <w:r>
        <w:t>Where outcome data are extracted directly from the program’s workbook (Tier 1), the baseline may be implicitly 1.0—for example, if a program reports "3% of served youth had no subsequent hospitalization," the 3% IS the net outcome rate and no separate baseline is applied.</w:t>
      </w:r>
    </w:p>
    <w:p w14:paraId="12B8FC6E" w14:textId="77777777" w:rsidR="0032366F" w:rsidRDefault="00000000" w:rsidP="00774FCE">
      <w:pPr>
        <w:pStyle w:val="Heading2"/>
        <w:spacing w:before="0" w:after="180"/>
      </w:pPr>
      <w:bookmarkStart w:id="5" w:name="effectiveness-e"/>
      <w:bookmarkEnd w:id="4"/>
      <w:r>
        <w:t>3.3 Effectiveness (E)</w:t>
      </w:r>
    </w:p>
    <w:p w14:paraId="5DB8CB05" w14:textId="77777777" w:rsidR="0032366F" w:rsidRDefault="00000000" w:rsidP="00774FCE">
      <w:pPr>
        <w:pStyle w:val="FirstParagraph"/>
        <w:spacing w:before="0"/>
      </w:pPr>
      <w:r>
        <w:t>The proportion of baseline risk the program reduces. The analysis uses a tiered approach:</w:t>
      </w:r>
    </w:p>
    <w:p w14:paraId="15516E76" w14:textId="77777777" w:rsidR="0032366F" w:rsidRDefault="00000000" w:rsidP="00774FCE">
      <w:pPr>
        <w:pStyle w:val="BodyText"/>
        <w:spacing w:before="0"/>
      </w:pPr>
      <w:r>
        <w:t>Tier 1 (43 programs, 19%): Effectiveness extracted directly from outcome data reported in the agency’s FY25 workbook. Extraction is automated using pattern-matching on the outcome narrative text, then verified by two independent manual passes through the source data from different analytical angles; any discrepancy restarts the verification count. Programs reporting improvement rates below 10% are classified as non-extractable because rates that low cannot be reliably distinguished from measurement error in self-report instruments, which typically have error margins of 5–10% (Revicki et al., 2012). Programs in this tier have the strongest evidence because the effectiveness rate comes from the program’s own results.</w:t>
      </w:r>
    </w:p>
    <w:p w14:paraId="70077111" w14:textId="77777777" w:rsidR="0032366F" w:rsidRDefault="00000000" w:rsidP="00774FCE">
      <w:pPr>
        <w:pStyle w:val="BodyText"/>
        <w:spacing w:before="0"/>
      </w:pPr>
      <w:r>
        <w:t>Tier 1b (32 programs, 14%): NServed is available but outcome data are not extractable as a quantitative rate. Effectiveness is drawn from published benchmarks. For education K-12 programs, academic improvement rates are converted to dropout prevention effects using the Balfanz (2009) factor of 0.50, reflecting the empirical finding that academic improvement accounts for approximately half of the variance in dropout risk (Balfanz, Bridgeland, Bruce, &amp; Fox, 2013). This conversion is an approximation; the actual relationship is mediated by grade level, baseline risk, and dosage. Sensitivity analysis at 0.30 and 0.70 shows the Education K-12 group SROI ranges from approximately 1.0× to 2.0×, confirming the group exceeds or approaches breakeven under conservative assumptions.</w:t>
      </w:r>
    </w:p>
    <w:p w14:paraId="68898EF6" w14:textId="77777777" w:rsidR="0032366F" w:rsidRDefault="00000000" w:rsidP="00774FCE">
      <w:pPr>
        <w:pStyle w:val="BodyText"/>
        <w:spacing w:before="0"/>
      </w:pPr>
      <w:r>
        <w:t>Tier 2 (61 programs, 27%): Published BCR; no separate effectiveness parameter needed. Tier 3 (85 programs, 38%): Reduced Estimate; effectiveness implicit in the discounted BCR. Overrides (3 programs, 1%): Each documented with rationale in the Master Documentation.</w:t>
      </w:r>
    </w:p>
    <w:p w14:paraId="003E61E4" w14:textId="77777777" w:rsidR="0032366F" w:rsidRDefault="00000000" w:rsidP="00774FCE">
      <w:pPr>
        <w:pStyle w:val="Heading2"/>
        <w:spacing w:before="0" w:after="180"/>
      </w:pPr>
      <w:bookmarkStart w:id="6" w:name="deadweight-dw"/>
      <w:bookmarkEnd w:id="5"/>
      <w:r>
        <w:t>3.4 Deadweight (DW)</w:t>
      </w:r>
    </w:p>
    <w:p w14:paraId="743E183B" w14:textId="77777777" w:rsidR="0032366F" w:rsidRDefault="00000000" w:rsidP="00774FCE">
      <w:pPr>
        <w:pStyle w:val="FirstParagraph"/>
        <w:spacing w:before="0"/>
      </w:pPr>
      <w:r>
        <w:t>The proportion of observed outcomes that would have occurred without the program. Values are assigned by ROI group based on the counterfactual literature:</w:t>
      </w:r>
    </w:p>
    <w:p w14:paraId="0D347651" w14:textId="77777777" w:rsidR="0032366F" w:rsidRDefault="00000000" w:rsidP="00774FCE">
      <w:pPr>
        <w:pStyle w:val="BodyText"/>
        <w:spacing w:before="0"/>
      </w:pPr>
      <w:r>
        <w:t xml:space="preserve">Economic Support: DW = 0.00. Means-tested programs; recipients would not receive benefits without the program (Herbst, 2023). Early Childhood Development: DW = 0.00. RCT-based BCRs (Perry Preschool, Abecedarian) already net the counterfactual (Heckman, 2006). Nutrition: DW = 0.05. WIC and school meals serve populations with few substitutes; small discount for partial food substitution (Hanson &amp; Connor, 2014). Physical Health: DW </w:t>
      </w:r>
      <w:r>
        <w:lastRenderedPageBreak/>
        <w:t>= 0.05. Preventive services (immunization, screening) are the proximate cause of the outcome (Zhou et al., 2014). Education: DW = 0.10. Partial academic gains would occur through normal schooling (Balfanz, 2009). Mental Health &amp; Behavioral: DW = 0.15. Spontaneous remission rates for child mental health conditions range from 10–20% (Wampold, 2015; Weisz et al., 2017). Child Safety and Family Preservation: DW = 0.20. Family preservation literature suggests 15–25% natural stabilization (Lundahl et al., 2006). Highway Safety: DW = 0.30. Traffic safety also results from vehicle technology, infrastructure, and enforcement (Blincoe et al., 2023). Youth Enrichment: DW = 0.00. Afterschool and mentoring serve as protective factors with no natural substitute (Afterschool Alliance, 2021).</w:t>
      </w:r>
    </w:p>
    <w:p w14:paraId="30ABAC10" w14:textId="77777777" w:rsidR="0032366F" w:rsidRDefault="00000000" w:rsidP="00774FCE">
      <w:pPr>
        <w:pStyle w:val="Heading2"/>
        <w:spacing w:before="0" w:after="180"/>
      </w:pPr>
      <w:bookmarkStart w:id="7" w:name="attribution-a"/>
      <w:bookmarkEnd w:id="6"/>
      <w:r>
        <w:t>3.5 Attribution (A)</w:t>
      </w:r>
    </w:p>
    <w:p w14:paraId="44F4A2DA" w14:textId="77777777" w:rsidR="0032366F" w:rsidRDefault="00000000" w:rsidP="00774FCE">
      <w:pPr>
        <w:pStyle w:val="FirstParagraph"/>
        <w:spacing w:before="0"/>
      </w:pPr>
      <w:r>
        <w:t>The proportion of the observed outcome creditable to this specific program rather than other influences. Attribution prevents double-counting and acknowledges that child outcomes are multi-determined (Nicholls et al., 2012, §4.2):</w:t>
      </w:r>
    </w:p>
    <w:p w14:paraId="78185225" w14:textId="77777777" w:rsidR="0032366F" w:rsidRDefault="00000000" w:rsidP="00774FCE">
      <w:pPr>
        <w:pStyle w:val="BodyText"/>
        <w:spacing w:before="0"/>
      </w:pPr>
      <w:r>
        <w:t>Economic Support: A = 1.00. The economic benefit is directly caused by the transfer (Herbst, 2023). Education, Nutrition, Physical Health, Youth Enrichment, Early Childhood: A = 0.80. Programs are the primary but not sole influence; 0.80 reflects SROI convention for programs with strong causal links (Nicholls et al., 2012). Child Safety, Family Preservation, Mental Health, Justice-Involved Youth, MH Awareness: A = 0.70. Child welfare and behavioral outcomes are shaped by multiple systems (Lipsey, 2009; Wampold, 2015). Highway Safety: A = 0.50. Traffic safety outcomes are heavily influenced by enforcement, infrastructure, and vehicle design (Blincoe et al., 2023).</w:t>
      </w:r>
    </w:p>
    <w:p w14:paraId="5814442F" w14:textId="77777777" w:rsidR="0032366F" w:rsidRDefault="00000000" w:rsidP="00774FCE">
      <w:pPr>
        <w:pStyle w:val="Heading2"/>
        <w:spacing w:before="0" w:after="180"/>
      </w:pPr>
      <w:bookmarkStart w:id="8" w:name="unit-cost-uc"/>
      <w:bookmarkEnd w:id="7"/>
      <w:r>
        <w:t>3.6 Unit Cost (UC)</w:t>
      </w:r>
    </w:p>
    <w:p w14:paraId="1C88AAE6" w14:textId="77777777" w:rsidR="0032366F" w:rsidRDefault="00000000" w:rsidP="00774FCE">
      <w:pPr>
        <w:pStyle w:val="FirstParagraph"/>
        <w:spacing w:before="0"/>
      </w:pPr>
      <w:r>
        <w:t>The economic value of one prevented adverse outcome or gained positive outcome, CPI-adjusted to 2025 dollars using the BLS CPI-U. The analysis consistently selects the more conservative estimate when alternatives exist:</w:t>
      </w:r>
    </w:p>
    <w:p w14:paraId="4210FBA4" w14:textId="77777777" w:rsidR="0032366F" w:rsidRDefault="00000000" w:rsidP="00774FCE">
      <w:pPr>
        <w:pStyle w:val="BodyText"/>
        <w:spacing w:before="0"/>
      </w:pPr>
      <w:r>
        <w:t>Child maltreatment: $303,800 per case, tangible costs only (Fang et al., 2012). Peterson et al. (2018) report $830,928 including intangible costs; this analysis uses the lower figure. HS graduation: $443,299 lifetime earnings premium (Alliance for Excellent Education, 2011). Juvenile placement: $112,060/year (DCS FY24 administrative data). Crash injury: $160,518 comprehensive cost (Blincoe et al., 2023). QALY: $100,000 (Neumann et al., 2014), varied $70K–$130K in bootstrap. Family crisis/placement avoidance: $49,100 per episode (Courtney, 2011). Hospitalization avoidance: $15,225 per child psychiatric admission (HCUP). Industry credential: $8,289 annual premium (Carnevale et al., 2023). Substance prevention: $18,200 per episode (SAMHSA; Connock et al., 2007).</w:t>
      </w:r>
    </w:p>
    <w:p w14:paraId="2092A45D" w14:textId="77777777" w:rsidR="0032366F" w:rsidRDefault="00000000" w:rsidP="00774FCE">
      <w:pPr>
        <w:pStyle w:val="Heading2"/>
        <w:spacing w:before="0" w:after="180"/>
      </w:pPr>
      <w:bookmarkStart w:id="9" w:name="qaly-rates"/>
      <w:bookmarkEnd w:id="8"/>
      <w:r>
        <w:t>3.7 QALY Rates</w:t>
      </w:r>
    </w:p>
    <w:p w14:paraId="34B838D6" w14:textId="77777777" w:rsidR="0032366F" w:rsidRDefault="00000000" w:rsidP="00774FCE">
      <w:pPr>
        <w:pStyle w:val="FirstParagraph"/>
        <w:spacing w:before="0"/>
      </w:pPr>
      <w:r>
        <w:t>Programs valued through the QALY pathway use disability-weight-based rates from the Global Burden of Disease Study (GBD 2019 Diseases and Injuries Collaborators, 2020) and published health economics literature:</w:t>
      </w:r>
    </w:p>
    <w:p w14:paraId="1A69344C" w14:textId="77777777" w:rsidR="0032366F" w:rsidRDefault="00000000" w:rsidP="00774FCE">
      <w:pPr>
        <w:pStyle w:val="BodyText"/>
        <w:spacing w:before="0"/>
      </w:pPr>
      <w:r>
        <w:lastRenderedPageBreak/>
        <w:t>MH treatment (standard): 0.08 QALY (Revicki et al., 2012). MH (severe—psychosis, SED, inpatient): 0.12 QALY (Chisholm, 2005). Crisis diversion: 0.05 QALY (Siskind et al., 2012). Substance prevention: 0.03 QALY (Connock et al., 2007). Prenatal care: 0.04 QALY (Petrou, 2003). Dental treatment: 0.02 QALY; dental prevention: 0.005 QALY (GBD 2019). Immunization: 0.003 QALY (Zhou et al., 2014). Breastfeeding: 0.008 QALY (Bartick et al., 2017). Family support: 0.02 QALY (Sama-Miller et al., 2019). General health: 0.01 QALY (GBD 2019 median disability weight). MH awareness/training: 0.001 QALY, reflecting the indirect pathway through trained professionals (Morgan et al., 2021). All valued at $100,000/QALY (Neumann et al., 2014), varied via PERT($70K, $100K, $130K) in bootstrap.</w:t>
      </w:r>
    </w:p>
    <w:p w14:paraId="5108172F" w14:textId="77777777" w:rsidR="0032366F" w:rsidRDefault="00000000" w:rsidP="00774FCE">
      <w:pPr>
        <w:pStyle w:val="Heading3"/>
        <w:spacing w:before="0" w:after="180"/>
      </w:pPr>
      <w:bookmarkStart w:id="10" w:name="qaly-benefit-horizons-v5.4"/>
      <w:r>
        <w:t>3.7.1 QALY Benefit Horizons</w:t>
      </w:r>
    </w:p>
    <w:p w14:paraId="3E6E3C2B" w14:textId="77777777" w:rsidR="0032366F" w:rsidRDefault="00000000" w:rsidP="00774FCE">
      <w:pPr>
        <w:pStyle w:val="FirstParagraph"/>
        <w:spacing w:before="0"/>
      </w:pPr>
      <w:r>
        <w:t>Each QALY rate represents an annual health-state increment. The analysis assigns explicit benefit horizons to each QALY rate, discounted at 3% with a dropoff rate reflecting benefit decay:</w:t>
      </w:r>
    </w:p>
    <w:p w14:paraId="26070C26" w14:textId="77777777" w:rsidR="0032366F" w:rsidRDefault="00000000" w:rsidP="00774FCE">
      <w:pPr>
        <w:pStyle w:val="BodyText"/>
        <w:spacing w:before="0"/>
      </w:pPr>
      <w:r>
        <w:t>MH treatment (standard): 2 years, 30% annual dropoff (PV factor = 1.68). Evidence for sustained gains from child mental health treatment is mixed; Weisz et al. (2017) find approximately 50% of children maintain gains at one year.</w:t>
      </w:r>
    </w:p>
    <w:p w14:paraId="7769CF10" w14:textId="77777777" w:rsidR="0032366F" w:rsidRDefault="00000000" w:rsidP="00774FCE">
      <w:pPr>
        <w:pStyle w:val="BodyText"/>
        <w:spacing w:before="0"/>
      </w:pPr>
      <w:r>
        <w:t>MH (severe): 3 years, 20% dropoff (PV factor = 2.38). More intensive treatment for psychosis, SED, and inpatient populations produces more durable effects (Chisholm, 2005).</w:t>
      </w:r>
    </w:p>
    <w:p w14:paraId="3139A109" w14:textId="77777777" w:rsidR="0032366F" w:rsidRDefault="00000000" w:rsidP="00774FCE">
      <w:pPr>
        <w:pStyle w:val="BodyText"/>
        <w:spacing w:before="0"/>
      </w:pPr>
      <w:r>
        <w:t>Substance prevention: 2 years, 25% dropoff (PV factor = 1.73). Prevention effects show moderate persistence (Connock et al., 2007).</w:t>
      </w:r>
    </w:p>
    <w:p w14:paraId="0AE39271" w14:textId="77777777" w:rsidR="0032366F" w:rsidRDefault="00000000" w:rsidP="00774FCE">
      <w:pPr>
        <w:pStyle w:val="BodyText"/>
        <w:spacing w:before="0"/>
      </w:pPr>
      <w:r>
        <w:t>Immunization: 5 years, 5% dropoff (PV factor = 4.28). Vaccine protection is multi-year by design (Zhou et al., 2014).</w:t>
      </w:r>
    </w:p>
    <w:p w14:paraId="5775A70E" w14:textId="77777777" w:rsidR="0032366F" w:rsidRDefault="00000000" w:rsidP="00774FCE">
      <w:pPr>
        <w:pStyle w:val="BodyText"/>
        <w:spacing w:before="0"/>
      </w:pPr>
      <w:r>
        <w:t>Prenatal care: 5 years, 10% dropoff (PV factor = 3.89). Birth outcome improvements persist through early childhood (Petrou, 2003).</w:t>
      </w:r>
    </w:p>
    <w:p w14:paraId="5796B228" w14:textId="77777777" w:rsidR="0032366F" w:rsidRDefault="00000000" w:rsidP="00774FCE">
      <w:pPr>
        <w:pStyle w:val="BodyText"/>
        <w:spacing w:before="0"/>
      </w:pPr>
      <w:r>
        <w:t>Breastfeeding: 3 years, 10% dropoff (PV factor = 2.64). Health benefits extend through early childhood (Bartick et al., 2017).</w:t>
      </w:r>
    </w:p>
    <w:p w14:paraId="4B3D7BDA" w14:textId="77777777" w:rsidR="0032366F" w:rsidRDefault="00000000" w:rsidP="00774FCE">
      <w:pPr>
        <w:pStyle w:val="BodyText"/>
        <w:spacing w:before="0"/>
      </w:pPr>
      <w:r>
        <w:t>Crisis diversion, family support (proxy), general health, dental treatment, awareness: 1 year, no dropoff (PV factor = 1.0). Conservative assignment; no persistence data available.</w:t>
      </w:r>
    </w:p>
    <w:p w14:paraId="10C53370" w14:textId="77777777" w:rsidR="0032366F" w:rsidRDefault="00000000" w:rsidP="00774FCE">
      <w:pPr>
        <w:pStyle w:val="BodyText"/>
        <w:spacing w:before="0"/>
      </w:pPr>
      <w:r>
        <w:t>Dental prevention: 3 years, 10% dropoff (PV factor = 2.64). Preventive dental benefits provide multi-year protection.</w:t>
      </w:r>
    </w:p>
    <w:p w14:paraId="78530FF9" w14:textId="77777777" w:rsidR="0032366F" w:rsidRDefault="00000000" w:rsidP="00774FCE">
      <w:pPr>
        <w:pStyle w:val="BodyText"/>
        <w:spacing w:before="0"/>
      </w:pPr>
      <w:r>
        <w:t>These horizons are conservative relative to lifetime QALY gains sometimes claimed in the literature. The specific duration and dropoff values are judgment-based; program-level follow-up data that would support empirical calibration are generally unavailable.</w:t>
      </w:r>
    </w:p>
    <w:p w14:paraId="2598BDD1" w14:textId="77777777" w:rsidR="0032366F" w:rsidRDefault="00000000" w:rsidP="00774FCE">
      <w:pPr>
        <w:pStyle w:val="Heading2"/>
        <w:spacing w:before="0" w:after="180"/>
      </w:pPr>
      <w:bookmarkStart w:id="11" w:name="worked-examples"/>
      <w:bookmarkEnd w:id="9"/>
      <w:bookmarkEnd w:id="10"/>
      <w:r>
        <w:lastRenderedPageBreak/>
        <w:t>3.8 Worked Examples</w:t>
      </w:r>
    </w:p>
    <w:p w14:paraId="6FB6C63A" w14:textId="77777777" w:rsidR="0032366F" w:rsidRDefault="00000000" w:rsidP="00774FCE">
      <w:pPr>
        <w:pStyle w:val="FirstParagraph"/>
        <w:spacing w:before="0"/>
      </w:pPr>
      <w:r>
        <w:t>Cost-Avoidance — C&amp;Y Mobile Crisis: SV = 13,611 × 3% avoided hospitalization × (1–0.20 DW) × 0.70 attribution × $15,225 (HCUP) = 228.7 × $15,225 = $3,481,422. SROI = $3.48M / $3.19M = 1.09×.</w:t>
      </w:r>
    </w:p>
    <w:p w14:paraId="51DF8DF7" w14:textId="77777777" w:rsidR="0032366F" w:rsidRDefault="00000000" w:rsidP="00774FCE">
      <w:pPr>
        <w:pStyle w:val="BodyText"/>
        <w:spacing w:before="0"/>
      </w:pPr>
      <w:r>
        <w:t>Published BCR (Tier A) — Head Start HSSCO: SV = $218,750 × 4.0 BCR (Duncan &amp; Magnuson, 2013) = $875,000. SROI = 4.0×. No DW/A adjustment because the RCT-derived BCR is net of counterfactual.</w:t>
      </w:r>
    </w:p>
    <w:p w14:paraId="08560FFB" w14:textId="77777777" w:rsidR="0032366F" w:rsidRDefault="00000000" w:rsidP="00774FCE">
      <w:pPr>
        <w:pStyle w:val="BodyText"/>
        <w:spacing w:before="0"/>
      </w:pPr>
      <w:r>
        <w:t>Reduced Estimate — Child Safety program without outcome data: SV = $500,000 × 2.0 fallback BCR (Fang et al., 2012; Lundahl et al., 2006) × 0.65 discount = $650,000. SROI = 1.30×. The 0.65 (35% reduction) applies for no outcome data; non-extractable data receives 0.75 (25%), per conservative SROI practice (Nicholls et al., 2012, §4.4).</w:t>
      </w:r>
    </w:p>
    <w:p w14:paraId="68AFBC17" w14:textId="77777777" w:rsidR="0032366F" w:rsidRDefault="00000000" w:rsidP="00774FCE">
      <w:pPr>
        <w:pStyle w:val="Heading1"/>
        <w:spacing w:before="0" w:after="180"/>
      </w:pPr>
      <w:bookmarkStart w:id="12" w:name="monetization-pathways"/>
      <w:bookmarkEnd w:id="2"/>
      <w:bookmarkEnd w:id="11"/>
      <w:r>
        <w:t>4. Monetization Pathways</w:t>
      </w:r>
    </w:p>
    <w:p w14:paraId="38CFA921" w14:textId="77777777" w:rsidR="0032366F" w:rsidRDefault="00000000" w:rsidP="00774FCE">
      <w:pPr>
        <w:pStyle w:val="FirstParagraph"/>
        <w:spacing w:before="0"/>
      </w:pPr>
      <w:r>
        <w:t>Each program is assigned to one of five pathways based on data type and quality.</w:t>
      </w:r>
    </w:p>
    <w:p w14:paraId="11982A9D" w14:textId="77777777" w:rsidR="0032366F" w:rsidRDefault="00000000" w:rsidP="00774FCE">
      <w:pPr>
        <w:pStyle w:val="Heading3"/>
        <w:spacing w:before="0" w:after="180"/>
      </w:pPr>
      <w:bookmarkStart w:id="13" w:name="qaly-health-value-33-programs-15"/>
      <w:r>
        <w:t>QALY / Health Value (34 programs, 15%)</w:t>
      </w:r>
    </w:p>
    <w:p w14:paraId="15A7716D" w14:textId="77777777" w:rsidR="0032366F" w:rsidRDefault="00000000" w:rsidP="00774FCE">
      <w:pPr>
        <w:pStyle w:val="FirstParagraph"/>
        <w:spacing w:before="0"/>
      </w:pPr>
      <w:r>
        <w:t>SV = NServed × Effectiveness × (1–DW) × Attribution × QALY_Rate × $100,000 (Neumann et al., 2014). Covers mental health, immunization, prenatal, newborn screening, dental, and family support. QALY rates vary by program type (§3.7). QALY-dependent programs shift when the valuation is varied in bootstrap. Family Preservation programs are first assessed for extractable outcomes (custody/placement avoidance, reunification, hospitalization avoidance, family functioning improvement) and valued via Cost-Avoidance or effectiveness-scaled QALY when data are available. Programs without extractable outcomes receive the flat 0.02 QALY proxy per family served—a conservative per-capita estimate that does not incorporate program-specific effectiveness.</w:t>
      </w:r>
    </w:p>
    <w:p w14:paraId="53B71267" w14:textId="77777777" w:rsidR="0032366F" w:rsidRDefault="00000000" w:rsidP="00774FCE">
      <w:pPr>
        <w:pStyle w:val="Heading3"/>
        <w:spacing w:before="0" w:after="180"/>
      </w:pPr>
      <w:bookmarkStart w:id="14" w:name="cost-avoidance-32-programs-15"/>
      <w:bookmarkEnd w:id="13"/>
      <w:r>
        <w:t>Cost-Avoidance (33 programs, 15%)</w:t>
      </w:r>
    </w:p>
    <w:p w14:paraId="3149CEEA" w14:textId="77777777" w:rsidR="0032366F" w:rsidRDefault="00000000" w:rsidP="00774FCE">
      <w:pPr>
        <w:pStyle w:val="FirstParagraph"/>
        <w:spacing w:before="0"/>
      </w:pPr>
      <w:r>
        <w:t>SV = NServed × Baseline × Effectiveness × (1–DW) × Attribution × Unit Cost. Unit costs: hospitalizations $15,225 (HCUP), placements $49,100 (Courtney, 2011), incarceration $112,060/yr with 2-year PV factor of 1.87 at 3% discount, 15% dropoff (DCS FY24), crash injuries $160,518 (Blincoe et al., 2023), substance episodes $18,200 (Connock et al., 2007), maltreatment $303,800 (Fang et al., 2012).</w:t>
      </w:r>
    </w:p>
    <w:p w14:paraId="7793A425" w14:textId="77777777" w:rsidR="0032366F" w:rsidRDefault="00000000" w:rsidP="00774FCE">
      <w:pPr>
        <w:pStyle w:val="Heading3"/>
        <w:spacing w:before="0" w:after="180"/>
      </w:pPr>
      <w:bookmarkStart w:id="15" w:name="human-capital-10-programs-5"/>
      <w:bookmarkEnd w:id="14"/>
      <w:r>
        <w:t>Human Capital (10 programs, 4%)</w:t>
      </w:r>
    </w:p>
    <w:p w14:paraId="760D2808" w14:textId="77777777" w:rsidR="0032366F" w:rsidRDefault="00000000" w:rsidP="00774FCE">
      <w:pPr>
        <w:pStyle w:val="FirstParagraph"/>
        <w:spacing w:before="0"/>
      </w:pPr>
      <w:r>
        <w:t>SV = NServed × Effectiveness × (1–DW) × Attribution × Earnings Differential. Key: HS graduation $443,299 (Alliance, 2011), industry credential $8,289/year (Carnevale et al., 2023), college enrollment $22,000/year (BLS). Academic-to-dropout conversion uses Balfanz (2009) factor of 0.50.</w:t>
      </w:r>
    </w:p>
    <w:p w14:paraId="71C5C033" w14:textId="77777777" w:rsidR="0032366F" w:rsidRDefault="00000000" w:rsidP="00774FCE">
      <w:pPr>
        <w:pStyle w:val="Heading3"/>
        <w:spacing w:before="0" w:after="180"/>
      </w:pPr>
      <w:bookmarkStart w:id="16" w:name="published-bcr-65-programs-30"/>
      <w:bookmarkEnd w:id="15"/>
      <w:r>
        <w:lastRenderedPageBreak/>
        <w:t>Published BCR (62 programs, 28%)</w:t>
      </w:r>
    </w:p>
    <w:p w14:paraId="4A6B6A20" w14:textId="77777777" w:rsidR="0032366F" w:rsidRDefault="00000000" w:rsidP="00774FCE">
      <w:pPr>
        <w:pStyle w:val="FirstParagraph"/>
        <w:spacing w:before="0"/>
      </w:pPr>
      <w:r>
        <w:t>SV = Expenditure × BCR. Two tiers apply. Tier A (RCT-derived BCRs): EC Development 4.0× (Duncan &amp; Magnuson, 2013; Reynolds et al., 2011) and Economic Support 2.0× (Herbst, 2023; Hoynes et al., 2016) use BCRs from randomized or quasi-experimental designs with explicit counterfactual groups. DW and attribution are already netted in the published ratio; no additional adjustment is applied (SV = Exp × BCR). Tier B (observational/meta-analytic BCRs): Physical Health 3.0× (Zhou et al., 2014; Wherry &amp; Miller, 2016), Nutrition 1.5× (Hanson &amp; Connor, 2014; Nianogo et al., 2019), Youth Enrichment 1.5× (Afterschool Alliance, 2021), and MH Awareness 2.0× (Morgan et al., 2021; Garraza et al., 2016) use BCRs from observational or population-level studies where the counterfactual is less precisely controlled. These receive a conservative DW/A adjustment (SV = Exp × BCR × (1−DW) × A, using group defaults from §3.4–3.5). This two-tier structure follows the SROI principle that valuation should reflect the strength of the underlying causal evidence (Nicholls et al., 2012, §4.3). Each BCR is varied in bootstrap via group-specific PERT (§5.2).</w:t>
      </w:r>
    </w:p>
    <w:p w14:paraId="15D3225F" w14:textId="77777777" w:rsidR="0032366F" w:rsidRDefault="00000000" w:rsidP="00774FCE">
      <w:pPr>
        <w:pStyle w:val="Heading3"/>
        <w:spacing w:before="0" w:after="180"/>
      </w:pPr>
      <w:bookmarkStart w:id="17" w:name="reduced-estimate-75-programs-35"/>
      <w:bookmarkEnd w:id="16"/>
      <w:r>
        <w:t>Reduced Estimate (85 programs, 38%)</w:t>
      </w:r>
    </w:p>
    <w:p w14:paraId="5FDA5AB2" w14:textId="77777777" w:rsidR="0032366F" w:rsidRDefault="00000000" w:rsidP="00774FCE">
      <w:pPr>
        <w:pStyle w:val="FirstParagraph"/>
        <w:spacing w:before="0"/>
      </w:pPr>
      <w:r>
        <w:t>SV = Expenditure × Fallback BCR × Discount. Non-extractable outcomes: 0.75 (25% discount); no outcomes: 0.65 (35%). This follows the SROI principle that every program should be included but valued conservatively without direct evidence (Nicholls et al., 2012, §4.4). Fallback BCRs: Justice-Involved Youth 3.0× (Lipsey, 2009), Child Safety 2.0× (Fang et al., 2012; Lundahl et al., 2006), Education K-12 2.0× (Alliance, 2011), Mental Health 2.0× (Wampold, 2015), Family Preservation 2.0× (Sama-Miller et al., 2019), Education CTE 1.5× (Carnevale et al., 2023), Highway Safety 1.5× (Blincoe et al., 2023).</w:t>
      </w:r>
    </w:p>
    <w:p w14:paraId="56D643BE" w14:textId="77777777" w:rsidR="0032366F" w:rsidRDefault="00000000" w:rsidP="00774FCE">
      <w:pPr>
        <w:pStyle w:val="Heading1"/>
        <w:spacing w:before="0" w:after="180"/>
      </w:pPr>
      <w:bookmarkStart w:id="18" w:name="uncertainty-quantification"/>
      <w:bookmarkEnd w:id="12"/>
      <w:bookmarkEnd w:id="17"/>
      <w:r>
        <w:t>5. Uncertainty Quantification</w:t>
      </w:r>
    </w:p>
    <w:p w14:paraId="74F1AB22" w14:textId="77777777" w:rsidR="0032366F" w:rsidRDefault="00000000" w:rsidP="00774FCE">
      <w:pPr>
        <w:pStyle w:val="Heading2"/>
        <w:spacing w:before="0" w:after="180"/>
      </w:pPr>
      <w:bookmarkStart w:id="19" w:name="why-bootstrap"/>
      <w:r>
        <w:t>5.1 Why Bootstrap</w:t>
      </w:r>
    </w:p>
    <w:p w14:paraId="763F32C1" w14:textId="77777777" w:rsidR="0032366F" w:rsidRDefault="00000000" w:rsidP="00774FCE">
      <w:pPr>
        <w:pStyle w:val="FirstParagraph"/>
        <w:spacing w:before="0"/>
      </w:pPr>
      <w:r>
        <w:t>Analytical CIs for expenditure-weighted SROI ratios are unreliable because the distribution is skewed and heavy-tailed (Polsky et al., 1997). The nonparametric bootstrap provides distribution-free CIs that accommodate skewness and ratio structure without distributional assumptions (Efron, 1982).</w:t>
      </w:r>
    </w:p>
    <w:p w14:paraId="718B1C9B" w14:textId="77777777" w:rsidR="0032366F" w:rsidRDefault="00000000" w:rsidP="00774FCE">
      <w:pPr>
        <w:pStyle w:val="Heading2"/>
        <w:spacing w:before="0" w:after="180"/>
      </w:pPr>
      <w:bookmarkStart w:id="20" w:name="bootstrap-design"/>
      <w:bookmarkEnd w:id="19"/>
      <w:r>
        <w:t>5.2 Bootstrap Design</w:t>
      </w:r>
    </w:p>
    <w:p w14:paraId="00D56850" w14:textId="77777777" w:rsidR="0032366F" w:rsidRDefault="00000000" w:rsidP="00774FCE">
      <w:pPr>
        <w:pStyle w:val="FirstParagraph"/>
        <w:spacing w:before="0"/>
      </w:pPr>
      <w:r>
        <w:t>10,000 iterations. Each simultaneously varies four uncertainty sources:</w:t>
      </w:r>
    </w:p>
    <w:p w14:paraId="160F7E3C" w14:textId="77777777" w:rsidR="0032366F" w:rsidRDefault="00000000" w:rsidP="00774FCE">
      <w:pPr>
        <w:pStyle w:val="BodyText"/>
        <w:spacing w:before="0"/>
      </w:pPr>
      <w:r>
        <w:t>(1) QALY valuation: PERT($70K, $100K, $130K, λ=4). PERT is preferred over triangular because its λ parameter controls kurtosis, producing a smoother distribution concentrated around the mode (Vose, 2008). λ=4 is standard. The range spans published QALY thresholds (Neumann et al., 2014).</w:t>
      </w:r>
    </w:p>
    <w:p w14:paraId="6B6A8DFA" w14:textId="77777777" w:rsidR="0032366F" w:rsidRDefault="00000000" w:rsidP="00774FCE">
      <w:pPr>
        <w:pStyle w:val="BodyText"/>
        <w:spacing w:before="0"/>
      </w:pPr>
      <w:r>
        <w:t xml:space="preserve">(2) Published BCR values: Group-specific PERT draws. EC Development PERT(2.0, 4.0, 7.0), spanning conservative meta-analytic to high-end longitudinal estimates (Duncan &amp; Magnuson, 2013; Heckman, 2006; Reynolds et al., 2011). Physical Health PERT(2.0, 3.0, 5.0) (Zhou et al., 2014). Nutrition PERT(1.2, 1.5, 1.8) (Hanson &amp; Connor, 2014). Fallback </w:t>
      </w:r>
      <w:r>
        <w:lastRenderedPageBreak/>
        <w:t>ranges: Justice-Involved Youth PERT(2.0, 3.0, 5.0) (Lipsey, 2009), Highway Safety PERT(1.0, 1.5, 2.0) (Blincoe et al., 2023). Full parameters in Master Documentation.</w:t>
      </w:r>
    </w:p>
    <w:p w14:paraId="71D58E6A" w14:textId="77777777" w:rsidR="0032366F" w:rsidRDefault="00000000" w:rsidP="00774FCE">
      <w:pPr>
        <w:pStyle w:val="BodyText"/>
        <w:spacing w:before="0"/>
      </w:pPr>
      <w:r>
        <w:t>(3) Program resampling with replacement within ROI groups (Efron, 1982). Preserves group structure while simulating natural program variation.</w:t>
      </w:r>
    </w:p>
    <w:p w14:paraId="28C571F8" w14:textId="77777777" w:rsidR="0032366F" w:rsidRDefault="00000000" w:rsidP="00774FCE">
      <w:pPr>
        <w:pStyle w:val="BodyText"/>
        <w:spacing w:before="0"/>
      </w:pPr>
      <w:r>
        <w:t>(4) Deadweight and attribution: Per-capita programs (QALY, Cost-Avoidance, Human Capital) have their DW and attribution parameters perturbed via group-specific PERT draws. DW is varied ±0.10 around the group default (e.g., Mental Health DW: PERT(0.05, 0.15, 0.25)); attribution is varied ±0.15 (e.g., Child Safety attribution: PERT(0.55, 0.70, 0.85)). The perturbation ranges are calibrated to reflect the genuine uncertainty in counterfactual and attribution estimates. The perturbation range reflects the uncertainty documented in the counterfactual and attribution literatures for each domain (Wampold, 2015; Lundahl et al., 2006; Nicholls et al., 2012, §4.2). Published BCR and Reduced Estimate programs are not perturbed on this dimension because DW/A is either already netted (Tier A) or implicitly absorbed in the BCR and discount (Tier B, Reduced).</w:t>
      </w:r>
    </w:p>
    <w:p w14:paraId="39B1FB81" w14:textId="77777777" w:rsidR="0032366F" w:rsidRDefault="00000000" w:rsidP="00774FCE">
      <w:pPr>
        <w:pStyle w:val="BodyText"/>
        <w:spacing w:before="0"/>
      </w:pPr>
      <w:r>
        <w:rPr>
          <w:b/>
          <w:bCs/>
        </w:rPr>
        <w:t>Parameter vs. model uncertainty.</w:t>
      </w:r>
      <w:r>
        <w:t xml:space="preserve"> The bootstrap captures parameter uncertainty—variation in QALY valuation, BCR draws, DW/attribution, and program composition. It does not capture model uncertainty: whether the monetization framework itself is correctly specified, whether the extraction logic correctly parses outcome narratives, or whether the per-capita model is appropriate for a given program. The reported confidence intervals should be interpreted as conditional on the model being correct. The true uncertainty is wider than the reported CI. The Conservative Sensitivity analysis (§8.5) partially addresses this by testing the portfolio under alternative model assumptions.</w:t>
      </w:r>
    </w:p>
    <w:p w14:paraId="7C0A577B" w14:textId="77777777" w:rsidR="0032366F" w:rsidRDefault="00000000" w:rsidP="00774FCE">
      <w:pPr>
        <w:pStyle w:val="Heading2"/>
        <w:spacing w:before="0" w:after="180"/>
      </w:pPr>
      <w:bookmarkStart w:id="21" w:name="sroi-cap"/>
      <w:bookmarkEnd w:id="20"/>
      <w:r>
        <w:t>5.3 SROI Cap</w:t>
      </w:r>
    </w:p>
    <w:p w14:paraId="33CAFECC" w14:textId="77777777" w:rsidR="0032366F" w:rsidRDefault="00000000" w:rsidP="00774FCE">
      <w:pPr>
        <w:pStyle w:val="FirstParagraph"/>
        <w:spacing w:before="0"/>
      </w:pPr>
      <w:r>
        <w:t>Individual SROIs capped at 50× before aggregation. No current program exceeds 15×; the cap safeguards against extreme bootstrap resampling draws, following portfolio-level SROI practice (Nicholls et al., 2012).</w:t>
      </w:r>
    </w:p>
    <w:p w14:paraId="0D9DAE5B" w14:textId="77777777" w:rsidR="0032366F" w:rsidRDefault="00000000" w:rsidP="00774FCE">
      <w:pPr>
        <w:pStyle w:val="Heading2"/>
        <w:spacing w:before="0" w:after="180"/>
      </w:pPr>
      <w:bookmarkStart w:id="22" w:name="overlap-adjustment"/>
      <w:bookmarkEnd w:id="21"/>
      <w:r>
        <w:t>5.4 Overlap Adjustment</w:t>
      </w:r>
    </w:p>
    <w:p w14:paraId="75368F27" w14:textId="77777777" w:rsidR="0032366F" w:rsidRDefault="00000000" w:rsidP="00774FCE">
      <w:pPr>
        <w:pStyle w:val="FirstParagraph"/>
        <w:spacing w:before="0"/>
      </w:pPr>
      <w:r>
        <w:t>The portfolio-level discount addresses double-counting when a child is served by multiple programs. Multi-program enrollment overlap in Tennessee is substantial—WIC and Medicaid overlap exceeds 80% (FNS, 2022)—but benefit overlap is far smaller because programs target different outcome domains. A health QALY (WIC) and an education earnings gain (ESSA) do not overlap.</w:t>
      </w:r>
    </w:p>
    <w:p w14:paraId="491ED0EA" w14:textId="77777777" w:rsidR="0032366F" w:rsidRDefault="00000000" w:rsidP="00774FCE">
      <w:pPr>
        <w:pStyle w:val="BodyText"/>
        <w:spacing w:before="0"/>
      </w:pPr>
      <w:r>
        <w:t>Applied only to the aggregate portfolio. The 7% is a conservative mid-range: a child served by three programs might generate partially overlapping benefits in 10–15% of cases, but most overlap occurs across distinct monetization pathways. At 14% (double), SROI = 1.54×—still above breakeven.</w:t>
      </w:r>
    </w:p>
    <w:p w14:paraId="3E4183B0" w14:textId="77777777" w:rsidR="0032366F" w:rsidRDefault="00000000" w:rsidP="00774FCE">
      <w:pPr>
        <w:pStyle w:val="Heading2"/>
        <w:spacing w:before="0" w:after="180"/>
      </w:pPr>
      <w:bookmarkStart w:id="23" w:name="confidence-intervals"/>
      <w:bookmarkEnd w:id="22"/>
      <w:r>
        <w:t>5.5 Confidence Intervals</w:t>
      </w:r>
    </w:p>
    <w:p w14:paraId="7265D93E" w14:textId="77777777" w:rsidR="0032366F" w:rsidRDefault="00000000" w:rsidP="00774FCE">
      <w:pPr>
        <w:pStyle w:val="FirstParagraph"/>
        <w:spacing w:before="0"/>
      </w:pPr>
      <w:r>
        <w:t xml:space="preserve">Percentile method selected over BCa per simulation studies of cost-effectiveness ratios (Polsky et al., 1997; Briggs et al., 1997; Cho et al., 2019; Aguirre-Urreta &amp; Rönkkö, 2018). </w:t>
      </w:r>
      <w:r>
        <w:lastRenderedPageBreak/>
        <w:t>BCa’s jackknife is dominated by high-expenditure programs, producing undercoverage. The percentile method is transformation-invariant and achieves correct nominal coverage (Briggs et al., 1997). The 90% CI reports 5th/95th percentiles of the overlap-adjusted distribution.</w:t>
      </w:r>
    </w:p>
    <w:p w14:paraId="484C055A" w14:textId="77777777" w:rsidR="0032366F" w:rsidRDefault="00000000" w:rsidP="00774FCE">
      <w:pPr>
        <w:pStyle w:val="Heading1"/>
        <w:spacing w:before="0" w:after="180"/>
      </w:pPr>
      <w:bookmarkStart w:id="24" w:name="roi-groups"/>
      <w:bookmarkEnd w:id="18"/>
      <w:bookmarkEnd w:id="23"/>
      <w:r>
        <w:t>6. ROI Groups</w:t>
      </w:r>
    </w:p>
    <w:p w14:paraId="277621D7" w14:textId="77777777" w:rsidR="0032366F" w:rsidRDefault="00000000" w:rsidP="00774FCE">
      <w:pPr>
        <w:pStyle w:val="FirstParagraph"/>
        <w:spacing w:before="0"/>
      </w:pPr>
      <w:r>
        <w:t>224 programs classified into 13 groups by primary service type via hierarchical rules: (1) explicit overrides for ambiguous programs, (2) keyword matching on name and service type, (3) agency-based assignment, (4) fallback to TCCY Outcome. Deterministic and documented in the script.</w:t>
      </w:r>
    </w:p>
    <w:p w14:paraId="79FD0E44" w14:textId="77777777" w:rsidR="0032366F" w:rsidRDefault="00000000" w:rsidP="00774FCE">
      <w:pPr>
        <w:pStyle w:val="BodyText"/>
        <w:spacing w:before="0"/>
      </w:pPr>
      <w:r>
        <w:t>Counts: Child Safety (27), EC Development (13), Economic Support (4), Education CTE/Workforce (16), Education K-12 (28), Family Preservation (19), Highway Safety (11), Justice-Involved Youth (11), MH Awareness (6), MH &amp; Behavioral (35), Nutrition (15), Physical Health (28), Youth Enrichment (11).</w:t>
      </w:r>
    </w:p>
    <w:p w14:paraId="7C194CBF" w14:textId="77777777" w:rsidR="0032366F" w:rsidRDefault="00000000" w:rsidP="00774FCE">
      <w:pPr>
        <w:pStyle w:val="BodyText"/>
        <w:spacing w:before="0"/>
      </w:pPr>
      <w:r>
        <w:t>EC Development captures developmental programs (TEIS, VPK, Head Start, Imagination Library, home visiting). Under-six programs in other domains (WIC, newborn screening, child care) remain in functional groups but are captured by the Under 6 cross-view (32 programs, $1.09B, 3.32×).</w:t>
      </w:r>
    </w:p>
    <w:p w14:paraId="71A239F0" w14:textId="77777777" w:rsidR="0032366F" w:rsidRDefault="00000000" w:rsidP="00774FCE">
      <w:pPr>
        <w:pStyle w:val="BodyText"/>
        <w:spacing w:before="0"/>
      </w:pPr>
      <w:r>
        <w:t>Child Safety programs without extractable outcome data are routed by cost-per-child (CPC). Programs with CPC ≥ $5,000 are classified as response/custodial services and valued using a conservative cost-avoidance pathway (B=0.25, E=0.20, DW=0.10, A=0.60). Programs with CPC &lt; $5,000 are classified as prevention and valued at the maltreatment-prevention baseline (B=0.089, E=0.40, standard DW/A). The $5,000 threshold reflects the approximate boundary between per-child preventive programming and per-child custodial or case-management services in Tennessee’s child welfare portfolio.</w:t>
      </w:r>
    </w:p>
    <w:p w14:paraId="7795A472" w14:textId="77777777" w:rsidR="0032366F" w:rsidRDefault="00000000" w:rsidP="00774FCE">
      <w:pPr>
        <w:pStyle w:val="Heading1"/>
        <w:spacing w:before="0" w:after="180"/>
      </w:pPr>
      <w:bookmarkStart w:id="25" w:name="exclusion-criteria"/>
      <w:bookmarkEnd w:id="24"/>
      <w:r>
        <w:t>7. Exclusion Criteria</w:t>
      </w:r>
    </w:p>
    <w:p w14:paraId="42D297C9" w14:textId="77777777" w:rsidR="0032366F" w:rsidRDefault="00000000" w:rsidP="00774FCE">
      <w:pPr>
        <w:pStyle w:val="FirstParagraph"/>
        <w:spacing w:before="0"/>
      </w:pPr>
      <w:r>
        <w:t>75 programs excluded in two phases. Phase 1: TISA passthrough ($6.54B), data artifacts (2), adult-only (33), NServed &gt; 2M (1), zero expenditure. Phase 2: NServed &lt; 20 for per-capita groups (42). Multiplier/BCR groups exempt because their valuation uses Expenditure × BCR.</w:t>
      </w:r>
    </w:p>
    <w:p w14:paraId="2415C2ED" w14:textId="77777777" w:rsidR="0032366F" w:rsidRDefault="00000000" w:rsidP="00774FCE">
      <w:pPr>
        <w:pStyle w:val="Heading1"/>
        <w:spacing w:before="0" w:after="180"/>
      </w:pPr>
      <w:bookmarkStart w:id="26" w:name="sensitivity-analyses"/>
      <w:bookmarkEnd w:id="25"/>
      <w:r>
        <w:t>8. Sensitivity Analyses</w:t>
      </w:r>
    </w:p>
    <w:p w14:paraId="71E3CDD2" w14:textId="77777777" w:rsidR="0032366F" w:rsidRDefault="00000000" w:rsidP="00774FCE">
      <w:pPr>
        <w:pStyle w:val="FirstParagraph"/>
        <w:spacing w:before="0"/>
      </w:pPr>
      <w:r>
        <w:t>Without TennCare: 1.54× (209 programs, $5.47B). Removes 15 programs ($2.70B). Not dependent on a single agency.</w:t>
      </w:r>
    </w:p>
    <w:p w14:paraId="4B5BD551" w14:textId="77777777" w:rsidR="0032366F" w:rsidRDefault="00000000" w:rsidP="00774FCE">
      <w:pPr>
        <w:pStyle w:val="BodyText"/>
        <w:spacing w:before="0"/>
      </w:pPr>
      <w:r>
        <w:t>Outcome-data-only (non-Discounted-BCR): [rerun for updated values]. Excludes Reduced Estimate programs. SROI increases slightly, confirming reduced estimates are conservative. Note: the Summary sheetâs OD-only bootstrap uses a different definition (programs with â¥15 characters of outcome text), yielding a larger program count.</w:t>
      </w:r>
    </w:p>
    <w:p w14:paraId="1D137126" w14:textId="77777777" w:rsidR="0032366F" w:rsidRDefault="00000000" w:rsidP="00774FCE">
      <w:pPr>
        <w:pStyle w:val="BodyText"/>
        <w:spacing w:before="0"/>
      </w:pPr>
      <w:r>
        <w:lastRenderedPageBreak/>
        <w:t>EC Development without TEIS: 4.00× (12 programs, $172M). TEIS ($93M, 4.00× after performance-scaling cap) removed; group holds at 4.00×. TEIS performance scaling is capped at 1.0× the literature BCR (see §4, Published BCR), reflecting that above-benchmark IFSP progress confirms the full 4.0× BCR is warranted but does not inflate it beyond published estimates. The 75% benchmark reflects national ECTA data on IFSP Outcome B (68–76% of children showing greater-than-expected growth; ECTA, 2017).</w:t>
      </w:r>
    </w:p>
    <w:p w14:paraId="0DE887CA" w14:textId="77777777" w:rsidR="0032366F" w:rsidRDefault="00000000" w:rsidP="00774FCE">
      <w:pPr>
        <w:pStyle w:val="BodyText"/>
        <w:spacing w:before="0"/>
      </w:pPr>
      <w:r>
        <w:t>Without foster care: 1.80×. Foster care ($513M, 0.14×) structurally below breakeven: per-child cost ($78,730/yr, DCS FY24) exceeds monetizable permanency benefit ($49,100, Courtney 2011). CS without it: 1.48× (25 programs, $122M).</w:t>
      </w:r>
    </w:p>
    <w:p w14:paraId="2CAE00B7" w14:textId="77777777" w:rsidR="0032366F" w:rsidRDefault="00000000" w:rsidP="00774FCE">
      <w:pPr>
        <w:pStyle w:val="BodyText"/>
        <w:spacing w:before="0"/>
      </w:pPr>
      <w:r>
        <w:t>Under 6: 3.32× [2.47, 6.19] (32 programs, $1.09B). Lower bound exceeds portfolio point estimate, consistent with the economic literature on early childhood returns (Heckman, 2006; McCoy et al., 2017).</w:t>
      </w:r>
    </w:p>
    <w:p w14:paraId="2A5E2607" w14:textId="77777777" w:rsidR="0032366F" w:rsidRDefault="00000000" w:rsidP="00774FCE">
      <w:pPr>
        <w:pStyle w:val="Heading2"/>
        <w:spacing w:before="0" w:after="180"/>
      </w:pPr>
      <w:bookmarkStart w:id="27" w:name="conservative-parameter-sensitivity-v5.4"/>
      <w:r>
        <w:t>8.5 Conservative Parameter Sensitivity</w:t>
      </w:r>
    </w:p>
    <w:p w14:paraId="78E5A132" w14:textId="77777777" w:rsidR="0032366F" w:rsidRDefault="00000000" w:rsidP="00774FCE">
      <w:pPr>
        <w:pStyle w:val="FirstParagraph"/>
        <w:spacing w:before="0"/>
      </w:pPr>
      <w:r>
        <w:t>To test the robustness of the portfolio SROI to individual parameter assumptions, a one-at-a-time sensitivity analysis sets each major parameter to a genuinely conservative value while holding others at base values. Results are reported in the Conservative Sensitivity sheet.</w:t>
      </w:r>
    </w:p>
    <w:p w14:paraId="1C660662" w14:textId="77777777" w:rsidR="0032366F" w:rsidRDefault="00000000" w:rsidP="00774FCE">
      <w:pPr>
        <w:pStyle w:val="BodyText"/>
        <w:spacing w:before="0"/>
      </w:pPr>
      <w:r>
        <w:t>QALY at $70,000: Sets the QALY valuation to the low end of the bootstrap range, testing whether the portfolio result depends on health-state valuation.</w:t>
      </w:r>
    </w:p>
    <w:p w14:paraId="110FA3F6" w14:textId="77777777" w:rsidR="0032366F" w:rsidRDefault="00000000" w:rsidP="00774FCE">
      <w:pPr>
        <w:pStyle w:val="BodyText"/>
        <w:spacing w:before="0"/>
      </w:pPr>
      <w:r>
        <w:t>Overlap at 15%: More than doubles the base overlap discount.</w:t>
      </w:r>
    </w:p>
    <w:p w14:paraId="2011DD5A" w14:textId="77777777" w:rsidR="0032366F" w:rsidRDefault="00000000" w:rsidP="00774FCE">
      <w:pPr>
        <w:pStyle w:val="BodyText"/>
        <w:spacing w:before="0"/>
      </w:pPr>
      <w:r>
        <w:t>Conservative DW and Attribution: Sets all deadweight values 10–15 percentage points higher and all attribution values to 0.40–0.50, implying that only 40–50% of observed outcomes are creditable to the programs. This level is consistent with observational studies without comparison groups.</w:t>
      </w:r>
    </w:p>
    <w:p w14:paraId="68657606" w14:textId="77777777" w:rsidR="0032366F" w:rsidRDefault="00000000" w:rsidP="00774FCE">
      <w:pPr>
        <w:pStyle w:val="BodyText"/>
        <w:spacing w:before="0"/>
      </w:pPr>
      <w:r>
        <w:t>QALY Horizons = 1 year: Removes all multi-year benefit persistence.</w:t>
      </w:r>
    </w:p>
    <w:p w14:paraId="176DA417" w14:textId="77777777" w:rsidR="0032366F" w:rsidRDefault="00000000" w:rsidP="00774FCE">
      <w:pPr>
        <w:pStyle w:val="BodyText"/>
        <w:spacing w:before="0"/>
      </w:pPr>
      <w:r>
        <w:t>All Conservative (simultaneous): QALY=$70K + conservative DW/attribution + 1-year horizons + 15% overlap. This represents a plausible lower bound under pessimistic but defensible assumptions. If the portfolio SROI exceeds 1.0 under this scenario, the finding that Tennessee’s children’s investment portfolio generates positive net social value is robust to substantial methodological skepticism.</w:t>
      </w:r>
    </w:p>
    <w:p w14:paraId="643CCD03" w14:textId="77777777" w:rsidR="0032366F" w:rsidRDefault="00000000" w:rsidP="00774FCE">
      <w:pPr>
        <w:pStyle w:val="Heading1"/>
        <w:spacing w:before="0" w:after="180"/>
      </w:pPr>
      <w:bookmarkStart w:id="28" w:name="limitations"/>
      <w:bookmarkEnd w:id="26"/>
      <w:bookmarkEnd w:id="27"/>
      <w:r>
        <w:t>9. Limitations</w:t>
      </w:r>
    </w:p>
    <w:p w14:paraId="0B91D0F2" w14:textId="77777777" w:rsidR="0032366F" w:rsidRDefault="00000000" w:rsidP="00774FCE">
      <w:pPr>
        <w:pStyle w:val="FirstParagraph"/>
        <w:spacing w:before="0"/>
      </w:pPr>
      <w:r>
        <w:t>1. Estimate of magnitude, not precision. The portfolio SROI is a plausible estimate, not a measurement. The 90% confidence interval captures parameter uncertainty but not model uncertainty—whether the monetization framework, extraction logic, and per-capita model are correctly specified. The true uncertainty is wider than the reported CI.</w:t>
      </w:r>
    </w:p>
    <w:p w14:paraId="74099A1E" w14:textId="77777777" w:rsidR="0032366F" w:rsidRDefault="00000000" w:rsidP="00774FCE">
      <w:pPr>
        <w:pStyle w:val="BodyText"/>
        <w:spacing w:before="0"/>
      </w:pPr>
      <w:r>
        <w:t xml:space="preserve">2. Attribution and deadweight lean optimistic. Most attribution values (0.70–0.80) and deadweight values (0.00–0.20) reflect SROI convention for programs with plausible causal </w:t>
      </w:r>
      <w:r>
        <w:lastRenderedPageBreak/>
        <w:t>links (Nicholls et al., 2012). However, few programs have randomized or quasi-experimental evidence to support these specific values. The conservative sensitivity (§8.5) tests attribution at 0.40 across all groups.</w:t>
      </w:r>
    </w:p>
    <w:p w14:paraId="2F6A78AB" w14:textId="77777777" w:rsidR="0032366F" w:rsidRDefault="00000000" w:rsidP="00774FCE">
      <w:pPr>
        <w:pStyle w:val="BodyText"/>
        <w:spacing w:before="0"/>
      </w:pPr>
      <w:r>
        <w:t>3. 65% of programs receive literature-based estimates. Programs valued via Published BCR or Reduced Estimate carry imputed rather than observed returns and should carry less interpretive weight. Expanding outcome reporting is the highest-priority improvement.</w:t>
      </w:r>
    </w:p>
    <w:p w14:paraId="22A4170F" w14:textId="77777777" w:rsidR="0032366F" w:rsidRDefault="00000000" w:rsidP="00774FCE">
      <w:pPr>
        <w:pStyle w:val="BodyText"/>
        <w:spacing w:before="0"/>
      </w:pPr>
      <w:r>
        <w:t>4. Time horizons vary: Cost-Avoidance 1-year (2-year PV for incarceration), Human Capital lifetime, Published BCR multi-decade. Cross-pathway comparisons should be cautious.</w:t>
      </w:r>
    </w:p>
    <w:p w14:paraId="0C155340" w14:textId="77777777" w:rsidR="0032366F" w:rsidRDefault="00000000" w:rsidP="00774FCE">
      <w:pPr>
        <w:pStyle w:val="BodyText"/>
        <w:spacing w:before="0"/>
      </w:pPr>
      <w:r>
        <w:t>5. Child Safety SROI (0.43×) reflects cost structure, not ineffectiveness. 26 non-placement programs produce 1.66×. SROI structurally disadvantages responsive/custodial programs (Nicholls et al., 2012, §5.2).</w:t>
      </w:r>
    </w:p>
    <w:p w14:paraId="29276597" w14:textId="77777777" w:rsidR="0032366F" w:rsidRDefault="00000000" w:rsidP="00774FCE">
      <w:pPr>
        <w:pStyle w:val="BodyText"/>
        <w:spacing w:before="0"/>
      </w:pPr>
      <w:r>
        <w:t>6. Outcome data extraction is regex-based. Effectiveness rates are extracted from free-text narratives using pattern-matching, which is verified manually but inherently fragile. Mis-parsed rates would propagate silently into program-level SROIs.</w:t>
      </w:r>
    </w:p>
    <w:p w14:paraId="67711331" w14:textId="77777777" w:rsidR="0032366F" w:rsidRDefault="00000000" w:rsidP="00774FCE">
      <w:pPr>
        <w:pStyle w:val="BodyText"/>
        <w:spacing w:before="0"/>
      </w:pPr>
      <w:r>
        <w:t>7. Overlap discount is approximate. The 7% base discount (sensitivity: 10%, 15%) is a flat portfolio-level adjustment that does not account for heterogeneous overlap rates across program pairs.</w:t>
      </w:r>
    </w:p>
    <w:p w14:paraId="77FA279F" w14:textId="77777777" w:rsidR="0032366F" w:rsidRDefault="00000000" w:rsidP="00774FCE">
      <w:pPr>
        <w:pStyle w:val="BodyText"/>
        <w:spacing w:before="0"/>
      </w:pPr>
      <w:r>
        <w:t>8. QALY horizon assumptions are judgment-based. The 1–5 year benefit durations and dropoff rates are not empirically calibrated to program-specific follow-up data.</w:t>
      </w:r>
    </w:p>
    <w:p w14:paraId="52CF0362" w14:textId="77777777" w:rsidR="0032366F" w:rsidRDefault="00000000" w:rsidP="00774FCE">
      <w:pPr>
        <w:pStyle w:val="BodyText"/>
        <w:spacing w:before="0"/>
      </w:pPr>
      <w:r>
        <w:t>9. 15 manual overrides documented in Master Documentation.</w:t>
      </w:r>
    </w:p>
    <w:p w14:paraId="6AC1B3E0" w14:textId="77777777" w:rsidR="0032366F" w:rsidRDefault="00000000" w:rsidP="00774FCE">
      <w:pPr>
        <w:pStyle w:val="BodyText"/>
        <w:spacing w:before="0"/>
      </w:pPr>
      <w:r>
        <w:t>10. Child share adjustments. Twenty-three programs serving mixed adult/child populations have both expenditure and NServed adjusted by the child share fraction. For per-capita pathways (QALY, Cost-Avoidance, Human Capital), using unadjusted NServed against child-only expenditure would overstate social value. The adjustment is proportional (NServed × child_share) rather than exact, because the child share is derived from NC/NP ratios that may not map precisely to reported NServed. Primary impact: WIC programs, where approximately 29% of participants are adults.</w:t>
      </w:r>
    </w:p>
    <w:p w14:paraId="6AC1B3EB" w14:textId="77777777" w:rsidR="0032366F" w:rsidRDefault="00000000" w:rsidP="00774FCE">
      <w:pPr>
        <w:pStyle w:val="BodyText"/>
        <w:spacing w:before="0"/>
      </w:pPr>
      <w:r>
        <w:t>11. Non-monetizable benefits—community cohesion, civic participation, parental peace of mind—are not captured.</w:t>
      </w:r>
    </w:p>
    <w:p w14:paraId="24203F1A" w14:textId="77777777" w:rsidR="0032366F" w:rsidRDefault="00000000" w:rsidP="00774FCE">
      <w:pPr>
        <w:pStyle w:val="Heading1"/>
        <w:spacing w:before="0" w:after="180"/>
      </w:pPr>
      <w:bookmarkStart w:id="29" w:name="references"/>
      <w:bookmarkEnd w:id="28"/>
      <w:r>
        <w:t>10. References</w:t>
      </w:r>
    </w:p>
    <w:p w14:paraId="04217E2C" w14:textId="77777777" w:rsidR="0032366F" w:rsidRDefault="00000000" w:rsidP="00774FCE">
      <w:pPr>
        <w:pStyle w:val="FirstParagraph"/>
        <w:spacing w:before="0"/>
      </w:pPr>
      <w:r>
        <w:t>Afterschool Alliance (2021). America after 3PM.</w:t>
      </w:r>
    </w:p>
    <w:p w14:paraId="13F21A88" w14:textId="77777777" w:rsidR="0032366F" w:rsidRDefault="00000000" w:rsidP="00774FCE">
      <w:pPr>
        <w:pStyle w:val="BodyText"/>
        <w:spacing w:before="0"/>
      </w:pPr>
      <w:r>
        <w:t>Aguirre-Urreta, M. I., &amp; Rönkkö, M. (2018). Statistical inference with PLSc. MIS Quarterly, 42(3).</w:t>
      </w:r>
    </w:p>
    <w:p w14:paraId="49F07DE4" w14:textId="77777777" w:rsidR="0032366F" w:rsidRDefault="00000000" w:rsidP="00774FCE">
      <w:pPr>
        <w:pStyle w:val="BodyText"/>
        <w:spacing w:before="0"/>
      </w:pPr>
      <w:r>
        <w:t>Alliance for Excellent Education (2011). The high cost of high school dropouts.</w:t>
      </w:r>
    </w:p>
    <w:p w14:paraId="2A1A6D4B" w14:textId="77777777" w:rsidR="0032366F" w:rsidRDefault="00000000" w:rsidP="00774FCE">
      <w:pPr>
        <w:pStyle w:val="BodyText"/>
        <w:spacing w:before="0"/>
      </w:pPr>
      <w:r>
        <w:t>Balfanz, R. (2009). Putting middle grades students on the graduation path. NMSA.</w:t>
      </w:r>
    </w:p>
    <w:p w14:paraId="52DFAB70" w14:textId="77777777" w:rsidR="0032366F" w:rsidRDefault="00000000" w:rsidP="00774FCE">
      <w:pPr>
        <w:pStyle w:val="BodyText"/>
        <w:spacing w:before="0"/>
      </w:pPr>
      <w:r>
        <w:lastRenderedPageBreak/>
        <w:t>Balfanz, R., Bridgeland, J. M., Bruce, M., &amp; Fox, J. H. (2013). Building a grad nation. Civic Enterprises.</w:t>
      </w:r>
    </w:p>
    <w:p w14:paraId="69C0D5AE" w14:textId="77777777" w:rsidR="0032366F" w:rsidRDefault="00000000" w:rsidP="00774FCE">
      <w:pPr>
        <w:pStyle w:val="BodyText"/>
        <w:spacing w:before="0"/>
      </w:pPr>
      <w:r>
        <w:t>Bartick, M. C., et al. (2017). Suboptimal breastfeeding. Maternal &amp; Child Nutrition, 13(1).</w:t>
      </w:r>
    </w:p>
    <w:p w14:paraId="25D266EE" w14:textId="77777777" w:rsidR="0032366F" w:rsidRDefault="00000000" w:rsidP="00774FCE">
      <w:pPr>
        <w:pStyle w:val="BodyText"/>
        <w:spacing w:before="0"/>
      </w:pPr>
      <w:r>
        <w:t>Blincoe, L. J., et al. (2023). Motor vehicle crash costs. NHTSA DOT HS 813 403.</w:t>
      </w:r>
    </w:p>
    <w:p w14:paraId="13C36F76" w14:textId="77777777" w:rsidR="0032366F" w:rsidRDefault="00000000" w:rsidP="00774FCE">
      <w:pPr>
        <w:pStyle w:val="BodyText"/>
        <w:spacing w:before="0"/>
      </w:pPr>
      <w:r>
        <w:t>Briggs, A. H., Wonderling, D. E., &amp; Mooney, C. Z. (1997). Health Economics, 6(4).</w:t>
      </w:r>
    </w:p>
    <w:p w14:paraId="4B97C1C8" w14:textId="77777777" w:rsidR="0032366F" w:rsidRDefault="00000000" w:rsidP="00774FCE">
      <w:pPr>
        <w:pStyle w:val="BodyText"/>
        <w:spacing w:before="0"/>
      </w:pPr>
      <w:r>
        <w:t>Carnevale, A. P., et al. (2023). The college payoff. Georgetown CEW.</w:t>
      </w:r>
    </w:p>
    <w:p w14:paraId="17F1ED2D" w14:textId="77777777" w:rsidR="0032366F" w:rsidRDefault="00000000" w:rsidP="00774FCE">
      <w:pPr>
        <w:pStyle w:val="BodyText"/>
        <w:spacing w:before="0"/>
      </w:pPr>
      <w:r>
        <w:t>Chisholm, D. (2005). Cost-effective interventions in psychiatry. World Psychiatry, 4(1).</w:t>
      </w:r>
    </w:p>
    <w:p w14:paraId="372490D2" w14:textId="77777777" w:rsidR="0032366F" w:rsidRDefault="00000000" w:rsidP="00774FCE">
      <w:pPr>
        <w:pStyle w:val="BodyText"/>
        <w:spacing w:before="0"/>
      </w:pPr>
      <w:r>
        <w:t>Cho, G., et al. (2019). Bootstrap CI methods. Frontiers in Psychology, 10.</w:t>
      </w:r>
    </w:p>
    <w:p w14:paraId="10D487FB" w14:textId="77777777" w:rsidR="0032366F" w:rsidRDefault="00000000" w:rsidP="00774FCE">
      <w:pPr>
        <w:pStyle w:val="BodyText"/>
        <w:spacing w:before="0"/>
      </w:pPr>
      <w:r>
        <w:t>Connock, M., et al. (2007). Methadone and buprenorphine. Health Technology Assessment, 11(9).</w:t>
      </w:r>
    </w:p>
    <w:p w14:paraId="44716ACB" w14:textId="77777777" w:rsidR="0032366F" w:rsidRDefault="00000000" w:rsidP="00774FCE">
      <w:pPr>
        <w:pStyle w:val="BodyText"/>
        <w:spacing w:before="0"/>
      </w:pPr>
      <w:r>
        <w:t>Courtney, M. E. (2011). Economics of child welfare. Oxford University Press.</w:t>
      </w:r>
    </w:p>
    <w:p w14:paraId="4E1AD9F1" w14:textId="77777777" w:rsidR="0032366F" w:rsidRDefault="00000000" w:rsidP="00774FCE">
      <w:pPr>
        <w:pStyle w:val="BodyText"/>
        <w:spacing w:before="0"/>
      </w:pPr>
      <w:r>
        <w:t>Duncan, G. J., &amp; Magnuson, K. (2013). Investing in preschool. J. Econ. Perspectives, 27(2).</w:t>
      </w:r>
    </w:p>
    <w:p w14:paraId="7727D77A" w14:textId="77777777" w:rsidR="0032366F" w:rsidRDefault="00000000" w:rsidP="00774FCE">
      <w:pPr>
        <w:pStyle w:val="BodyText"/>
        <w:spacing w:before="0"/>
      </w:pPr>
      <w:r>
        <w:t>Efron, B. (1982). The Jackknife, the Bootstrap and Other Resampling Plans. SIAM.</w:t>
      </w:r>
    </w:p>
    <w:p w14:paraId="4E8256DC" w14:textId="77777777" w:rsidR="0032366F" w:rsidRDefault="00000000" w:rsidP="00774FCE">
      <w:pPr>
        <w:pStyle w:val="BodyText"/>
        <w:spacing w:before="0"/>
      </w:pPr>
      <w:r>
        <w:t>Early Childhood Technical Assistance Center (2017). Annual state data on child outcomes. ECTA/DaSy.</w:t>
      </w:r>
    </w:p>
    <w:p w14:paraId="794B135B" w14:textId="77777777" w:rsidR="0032366F" w:rsidRDefault="00000000" w:rsidP="00774FCE">
      <w:pPr>
        <w:pStyle w:val="BodyText"/>
        <w:spacing w:before="0"/>
      </w:pPr>
      <w:r>
        <w:t>Fang, X., et al. (2012). Economic burden of child maltreatment. Child Abuse &amp; Neglect, 36(2).</w:t>
      </w:r>
    </w:p>
    <w:p w14:paraId="5032774E" w14:textId="77777777" w:rsidR="0032366F" w:rsidRDefault="00000000" w:rsidP="00774FCE">
      <w:pPr>
        <w:pStyle w:val="BodyText"/>
        <w:spacing w:before="0"/>
      </w:pPr>
      <w:r>
        <w:t>FNS (2022). WIC Participant and Program Characteristics. USDA.</w:t>
      </w:r>
    </w:p>
    <w:p w14:paraId="3B17BEE2" w14:textId="77777777" w:rsidR="0032366F" w:rsidRDefault="00000000" w:rsidP="00774FCE">
      <w:pPr>
        <w:pStyle w:val="BodyText"/>
        <w:spacing w:before="0"/>
      </w:pPr>
      <w:r>
        <w:t>Garraza, L. G., et al. (2016). Garrett Lee Smith suicide prevention. Am. J. Prev. Med., 51(1).</w:t>
      </w:r>
    </w:p>
    <w:p w14:paraId="1902ABE3" w14:textId="77777777" w:rsidR="0032366F" w:rsidRDefault="00000000" w:rsidP="00774FCE">
      <w:pPr>
        <w:pStyle w:val="BodyText"/>
        <w:spacing w:before="0"/>
      </w:pPr>
      <w:r>
        <w:t>GBD 2019 Diseases and Injuries Collaborators (2020). Lancet, 396(10258).</w:t>
      </w:r>
    </w:p>
    <w:p w14:paraId="1688D765" w14:textId="77777777" w:rsidR="0032366F" w:rsidRDefault="00000000" w:rsidP="00774FCE">
      <w:pPr>
        <w:pStyle w:val="BodyText"/>
        <w:spacing w:before="0"/>
      </w:pPr>
      <w:r>
        <w:t>Hanson, K. L., &amp; Connor, L. M. (2014). Food insecurity and dietary quality. AJCN, 100(2).</w:t>
      </w:r>
    </w:p>
    <w:p w14:paraId="1ABBEC73" w14:textId="77777777" w:rsidR="0032366F" w:rsidRDefault="00000000" w:rsidP="00774FCE">
      <w:pPr>
        <w:pStyle w:val="BodyText"/>
        <w:spacing w:before="0"/>
      </w:pPr>
      <w:r>
        <w:t>Heckman, J. J. (2006). Skill formation. Science, 312(5782).</w:t>
      </w:r>
    </w:p>
    <w:p w14:paraId="366AB871" w14:textId="77777777" w:rsidR="0032366F" w:rsidRDefault="00000000" w:rsidP="00774FCE">
      <w:pPr>
        <w:pStyle w:val="BodyText"/>
        <w:spacing w:before="0"/>
      </w:pPr>
      <w:r>
        <w:t>Herbst, C. M. (2023). Child care tax credit. J. Labor Economics.</w:t>
      </w:r>
    </w:p>
    <w:p w14:paraId="37329786" w14:textId="77777777" w:rsidR="0032366F" w:rsidRDefault="00000000" w:rsidP="00774FCE">
      <w:pPr>
        <w:pStyle w:val="BodyText"/>
        <w:spacing w:before="0"/>
      </w:pPr>
      <w:r>
        <w:t>Hoynes, H. W., Schanzenbach, D. W., &amp; Almond, D. (2016). Long-run impacts of safety net. AER, 106(4).</w:t>
      </w:r>
    </w:p>
    <w:p w14:paraId="2AEBCCAB" w14:textId="77777777" w:rsidR="0032366F" w:rsidRDefault="00000000" w:rsidP="00774FCE">
      <w:pPr>
        <w:pStyle w:val="BodyText"/>
        <w:spacing w:before="0"/>
      </w:pPr>
      <w:r>
        <w:t>James, W., &amp; Stein, C. (1961). Estimation with quadratic loss. Proceedings of the Fourth Berkeley Symposium on Mathematical Statistics and Probability, 1, 361–379.</w:t>
      </w:r>
    </w:p>
    <w:p w14:paraId="33177F8F" w14:textId="77777777" w:rsidR="0032366F" w:rsidRDefault="00000000" w:rsidP="00774FCE">
      <w:pPr>
        <w:pStyle w:val="BodyText"/>
        <w:spacing w:before="0"/>
      </w:pPr>
      <w:r>
        <w:t>Lipsey, M. W. (2009). Effective juvenile offender interventions. Annals AAPSS, 625(1).</w:t>
      </w:r>
    </w:p>
    <w:p w14:paraId="278556B6" w14:textId="77777777" w:rsidR="0032366F" w:rsidRDefault="00000000" w:rsidP="00774FCE">
      <w:pPr>
        <w:pStyle w:val="BodyText"/>
        <w:spacing w:before="0"/>
      </w:pPr>
      <w:r>
        <w:t>Lundahl, B. W., et al. (2006). Meta-analysis of parent training. JCLP.</w:t>
      </w:r>
    </w:p>
    <w:p w14:paraId="415C3BB7" w14:textId="77777777" w:rsidR="0032366F" w:rsidRDefault="00000000" w:rsidP="00774FCE">
      <w:pPr>
        <w:pStyle w:val="BodyText"/>
        <w:spacing w:before="0"/>
      </w:pPr>
      <w:r>
        <w:t>McCoy, D. C., et al. (2017). Impacts of ECE. Educational Researcher, 46(8).</w:t>
      </w:r>
    </w:p>
    <w:p w14:paraId="0A6BACC8" w14:textId="77777777" w:rsidR="0032366F" w:rsidRDefault="00000000" w:rsidP="00774FCE">
      <w:pPr>
        <w:pStyle w:val="BodyText"/>
        <w:spacing w:before="0"/>
      </w:pPr>
      <w:r>
        <w:lastRenderedPageBreak/>
        <w:t>Morgan, A. J., et al. (2021). Mental health first aid. BMC Psychiatry.</w:t>
      </w:r>
    </w:p>
    <w:p w14:paraId="5FD02B34" w14:textId="77777777" w:rsidR="0032366F" w:rsidRDefault="00000000" w:rsidP="00774FCE">
      <w:pPr>
        <w:pStyle w:val="BodyText"/>
        <w:spacing w:before="0"/>
      </w:pPr>
      <w:r>
        <w:t>Neumann, P. J., et al. (2014). Updating cost-effectiveness. NEJM, 371(9).</w:t>
      </w:r>
    </w:p>
    <w:p w14:paraId="50164CB8" w14:textId="77777777" w:rsidR="0032366F" w:rsidRDefault="00000000" w:rsidP="00774FCE">
      <w:pPr>
        <w:pStyle w:val="BodyText"/>
        <w:spacing w:before="0"/>
      </w:pPr>
      <w:r>
        <w:t>Nianogo, R. A., et al. (2019). California SNAP evaluation. Preventive Medicine, 122.</w:t>
      </w:r>
    </w:p>
    <w:p w14:paraId="028A1F17" w14:textId="77777777" w:rsidR="0032366F" w:rsidRDefault="00000000" w:rsidP="00774FCE">
      <w:pPr>
        <w:pStyle w:val="BodyText"/>
        <w:spacing w:before="0"/>
      </w:pPr>
      <w:r>
        <w:t>Nicholls, J., et al. (2012). A guide to SROI (2nd ed.). The SROI Network.</w:t>
      </w:r>
    </w:p>
    <w:p w14:paraId="07D76C95" w14:textId="77777777" w:rsidR="0032366F" w:rsidRDefault="00000000" w:rsidP="00774FCE">
      <w:pPr>
        <w:pStyle w:val="BodyText"/>
        <w:spacing w:before="0"/>
      </w:pPr>
      <w:r>
        <w:t>Open Science Collaboration (2015). Reproducibility of psychological science. Science, 349(6251).</w:t>
      </w:r>
    </w:p>
    <w:p w14:paraId="6E6D3E96" w14:textId="77777777" w:rsidR="0032366F" w:rsidRDefault="00000000" w:rsidP="00774FCE">
      <w:pPr>
        <w:pStyle w:val="BodyText"/>
        <w:spacing w:before="0"/>
      </w:pPr>
      <w:r>
        <w:t>Peterson, C., et al. (2018). Economic burden of child maltreatment. Child Abuse &amp; Neglect, 86.</w:t>
      </w:r>
    </w:p>
    <w:p w14:paraId="7006E2A3" w14:textId="77777777" w:rsidR="0032366F" w:rsidRDefault="00000000" w:rsidP="00774FCE">
      <w:pPr>
        <w:pStyle w:val="BodyText"/>
        <w:spacing w:before="0"/>
      </w:pPr>
      <w:r>
        <w:t>Petrou, S. (2003). Economic consequences of preterm birth. BJOG, 110(s20).</w:t>
      </w:r>
    </w:p>
    <w:p w14:paraId="53317655" w14:textId="77777777" w:rsidR="0032366F" w:rsidRDefault="00000000" w:rsidP="00774FCE">
      <w:pPr>
        <w:pStyle w:val="BodyText"/>
        <w:spacing w:before="0"/>
      </w:pPr>
      <w:r>
        <w:t>Polsky, D., et al. (1997). CIs for cost-effectiveness ratios. Health Economics, 6(3).</w:t>
      </w:r>
    </w:p>
    <w:p w14:paraId="2B95831B" w14:textId="77777777" w:rsidR="0032366F" w:rsidRDefault="00000000" w:rsidP="00774FCE">
      <w:pPr>
        <w:pStyle w:val="BodyText"/>
        <w:spacing w:before="0"/>
      </w:pPr>
      <w:r>
        <w:t>Revicki, D. A., et al. (2012). Health-related quality of life. J. Clin. Psychopharmacology.</w:t>
      </w:r>
    </w:p>
    <w:p w14:paraId="21D36FB0" w14:textId="77777777" w:rsidR="0032366F" w:rsidRDefault="00000000" w:rsidP="00774FCE">
      <w:pPr>
        <w:pStyle w:val="BodyText"/>
        <w:spacing w:before="0"/>
      </w:pPr>
      <w:r>
        <w:t>Reynolds, A. J., et al. (2011). Age-26 CPC cost-benefit. Child Development, 82(1).</w:t>
      </w:r>
    </w:p>
    <w:p w14:paraId="4770745A" w14:textId="77777777" w:rsidR="0032366F" w:rsidRDefault="00000000" w:rsidP="00774FCE">
      <w:pPr>
        <w:pStyle w:val="BodyText"/>
        <w:spacing w:before="0"/>
      </w:pPr>
      <w:r>
        <w:t>Sama-Miller, E., et al. (2019). Home visiting evidence. OPRE.</w:t>
      </w:r>
    </w:p>
    <w:p w14:paraId="402C6A20" w14:textId="77777777" w:rsidR="0032366F" w:rsidRDefault="00000000" w:rsidP="00774FCE">
      <w:pPr>
        <w:pStyle w:val="BodyText"/>
        <w:spacing w:before="0"/>
      </w:pPr>
      <w:r>
        <w:t>Sedlak, A. J., et al. (2010). NIS-4. ACF/OPRE.</w:t>
      </w:r>
    </w:p>
    <w:p w14:paraId="02F027C5" w14:textId="77777777" w:rsidR="0032366F" w:rsidRDefault="00000000" w:rsidP="00774FCE">
      <w:pPr>
        <w:pStyle w:val="BodyText"/>
        <w:spacing w:before="0"/>
      </w:pPr>
      <w:r>
        <w:t>Siskind, D., et al. (2012). First-episode psychosis treatment rates. Psychiatry Research, 197(1–2).</w:t>
      </w:r>
    </w:p>
    <w:p w14:paraId="52325162" w14:textId="77777777" w:rsidR="0032366F" w:rsidRDefault="00000000" w:rsidP="00774FCE">
      <w:pPr>
        <w:pStyle w:val="BodyText"/>
        <w:spacing w:before="0"/>
      </w:pPr>
      <w:r>
        <w:t>Vose, D. (2008). Risk Analysis (3rd ed.). Wiley.</w:t>
      </w:r>
    </w:p>
    <w:p w14:paraId="6F690BDF" w14:textId="77777777" w:rsidR="0032366F" w:rsidRDefault="00000000" w:rsidP="00774FCE">
      <w:pPr>
        <w:pStyle w:val="BodyText"/>
        <w:spacing w:before="0"/>
      </w:pPr>
      <w:r>
        <w:t>Wampold, B. E. (2015). Common factors in psychotherapy. World Psychiatry, 14(3).</w:t>
      </w:r>
    </w:p>
    <w:p w14:paraId="2BF950BD" w14:textId="77777777" w:rsidR="0032366F" w:rsidRDefault="00000000" w:rsidP="00774FCE">
      <w:pPr>
        <w:pStyle w:val="BodyText"/>
        <w:spacing w:before="0"/>
      </w:pPr>
      <w:r>
        <w:t>Weinstein, M. C., &amp; Stason, W. B. (1977). Cost-effectiveness analysis. NEJM, 296(13).</w:t>
      </w:r>
    </w:p>
    <w:p w14:paraId="169B3DB3" w14:textId="77777777" w:rsidR="0032366F" w:rsidRDefault="00000000" w:rsidP="00774FCE">
      <w:pPr>
        <w:pStyle w:val="BodyText"/>
        <w:spacing w:before="0"/>
      </w:pPr>
      <w:r>
        <w:t>Weisz, J. R., et al. (2017). Five decades of youth psychotherapy. American Psychologist, 72(2).</w:t>
      </w:r>
    </w:p>
    <w:p w14:paraId="5C9ACA1A" w14:textId="77777777" w:rsidR="0032366F" w:rsidRDefault="00000000" w:rsidP="00774FCE">
      <w:pPr>
        <w:pStyle w:val="BodyText"/>
        <w:spacing w:before="0"/>
      </w:pPr>
      <w:r>
        <w:t>Wherry, L. R., &amp; Miller, S. (2016). Early coverage and health effects. Ann. Internal Med., 164(12).</w:t>
      </w:r>
    </w:p>
    <w:p w14:paraId="39482BA0" w14:textId="77777777" w:rsidR="0032366F" w:rsidRDefault="00000000" w:rsidP="00774FCE">
      <w:pPr>
        <w:pStyle w:val="BodyText"/>
        <w:spacing w:before="0"/>
      </w:pPr>
      <w:r>
        <w:t>Wildeman, C., et al. (2014). Prevalence of confirmed maltreatment. JAMA Pediatrics, 168(8).</w:t>
      </w:r>
    </w:p>
    <w:p w14:paraId="20BE6D59" w14:textId="77777777" w:rsidR="0032366F" w:rsidRDefault="00000000" w:rsidP="00774FCE">
      <w:pPr>
        <w:pStyle w:val="BodyText"/>
        <w:spacing w:before="0"/>
      </w:pPr>
      <w:r>
        <w:t>Zhou, F., et al. (2014). Childhood immunization economics. Pediatrics, 133(4).</w:t>
      </w:r>
    </w:p>
    <w:p w14:paraId="4475A91A" w14:textId="77777777" w:rsidR="0032366F" w:rsidRDefault="00000000" w:rsidP="00774FCE">
      <w:pPr>
        <w:pStyle w:val="Heading1"/>
        <w:spacing w:before="0" w:after="180"/>
      </w:pPr>
      <w:bookmarkStart w:id="30" w:name="appendix-a-program-data-inventory"/>
      <w:bookmarkEnd w:id="29"/>
      <w:r>
        <w:t>Appendix A: Program Data Inventory</w:t>
      </w:r>
    </w:p>
    <w:p w14:paraId="70E52601" w14:textId="77777777" w:rsidR="0032366F" w:rsidRDefault="00000000" w:rsidP="00774FCE">
      <w:pPr>
        <w:pStyle w:val="FirstParagraph"/>
        <w:spacing w:before="0"/>
      </w:pPr>
      <w:r>
        <w:t>See FY25_SROI.xlsx (Program Data sheet) for the full 215-program inventory and FY25_SROI_Master_Documentation.xlsx for all parameters, Under_6 flags, and sensitivity results.</w:t>
      </w:r>
      <w:bookmarkEnd w:id="30"/>
    </w:p>
    <w:sectPr w:rsidR="0032366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EF4CB" w14:textId="77777777" w:rsidR="004A5071" w:rsidRDefault="004A5071">
      <w:pPr>
        <w:spacing w:after="0"/>
      </w:pPr>
      <w:r>
        <w:separator/>
      </w:r>
    </w:p>
  </w:endnote>
  <w:endnote w:type="continuationSeparator" w:id="0">
    <w:p w14:paraId="4E82DA88" w14:textId="77777777" w:rsidR="004A5071" w:rsidRDefault="004A50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529EA" w14:textId="77777777" w:rsidR="004A5071" w:rsidRDefault="004A5071">
      <w:r>
        <w:separator/>
      </w:r>
    </w:p>
  </w:footnote>
  <w:footnote w:type="continuationSeparator" w:id="0">
    <w:p w14:paraId="3373F114" w14:textId="77777777" w:rsidR="004A5071" w:rsidRDefault="004A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51D48334"/>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 w16cid:durableId="700057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6F"/>
    <w:rsid w:val="000136D2"/>
    <w:rsid w:val="000932C8"/>
    <w:rsid w:val="000D7B00"/>
    <w:rsid w:val="0032366F"/>
    <w:rsid w:val="003A1757"/>
    <w:rsid w:val="0045567B"/>
    <w:rsid w:val="004A5071"/>
    <w:rsid w:val="004D178C"/>
    <w:rsid w:val="005A1D04"/>
    <w:rsid w:val="006D087C"/>
    <w:rsid w:val="00744647"/>
    <w:rsid w:val="00774FCE"/>
    <w:rsid w:val="007B3009"/>
    <w:rsid w:val="00897987"/>
    <w:rsid w:val="0091129C"/>
    <w:rsid w:val="00AF103C"/>
    <w:rsid w:val="00B74F0B"/>
    <w:rsid w:val="00C54CF1"/>
    <w:rsid w:val="00CB41AA"/>
    <w:rsid w:val="00D207FC"/>
    <w:rsid w:val="00D31B36"/>
    <w:rsid w:val="00E72336"/>
    <w:rsid w:val="00F7327F"/>
    <w:rsid w:val="00FE572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009B"/>
  <w15:docId w15:val="{9D153DB2-5B97-4E3E-A1A8-2704E3593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36188">
      <w:bodyDiv w:val="1"/>
      <w:marLeft w:val="0"/>
      <w:marRight w:val="0"/>
      <w:marTop w:val="0"/>
      <w:marBottom w:val="0"/>
      <w:divBdr>
        <w:top w:val="none" w:sz="0" w:space="0" w:color="auto"/>
        <w:left w:val="none" w:sz="0" w:space="0" w:color="auto"/>
        <w:bottom w:val="none" w:sz="0" w:space="0" w:color="auto"/>
        <w:right w:val="none" w:sz="0" w:space="0" w:color="auto"/>
      </w:divBdr>
    </w:div>
    <w:div w:id="752774307">
      <w:bodyDiv w:val="1"/>
      <w:marLeft w:val="0"/>
      <w:marRight w:val="0"/>
      <w:marTop w:val="0"/>
      <w:marBottom w:val="0"/>
      <w:divBdr>
        <w:top w:val="none" w:sz="0" w:space="0" w:color="auto"/>
        <w:left w:val="none" w:sz="0" w:space="0" w:color="auto"/>
        <w:bottom w:val="none" w:sz="0" w:space="0" w:color="auto"/>
        <w:right w:val="none" w:sz="0" w:space="0" w:color="auto"/>
      </w:divBdr>
    </w:div>
    <w:div w:id="9180558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5051</Words>
  <Characters>28794</Characters>
  <Application>Microsoft Office Word</Application>
  <DocSecurity>0</DocSecurity>
  <Lines>239</Lines>
  <Paragraphs>67</Paragraphs>
  <ScaleCrop>false</ScaleCrop>
  <Company/>
  <LinksUpToDate>false</LinksUpToDate>
  <CharactersWithSpaces>33778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Drew Porter</dc:creator>
  <cp:keywords/>
  <cp:lastModifiedBy>Drew Porter</cp:lastModifiedBy>
  <cp:revision>3</cp:revision>
  <dcterms:created xsi:type="dcterms:W3CDTF">2026-04-16T13:06:00Z</dcterms:created>
  <dcterms:modified xsi:type="dcterms:W3CDTF">2026-04-16T13:07:00Z</dcterms:modified>
</cp:coreProperties>
</file>