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77EE" w14:textId="77777777" w:rsidR="00A732C3" w:rsidRDefault="00000000">
      <w:pPr>
        <w:pStyle w:val="Title"/>
      </w:pPr>
      <w:r>
        <w:t>Resource Mapping 2026: Methodology Supplement</w:t>
      </w:r>
    </w:p>
    <w:p w14:paraId="24B2C9DE" w14:textId="77777777" w:rsidR="00A732C3" w:rsidRDefault="00000000">
      <w:r>
        <w:t>Technical Documentation for the Resource Mapping FY 2024-25 Analysis</w:t>
      </w:r>
    </w:p>
    <w:p w14:paraId="79F70C68" w14:textId="77777777" w:rsidR="00A732C3" w:rsidRDefault="00000000">
      <w:r>
        <w:t>Tennessee Commission on Children and Youth</w:t>
      </w:r>
    </w:p>
    <w:p w14:paraId="15A3EBEB" w14:textId="77777777" w:rsidR="00A732C3" w:rsidRDefault="00000000">
      <w:pPr>
        <w:pStyle w:val="Heading1"/>
      </w:pPr>
      <w:bookmarkStart w:id="0" w:name="methodology"/>
      <w:r>
        <w:t>Methodology</w:t>
      </w:r>
    </w:p>
    <w:p w14:paraId="4C9E4CD8" w14:textId="77777777" w:rsidR="00A732C3" w:rsidRDefault="00000000">
      <w:pPr>
        <w:pStyle w:val="Heading2"/>
      </w:pPr>
      <w:bookmarkStart w:id="1" w:name="purpose-of-this-section"/>
      <w:r>
        <w:t>1. Purpose of This Section</w:t>
      </w:r>
    </w:p>
    <w:p w14:paraId="6FF6D654" w14:textId="77777777" w:rsidR="00A732C3" w:rsidRDefault="00000000">
      <w:r>
        <w:t>This section explains how TCCY analyzed state investment in children and youth programs and why each step of the analysis was conducted. It is written so that both technical reviewers and members of the General Assembly can understand what was measured, how it was measured, and what conclusions can—and cannot—be drawn from the results.</w:t>
      </w:r>
    </w:p>
    <w:p w14:paraId="6B8948E0" w14:textId="77777777" w:rsidR="00A732C3" w:rsidRDefault="00000000">
      <w:pPr>
        <w:pStyle w:val="BodyText"/>
      </w:pPr>
      <w:r>
        <w:t>The 2026 report represents a substantial methodological advance over prior years. A comprehensive data cleaning and reclassification effort was undertaken to ensure consistency across the full ten-year longitudinal dataset (FY2014–15 through FY2024–25). A systematic literature review was conducted to provide an evidence-based benchmark against which Tennessee’s investments can be compared. And the analytical framework was expanded from basic expenditure trends to include multi-tiered comparisons of investment trajectories, cost-per-child efficiency, federal funding sustainability, and return-on-investment benchmarking.</w:t>
      </w:r>
    </w:p>
    <w:p w14:paraId="0CBDBD07" w14:textId="77777777" w:rsidR="00A732C3" w:rsidRDefault="00000000">
      <w:pPr>
        <w:pStyle w:val="BodyText"/>
      </w:pPr>
      <w:r>
        <w:t>The analysis is organized around five domains—the state overall, individual agencies, programs grouped by service framework/intensity (Programmatic Focus), programs grouped by intended outcome (Target Outcome), and programs serving children under age six (Early Childhood). Within each domain, a seven-step analytical sequence is applied. Each step answers a progressively more detailed question about where Tennessee’s money is going and how that is changing over time.</w:t>
      </w:r>
    </w:p>
    <w:tbl>
      <w:tblPr>
        <w:tblW w:w="4865" w:type="pct"/>
        <w:tblLook w:val="0000" w:firstRow="0" w:lastRow="0" w:firstColumn="0" w:lastColumn="0" w:noHBand="0" w:noVBand="0"/>
      </w:tblPr>
      <w:tblGrid>
        <w:gridCol w:w="9107"/>
      </w:tblGrid>
      <w:tr w:rsidR="00A732C3" w14:paraId="12E36CEC" w14:textId="77777777">
        <w:tc>
          <w:tcPr>
            <w:tcW w:w="0" w:type="auto"/>
          </w:tcPr>
          <w:p w14:paraId="66096E90" w14:textId="77777777" w:rsidR="00A732C3" w:rsidRDefault="00000000">
            <w:r>
              <w:rPr>
                <w:b/>
                <w:bCs/>
              </w:rPr>
              <w:t>Plain-Language Summary</w:t>
            </w:r>
          </w:p>
        </w:tc>
      </w:tr>
      <w:tr w:rsidR="00A732C3" w14:paraId="6D965FB3" w14:textId="77777777">
        <w:tc>
          <w:tcPr>
            <w:tcW w:w="0" w:type="auto"/>
          </w:tcPr>
          <w:p w14:paraId="39D64EB6" w14:textId="77777777" w:rsidR="00A732C3" w:rsidRDefault="00000000">
            <w:r>
              <w:t>Think of this analysis like examining your household budget. Step 1 asks: did we spend more or less overall? Steps 2–5 ask: compared to other spending categories, which one grew the fastest or slowest? Steps 6–7 ask: are we getting more or fewer children served per dollar spent, and is the state’s own contribution keeping pace?</w:t>
            </w:r>
          </w:p>
        </w:tc>
      </w:tr>
    </w:tbl>
    <w:p w14:paraId="3CE25016" w14:textId="77777777" w:rsidR="00A732C3" w:rsidRDefault="00000000">
      <w:pPr>
        <w:pStyle w:val="Heading2"/>
      </w:pPr>
      <w:bookmarkStart w:id="2" w:name="data-source-and-preparation"/>
      <w:bookmarkEnd w:id="1"/>
      <w:r>
        <w:t>2. Data Source and Preparation</w:t>
      </w:r>
    </w:p>
    <w:p w14:paraId="512731C9" w14:textId="77777777" w:rsidR="00A732C3" w:rsidRDefault="00000000">
      <w:r>
        <w:t>All analyses draw from a longitudinal dataset maintained by TCCY covering fiscal years 2014–15 through 2024–25 (FY15–FY25). The dataset contains one record per program per fiscal year and was compiled from annual submissions by 26 state agencies including the Department of Education, Department of Health, Department of Mental Health and Substance Abuse Services, Department of Children’s Services, and TennCare. Each record includes total expenditures, state-only expenditures, federal expenditures, the number of children served, program descriptions, and classification codes.</w:t>
      </w:r>
    </w:p>
    <w:p w14:paraId="67ADC508" w14:textId="77777777" w:rsidR="00A732C3" w:rsidRDefault="00000000">
      <w:pPr>
        <w:pStyle w:val="BodyText"/>
      </w:pPr>
      <w:r>
        <w:t>The raw dataset required extensive cleaning and standardization before analysis. This section documents each step of the data preparation process in sufficient detail for replication.</w:t>
      </w:r>
    </w:p>
    <w:p w14:paraId="106CBC05" w14:textId="77777777" w:rsidR="00A732C3" w:rsidRDefault="00000000">
      <w:pPr>
        <w:pStyle w:val="Heading3"/>
      </w:pPr>
      <w:bookmarkStart w:id="3" w:name="fy25-data-extraction-pipeline"/>
      <w:r>
        <w:t>2.1 FY25 Data Extraction Pipeline</w:t>
      </w:r>
    </w:p>
    <w:p w14:paraId="3675C5D0" w14:textId="77777777" w:rsidR="00A732C3" w:rsidRDefault="00000000">
      <w:r>
        <w:lastRenderedPageBreak/>
        <w:t>FY15–FY24 data were collected via Cypra online data capture system exported as individual Excel files per year. A longitudinal data set was created by merging each year’s excel file as a single sheet in a single master Excel file. FY25 data were collected using a redesigned Excel template distributed to agency reporters. Because the template format differed from the Cypra export structure, a custom Python extraction script was developed to convert agency workbook submissions into the 101-column flat file format matching the historical dataset.</w:t>
      </w:r>
    </w:p>
    <w:p w14:paraId="5F3286AA" w14:textId="77777777" w:rsidR="00A732C3" w:rsidRDefault="00000000">
      <w:pPr>
        <w:pStyle w:val="BodyText"/>
      </w:pPr>
      <w:r>
        <w:t>The extraction script processed 10 workbooks containing 300 programs. The output was appended as a new sheet to the master longitudinal file.</w:t>
      </w:r>
    </w:p>
    <w:p w14:paraId="30651A40" w14:textId="77777777" w:rsidR="00A732C3" w:rsidRDefault="00000000">
      <w:pPr>
        <w:pStyle w:val="Heading3"/>
      </w:pPr>
      <w:bookmarkStart w:id="4" w:name="multi-step-cleaning-pipeline"/>
      <w:bookmarkEnd w:id="3"/>
      <w:r>
        <w:t>2.2 Multi-Step Cleaning Pipeline</w:t>
      </w:r>
    </w:p>
    <w:p w14:paraId="31ACD1B5" w14:textId="77777777" w:rsidR="00A732C3" w:rsidRDefault="00000000">
      <w:r>
        <w:t>A five-step Python cleaning pipeline processed the raw longitudinal file through sequential transformations:</w:t>
      </w:r>
    </w:p>
    <w:p w14:paraId="4DF5D908" w14:textId="77777777" w:rsidR="00A732C3" w:rsidRDefault="00000000">
      <w:pPr>
        <w:pStyle w:val="BodyText"/>
      </w:pPr>
      <w:r>
        <w:rPr>
          <w:b/>
          <w:bCs/>
        </w:rPr>
        <w:t>Step 1 (Rename and Filter):</w:t>
      </w:r>
      <w:r>
        <w:t xml:space="preserve"> Standardizes column names across years, applies a RENAME_MAP of 284+ entries to harmonize program name variants (see Section 2.3), and filters out records with zero or missing expenditures.</w:t>
      </w:r>
    </w:p>
    <w:p w14:paraId="6B93DE4C" w14:textId="77777777" w:rsidR="00A732C3" w:rsidRDefault="00000000">
      <w:pPr>
        <w:pStyle w:val="BodyText"/>
      </w:pPr>
      <w:r>
        <w:rPr>
          <w:b/>
          <w:bCs/>
        </w:rPr>
        <w:t>Step 2 (Merge):</w:t>
      </w:r>
      <w:r>
        <w:t xml:space="preserve"> Consolidates rows where the same program appears multiple times within a fiscal year (e.g., separate administrative and programmatic line items). Expenditure fields are summed; NServed fields use max-not-sum logic to avoid double-counting children (see Section 2.6).</w:t>
      </w:r>
    </w:p>
    <w:p w14:paraId="22C3F402" w14:textId="77777777" w:rsidR="00A732C3" w:rsidRDefault="00000000">
      <w:pPr>
        <w:pStyle w:val="BodyText"/>
      </w:pPr>
      <w:r>
        <w:rPr>
          <w:b/>
          <w:bCs/>
        </w:rPr>
        <w:t>Step 3 (TCCY Classification):</w:t>
      </w:r>
      <w:r>
        <w:t xml:space="preserve"> Applies standardized Programmatic Focus and Outcome codes from the RM_Program_Coding_Reference.xlsx lookup file (see Section 3). Programs are matched on a normalized (agency, program name) key with a fallback to program-name-only matching. Unmatched programs retain their reporter-submitted classifications.</w:t>
      </w:r>
    </w:p>
    <w:p w14:paraId="5274C7DE" w14:textId="77777777" w:rsidR="00A732C3" w:rsidRDefault="00000000">
      <w:pPr>
        <w:pStyle w:val="BodyText"/>
      </w:pPr>
      <w:r>
        <w:rPr>
          <w:b/>
          <w:bCs/>
        </w:rPr>
        <w:t>Step 4 (Adult-Only Filter):</w:t>
      </w:r>
      <w:r>
        <w:t xml:space="preserve"> Removes programs flagged as serving adults only, producing the child-only analytical dataset (RM_Step5_ChildOnly.xlsx). See Section 2.7 for retention rules and edge case decisions.</w:t>
      </w:r>
    </w:p>
    <w:p w14:paraId="65247300" w14:textId="77777777" w:rsidR="00A732C3" w:rsidRDefault="00000000">
      <w:pPr>
        <w:pStyle w:val="BodyText"/>
      </w:pPr>
      <w:r>
        <w:rPr>
          <w:b/>
          <w:bCs/>
        </w:rPr>
        <w:t>Step 5 (BEP/TISA Correction):</w:t>
      </w:r>
      <w:r>
        <w:t xml:space="preserve"> Removes or adjusts programs containing Basic Education Program or Tennessee Investment in Student Achievement passthrough dollars to eliminate double-counting (see Section 2.5).</w:t>
      </w:r>
    </w:p>
    <w:p w14:paraId="425CC1A8" w14:textId="77777777" w:rsidR="00A732C3" w:rsidRDefault="00000000">
      <w:pPr>
        <w:pStyle w:val="Heading3"/>
      </w:pPr>
      <w:bookmarkStart w:id="5" w:name="program-name-harmonization"/>
      <w:bookmarkEnd w:id="4"/>
      <w:r>
        <w:t>2.3 Program Name Harmonization</w:t>
      </w:r>
    </w:p>
    <w:p w14:paraId="7B7E3121" w14:textId="77777777" w:rsidR="00A732C3" w:rsidRDefault="00000000">
      <w:r>
        <w:t>Program names in the raw dataset exhibited substantial variation across fiscal years due to template changes, reporter turnover, abbreviation inconsistencies, and organizational renaming. A systematic name harmonization effort identified and resolved 74 program name variants using a combination of automated similarity matching and manual review. An additional 34 Department of Education-specific renames were applied to merge “Title” program lines, IDEA variants, and ESEA-to-ESSA prefix transitions.</w:t>
      </w:r>
    </w:p>
    <w:p w14:paraId="332FBCCB" w14:textId="77777777" w:rsidR="00A732C3" w:rsidRDefault="00000000">
      <w:pPr>
        <w:pStyle w:val="BodyText"/>
      </w:pPr>
      <w:r>
        <w:t>The harmonization reduced the dataset from 1,035 unique program names to 937 canonical names. Each canonical name was assigned a stable identifier ensuring that the same program is tracked consistently across all fiscal years in which it appears, enabling valid longitudinal trend analysis.</w:t>
      </w:r>
    </w:p>
    <w:p w14:paraId="496A90B0" w14:textId="77777777" w:rsidR="00A732C3" w:rsidRDefault="00000000">
      <w:pPr>
        <w:pStyle w:val="Heading3"/>
      </w:pPr>
      <w:bookmarkStart w:id="6" w:name="agency-consolidation"/>
      <w:bookmarkEnd w:id="5"/>
      <w:r>
        <w:t>2.4 Agency Consolidation</w:t>
      </w:r>
    </w:p>
    <w:p w14:paraId="183D7AB8" w14:textId="77777777" w:rsidR="00A732C3" w:rsidRDefault="00000000">
      <w:r>
        <w:t>Three agency merges were applied to reflect organizational changes in Tennessee state government:</w:t>
      </w:r>
    </w:p>
    <w:p w14:paraId="0999A2F7" w14:textId="77777777" w:rsidR="00A732C3" w:rsidRDefault="00000000">
      <w:pPr>
        <w:pStyle w:val="BodyText"/>
      </w:pPr>
      <w:r>
        <w:rPr>
          <w:b/>
          <w:bCs/>
        </w:rPr>
        <w:t>Department of Disability and Aging:</w:t>
      </w:r>
      <w:r>
        <w:t xml:space="preserve"> The Department of Intellectual and Developmental Disabilities (DIDD), Commission on Aging, and Tennessee Council on Developmental </w:t>
      </w:r>
      <w:r>
        <w:lastRenderedPageBreak/>
        <w:t>Disabilities were consolidated under a single agency label, reflecting the FY24 state reorganization.</w:t>
      </w:r>
    </w:p>
    <w:p w14:paraId="660D8118" w14:textId="77777777" w:rsidR="00A732C3" w:rsidRDefault="00000000">
      <w:pPr>
        <w:pStyle w:val="BodyText"/>
      </w:pPr>
      <w:r>
        <w:rPr>
          <w:b/>
          <w:bCs/>
        </w:rPr>
        <w:t>Tennessee Highway Safety Office:</w:t>
      </w:r>
      <w:r>
        <w:t xml:space="preserve"> Programs previously reported under the Department of Transportation were reclassified under the Tennessee Highway Safety Office to reflect the current organizational structure.</w:t>
      </w:r>
    </w:p>
    <w:p w14:paraId="2F1E6BBB" w14:textId="77777777" w:rsidR="00A732C3" w:rsidRDefault="00000000">
      <w:pPr>
        <w:pStyle w:val="BodyText"/>
      </w:pPr>
      <w:r>
        <w:rPr>
          <w:b/>
          <w:bCs/>
        </w:rPr>
        <w:t>Department of Safety:</w:t>
      </w:r>
      <w:r>
        <w:t xml:space="preserve"> The Department of Safety and Homeland Security was standardized to Department of Safety.</w:t>
      </w:r>
    </w:p>
    <w:p w14:paraId="3D17C1FF" w14:textId="77777777" w:rsidR="00A732C3" w:rsidRDefault="00000000">
      <w:pPr>
        <w:pStyle w:val="BodyText"/>
      </w:pPr>
      <w:r>
        <w:t>After consolidation, the dataset contains programs from 32 reporting agencies.</w:t>
      </w:r>
    </w:p>
    <w:p w14:paraId="537A1E0A" w14:textId="77777777" w:rsidR="00A732C3" w:rsidRDefault="00000000">
      <w:pPr>
        <w:pStyle w:val="Heading3"/>
      </w:pPr>
      <w:bookmarkStart w:id="7" w:name="beptisa-passthrough-corrections"/>
      <w:bookmarkEnd w:id="6"/>
      <w:r>
        <w:t>2.5 BEP/TISA Passthrough Corrections</w:t>
      </w:r>
    </w:p>
    <w:p w14:paraId="0EDF4DA3" w14:textId="77777777" w:rsidR="00A732C3" w:rsidRDefault="00000000">
      <w:r>
        <w:t>The Basic Education Program (BEP, FY13–FY23) and its successor formula, the Tennessee Investment in Student Achievement (TISA, FY24–), are reported as their own program rows under the Department of Education. When other agencies—primarily the Department of Children’s Services—report BEP funding in their program funding slots, they are describing the source of their funds, not reporting additional investment. Including both the DOE BEP/TISA row and the downstream agency’s BEP slot in the same totals would double-count those dollars.</w:t>
      </w:r>
    </w:p>
    <w:p w14:paraId="27B21E30" w14:textId="77777777" w:rsidR="00A732C3" w:rsidRDefault="00000000">
      <w:pPr>
        <w:pStyle w:val="BodyText"/>
      </w:pPr>
      <w:r>
        <w:t>The correction involved two operations:</w:t>
      </w:r>
    </w:p>
    <w:p w14:paraId="773CE536" w14:textId="77777777" w:rsidR="00A732C3" w:rsidRDefault="00000000">
      <w:pPr>
        <w:pStyle w:val="BodyText"/>
      </w:pPr>
      <w:r>
        <w:rPr>
          <w:b/>
          <w:bCs/>
        </w:rPr>
        <w:t>Complete removal:</w:t>
      </w:r>
      <w:r>
        <w:t xml:space="preserve"> DCS Education, a program that was 100% BEP passthrough, was deleted across all 12 fiscal years (FY13–FY24).</w:t>
      </w:r>
    </w:p>
    <w:p w14:paraId="76323749" w14:textId="77777777" w:rsidR="00A732C3" w:rsidRDefault="00000000">
      <w:pPr>
        <w:pStyle w:val="BodyText"/>
      </w:pPr>
      <w:r>
        <w:rPr>
          <w:b/>
          <w:bCs/>
        </w:rPr>
        <w:t>Partial subtraction:</w:t>
      </w:r>
      <w:r>
        <w:t xml:space="preserve"> For four DCS programs where BEP was one funding slot among several (Dependent &amp; Neglect Placement, Juvenile Justice Placement, Custody Wraparound Services), the BEP dollar amount was subtracted from the Total and State expenditure columns while preserving the non-BEP portions.</w:t>
      </w:r>
    </w:p>
    <w:p w14:paraId="7F7FD04B" w14:textId="77777777" w:rsidR="00A732C3" w:rsidRDefault="00000000">
      <w:pPr>
        <w:pStyle w:val="BodyText"/>
      </w:pPr>
      <w:r>
        <w:t>Total double-counted dollars removed: $72.1 million across all years. The largest single correction was $13.2 million in the D&amp;N Placement program in FY19.</w:t>
      </w:r>
    </w:p>
    <w:p w14:paraId="6566D949" w14:textId="77777777" w:rsidR="00A732C3" w:rsidRDefault="00000000">
      <w:pPr>
        <w:pStyle w:val="Heading3"/>
      </w:pPr>
      <w:bookmarkStart w:id="8" w:name="nserved-normalization"/>
      <w:bookmarkEnd w:id="7"/>
      <w:r>
        <w:t>2.6 NServed Normalization</w:t>
      </w:r>
    </w:p>
    <w:p w14:paraId="35AAB217" w14:textId="77777777" w:rsidR="00A732C3" w:rsidRDefault="00000000">
      <w:r>
        <w:t>The number of children served (NServed) is reported by agencies as a free-text field and required extensive normalization before use in cost-per-child calculations. The cleaning process addressed four categories of data quality issues:</w:t>
      </w:r>
    </w:p>
    <w:p w14:paraId="707EFDC2" w14:textId="77777777" w:rsidR="00A732C3" w:rsidRDefault="00000000">
      <w:pPr>
        <w:pStyle w:val="BodyText"/>
      </w:pPr>
      <w:r>
        <w:rPr>
          <w:b/>
          <w:bCs/>
        </w:rPr>
        <w:t>Narrative text entries:</w:t>
      </w:r>
      <w:r>
        <w:t xml:space="preserve"> Some agencies entered narrative descriptions rather than numeric counts. A regex extraction routine identified and converted embedded numeric values from text strings.</w:t>
      </w:r>
    </w:p>
    <w:p w14:paraId="52DA00C6" w14:textId="77777777" w:rsidR="00A732C3" w:rsidRDefault="00000000">
      <w:pPr>
        <w:pStyle w:val="BodyText"/>
      </w:pPr>
      <w:r>
        <w:rPr>
          <w:b/>
          <w:bCs/>
        </w:rPr>
        <w:t>Administrative merge logic:</w:t>
      </w:r>
      <w:r>
        <w:t xml:space="preserve"> When multiple rows for the same (agency, program) combination were merged in Step 2, NServed values were combined using max-not-sum logic. This prevents double-counting when both an administrative row and a programmatic row report the same children.</w:t>
      </w:r>
    </w:p>
    <w:p w14:paraId="105C8B2B" w14:textId="77777777" w:rsidR="00A732C3" w:rsidRDefault="00000000">
      <w:pPr>
        <w:pStyle w:val="BodyText"/>
      </w:pPr>
      <w:r>
        <w:rPr>
          <w:b/>
          <w:bCs/>
        </w:rPr>
        <w:t>Population-level counts:</w:t>
      </w:r>
      <w:r>
        <w:t xml:space="preserve"> Programs reporting total state population or total school enrollment (&gt;1,000,000) as ‘children served’ were excluded from cost-per-child analyses only. These programs remain in all expenditure analyses.</w:t>
      </w:r>
    </w:p>
    <w:p w14:paraId="49539EED" w14:textId="77777777" w:rsidR="00A732C3" w:rsidRDefault="00000000">
      <w:pPr>
        <w:pStyle w:val="BodyText"/>
      </w:pPr>
      <w:r>
        <w:rPr>
          <w:b/>
          <w:bCs/>
        </w:rPr>
        <w:t>FY13–14 column mapping:</w:t>
      </w:r>
      <w:r>
        <w:t xml:space="preserve"> Early fiscal years used different column headers (CHILDREN_SERVD_2013, CHILDREN_SERVD_2014) which were mapped to the standardized NServed field.</w:t>
      </w:r>
    </w:p>
    <w:p w14:paraId="2804CDAE" w14:textId="77777777" w:rsidR="00A732C3" w:rsidRDefault="00000000">
      <w:pPr>
        <w:pStyle w:val="Heading3"/>
      </w:pPr>
      <w:bookmarkStart w:id="9" w:name="adult-only-program-filtering"/>
      <w:bookmarkEnd w:id="8"/>
      <w:r>
        <w:t>2.7 Adult-Only Program Filtering</w:t>
      </w:r>
    </w:p>
    <w:p w14:paraId="5B534F0C" w14:textId="77777777" w:rsidR="00A732C3" w:rsidRDefault="00000000">
      <w:r>
        <w:lastRenderedPageBreak/>
        <w:t>The Resource Mapping statute (TCA 37-3-116) focuses on programs serving children and youth. The dataset includes some programs that primarily serve adults. Step 4 of the cleaning pipeline removes adult-only programs from the child-focused analytical dataset. Total adult-only expenditure removed: $52.3 million across all years, ranging from $0.3 million (FY13) to $12.8 million (FY24).</w:t>
      </w:r>
    </w:p>
    <w:p w14:paraId="260C5A19" w14:textId="77777777" w:rsidR="00A732C3" w:rsidRDefault="00000000">
      <w:pPr>
        <w:pStyle w:val="BodyText"/>
      </w:pPr>
      <w:r>
        <w:rPr>
          <w:b/>
          <w:bCs/>
        </w:rPr>
        <w:t>Retention rules for edge cases:</w:t>
      </w:r>
      <w:r>
        <w:t xml:space="preserve"> Eight program types were reviewed and retained despite serving adults as the primary recipient, because a child outcome is the explicit primary aim. These include: prenatal substance use treatment programs (A Mother’s Love, Pregnant Women Treatment Services) where neonatal abstinence syndrome prevention is a direct child health outcome; MAT programs (Buprenorphine, Methadone, Vivitrol) where the reported expenditure represents only the child-serving share; Family Planning (explicit child health outcome); Child Support Enforcement (explicit child financial welfare outcome); and Conservatorship Legal Assistance for persons with intellectual/developmental disabilities (family stability outcome). Each retention decision is documented in the RM_Analytical_Decisions_Addendum.docx.</w:t>
      </w:r>
    </w:p>
    <w:p w14:paraId="42E949A6" w14:textId="77777777" w:rsidR="00A732C3" w:rsidRDefault="00000000">
      <w:pPr>
        <w:pStyle w:val="Heading3"/>
      </w:pPr>
      <w:bookmarkStart w:id="10" w:name="fy24-column-structure-correction"/>
      <w:bookmarkEnd w:id="9"/>
      <w:r>
        <w:t>2.8 FY24 Column Structure Correction</w:t>
      </w:r>
    </w:p>
    <w:p w14:paraId="0ABB339C" w14:textId="77777777" w:rsidR="00A732C3" w:rsidRDefault="00000000">
      <w:r>
        <w:t>The FY24 Cypra export exhibited a ragged column structure where summary expenditure fields were shifted by varying numbers of columns relative to prior years. A dedicated correction function was applied to detect and realign these columns before merging with the longitudinal dataset. The correction was validated by comparing FY24 program-level totals against the independently computed sum of individual funding slot amounts.</w:t>
      </w:r>
    </w:p>
    <w:p w14:paraId="4AB79407" w14:textId="77777777" w:rsidR="00A732C3" w:rsidRDefault="00000000">
      <w:pPr>
        <w:pStyle w:val="Heading3"/>
      </w:pPr>
      <w:bookmarkStart w:id="11" w:name="exclusions-applied-to-all-analyses"/>
      <w:bookmarkEnd w:id="10"/>
      <w:r>
        <w:t>2.9 Exclusions Applied to All Analyses</w:t>
      </w:r>
    </w:p>
    <w:p w14:paraId="7FB6BEC2" w14:textId="77777777" w:rsidR="00A732C3" w:rsidRDefault="00000000">
      <w:r>
        <w:rPr>
          <w:b/>
          <w:bCs/>
        </w:rPr>
        <w:t>Formula funding (BEP/TISA):</w:t>
      </w:r>
      <w:r>
        <w:t xml:space="preserve"> The Basic Education Program and Tennessee Investment in Student Achievement formula funding—which together represent several billion dollars of formulaic school funding—are excluded from all trend analyses. Because these amounts are set by statutory formula rather than discretionary policy choices, including them would overwhelm every other pattern in the data.</w:t>
      </w:r>
    </w:p>
    <w:p w14:paraId="20C12019" w14:textId="77777777" w:rsidR="00A732C3" w:rsidRDefault="00000000">
      <w:pPr>
        <w:pStyle w:val="BodyText"/>
      </w:pPr>
      <w:r>
        <w:rPr>
          <w:b/>
          <w:bCs/>
        </w:rPr>
        <w:t>Episodic programs:</w:t>
      </w:r>
      <w:r>
        <w:t xml:space="preserve"> Programs active in fewer than three of the four focal years (FY21–FY24) are excluded from trend analyses. A program appearing for only one or two years does not have enough history to measure a meaningful growth trend. These programs are counted separately in a supplemental table.</w:t>
      </w:r>
    </w:p>
    <w:p w14:paraId="2BF9303B" w14:textId="77777777" w:rsidR="00A732C3" w:rsidRDefault="00000000">
      <w:pPr>
        <w:pStyle w:val="BodyText"/>
      </w:pPr>
      <w:r>
        <w:rPr>
          <w:b/>
          <w:bCs/>
          <w:highlight w:val="yellow"/>
        </w:rPr>
        <w:t>Known reporting anomalies:</w:t>
      </w:r>
      <w:r>
        <w:rPr>
          <w:highlight w:val="yellow"/>
        </w:rPr>
        <w:t xml:space="preserve"> WIC (343.53) under the Department of Health is excluded from the COVID &amp; Recovery window (FY20–FY24) because its reported food benefit expenditures dropped by approximately 96% in FY22 and FY23 before returning to normal in FY24. This was identified as a reporting artifact related to Tennessee’s transition to an electronic benefit transfer (EBT) system, not an actual change in program operations. Including it would distort trend estimates for the Healthy outcome and Universal Promotion focus categories.</w:t>
      </w:r>
    </w:p>
    <w:p w14:paraId="11BC1669" w14:textId="77777777" w:rsidR="00A732C3" w:rsidRDefault="00000000">
      <w:pPr>
        <w:pStyle w:val="Heading3"/>
      </w:pPr>
      <w:bookmarkStart w:id="12" w:name="analysis-windows"/>
      <w:bookmarkEnd w:id="11"/>
      <w:r>
        <w:t>2.10 Analysis Windows</w:t>
      </w:r>
    </w:p>
    <w:p w14:paraId="77B47EDA" w14:textId="77777777" w:rsidR="00A732C3" w:rsidRDefault="00000000">
      <w:r>
        <w:t>Three time windows are used:</w:t>
      </w:r>
    </w:p>
    <w:p w14:paraId="627360B0" w14:textId="77777777" w:rsidR="00A732C3" w:rsidRDefault="00000000">
      <w:pPr>
        <w:pStyle w:val="BodyText"/>
      </w:pPr>
      <w:r>
        <w:rPr>
          <w:b/>
          <w:bCs/>
        </w:rPr>
        <w:t>FY15–FY24 (All Years):</w:t>
      </w:r>
      <w:r>
        <w:t xml:space="preserve"> The full ten-year series, used for long-run context and descriptive totals.</w:t>
      </w:r>
    </w:p>
    <w:p w14:paraId="7F512490" w14:textId="77777777" w:rsidR="00A732C3" w:rsidRDefault="00000000">
      <w:pPr>
        <w:pStyle w:val="BodyText"/>
      </w:pPr>
      <w:r>
        <w:rPr>
          <w:b/>
          <w:bCs/>
        </w:rPr>
        <w:t>FY15–FY19 (Pre-COVID):</w:t>
      </w:r>
      <w:r>
        <w:t xml:space="preserve"> The five years before the COVID-19 pandemic disrupted program operations and federal relief funding. Used to establish a baseline trend.</w:t>
      </w:r>
    </w:p>
    <w:p w14:paraId="66F4A657" w14:textId="77777777" w:rsidR="00A732C3" w:rsidRDefault="00000000">
      <w:pPr>
        <w:pStyle w:val="BodyText"/>
      </w:pPr>
      <w:r>
        <w:rPr>
          <w:b/>
          <w:bCs/>
        </w:rPr>
        <w:t>FY20–FY24 (COVID &amp; Recovery):</w:t>
      </w:r>
      <w:r>
        <w:t xml:space="preserve"> The five most recent complete fiscal years, beginning with FY20 as a transition year. This is the primary window for policy-relevant conclusions because it reflects current program structure and funding levels.</w:t>
      </w:r>
    </w:p>
    <w:p w14:paraId="529E4586" w14:textId="77777777" w:rsidR="00A732C3" w:rsidRDefault="00000000">
      <w:pPr>
        <w:pStyle w:val="BodyText"/>
      </w:pPr>
      <w:r>
        <w:lastRenderedPageBreak/>
        <w:t>The post-COVID window is the focus of the seven-step analytic sequence described below. Pre-COVID and all-years analyses are presented for context.</w:t>
      </w:r>
    </w:p>
    <w:p w14:paraId="1CDE116E" w14:textId="77777777" w:rsidR="00A732C3" w:rsidRDefault="00000000">
      <w:pPr>
        <w:pStyle w:val="Heading2"/>
      </w:pPr>
      <w:bookmarkStart w:id="13" w:name="program-classification-methodology"/>
      <w:bookmarkEnd w:id="2"/>
      <w:bookmarkEnd w:id="12"/>
      <w:r>
        <w:t>3. Program Classification Methodology</w:t>
      </w:r>
    </w:p>
    <w:p w14:paraId="0E4F6415" w14:textId="77777777" w:rsidR="00A732C3" w:rsidRDefault="00000000">
      <w:r>
        <w:t>Every program in the longitudinal dataset was classified on two independent dimensions: Programmatic Focus (the mechanism and intensity of service delivery) and Target Outcome (the primary intended outcome for children). This section documents the classification framework, the coding process, the quality assurance procedures, and the inter-rater reliability assessment.</w:t>
      </w:r>
    </w:p>
    <w:p w14:paraId="16BF392C" w14:textId="77777777" w:rsidR="00A732C3" w:rsidRDefault="00000000">
      <w:pPr>
        <w:pStyle w:val="Heading3"/>
      </w:pPr>
      <w:bookmarkStart w:id="14" w:name="classification-framework"/>
      <w:r>
        <w:t>3.1 Classification Framework</w:t>
      </w:r>
    </w:p>
    <w:p w14:paraId="410101A9" w14:textId="77777777" w:rsidR="00A732C3" w:rsidRDefault="00000000">
      <w:pPr>
        <w:pStyle w:val="Heading4"/>
      </w:pPr>
      <w:bookmarkStart w:id="15" w:name="programmatic-focus-7-categories"/>
      <w:r>
        <w:t>Programmatic Focus (7 categories)</w:t>
      </w:r>
    </w:p>
    <w:p w14:paraId="5EA97E78" w14:textId="77777777" w:rsidR="00A732C3" w:rsidRDefault="00000000">
      <w:r>
        <w:t>Programs are classified based on how intensive the services are and who they target. The seven categories form a continuum from least to most intensive:</w:t>
      </w:r>
    </w:p>
    <w:tbl>
      <w:tblPr>
        <w:tblW w:w="4870" w:type="pct"/>
        <w:tblLook w:val="0000" w:firstRow="0" w:lastRow="0" w:firstColumn="0" w:lastColumn="0" w:noHBand="0" w:noVBand="0"/>
      </w:tblPr>
      <w:tblGrid>
        <w:gridCol w:w="1983"/>
        <w:gridCol w:w="4281"/>
        <w:gridCol w:w="2853"/>
      </w:tblGrid>
      <w:tr w:rsidR="00A732C3" w14:paraId="143838C1" w14:textId="77777777">
        <w:tc>
          <w:tcPr>
            <w:tcW w:w="0" w:type="auto"/>
          </w:tcPr>
          <w:p w14:paraId="2765A5C6" w14:textId="77777777" w:rsidR="00A732C3" w:rsidRDefault="00000000">
            <w:r>
              <w:rPr>
                <w:b/>
                <w:bCs/>
              </w:rPr>
              <w:t>Category</w:t>
            </w:r>
          </w:p>
        </w:tc>
        <w:tc>
          <w:tcPr>
            <w:tcW w:w="0" w:type="auto"/>
          </w:tcPr>
          <w:p w14:paraId="01957127" w14:textId="77777777" w:rsidR="00A732C3" w:rsidRDefault="00000000">
            <w:r>
              <w:rPr>
                <w:b/>
                <w:bCs/>
              </w:rPr>
              <w:t>Definition</w:t>
            </w:r>
          </w:p>
        </w:tc>
        <w:tc>
          <w:tcPr>
            <w:tcW w:w="0" w:type="auto"/>
          </w:tcPr>
          <w:p w14:paraId="5D229EF0" w14:textId="77777777" w:rsidR="00A732C3" w:rsidRDefault="00000000">
            <w:r>
              <w:rPr>
                <w:b/>
                <w:bCs/>
              </w:rPr>
              <w:t>Should NOT Include</w:t>
            </w:r>
          </w:p>
        </w:tc>
      </w:tr>
      <w:tr w:rsidR="00A732C3" w14:paraId="5DCC54EC" w14:textId="77777777">
        <w:tc>
          <w:tcPr>
            <w:tcW w:w="0" w:type="auto"/>
          </w:tcPr>
          <w:p w14:paraId="4BE601B4" w14:textId="77777777" w:rsidR="00A732C3" w:rsidRDefault="00000000">
            <w:r>
              <w:rPr>
                <w:b/>
                <w:bCs/>
              </w:rPr>
              <w:t>General Services</w:t>
            </w:r>
          </w:p>
        </w:tc>
        <w:tc>
          <w:tcPr>
            <w:tcW w:w="0" w:type="auto"/>
          </w:tcPr>
          <w:p w14:paraId="51DC3C11" w14:textId="77777777" w:rsidR="00A732C3" w:rsidRDefault="00000000">
            <w:r>
              <w:t>Large-scale operational or universal infrastructure programs not fitting a prevention/intervention logic model</w:t>
            </w:r>
          </w:p>
        </w:tc>
        <w:tc>
          <w:tcPr>
            <w:tcW w:w="0" w:type="auto"/>
          </w:tcPr>
          <w:p w14:paraId="08F944AD" w14:textId="77777777" w:rsidR="00A732C3" w:rsidRDefault="00000000">
            <w:r>
              <w:t>Programs with targeted eligibility</w:t>
            </w:r>
          </w:p>
        </w:tc>
      </w:tr>
      <w:tr w:rsidR="00A732C3" w14:paraId="1AF95D6B" w14:textId="77777777">
        <w:tc>
          <w:tcPr>
            <w:tcW w:w="0" w:type="auto"/>
          </w:tcPr>
          <w:p w14:paraId="02E2C4CB" w14:textId="77777777" w:rsidR="00A732C3" w:rsidRDefault="00000000">
            <w:r>
              <w:rPr>
                <w:b/>
                <w:bCs/>
              </w:rPr>
              <w:t>Universal Promotion &amp; Prevention</w:t>
            </w:r>
          </w:p>
        </w:tc>
        <w:tc>
          <w:tcPr>
            <w:tcW w:w="0" w:type="auto"/>
          </w:tcPr>
          <w:p w14:paraId="50A4582B" w14:textId="77777777" w:rsidR="00A732C3" w:rsidRDefault="00000000">
            <w:r>
              <w:t>Programs available to all children/youth regardless of risk status</w:t>
            </w:r>
          </w:p>
        </w:tc>
        <w:tc>
          <w:tcPr>
            <w:tcW w:w="0" w:type="auto"/>
          </w:tcPr>
          <w:p w14:paraId="4BD73AD8" w14:textId="77777777" w:rsidR="00A732C3" w:rsidRDefault="00000000">
            <w:r>
              <w:t>Programs requiring eligibility screening</w:t>
            </w:r>
          </w:p>
        </w:tc>
      </w:tr>
      <w:tr w:rsidR="00A732C3" w14:paraId="66564949" w14:textId="77777777">
        <w:tc>
          <w:tcPr>
            <w:tcW w:w="0" w:type="auto"/>
          </w:tcPr>
          <w:p w14:paraId="6B818964" w14:textId="77777777" w:rsidR="00A732C3" w:rsidRDefault="00000000">
            <w:r>
              <w:rPr>
                <w:b/>
                <w:bCs/>
              </w:rPr>
              <w:t>Targeted Prevention</w:t>
            </w:r>
          </w:p>
        </w:tc>
        <w:tc>
          <w:tcPr>
            <w:tcW w:w="0" w:type="auto"/>
          </w:tcPr>
          <w:p w14:paraId="6380B205" w14:textId="77777777" w:rsidR="00A732C3" w:rsidRDefault="00000000">
            <w:r>
              <w:t>Programs identifying and serving specific at-risk populations before a problem is fully present</w:t>
            </w:r>
          </w:p>
        </w:tc>
        <w:tc>
          <w:tcPr>
            <w:tcW w:w="0" w:type="auto"/>
          </w:tcPr>
          <w:p w14:paraId="5B3A4AD9" w14:textId="77777777" w:rsidR="00A732C3" w:rsidRDefault="00000000">
            <w:r>
              <w:t>Programs serving adults indirectly; broad universal programs</w:t>
            </w:r>
          </w:p>
        </w:tc>
      </w:tr>
      <w:tr w:rsidR="00A732C3" w14:paraId="66850E8E" w14:textId="77777777">
        <w:tc>
          <w:tcPr>
            <w:tcW w:w="0" w:type="auto"/>
          </w:tcPr>
          <w:p w14:paraId="17466949" w14:textId="77777777" w:rsidR="00A732C3" w:rsidRDefault="00000000">
            <w:r>
              <w:rPr>
                <w:b/>
                <w:bCs/>
              </w:rPr>
              <w:t>Early Intervention</w:t>
            </w:r>
          </w:p>
        </w:tc>
        <w:tc>
          <w:tcPr>
            <w:tcW w:w="0" w:type="auto"/>
          </w:tcPr>
          <w:p w14:paraId="0341E15A" w14:textId="77777777" w:rsidR="00A732C3" w:rsidRDefault="00000000">
            <w:r>
              <w:t>Programs responding to early identified problems in children, especially ages 0–8, or early signs before crisis</w:t>
            </w:r>
          </w:p>
        </w:tc>
        <w:tc>
          <w:tcPr>
            <w:tcW w:w="0" w:type="auto"/>
          </w:tcPr>
          <w:p w14:paraId="116EE648" w14:textId="77777777" w:rsidR="00A732C3" w:rsidRDefault="00000000">
            <w:r>
              <w:t>Court-involved youth; workforce/system programs</w:t>
            </w:r>
          </w:p>
        </w:tc>
      </w:tr>
      <w:tr w:rsidR="00A732C3" w14:paraId="46E5F998" w14:textId="77777777">
        <w:tc>
          <w:tcPr>
            <w:tcW w:w="0" w:type="auto"/>
          </w:tcPr>
          <w:p w14:paraId="198C497C" w14:textId="77777777" w:rsidR="00A732C3" w:rsidRDefault="00000000">
            <w:r>
              <w:rPr>
                <w:b/>
                <w:bCs/>
              </w:rPr>
              <w:t>Moderate Intervention</w:t>
            </w:r>
          </w:p>
        </w:tc>
        <w:tc>
          <w:tcPr>
            <w:tcW w:w="0" w:type="auto"/>
          </w:tcPr>
          <w:p w14:paraId="35EBE31A" w14:textId="77777777" w:rsidR="00A732C3" w:rsidRDefault="00000000">
            <w:r>
              <w:t>Direct clinical or community services to children/youth with an identified problem—outpatient, non-residential</w:t>
            </w:r>
          </w:p>
        </w:tc>
        <w:tc>
          <w:tcPr>
            <w:tcW w:w="0" w:type="auto"/>
          </w:tcPr>
          <w:p w14:paraId="35743A1B" w14:textId="77777777" w:rsidR="00A732C3" w:rsidRDefault="00000000">
            <w:r>
              <w:t>Programs primarily building adult capacity</w:t>
            </w:r>
          </w:p>
        </w:tc>
      </w:tr>
      <w:tr w:rsidR="00A732C3" w14:paraId="0CD006C4" w14:textId="77777777">
        <w:tc>
          <w:tcPr>
            <w:tcW w:w="0" w:type="auto"/>
          </w:tcPr>
          <w:p w14:paraId="7FA5299C" w14:textId="77777777" w:rsidR="00A732C3" w:rsidRDefault="00000000">
            <w:r>
              <w:rPr>
                <w:b/>
                <w:bCs/>
              </w:rPr>
              <w:t>Intensive Intervention</w:t>
            </w:r>
          </w:p>
        </w:tc>
        <w:tc>
          <w:tcPr>
            <w:tcW w:w="0" w:type="auto"/>
          </w:tcPr>
          <w:p w14:paraId="7E3A4D5D" w14:textId="77777777" w:rsidR="00A732C3" w:rsidRDefault="00000000">
            <w:r>
              <w:t>24-hr residential, inpatient hospitalization, crisis stabilization, or secure placement</w:t>
            </w:r>
          </w:p>
        </w:tc>
        <w:tc>
          <w:tcPr>
            <w:tcW w:w="0" w:type="auto"/>
          </w:tcPr>
          <w:p w14:paraId="1DB6E731" w14:textId="77777777" w:rsidR="00A732C3" w:rsidRDefault="00000000">
            <w:r>
              <w:t>Outpatient, community-based, or day treatment</w:t>
            </w:r>
          </w:p>
        </w:tc>
      </w:tr>
      <w:tr w:rsidR="00A732C3" w14:paraId="08CC04D8" w14:textId="77777777">
        <w:tc>
          <w:tcPr>
            <w:tcW w:w="0" w:type="auto"/>
          </w:tcPr>
          <w:p w14:paraId="23A03704" w14:textId="77777777" w:rsidR="00A732C3" w:rsidRDefault="00000000">
            <w:r>
              <w:rPr>
                <w:b/>
                <w:bCs/>
              </w:rPr>
              <w:t>Adult-Focused CB&amp;S</w:t>
            </w:r>
          </w:p>
        </w:tc>
        <w:tc>
          <w:tcPr>
            <w:tcW w:w="0" w:type="auto"/>
          </w:tcPr>
          <w:p w14:paraId="546B5591" w14:textId="77777777" w:rsidR="00A732C3" w:rsidRDefault="00000000">
            <w:r>
              <w:t>Programs building caregiver, system, or workforce capacity to benefit children indirectly</w:t>
            </w:r>
          </w:p>
        </w:tc>
        <w:tc>
          <w:tcPr>
            <w:tcW w:w="0" w:type="auto"/>
          </w:tcPr>
          <w:p w14:paraId="34BE6F99" w14:textId="77777777" w:rsidR="00A732C3" w:rsidRDefault="00000000">
            <w:r>
              <w:t>Direct services to children</w:t>
            </w:r>
          </w:p>
        </w:tc>
      </w:tr>
    </w:tbl>
    <w:p w14:paraId="15E29828" w14:textId="77777777" w:rsidR="00A732C3" w:rsidRDefault="00000000">
      <w:pPr>
        <w:pStyle w:val="Heading4"/>
      </w:pPr>
      <w:bookmarkStart w:id="16" w:name="target-outcome-5-domains"/>
      <w:bookmarkEnd w:id="15"/>
      <w:r>
        <w:t>Target Outcome (5 domains)</w:t>
      </w:r>
    </w:p>
    <w:p w14:paraId="30F3E729" w14:textId="77777777" w:rsidR="00A732C3" w:rsidRDefault="00000000">
      <w:r>
        <w:t>Programs are classified by the primary outcome they are designed to improve: Educated, Healthy, Nurtured and Supported, Safe, and Engaged. These five domains correspond to TCCY’s statutory framework for child wellbeing as established in TCA 37-3-116.</w:t>
      </w:r>
    </w:p>
    <w:p w14:paraId="17F7E551" w14:textId="77777777" w:rsidR="00A732C3" w:rsidRDefault="00000000">
      <w:pPr>
        <w:pStyle w:val="Heading3"/>
      </w:pPr>
      <w:bookmarkStart w:id="17" w:name="llm-assisted-initial-coding"/>
      <w:bookmarkEnd w:id="14"/>
      <w:bookmarkEnd w:id="16"/>
      <w:r>
        <w:t>3.2 LLM-Assisted Initial Coding</w:t>
      </w:r>
    </w:p>
    <w:p w14:paraId="1C250A9A" w14:textId="77777777" w:rsidR="00A732C3" w:rsidRDefault="00000000">
      <w:r>
        <w:t>Initial classification of all 937 unique programs was performed using a large language model (Anthropic Claude) with a structured prompt containing:</w:t>
      </w:r>
    </w:p>
    <w:p w14:paraId="541475EF" w14:textId="77777777" w:rsidR="00A732C3" w:rsidRDefault="00000000">
      <w:pPr>
        <w:pStyle w:val="BodyText"/>
      </w:pPr>
      <w:r>
        <w:rPr>
          <w:b/>
          <w:bCs/>
        </w:rPr>
        <w:t>Anchor examples:</w:t>
      </w:r>
      <w:r>
        <w:t xml:space="preserve"> Three to seven named Tennessee programs per Programmatic Focus category and per Outcome domain, selected to illustrate boundary cases and typical examples.</w:t>
      </w:r>
    </w:p>
    <w:p w14:paraId="2FFD304F" w14:textId="77777777" w:rsidR="00A732C3" w:rsidRDefault="00000000">
      <w:pPr>
        <w:pStyle w:val="BodyText"/>
      </w:pPr>
      <w:r>
        <w:rPr>
          <w:b/>
          <w:bCs/>
        </w:rPr>
        <w:t>Decision rules:</w:t>
      </w:r>
      <w:r>
        <w:t xml:space="preserve"> Explicit instructions for common boundary cases, including: General Services vs. Universal Promotion (does it deliver a service directly?); Targeted Prevention vs. Early Intervention (demographic risk vs. identified early signs?); Moderate vs. Intensive (community-</w:t>
      </w:r>
      <w:r>
        <w:lastRenderedPageBreak/>
        <w:t>based outpatient vs. residential/24-hour?); and court-appointed legal services (Guardian ad Litem, parent attorneys) as Moderate Intervention.</w:t>
      </w:r>
    </w:p>
    <w:p w14:paraId="1F33226A" w14:textId="77777777" w:rsidR="00A732C3" w:rsidRDefault="00000000">
      <w:pPr>
        <w:pStyle w:val="BodyText"/>
      </w:pPr>
      <w:r>
        <w:rPr>
          <w:b/>
          <w:bCs/>
        </w:rPr>
        <w:t>Two-pass consistency enforcement:</w:t>
      </w:r>
      <w:r>
        <w:t xml:space="preserve"> After the initial API-based coding pass, a second automated pass grouped rows by program description text. Where the same description received different codes across fiscal years, majority-vote logic was applied and all corrections were logged in an audit CSV for manual review.</w:t>
      </w:r>
    </w:p>
    <w:p w14:paraId="07BBFC93" w14:textId="77777777" w:rsidR="00A732C3" w:rsidRDefault="00000000">
      <w:pPr>
        <w:pStyle w:val="BodyText"/>
      </w:pPr>
      <w:r>
        <w:t>The LLM-assigned codes served as the starting point for manual audit, not as final classifications.</w:t>
      </w:r>
    </w:p>
    <w:p w14:paraId="51D5527E" w14:textId="77777777" w:rsidR="00A732C3" w:rsidRDefault="00000000">
      <w:pPr>
        <w:pStyle w:val="Heading3"/>
      </w:pPr>
      <w:bookmarkStart w:id="18" w:name="manual-audit-and-correction"/>
      <w:bookmarkEnd w:id="17"/>
      <w:r>
        <w:t>3.3 Manual Audit and Correction</w:t>
      </w:r>
    </w:p>
    <w:p w14:paraId="7FCA835C" w14:textId="77777777" w:rsidR="00A732C3" w:rsidRDefault="00000000">
      <w:r>
        <w:t>The LLM-generated classifications were subjected to a comprehensive manual audit by the Resource Mapping Manager. The audit reviewed all 937 programs against the classification framework definitions and decision rules. Programs flagged during the audit were recoded, with rationale documented in the RM_Program_Coding_Reference.xlsx file.</w:t>
      </w:r>
    </w:p>
    <w:p w14:paraId="171E6D97" w14:textId="77777777" w:rsidR="00A732C3" w:rsidRDefault="00000000">
      <w:pPr>
        <w:pStyle w:val="BodyText"/>
      </w:pPr>
      <w:r>
        <w:t>Common correction patterns included:</w:t>
      </w:r>
    </w:p>
    <w:p w14:paraId="055EF56D" w14:textId="77777777" w:rsidR="00A732C3" w:rsidRDefault="00000000">
      <w:pPr>
        <w:numPr>
          <w:ilvl w:val="0"/>
          <w:numId w:val="20"/>
        </w:numPr>
      </w:pPr>
      <w:r>
        <w:t>Reclassification of court-involved programs from Intensive to Moderate Intervention; reclassification of system-level coordination programs from direct service categories to Adult-Focused Capacity Building; correction of training and technical assistance programs miscoded as direct child services; and resolution of boundary cases between Targeted Prevention and Early Intervention based on eligibility criteria rather than program titles.</w:t>
      </w:r>
    </w:p>
    <w:p w14:paraId="26FA1996" w14:textId="77777777" w:rsidR="00A732C3" w:rsidRDefault="00000000">
      <w:r>
        <w:t>Following the manual audit, all 937 programs across 32 agencies achieved 0 classification inconsistencies—every program receives identical Focus and Outcome codes in every fiscal year in which it appears, ensuring valid longitudinal comparison.</w:t>
      </w:r>
    </w:p>
    <w:p w14:paraId="63B451CD" w14:textId="77777777" w:rsidR="00A732C3" w:rsidRDefault="00000000">
      <w:pPr>
        <w:pStyle w:val="Heading3"/>
      </w:pPr>
      <w:bookmarkStart w:id="19" w:name="inter-rater-reliability"/>
      <w:bookmarkEnd w:id="18"/>
      <w:r>
        <w:t>3.4 Inter-Rater Reliability</w:t>
      </w:r>
    </w:p>
    <w:p w14:paraId="17B31C29" w14:textId="77777777" w:rsidR="00A732C3" w:rsidRDefault="00000000">
      <w:r>
        <w:t>To assess the reliability of the classification system, a secondary coding exercise was conducted following standards established in the content analysis literature (Lombard et al., 2002; Neuendorf, 2002).</w:t>
      </w:r>
    </w:p>
    <w:p w14:paraId="4D4C1FF2" w14:textId="77777777" w:rsidR="00A732C3" w:rsidRDefault="00000000">
      <w:pPr>
        <w:pStyle w:val="BodyText"/>
      </w:pPr>
      <w:r>
        <w:rPr>
          <w:b/>
          <w:bCs/>
        </w:rPr>
        <w:t>Reliability sample:</w:t>
      </w:r>
      <w:r>
        <w:t xml:space="preserve"> A stratified random sample of 55 programs (~10% of the 937-program universe) was selected for independent double-coding. The sampling procedure ensured representation across all Programmatic Focus and Outcome categories while avoiding redundant program variants (e.g., multiple Governor’s Schools or different aspects of a single Title program were not both included). The 10% threshold exceeds the minimum recommendation of 50 units or 10% of the sample (Neuendorf, 2002; Lacy &amp; Riffe, 1996).</w:t>
      </w:r>
    </w:p>
    <w:p w14:paraId="7C725297" w14:textId="77777777" w:rsidR="00A732C3" w:rsidRDefault="00000000">
      <w:pPr>
        <w:pStyle w:val="BodyText"/>
      </w:pPr>
      <w:r>
        <w:rPr>
          <w:b/>
          <w:bCs/>
        </w:rPr>
        <w:t>Coding tool:</w:t>
      </w:r>
      <w:r>
        <w:t xml:space="preserve"> Independent coders received an Excel-based coding tool containing program names, agency names, and program descriptions with validated dropdown menus for both Programmatic Focus and Outcome. The tool included the full classification framework definitions but did not reveal existing TCCY codes. Coders worked independently and without discussion until the exercise was complete.</w:t>
      </w:r>
    </w:p>
    <w:p w14:paraId="48D7563A" w14:textId="77777777" w:rsidR="00A732C3" w:rsidRDefault="00000000">
      <w:pPr>
        <w:pStyle w:val="BodyText"/>
      </w:pPr>
      <w:r>
        <w:rPr>
          <w:b/>
          <w:bCs/>
        </w:rPr>
        <w:t>Reliability statistic:</w:t>
      </w:r>
      <w:r>
        <w:t xml:space="preserve"> Agreement is assessed using Cohen’s kappa (κ), which corrects for chance agreement on nominal categories. Separate kappa values are computed for Programmatic Focus (7 categories) and TCCY Outcome (5 categories). A kappa of ≥ 0.80 is considered strong agreement suitable for policy-relevant classification (Lombard et al., 2002).</w:t>
      </w:r>
    </w:p>
    <w:p w14:paraId="0813D427" w14:textId="77777777" w:rsidR="00A732C3" w:rsidRDefault="00000000">
      <w:pPr>
        <w:pStyle w:val="BodyText"/>
      </w:pPr>
      <w:r>
        <w:rPr>
          <w:i/>
          <w:iCs/>
        </w:rPr>
        <w:t xml:space="preserve">Inter-rater reliability results: Cohen’s kappa for Programmatic Focus = 0.413 (moderate agreement); Cohen’s kappa for TCCY Outcome = 0.597 (moderate agreement). Raw agreement was 51.0 percent for Programmatic Focus and 70.7 percent for Primary Outcome </w:t>
      </w:r>
      <w:r>
        <w:rPr>
          <w:i/>
          <w:iCs/>
        </w:rPr>
        <w:lastRenderedPageBreak/>
        <w:t>across 147 programs. Agreement was highest for the Department of Education (96 percent for Outcome, 69 percent for Focus) and lowest for the Department of Health (Focus: 23 percent) and the Department of Mental Health and Substance Abuse Services (Outcome: 60 percent). The moderate level of agreement on both taxonomies is consistent with findings in other classification studies using multi-category coding schemes and reflects both the inherent complexity of categorizing diverse programs and opportunities for improved reporter training. Two systematic disagreement patterns were identified and are discussed in detail in the Classification Validation section of this report.</w:t>
      </w:r>
    </w:p>
    <w:p w14:paraId="7BBE90EA" w14:textId="77777777" w:rsidR="00A732C3" w:rsidRDefault="00000000">
      <w:pPr>
        <w:pStyle w:val="Heading3"/>
      </w:pPr>
      <w:bookmarkStart w:id="20" w:name="year-over-year-data-quality-verification"/>
      <w:bookmarkEnd w:id="19"/>
      <w:r>
        <w:t>3.5 Year-Over-Year Data Quality Verification</w:t>
      </w:r>
    </w:p>
    <w:p w14:paraId="58CA5C6A" w14:textId="77777777" w:rsidR="00A732C3" w:rsidRDefault="00000000">
      <w:r>
        <w:t>Following initial data preparation, a systematic year-over-year comparison was conducted for all programs in the FY25 dataset. Each program’s FY25 reported expenditures and NServed were compared against its FY24 values, and programs exhibiting significant changes (defined as &gt;25% change in total expenditures or &gt;25% change in NServed) were flagged for review.</w:t>
      </w:r>
    </w:p>
    <w:p w14:paraId="66482EA4" w14:textId="77777777" w:rsidR="00A732C3" w:rsidRDefault="00000000">
      <w:pPr>
        <w:pStyle w:val="BodyText"/>
      </w:pPr>
      <w:r>
        <w:t>Individualized outreach emails were drafted and sent to program reporters at 14+ agencies, including the Department of Education, the Department of Health, the Department of Mental Health and Substance Abuse Services, and the Tennessee State Museum. Each email identified the specific discrepancies observed and requested confirmation of accuracy or submission of corrected data.</w:t>
      </w:r>
    </w:p>
    <w:p w14:paraId="7A322523" w14:textId="77777777" w:rsidR="00A732C3" w:rsidRDefault="00000000">
      <w:pPr>
        <w:pStyle w:val="Heading2"/>
      </w:pPr>
      <w:bookmarkStart w:id="21" w:name="the-five-analytical-domains"/>
      <w:bookmarkEnd w:id="13"/>
      <w:bookmarkEnd w:id="20"/>
      <w:r>
        <w:t>4. The Five Analytical Domains</w:t>
      </w:r>
    </w:p>
    <w:p w14:paraId="70C7AE91" w14:textId="77777777" w:rsidR="00A732C3" w:rsidRDefault="00000000">
      <w:r>
        <w:t>The same seven-step analytical sequence is applied within each of five domains. A domain is simply a way of grouping programs to answer different policy questions.</w:t>
      </w:r>
    </w:p>
    <w:p w14:paraId="3780DE72" w14:textId="77777777" w:rsidR="00A732C3" w:rsidRDefault="00000000">
      <w:pPr>
        <w:pStyle w:val="Heading3"/>
      </w:pPr>
      <w:bookmarkStart w:id="22" w:name="overall-statewide"/>
      <w:r>
        <w:t>4.1 Overall (Statewide)</w:t>
      </w:r>
    </w:p>
    <w:p w14:paraId="65E2994C" w14:textId="77777777" w:rsidR="00A732C3" w:rsidRDefault="00000000">
      <w:r>
        <w:t>All programs in the dataset are analyzed together. This gives the legislature the big-picture view: how much is Tennessee investing in children and youth programs in total, and how has that changed?</w:t>
      </w:r>
    </w:p>
    <w:p w14:paraId="411FE94D" w14:textId="77777777" w:rsidR="00A732C3" w:rsidRDefault="00000000">
      <w:pPr>
        <w:pStyle w:val="Heading3"/>
      </w:pPr>
      <w:bookmarkStart w:id="23" w:name="by-agency"/>
      <w:bookmarkEnd w:id="22"/>
      <w:r>
        <w:t>4.2 By Agency</w:t>
      </w:r>
    </w:p>
    <w:p w14:paraId="00461002" w14:textId="77777777" w:rsidR="00A732C3" w:rsidRDefault="00000000">
      <w:r>
        <w:t>Programs are grouped by the state agency that administers them. This domain answers: which agencies are growing their investment, which are holding steady, and which are contracting?</w:t>
      </w:r>
    </w:p>
    <w:p w14:paraId="1AE0D8D2" w14:textId="77777777" w:rsidR="00A732C3" w:rsidRDefault="00000000">
      <w:pPr>
        <w:pStyle w:val="Heading3"/>
      </w:pPr>
      <w:bookmarkStart w:id="24" w:name="by-programmatic-focus"/>
      <w:bookmarkEnd w:id="23"/>
      <w:r>
        <w:t>4.3 By Programmatic Focus</w:t>
      </w:r>
    </w:p>
    <w:p w14:paraId="3EEABDB1" w14:textId="77777777" w:rsidR="00A732C3" w:rsidRDefault="00000000">
      <w:r>
        <w:t>Programs are classified into the seven focus categories described in Section 3.1. This domain answers: is Tennessee investing more in prevention (earlier in the continuum) or more in intensive intervention (later in the continuum)? This question has direct implications for cost-effectiveness, since published research consistently shows that earlier intervention produces higher returns per dollar invested (Heckman, 2012; García et al., 2020).</w:t>
      </w:r>
    </w:p>
    <w:p w14:paraId="4E7C0984" w14:textId="77777777" w:rsidR="00A732C3" w:rsidRDefault="00000000">
      <w:pPr>
        <w:pStyle w:val="Heading3"/>
      </w:pPr>
      <w:bookmarkStart w:id="25" w:name="by-tccy-outcome"/>
      <w:bookmarkEnd w:id="24"/>
      <w:r>
        <w:t>4.4 By TCCY Outcome</w:t>
      </w:r>
    </w:p>
    <w:p w14:paraId="0785DB1B" w14:textId="77777777" w:rsidR="00A732C3" w:rsidRDefault="00000000">
      <w:r>
        <w:t>Programs are classified by the primary outcome they are designed to improve, using TCCY’s five outcome domains: Educated, Healthy, Nurtured and Supported, Safe, and Engaged. This domain answers: across the full range of children’s needs, where is investment growing and where is it declining?</w:t>
      </w:r>
    </w:p>
    <w:p w14:paraId="35335F98" w14:textId="77777777" w:rsidR="00A732C3" w:rsidRDefault="00000000">
      <w:pPr>
        <w:pStyle w:val="Heading3"/>
      </w:pPr>
      <w:bookmarkStart w:id="26" w:name="early-childhood-under-6"/>
      <w:bookmarkEnd w:id="25"/>
      <w:r>
        <w:t>4.5 Early Childhood (Under 6)</w:t>
      </w:r>
    </w:p>
    <w:p w14:paraId="0EE71A52" w14:textId="77777777" w:rsidR="00A732C3" w:rsidRDefault="00000000">
      <w:r>
        <w:lastRenderedPageBreak/>
        <w:t>Programs are divided into two groups: those primarily serving children under age six (Early Childhood), and all others. This domain answers: is Tennessee’s investment in the earliest years of life keeping pace with investment in programs serving older children? Research on brain development and economic returns to early investment makes this a particularly important policy question (Heckman et al., 2010; García et al., 2020).</w:t>
      </w:r>
    </w:p>
    <w:p w14:paraId="52E975EF" w14:textId="77777777" w:rsidR="00A732C3" w:rsidRDefault="00000000">
      <w:pPr>
        <w:pStyle w:val="Heading2"/>
      </w:pPr>
      <w:bookmarkStart w:id="27" w:name="the-seven-analytical-steps"/>
      <w:bookmarkEnd w:id="21"/>
      <w:bookmarkEnd w:id="26"/>
      <w:r>
        <w:t>5. The Seven Analytical Steps</w:t>
      </w:r>
    </w:p>
    <w:p w14:paraId="615E29DD" w14:textId="77777777" w:rsidR="00A732C3" w:rsidRDefault="00000000">
      <w:r>
        <w:t>Within each domain, seven analyses are conducted in sequence. Each step answers a specific question that the previous step alone cannot answer. Together, they form a complete picture of both the size and trajectory of Tennessee’s investment.</w:t>
      </w:r>
    </w:p>
    <w:tbl>
      <w:tblPr>
        <w:tblW w:w="4865" w:type="pct"/>
        <w:tblLook w:val="0000" w:firstRow="0" w:lastRow="0" w:firstColumn="0" w:lastColumn="0" w:noHBand="0" w:noVBand="0"/>
      </w:tblPr>
      <w:tblGrid>
        <w:gridCol w:w="9107"/>
      </w:tblGrid>
      <w:tr w:rsidR="00A732C3" w14:paraId="5E3D69F9" w14:textId="77777777">
        <w:tc>
          <w:tcPr>
            <w:tcW w:w="0" w:type="auto"/>
          </w:tcPr>
          <w:p w14:paraId="7478ED88" w14:textId="77777777" w:rsidR="00A732C3" w:rsidRDefault="00000000">
            <w:r>
              <w:rPr>
                <w:b/>
                <w:bCs/>
              </w:rPr>
              <w:t>A Note on Statistics</w:t>
            </w:r>
          </w:p>
        </w:tc>
      </w:tr>
      <w:tr w:rsidR="00A732C3" w14:paraId="1CF60981" w14:textId="77777777">
        <w:tc>
          <w:tcPr>
            <w:tcW w:w="0" w:type="auto"/>
          </w:tcPr>
          <w:p w14:paraId="75176120" w14:textId="77777777" w:rsidR="00A732C3" w:rsidRDefault="00000000">
            <w:r>
              <w:t xml:space="preserve">Steps 2–7 use a statistical method called bootstrapping to determine whether differences between groups are real or could have occurred by chance. The method works by repeatedly resampling the data 5,000 times to build a picture of how much natural variation exists. A finding is considered “significant” when the difference between a group and the others is large enough relative to that natural variation that it is unlikely to be a coincidence. A bias-corrected 90% confidence interval is used throughout, consistent with standards for exploratory policy research </w:t>
            </w:r>
            <w:r>
              <w:rPr>
                <w:highlight w:val="yellow"/>
              </w:rPr>
              <w:t>(SOURCE).</w:t>
            </w:r>
          </w:p>
        </w:tc>
      </w:tr>
    </w:tbl>
    <w:p w14:paraId="25D75D87" w14:textId="77777777" w:rsidR="00A732C3" w:rsidRDefault="00000000">
      <w:pPr>
        <w:pStyle w:val="Heading3"/>
      </w:pPr>
      <w:bookmarkStart w:id="28" w:name="step-1-change-in-total-expenditures"/>
      <w:r>
        <w:t>Step 1: Change in Total Expenditures</w:t>
      </w:r>
    </w:p>
    <w:p w14:paraId="522BB858" w14:textId="77777777" w:rsidR="00A732C3" w:rsidRDefault="00000000">
      <w:r>
        <w:rPr>
          <w:b/>
          <w:bCs/>
        </w:rPr>
        <w:t>What is measured:</w:t>
      </w:r>
      <w:r>
        <w:t xml:space="preserve"> The total dollar amount spent across all programs in the category, reported for each fiscal year. The change from the first year to the last year is calculated in both dollar terms and percentage terms, along with the Compound Annual Growth Rate (CAGR).</w:t>
      </w:r>
    </w:p>
    <w:p w14:paraId="724BD990" w14:textId="77777777" w:rsidR="00A732C3" w:rsidRDefault="00000000">
      <w:pPr>
        <w:pStyle w:val="BodyText"/>
      </w:pPr>
      <w:r>
        <w:rPr>
          <w:b/>
          <w:bCs/>
        </w:rPr>
        <w:t>Why this step comes first:</w:t>
      </w:r>
      <w:r>
        <w:t xml:space="preserve"> Before asking any comparative or statistical questions, it is essential to know the basic facts: how much money is involved, and is it going up or down?</w:t>
      </w:r>
    </w:p>
    <w:p w14:paraId="62E66218" w14:textId="77777777" w:rsidR="00A732C3" w:rsidRDefault="00000000">
      <w:pPr>
        <w:pStyle w:val="BodyText"/>
      </w:pPr>
      <w:r>
        <w:rPr>
          <w:b/>
          <w:bCs/>
        </w:rPr>
        <w:t>Limitation:</w:t>
      </w:r>
      <w:r>
        <w:t xml:space="preserve"> A category might show large dollar growth simply because one very large program expanded, while most programs were flat or declining. Steps 4 and 5 address this.</w:t>
      </w:r>
    </w:p>
    <w:p w14:paraId="3B4E2B6E" w14:textId="77777777" w:rsidR="00A732C3" w:rsidRDefault="00000000">
      <w:pPr>
        <w:pStyle w:val="Heading3"/>
      </w:pPr>
      <w:bookmarkStart w:id="29" w:name="X100520c469743c8a57fe4bb070b1aed37435451"/>
      <w:bookmarkEnd w:id="28"/>
      <w:r>
        <w:t>Step 2: Difference in Rate of Change in Total Expenditures (Bootstrapped Vs-Rest Test)</w:t>
      </w:r>
    </w:p>
    <w:p w14:paraId="40E4E657" w14:textId="77777777" w:rsidR="00A732C3" w:rsidRDefault="00000000">
      <w:r>
        <w:rPr>
          <w:b/>
          <w:bCs/>
        </w:rPr>
        <w:t>What is measured:</w:t>
      </w:r>
      <w:r>
        <w:t xml:space="preserve"> For each program individually, a statistical trend line is fitted to its annual total expenditure over the focal period. The slope of that trend line—expressed as an approximate annual percentage change—is the program’s growth rate. Within each category, the median of all individual program growth rates is computed and compared to the average of the medians from all other categories in the same domain.</w:t>
      </w:r>
    </w:p>
    <w:p w14:paraId="2865671B" w14:textId="77777777" w:rsidR="00A732C3" w:rsidRDefault="00000000">
      <w:pPr>
        <w:pStyle w:val="BodyText"/>
      </w:pPr>
      <w:r>
        <w:rPr>
          <w:b/>
          <w:bCs/>
        </w:rPr>
        <w:t>Why the median:</w:t>
      </w:r>
      <w:r>
        <w:t xml:space="preserve"> Expenditure data is highly skewed. A small number of very large programs can pull the average far from what is typical. The median represents the experience of the typical program.</w:t>
      </w:r>
    </w:p>
    <w:p w14:paraId="553145EF" w14:textId="77777777" w:rsidR="00A732C3" w:rsidRDefault="00000000">
      <w:pPr>
        <w:pStyle w:val="BodyText"/>
      </w:pPr>
      <w:r>
        <w:rPr>
          <w:b/>
          <w:bCs/>
        </w:rPr>
        <w:t>The bootstrap test:</w:t>
      </w:r>
      <w:r>
        <w:t xml:space="preserve"> A bias-corrected bootstrap procedure with 5,000 resampling iterations constructs a 90% confidence interval around the difference between each group’s median growth rate and the field average. If the interval excludes zero, the difference is statistically significant.</w:t>
      </w:r>
    </w:p>
    <w:p w14:paraId="5E54B478" w14:textId="77777777" w:rsidR="00A732C3" w:rsidRDefault="00000000">
      <w:pPr>
        <w:pStyle w:val="Heading3"/>
      </w:pPr>
      <w:bookmarkStart w:id="30" w:name="X59809790c05dfa397319d6a31c2014b9c81f50a"/>
      <w:bookmarkEnd w:id="29"/>
      <w:r>
        <w:t>Step 3: Difference in Rate of Change in State Expenditures</w:t>
      </w:r>
    </w:p>
    <w:p w14:paraId="729C46D8" w14:textId="77777777" w:rsidR="00A732C3" w:rsidRDefault="00000000">
      <w:r>
        <w:rPr>
          <w:b/>
          <w:bCs/>
        </w:rPr>
        <w:t>What is measured:</w:t>
      </w:r>
      <w:r>
        <w:t xml:space="preserve"> The same bootstrapped vs-rest comparison as Step 2, but using each program’s state-only expenditures. Only programs with state funding greater than zero are included.</w:t>
      </w:r>
    </w:p>
    <w:p w14:paraId="7056B1D8" w14:textId="77777777" w:rsidR="00A732C3" w:rsidRDefault="00000000">
      <w:pPr>
        <w:pStyle w:val="BodyText"/>
      </w:pPr>
      <w:r>
        <w:rPr>
          <w:b/>
          <w:bCs/>
        </w:rPr>
        <w:lastRenderedPageBreak/>
        <w:t>Why this step is necessary:</w:t>
      </w:r>
      <w:r>
        <w:t xml:space="preserve"> Federal funding is largely driven by federal priorities, formula allocations, and temporary relief programs. State expenditures reflect deliberate decisions made by the Tennessee General Assembly. Comparing Steps 2 and 3 reveals whether a category’s growth trend is driven by the state’s own investment choices or by external federal funding.</w:t>
      </w:r>
    </w:p>
    <w:p w14:paraId="48F1A288" w14:textId="77777777" w:rsidR="00A732C3" w:rsidRDefault="00000000">
      <w:pPr>
        <w:pStyle w:val="Heading3"/>
      </w:pPr>
      <w:bookmarkStart w:id="31" w:name="X28cb945567e0771707dcde43544663e6dbd6575"/>
      <w:bookmarkEnd w:id="30"/>
      <w:r>
        <w:t>Step 4: Difference in Rate of Change in Group (Focus, Outcome, and Early Childhood) Median Expenditure</w:t>
      </w:r>
    </w:p>
    <w:p w14:paraId="78F50701" w14:textId="77777777" w:rsidR="00A732C3" w:rsidRDefault="00000000">
      <w:r>
        <w:rPr>
          <w:b/>
          <w:bCs/>
        </w:rPr>
        <w:t>What is measured:</w:t>
      </w:r>
      <w:r>
        <w:t xml:space="preserve"> The group’s median program expenditure in each year, with a trend line fitted directly to that series. This measures how the size of the typical program in the category has changed over time.</w:t>
      </w:r>
    </w:p>
    <w:p w14:paraId="6B1ABC21" w14:textId="77777777" w:rsidR="00A732C3" w:rsidRDefault="00000000">
      <w:pPr>
        <w:pStyle w:val="BodyText"/>
      </w:pPr>
      <w:r>
        <w:rPr>
          <w:b/>
          <w:bCs/>
        </w:rPr>
        <w:t>How this differs from Step 2:</w:t>
      </w:r>
      <w:r>
        <w:t xml:space="preserve"> Step 2 takes the median of individual growth rates. Step 4 tracks how the median program size changes year to year. These can diverge when programs enter or exit the category during the analysis window.</w:t>
      </w:r>
    </w:p>
    <w:p w14:paraId="7BB0271C" w14:textId="77777777" w:rsidR="00A732C3" w:rsidRDefault="00000000">
      <w:pPr>
        <w:pStyle w:val="Heading3"/>
      </w:pPr>
      <w:bookmarkStart w:id="32" w:name="X5a8b4f34e5e1edcc99eeaaa20b278964920dff9"/>
      <w:bookmarkEnd w:id="31"/>
      <w:r>
        <w:t>Step 5: Difference in Rate of Change in Group (Focus, Outcome, and Early Childhood) Mean Expenditure</w:t>
      </w:r>
    </w:p>
    <w:p w14:paraId="2FD95762" w14:textId="77777777" w:rsidR="00A732C3" w:rsidRDefault="00000000">
      <w:r>
        <w:rPr>
          <w:b/>
          <w:bCs/>
        </w:rPr>
        <w:t>What is measured:</w:t>
      </w:r>
      <w:r>
        <w:t xml:space="preserve"> The same as Step 4 but using the mean (average) program expenditure. Comparing Steps 4 and 5 reveals whether growth is broad-based (mean and median tell similar stories) or concentrated in a few large programs (mean grows faster than median).</w:t>
      </w:r>
    </w:p>
    <w:p w14:paraId="3FFA07F8" w14:textId="77777777" w:rsidR="00A732C3" w:rsidRDefault="00000000">
      <w:pPr>
        <w:pStyle w:val="Heading3"/>
      </w:pPr>
      <w:bookmarkStart w:id="33" w:name="X9ce45b5ca050ab17a3ffcc7a40ac5bc4af3a67b"/>
      <w:bookmarkEnd w:id="32"/>
      <w:r>
        <w:t>Step 6: Difference in Rate of Change in Cost per Child (Total)</w:t>
      </w:r>
    </w:p>
    <w:p w14:paraId="761085DD" w14:textId="77777777" w:rsidR="00A732C3" w:rsidRDefault="00000000">
      <w:r>
        <w:rPr>
          <w:b/>
          <w:bCs/>
        </w:rPr>
        <w:t>What is measured:</w:t>
      </w:r>
      <w:r>
        <w:t xml:space="preserve"> For each program reporting children served, a cost-per-child ratio is computed for each year (total expenditures ÷ children served). A trend line is fitted and the bootstrapped vs-rest comparison tests whether the median cost-per-child growth rate in each category differs from the field average.</w:t>
      </w:r>
    </w:p>
    <w:p w14:paraId="72EC6824" w14:textId="77777777" w:rsidR="00A732C3" w:rsidRDefault="00000000">
      <w:pPr>
        <w:pStyle w:val="BodyText"/>
      </w:pPr>
      <w:r>
        <w:rPr>
          <w:b/>
          <w:bCs/>
        </w:rPr>
        <w:t>Exclusion:</w:t>
      </w:r>
      <w:r>
        <w:t xml:space="preserve"> Programs reporting more than 1,000,000 children served are excluded from this analysis, as those figures typically reflect population-level counts rather than direct service contacts.</w:t>
      </w:r>
    </w:p>
    <w:p w14:paraId="72642CD4" w14:textId="77777777" w:rsidR="00A732C3" w:rsidRDefault="00000000">
      <w:pPr>
        <w:pStyle w:val="BodyText"/>
      </w:pPr>
      <w:r>
        <w:rPr>
          <w:b/>
          <w:bCs/>
        </w:rPr>
        <w:t>Why this step matters:</w:t>
      </w:r>
      <w:r>
        <w:t xml:space="preserve"> Expenditure growth alone does not tell you whether investment is keeping pace with the number of children being served. Step 6 directly measures the efficiency and reach story.</w:t>
      </w:r>
    </w:p>
    <w:p w14:paraId="0818B5AF" w14:textId="77777777" w:rsidR="00A732C3" w:rsidRDefault="00000000">
      <w:pPr>
        <w:pStyle w:val="Heading3"/>
      </w:pPr>
      <w:bookmarkStart w:id="34" w:name="Xcc3e0708135904efabeffc90ffb73a487516f0f"/>
      <w:bookmarkEnd w:id="33"/>
      <w:r>
        <w:t>Step 7: Difference in Rate of Change in State Cost per Child</w:t>
      </w:r>
    </w:p>
    <w:p w14:paraId="36FEA702" w14:textId="77777777" w:rsidR="00A732C3" w:rsidRDefault="00000000">
      <w:r>
        <w:rPr>
          <w:b/>
          <w:bCs/>
        </w:rPr>
        <w:t>What is measured:</w:t>
      </w:r>
      <w:r>
        <w:t xml:space="preserve"> The same as Step 6 but using state expenditures in the numerator. This isolates the state’s specific contribution to per-child investment, separate from the federal contribution.</w:t>
      </w:r>
    </w:p>
    <w:p w14:paraId="6259C68D" w14:textId="77777777" w:rsidR="00A732C3" w:rsidRDefault="00000000">
      <w:pPr>
        <w:pStyle w:val="BodyText"/>
      </w:pPr>
      <w:r>
        <w:rPr>
          <w:b/>
          <w:bCs/>
        </w:rPr>
        <w:t>Why this step completes the sequence:</w:t>
      </w:r>
      <w:r>
        <w:t xml:space="preserve"> This is the most direct measure of the state’s accountability for investment in children. A category where state cost per child is declining is one where Tennessee’s own commitment to each child served is weakening—regardless of what total expenditures look like.</w:t>
      </w:r>
    </w:p>
    <w:p w14:paraId="2922EC5C" w14:textId="77777777" w:rsidR="00A732C3" w:rsidRDefault="00000000">
      <w:pPr>
        <w:pStyle w:val="Heading3"/>
      </w:pPr>
      <w:bookmarkStart w:id="35" w:name="summary-of-the-seven-steps"/>
      <w:bookmarkEnd w:id="34"/>
      <w:r>
        <w:t>Summary of the Seven Steps</w:t>
      </w:r>
    </w:p>
    <w:tbl>
      <w:tblPr>
        <w:tblW w:w="4867" w:type="pct"/>
        <w:tblLook w:val="0000" w:firstRow="0" w:lastRow="0" w:firstColumn="0" w:lastColumn="0" w:noHBand="0" w:noVBand="0"/>
      </w:tblPr>
      <w:tblGrid>
        <w:gridCol w:w="2101"/>
        <w:gridCol w:w="2170"/>
        <w:gridCol w:w="2324"/>
        <w:gridCol w:w="2516"/>
      </w:tblGrid>
      <w:tr w:rsidR="00A732C3" w14:paraId="0048F8B4" w14:textId="77777777">
        <w:tc>
          <w:tcPr>
            <w:tcW w:w="0" w:type="auto"/>
          </w:tcPr>
          <w:p w14:paraId="3BD256CB" w14:textId="77777777" w:rsidR="00A732C3" w:rsidRDefault="00000000">
            <w:r>
              <w:rPr>
                <w:b/>
                <w:bCs/>
              </w:rPr>
              <w:t>Step</w:t>
            </w:r>
          </w:p>
        </w:tc>
        <w:tc>
          <w:tcPr>
            <w:tcW w:w="0" w:type="auto"/>
          </w:tcPr>
          <w:p w14:paraId="0F588DA1" w14:textId="77777777" w:rsidR="00A732C3" w:rsidRDefault="00000000">
            <w:r>
              <w:rPr>
                <w:b/>
                <w:bCs/>
              </w:rPr>
              <w:t>What We Measure</w:t>
            </w:r>
          </w:p>
        </w:tc>
        <w:tc>
          <w:tcPr>
            <w:tcW w:w="0" w:type="auto"/>
          </w:tcPr>
          <w:p w14:paraId="533E11D5" w14:textId="77777777" w:rsidR="00A732C3" w:rsidRDefault="00000000">
            <w:r>
              <w:rPr>
                <w:b/>
                <w:bCs/>
              </w:rPr>
              <w:t>What It Tells Legislators</w:t>
            </w:r>
          </w:p>
        </w:tc>
        <w:tc>
          <w:tcPr>
            <w:tcW w:w="0" w:type="auto"/>
          </w:tcPr>
          <w:p w14:paraId="0F3F0900" w14:textId="77777777" w:rsidR="00A732C3" w:rsidRDefault="00000000">
            <w:r>
              <w:rPr>
                <w:b/>
                <w:bCs/>
              </w:rPr>
              <w:t>Why This Step Comes Here</w:t>
            </w:r>
          </w:p>
        </w:tc>
      </w:tr>
      <w:tr w:rsidR="00A732C3" w14:paraId="148AC85D" w14:textId="77777777">
        <w:tc>
          <w:tcPr>
            <w:tcW w:w="0" w:type="auto"/>
          </w:tcPr>
          <w:p w14:paraId="0A79D19C" w14:textId="77777777" w:rsidR="00A732C3" w:rsidRDefault="00000000">
            <w:r>
              <w:rPr>
                <w:b/>
                <w:bCs/>
              </w:rPr>
              <w:t>1. Total expenditures</w:t>
            </w:r>
          </w:p>
        </w:tc>
        <w:tc>
          <w:tcPr>
            <w:tcW w:w="0" w:type="auto"/>
          </w:tcPr>
          <w:p w14:paraId="7E6AF455" w14:textId="77777777" w:rsidR="00A732C3" w:rsidRDefault="00000000">
            <w:r>
              <w:t>Dollar amount spent each year; total change</w:t>
            </w:r>
          </w:p>
        </w:tc>
        <w:tc>
          <w:tcPr>
            <w:tcW w:w="0" w:type="auto"/>
          </w:tcPr>
          <w:p w14:paraId="682C64F7" w14:textId="77777777" w:rsidR="00A732C3" w:rsidRDefault="00000000">
            <w:r>
              <w:t>Are we spending more or less?</w:t>
            </w:r>
          </w:p>
        </w:tc>
        <w:tc>
          <w:tcPr>
            <w:tcW w:w="0" w:type="auto"/>
          </w:tcPr>
          <w:p w14:paraId="0A2A51A4" w14:textId="77777777" w:rsidR="00A732C3" w:rsidRDefault="00000000">
            <w:r>
              <w:t>Establishes the factual baseline</w:t>
            </w:r>
          </w:p>
        </w:tc>
      </w:tr>
      <w:tr w:rsidR="00A732C3" w14:paraId="51C3C19C" w14:textId="77777777">
        <w:tc>
          <w:tcPr>
            <w:tcW w:w="0" w:type="auto"/>
          </w:tcPr>
          <w:p w14:paraId="2B354BB6" w14:textId="77777777" w:rsidR="00A732C3" w:rsidRDefault="00000000">
            <w:r>
              <w:rPr>
                <w:b/>
                <w:bCs/>
              </w:rPr>
              <w:lastRenderedPageBreak/>
              <w:t>2. Rate of change (total) vs. field</w:t>
            </w:r>
          </w:p>
        </w:tc>
        <w:tc>
          <w:tcPr>
            <w:tcW w:w="0" w:type="auto"/>
          </w:tcPr>
          <w:p w14:paraId="36A65A3D" w14:textId="77777777" w:rsidR="00A732C3" w:rsidRDefault="00000000">
            <w:r>
              <w:t>Median per-program growth rate vs. other categories</w:t>
            </w:r>
          </w:p>
        </w:tc>
        <w:tc>
          <w:tcPr>
            <w:tcW w:w="0" w:type="auto"/>
          </w:tcPr>
          <w:p w14:paraId="26E096D3" w14:textId="77777777" w:rsidR="00A732C3" w:rsidRDefault="00000000">
            <w:r>
              <w:t>Is the typical program growing faster or slower?</w:t>
            </w:r>
          </w:p>
        </w:tc>
        <w:tc>
          <w:tcPr>
            <w:tcW w:w="0" w:type="auto"/>
          </w:tcPr>
          <w:p w14:paraId="1106ED21" w14:textId="77777777" w:rsidR="00A732C3" w:rsidRDefault="00000000">
            <w:r>
              <w:t>Corrects Step 1 for category size</w:t>
            </w:r>
          </w:p>
        </w:tc>
      </w:tr>
      <w:tr w:rsidR="00A732C3" w14:paraId="5C1BA751" w14:textId="77777777">
        <w:tc>
          <w:tcPr>
            <w:tcW w:w="0" w:type="auto"/>
          </w:tcPr>
          <w:p w14:paraId="5DE76778" w14:textId="77777777" w:rsidR="00A732C3" w:rsidRDefault="00000000">
            <w:r>
              <w:rPr>
                <w:b/>
                <w:bCs/>
              </w:rPr>
              <w:t>3. Rate of change (state) vs. field</w:t>
            </w:r>
          </w:p>
        </w:tc>
        <w:tc>
          <w:tcPr>
            <w:tcW w:w="0" w:type="auto"/>
          </w:tcPr>
          <w:p w14:paraId="117952B8" w14:textId="77777777" w:rsidR="00A732C3" w:rsidRDefault="00000000">
            <w:r>
              <w:t>Same as Step 2 but state funding only</w:t>
            </w:r>
          </w:p>
        </w:tc>
        <w:tc>
          <w:tcPr>
            <w:tcW w:w="0" w:type="auto"/>
          </w:tcPr>
          <w:p w14:paraId="76671470" w14:textId="77777777" w:rsidR="00A732C3" w:rsidRDefault="00000000">
            <w:r>
              <w:t>Is the state’s money or federal grants driving the trend?</w:t>
            </w:r>
          </w:p>
        </w:tc>
        <w:tc>
          <w:tcPr>
            <w:tcW w:w="0" w:type="auto"/>
          </w:tcPr>
          <w:p w14:paraId="6B880458" w14:textId="77777777" w:rsidR="00A732C3" w:rsidRDefault="00000000">
            <w:r>
              <w:t>Separates sustainable state investment from temporary federal</w:t>
            </w:r>
          </w:p>
        </w:tc>
      </w:tr>
      <w:tr w:rsidR="00A732C3" w14:paraId="18D3218C" w14:textId="77777777">
        <w:tc>
          <w:tcPr>
            <w:tcW w:w="0" w:type="auto"/>
          </w:tcPr>
          <w:p w14:paraId="2BEEB84D" w14:textId="77777777" w:rsidR="00A732C3" w:rsidRDefault="00000000">
            <w:r>
              <w:rPr>
                <w:b/>
                <w:bCs/>
              </w:rPr>
              <w:t>4. Group median expenditure vs. field</w:t>
            </w:r>
          </w:p>
        </w:tc>
        <w:tc>
          <w:tcPr>
            <w:tcW w:w="0" w:type="auto"/>
          </w:tcPr>
          <w:p w14:paraId="00212EB4" w14:textId="77777777" w:rsidR="00A732C3" w:rsidRDefault="00000000">
            <w:r>
              <w:t>Trend in yearly median program size</w:t>
            </w:r>
          </w:p>
        </w:tc>
        <w:tc>
          <w:tcPr>
            <w:tcW w:w="0" w:type="auto"/>
          </w:tcPr>
          <w:p w14:paraId="140962DF" w14:textId="77777777" w:rsidR="00A732C3" w:rsidRDefault="00000000">
            <w:r>
              <w:t>Are programs getting larger or smaller?</w:t>
            </w:r>
          </w:p>
        </w:tc>
        <w:tc>
          <w:tcPr>
            <w:tcW w:w="0" w:type="auto"/>
          </w:tcPr>
          <w:p w14:paraId="4722B052" w14:textId="77777777" w:rsidR="00A732C3" w:rsidRDefault="00000000">
            <w:r>
              <w:t>Focuses on the typical program’s size trajectory</w:t>
            </w:r>
          </w:p>
        </w:tc>
      </w:tr>
      <w:tr w:rsidR="00A732C3" w14:paraId="1D7B7EA4" w14:textId="77777777">
        <w:tc>
          <w:tcPr>
            <w:tcW w:w="0" w:type="auto"/>
          </w:tcPr>
          <w:p w14:paraId="76BAC927" w14:textId="77777777" w:rsidR="00A732C3" w:rsidRDefault="00000000">
            <w:r>
              <w:rPr>
                <w:b/>
                <w:bCs/>
              </w:rPr>
              <w:t>5. Group mean expenditure vs. field</w:t>
            </w:r>
          </w:p>
        </w:tc>
        <w:tc>
          <w:tcPr>
            <w:tcW w:w="0" w:type="auto"/>
          </w:tcPr>
          <w:p w14:paraId="76C3E070" w14:textId="77777777" w:rsidR="00A732C3" w:rsidRDefault="00000000">
            <w:r>
              <w:t>Same as Step 4 using mean</w:t>
            </w:r>
          </w:p>
        </w:tc>
        <w:tc>
          <w:tcPr>
            <w:tcW w:w="0" w:type="auto"/>
          </w:tcPr>
          <w:p w14:paraId="538631E1" w14:textId="77777777" w:rsidR="00A732C3" w:rsidRDefault="00000000">
            <w:r>
              <w:t>Is growth concentrated or broad-based?</w:t>
            </w:r>
          </w:p>
        </w:tc>
        <w:tc>
          <w:tcPr>
            <w:tcW w:w="0" w:type="auto"/>
          </w:tcPr>
          <w:p w14:paraId="5E34750E" w14:textId="77777777" w:rsidR="00A732C3" w:rsidRDefault="00000000">
            <w:r>
              <w:t>Comparing median and mean reveals outlier-driven growth</w:t>
            </w:r>
          </w:p>
        </w:tc>
      </w:tr>
      <w:tr w:rsidR="00A732C3" w14:paraId="3AFDB309" w14:textId="77777777">
        <w:tc>
          <w:tcPr>
            <w:tcW w:w="0" w:type="auto"/>
          </w:tcPr>
          <w:p w14:paraId="25B62A47" w14:textId="77777777" w:rsidR="00A732C3" w:rsidRDefault="00000000">
            <w:r>
              <w:rPr>
                <w:b/>
                <w:bCs/>
              </w:rPr>
              <w:t>6. Cost per child (total) vs. field</w:t>
            </w:r>
          </w:p>
        </w:tc>
        <w:tc>
          <w:tcPr>
            <w:tcW w:w="0" w:type="auto"/>
          </w:tcPr>
          <w:p w14:paraId="5880B152" w14:textId="77777777" w:rsidR="00A732C3" w:rsidRDefault="00000000">
            <w:r>
              <w:t>Trend in total expenditure per child served</w:t>
            </w:r>
          </w:p>
        </w:tc>
        <w:tc>
          <w:tcPr>
            <w:tcW w:w="0" w:type="auto"/>
          </w:tcPr>
          <w:p w14:paraId="5C1F7439" w14:textId="77777777" w:rsidR="00A732C3" w:rsidRDefault="00000000">
            <w:r>
              <w:t>More or fewer children per dollar?</w:t>
            </w:r>
          </w:p>
        </w:tc>
        <w:tc>
          <w:tcPr>
            <w:tcW w:w="0" w:type="auto"/>
          </w:tcPr>
          <w:p w14:paraId="3DBA9BF4" w14:textId="77777777" w:rsidR="00A732C3" w:rsidRDefault="00000000">
            <w:r>
              <w:t>First step to ask about reach and efficiency</w:t>
            </w:r>
          </w:p>
        </w:tc>
      </w:tr>
      <w:tr w:rsidR="00A732C3" w14:paraId="48B685EC" w14:textId="77777777">
        <w:tc>
          <w:tcPr>
            <w:tcW w:w="0" w:type="auto"/>
          </w:tcPr>
          <w:p w14:paraId="31CA407B" w14:textId="77777777" w:rsidR="00A732C3" w:rsidRDefault="00000000">
            <w:r>
              <w:rPr>
                <w:b/>
                <w:bCs/>
              </w:rPr>
              <w:t>7. State cost per child vs. field</w:t>
            </w:r>
          </w:p>
        </w:tc>
        <w:tc>
          <w:tcPr>
            <w:tcW w:w="0" w:type="auto"/>
          </w:tcPr>
          <w:p w14:paraId="37186ADA" w14:textId="77777777" w:rsidR="00A732C3" w:rsidRDefault="00000000">
            <w:r>
              <w:t>Same as Step 6 using state funding only</w:t>
            </w:r>
          </w:p>
        </w:tc>
        <w:tc>
          <w:tcPr>
            <w:tcW w:w="0" w:type="auto"/>
          </w:tcPr>
          <w:p w14:paraId="3EC80191" w14:textId="77777777" w:rsidR="00A732C3" w:rsidRDefault="00000000">
            <w:r>
              <w:t>Is the state’s per-child investment growing or shrinking?</w:t>
            </w:r>
          </w:p>
        </w:tc>
        <w:tc>
          <w:tcPr>
            <w:tcW w:w="0" w:type="auto"/>
          </w:tcPr>
          <w:p w14:paraId="19F0DF63" w14:textId="77777777" w:rsidR="00A732C3" w:rsidRDefault="00000000">
            <w:r>
              <w:t>Isolates state accountability from federal contribution</w:t>
            </w:r>
          </w:p>
        </w:tc>
      </w:tr>
    </w:tbl>
    <w:p w14:paraId="1D3C87FA" w14:textId="77777777" w:rsidR="00A732C3" w:rsidRDefault="00000000">
      <w:pPr>
        <w:pStyle w:val="Heading2"/>
      </w:pPr>
      <w:bookmarkStart w:id="36" w:name="systematic-literature-review-methodology"/>
      <w:bookmarkEnd w:id="27"/>
      <w:bookmarkEnd w:id="35"/>
      <w:r>
        <w:t>6. Systematic Literature Review Methodology</w:t>
      </w:r>
    </w:p>
    <w:p w14:paraId="3639421C" w14:textId="77777777" w:rsidR="00A732C3" w:rsidRDefault="00000000">
      <w:r>
        <w:t>For the first time, the Resource Mapping report includes an evidence base section drawing on a systematic review of peer-reviewed articles examining child and family service effectiveness and cost-effectiveness. The purpose of this review is to provide an external benchmark against which Tennessee’s current service investments can be compared.</w:t>
      </w:r>
    </w:p>
    <w:p w14:paraId="4DAA002A" w14:textId="77777777" w:rsidR="00A732C3" w:rsidRDefault="00000000">
      <w:pPr>
        <w:pStyle w:val="Heading3"/>
      </w:pPr>
      <w:bookmarkStart w:id="37" w:name="corpus-assembly"/>
      <w:r>
        <w:t>6.1 Corpus Assembly</w:t>
      </w:r>
    </w:p>
    <w:p w14:paraId="0DD53CDA" w14:textId="77777777" w:rsidR="00A732C3" w:rsidRDefault="00000000">
      <w:r>
        <w:t>Candidate articles were identified through structured database searches targeting peer-reviewed empirical research evaluating programs or interventions affecting children ages 0–18 or their families. Inclusion criteria required: (1) peer-reviewed publication; (2) empirical evaluation of a program or intervention; (3) reporting of effectiveness, outcomes, or cost-effectiveness data; and (4) relevance to child and family service planning. Excluded: study protocols without results, purely theoretical work, adult-only focus, and articles not relevant to service planning.</w:t>
      </w:r>
    </w:p>
    <w:p w14:paraId="488C38C2" w14:textId="77777777" w:rsidR="00A732C3" w:rsidRDefault="00000000">
      <w:pPr>
        <w:pStyle w:val="BodyText"/>
      </w:pPr>
      <w:r>
        <w:t>A total of 2,556 articles were processed through the extraction pipeline; 31 (1.2%) returned extraction errors and are excluded from analysis. Of the 2,525 clean articles, 1,586 were extracted from full-text PDFs and 939 from structured abstracts. The literature review section of this report draws exclusively from the 1,586 full-text extractions, which provide richer economic evidence, population characteristics, and program design detail.</w:t>
      </w:r>
    </w:p>
    <w:p w14:paraId="466A41D8" w14:textId="77777777" w:rsidR="00A732C3" w:rsidRDefault="00000000">
      <w:pPr>
        <w:pStyle w:val="Heading3"/>
      </w:pPr>
      <w:bookmarkStart w:id="38" w:name="extraction-protocol"/>
      <w:bookmarkEnd w:id="37"/>
      <w:r>
        <w:t>6.2 Extraction Protocol</w:t>
      </w:r>
    </w:p>
    <w:p w14:paraId="756CCD5D" w14:textId="77777777" w:rsidR="00A732C3" w:rsidRDefault="00000000">
      <w:r>
        <w:t>Extraction was performed using a large language model (Anthropic Claude Haiku) via the Anthropic Batch API. Each article was coded for: Programmatic Focus (seven categories matching the Resource Mapping classification framework), up to three Intended Outcomes (five domains: Healthy, Safe, Educated, Nurtured and Supported, Engaged), demographic characteristics (gender, race/ethnicity), target population characteristics, economic evidence (cost-effectiveness, cost-benefit, ROI, and program cost data), and results summaries.</w:t>
      </w:r>
    </w:p>
    <w:p w14:paraId="6A0F5714" w14:textId="77777777" w:rsidR="00A732C3" w:rsidRDefault="00000000">
      <w:pPr>
        <w:pStyle w:val="BodyText"/>
      </w:pPr>
      <w:r>
        <w:lastRenderedPageBreak/>
        <w:t>A structured prompt with explicit classification definitions and decision rules was used to ensure consistency across the corpus. A subset of articles was manually reviewed for extraction accuracy. Classification decisions reflect the article’s primary framing as reported by authors.</w:t>
      </w:r>
    </w:p>
    <w:p w14:paraId="698C827D" w14:textId="77777777" w:rsidR="00A732C3" w:rsidRDefault="00000000">
      <w:pPr>
        <w:pStyle w:val="Heading3"/>
      </w:pPr>
      <w:bookmarkStart w:id="39" w:name="X84b2cbb85eb0d0fdd04fbe33f3125d34671b42e"/>
      <w:bookmarkEnd w:id="38"/>
      <w:r>
        <w:t>6.3 Integration with Resource Mapping Framework</w:t>
      </w:r>
    </w:p>
    <w:p w14:paraId="4E76E8A6" w14:textId="77777777" w:rsidR="00A732C3" w:rsidRDefault="00000000">
      <w:r>
        <w:t>The literature review uses the same Programmatic Focus and Outcome classification framework as the Resource Mapping data, enabling direct comparison between what the peer-reviewed literature documents as effective and cost-effective and what Tennessee is currently investing in. Cost benchmarks extracted from the literature are reported alongside Tennessee program costs to identify alignment, gaps, and areas where Tennessee’s investments may diverge from the evidence base.</w:t>
      </w:r>
    </w:p>
    <w:p w14:paraId="42C81015" w14:textId="77777777" w:rsidR="00A732C3" w:rsidRDefault="00000000">
      <w:pPr>
        <w:pStyle w:val="Heading2"/>
      </w:pPr>
      <w:bookmarkStart w:id="40" w:name="supplemental-analyses"/>
      <w:bookmarkEnd w:id="36"/>
      <w:bookmarkEnd w:id="39"/>
      <w:r>
        <w:t>7. Supplemental Analyses</w:t>
      </w:r>
    </w:p>
    <w:p w14:paraId="101DBF10" w14:textId="77777777" w:rsidR="00A732C3" w:rsidRDefault="00000000">
      <w:r>
        <w:t>Beyond the seven-step analytical sequence, several supplemental analyses were conducted to address specific policy questions.</w:t>
      </w:r>
    </w:p>
    <w:p w14:paraId="60377C96" w14:textId="77777777" w:rsidR="00A732C3" w:rsidRDefault="00000000">
      <w:pPr>
        <w:pStyle w:val="Heading3"/>
      </w:pPr>
      <w:bookmarkStart w:id="41" w:name="federal-funding-sustainability-analysis"/>
      <w:r>
        <w:t>7.1 Federal Funding Sustainability Analysis</w:t>
      </w:r>
    </w:p>
    <w:p w14:paraId="4BB37409" w14:textId="77777777" w:rsidR="00A732C3" w:rsidRDefault="00000000">
      <w:r>
        <w:t>The COVID &amp; Recovery period (FY20–FY24) was characterized by a massive influx of federal relief funding (ESSER, ARPA, CRRSA) followed by a partial retreat. This analysis isolates the federal funding trajectory by comparing federal expenditure growth rates against state expenditure growth rates within each Programmatic Focus and Outcome category. The purpose is to identify categories where growth has been federally driven and may therefore be unsustainable as relief funds expire.</w:t>
      </w:r>
    </w:p>
    <w:p w14:paraId="3E776C8A" w14:textId="77777777" w:rsidR="00A732C3" w:rsidRDefault="00000000">
      <w:pPr>
        <w:pStyle w:val="Heading3"/>
      </w:pPr>
      <w:bookmarkStart w:id="42" w:name="early-childhood-investment-analysis"/>
      <w:bookmarkEnd w:id="41"/>
      <w:r>
        <w:t>7.2 Early Childhood Investment Analysis</w:t>
      </w:r>
    </w:p>
    <w:p w14:paraId="068BB9DC" w14:textId="77777777" w:rsidR="00A732C3" w:rsidRDefault="00000000">
      <w:r>
        <w:t>Programs serving children under age six were tagged using a combination of program descriptions, age eligibility criteria, and manual review. This analysis compares the expenditure trajectory of Under-6 programs against the rest of the portfolio to assess whether Tennessee’s investment in the earliest years of life is keeping pace. The analysis is motivated by the economic evidence base documenting 6:1 to 17:1 benefit-cost ratios for high-quality early childhood programs (Heckman, 2012; García et al., 2020).</w:t>
      </w:r>
    </w:p>
    <w:p w14:paraId="3965EA97" w14:textId="77777777" w:rsidR="00A732C3" w:rsidRDefault="00000000">
      <w:pPr>
        <w:pStyle w:val="Heading3"/>
      </w:pPr>
      <w:bookmarkStart w:id="43" w:name="X0f98818464246aee856b9f3775d0a7aa732a582"/>
      <w:bookmarkEnd w:id="42"/>
      <w:r>
        <w:t>7.3 Expenditure Allocation Analysis (Direct vs. Indirect Costs)</w:t>
      </w:r>
    </w:p>
    <w:p w14:paraId="15E56924" w14:textId="77777777" w:rsidR="00A732C3" w:rsidRDefault="00000000">
      <w:r>
        <w:t>Where program reporting distinguishes between direct service costs and indirect/administrative costs, this analysis examines the allocation spread by category. The purpose is to identify whether certain Programmatic Focus or Outcome categories show systematically higher administrative overhead, which may indicate either necessary infrastructure investment or potential efficiency opportunities.</w:t>
      </w:r>
    </w:p>
    <w:p w14:paraId="1CFF4C18" w14:textId="77777777" w:rsidR="00A732C3" w:rsidRDefault="00000000">
      <w:pPr>
        <w:pStyle w:val="Heading3"/>
      </w:pPr>
      <w:bookmarkStart w:id="44" w:name="return-on-investment-benchmarking"/>
      <w:bookmarkEnd w:id="43"/>
      <w:r>
        <w:t>7.4 Return on Investment Benchmarking</w:t>
      </w:r>
    </w:p>
    <w:p w14:paraId="0916E92C" w14:textId="77777777" w:rsidR="00A732C3" w:rsidRDefault="00000000">
      <w:r>
        <w:t>Using cost-per-child data from the Resource Mapping dataset and cost-effectiveness benchmarks from the systematic literature review, this analysis compares Tennessee’s per-child investment levels against published evidence-base norms for equivalent program types. The comparison is conducted at the program-type level (not across the full portfolio) because cost structures are not comparable across intervention intensities. Where Tennessee’s costs fall substantially outside literature-documented ranges, the analysis flags those programs for further investigation without inferring inefficiency—local labor markets, population complexity, and service intensity differences may explain deviations.</w:t>
      </w:r>
    </w:p>
    <w:p w14:paraId="4EFBF627" w14:textId="77777777" w:rsidR="00A732C3" w:rsidRDefault="00000000">
      <w:pPr>
        <w:pStyle w:val="Heading3"/>
      </w:pPr>
      <w:bookmarkStart w:id="45" w:name="X8077a0ad289185314196092e9687b1507b131d3"/>
      <w:bookmarkEnd w:id="44"/>
      <w:r>
        <w:lastRenderedPageBreak/>
        <w:t>7.5 Pre-COVID vs. Post-COVID Trend Comparison</w:t>
      </w:r>
    </w:p>
    <w:p w14:paraId="331F26B6" w14:textId="77777777" w:rsidR="00A732C3" w:rsidRDefault="00000000">
      <w:r>
        <w:t>The full bootstrap slope analysis is run separately for the pre-COVID window (FY15–FY19) and the post-COVID window (FY20–FY24). Comparing the two periods reveals which categories experienced structural shifts in their investment trajectory as a result of the pandemic and subsequent federal relief. The dependent variables examined in both windows include log-transformed total expenditures, log-transformed state expenditures, and log-transformed cost per child.</w:t>
      </w:r>
    </w:p>
    <w:p w14:paraId="4D1CE736" w14:textId="77777777" w:rsidR="00A732C3" w:rsidRDefault="00000000">
      <w:pPr>
        <w:pStyle w:val="Heading2"/>
      </w:pPr>
      <w:bookmarkStart w:id="46" w:name="how-to-read-the-results"/>
      <w:bookmarkEnd w:id="40"/>
      <w:bookmarkEnd w:id="45"/>
      <w:r>
        <w:t>8. How to Read the Results</w:t>
      </w:r>
    </w:p>
    <w:p w14:paraId="68DEED50" w14:textId="77777777" w:rsidR="00A732C3" w:rsidRDefault="00000000">
      <w:r>
        <w:t>Each analysis produces a table showing, for each category within the domain:</w:t>
      </w:r>
    </w:p>
    <w:p w14:paraId="4B430914" w14:textId="77777777" w:rsidR="00A732C3" w:rsidRDefault="00000000">
      <w:pPr>
        <w:pStyle w:val="BodyText"/>
      </w:pPr>
      <w:r>
        <w:rPr>
          <w:b/>
          <w:bCs/>
        </w:rPr>
        <w:t>Observed slope:</w:t>
      </w:r>
      <w:r>
        <w:t xml:space="preserve"> The median or group-level annual percentage change, depending on the step.</w:t>
      </w:r>
    </w:p>
    <w:p w14:paraId="65C01722" w14:textId="77777777" w:rsidR="00A732C3" w:rsidRDefault="00000000">
      <w:pPr>
        <w:pStyle w:val="BodyText"/>
      </w:pPr>
      <w:r>
        <w:rPr>
          <w:b/>
          <w:bCs/>
        </w:rPr>
        <w:t>Difference:</w:t>
      </w:r>
      <w:r>
        <w:t xml:space="preserve"> The difference between that slope and the average of other categories’ slopes.</w:t>
      </w:r>
    </w:p>
    <w:p w14:paraId="15446F83" w14:textId="77777777" w:rsidR="00A732C3" w:rsidRDefault="00000000">
      <w:pPr>
        <w:pStyle w:val="BodyText"/>
      </w:pPr>
      <w:r>
        <w:rPr>
          <w:b/>
          <w:bCs/>
        </w:rPr>
        <w:t>90% confidence interval:</w:t>
      </w:r>
      <w:r>
        <w:t xml:space="preserve"> The range of values consistent with the data after 10,000 bootstrap iterations with bias correction.</w:t>
      </w:r>
    </w:p>
    <w:p w14:paraId="7D76A73D" w14:textId="77777777" w:rsidR="00A732C3" w:rsidRDefault="00000000">
      <w:pPr>
        <w:pStyle w:val="BodyText"/>
      </w:pPr>
      <w:r>
        <w:rPr>
          <w:b/>
          <w:bCs/>
        </w:rPr>
        <w:t>Significance verdict:</w:t>
      </w:r>
      <w:r>
        <w:t xml:space="preserve"> “Yes” (the confidence interval excludes zero) or “No” (the confidence interval includes zero).</w:t>
      </w:r>
    </w:p>
    <w:p w14:paraId="4BFAC745" w14:textId="77777777" w:rsidR="00A732C3" w:rsidRDefault="00000000">
      <w:pPr>
        <w:pStyle w:val="BodyText"/>
      </w:pPr>
      <w:r>
        <w:rPr>
          <w:b/>
          <w:bCs/>
        </w:rPr>
        <w:t>Interpretation label:</w:t>
      </w:r>
      <w:r>
        <w:t xml:space="preserve"> “Sig. faster than other groups” or “Sig. slower than other groups” for significant results.</w:t>
      </w:r>
    </w:p>
    <w:tbl>
      <w:tblPr>
        <w:tblW w:w="4865" w:type="pct"/>
        <w:tblLook w:val="0000" w:firstRow="0" w:lastRow="0" w:firstColumn="0" w:lastColumn="0" w:noHBand="0" w:noVBand="0"/>
      </w:tblPr>
      <w:tblGrid>
        <w:gridCol w:w="9107"/>
      </w:tblGrid>
      <w:tr w:rsidR="00A732C3" w14:paraId="2A8A3993" w14:textId="77777777">
        <w:tc>
          <w:tcPr>
            <w:tcW w:w="0" w:type="auto"/>
          </w:tcPr>
          <w:p w14:paraId="6EBB827F" w14:textId="77777777" w:rsidR="00A732C3" w:rsidRDefault="00000000">
            <w:r>
              <w:rPr>
                <w:b/>
                <w:bCs/>
              </w:rPr>
              <w:t>Important: Statistical significance is not the same as practical importance</w:t>
            </w:r>
          </w:p>
        </w:tc>
      </w:tr>
      <w:tr w:rsidR="00A732C3" w14:paraId="1B1D38B8" w14:textId="77777777">
        <w:tc>
          <w:tcPr>
            <w:tcW w:w="0" w:type="auto"/>
          </w:tcPr>
          <w:p w14:paraId="13CF8490" w14:textId="77777777" w:rsidR="00A732C3" w:rsidRDefault="00000000">
            <w:r>
              <w:t>A finding can be statistically significant but small in dollar terms, or practically large but not statistically significant (particularly in categories with few programs). Significant results should be read alongside the absolute dollar figures from Step 1 and the program counts to form a complete judgment.</w:t>
            </w:r>
          </w:p>
        </w:tc>
      </w:tr>
    </w:tbl>
    <w:p w14:paraId="4B15AB5B" w14:textId="77777777" w:rsidR="00A732C3" w:rsidRDefault="00000000">
      <w:pPr>
        <w:pStyle w:val="BodyText"/>
      </w:pPr>
      <w:r>
        <w:t>Results that are not significant are labeled “Not sig. different.” This does not mean the category is unimportant—it means the data do not provide strong enough evidence to conclude that its growth rate is reliably different from the field average.</w:t>
      </w:r>
    </w:p>
    <w:p w14:paraId="195BAAF6" w14:textId="77777777" w:rsidR="00A732C3" w:rsidRDefault="00000000">
      <w:pPr>
        <w:pStyle w:val="Heading2"/>
      </w:pPr>
      <w:bookmarkStart w:id="47" w:name="limitations"/>
      <w:bookmarkEnd w:id="46"/>
      <w:r>
        <w:t>9. Limitations</w:t>
      </w:r>
    </w:p>
    <w:p w14:paraId="6CBA5E3B" w14:textId="77777777" w:rsidR="00A732C3" w:rsidRDefault="00000000">
      <w:r>
        <w:rPr>
          <w:b/>
          <w:bCs/>
        </w:rPr>
        <w:t>Program reporting is self-reported by agencies.</w:t>
      </w:r>
      <w:r>
        <w:t xml:space="preserve"> Completeness and accuracy vary. Some programs may be missing from the dataset, and expenditure figures reflect reported amounts rather than independent audited totals. The year-over-year verification process (Section 3.5) mitigates but does not eliminate this limitation.</w:t>
      </w:r>
    </w:p>
    <w:p w14:paraId="44BDE67C" w14:textId="77777777" w:rsidR="00A732C3" w:rsidRDefault="00000000">
      <w:pPr>
        <w:pStyle w:val="BodyText"/>
      </w:pPr>
      <w:r>
        <w:rPr>
          <w:b/>
          <w:bCs/>
        </w:rPr>
        <w:t>NServed counts are not unduplicated.</w:t>
      </w:r>
      <w:r>
        <w:t xml:space="preserve"> A child served by multiple programs may be counted more than once in aggregate figures. Cost-per-child ratios should be interpreted as program-level efficiency measures, not as estimates of per-child investment for any individual child.</w:t>
      </w:r>
    </w:p>
    <w:p w14:paraId="443FF000" w14:textId="77777777" w:rsidR="00A732C3" w:rsidRDefault="00000000">
      <w:pPr>
        <w:pStyle w:val="BodyText"/>
      </w:pPr>
      <w:r>
        <w:rPr>
          <w:b/>
          <w:bCs/>
        </w:rPr>
        <w:t>Four-year focal windows limit statistical power.</w:t>
      </w:r>
      <w:r>
        <w:t xml:space="preserve"> With only five data points per program in the post-COVID window, trend slopes have wide uncertainty ranges. The bootstrap procedure accounts for this but does not eliminate it.</w:t>
      </w:r>
    </w:p>
    <w:p w14:paraId="63E6F861" w14:textId="77777777" w:rsidR="00A732C3" w:rsidRDefault="00000000">
      <w:pPr>
        <w:pStyle w:val="BodyText"/>
      </w:pPr>
      <w:r>
        <w:rPr>
          <w:b/>
          <w:bCs/>
        </w:rPr>
        <w:t>Classification reflects current coding.</w:t>
      </w:r>
      <w:r>
        <w:t xml:space="preserve"> All historical programs were recoded to fit the current Outcome and Focus taxonomy. The inter-rater reliability assessment (Section 3.4) provides a measure of coding quality, but may not perfectly capture the original program design intent for all programs.</w:t>
      </w:r>
    </w:p>
    <w:p w14:paraId="2ED38CE9" w14:textId="77777777" w:rsidR="00A732C3" w:rsidRDefault="00000000">
      <w:pPr>
        <w:pStyle w:val="BodyText"/>
      </w:pPr>
      <w:r>
        <w:rPr>
          <w:b/>
          <w:bCs/>
        </w:rPr>
        <w:lastRenderedPageBreak/>
        <w:t>LLM-assisted coding introduces systematic patterns.</w:t>
      </w:r>
      <w:r>
        <w:t xml:space="preserve"> While the initial LLM coding was followed by comprehensive manual audit and inter-rater reliability testing, the use of automated classification as a starting point may introduce patterns that differ from what a fully manual process would produce. The two-pass consistency enforcement and the manual audit are designed to mitigate this.</w:t>
      </w:r>
    </w:p>
    <w:p w14:paraId="04D1A129" w14:textId="77777777" w:rsidR="00A732C3" w:rsidRDefault="00000000">
      <w:pPr>
        <w:pStyle w:val="BodyText"/>
      </w:pPr>
      <w:r>
        <w:rPr>
          <w:b/>
          <w:bCs/>
        </w:rPr>
        <w:t>Literature review cost benchmarks are not inflation-adjusted.</w:t>
      </w:r>
      <w:r>
        <w:t xml:space="preserve"> Dollar amounts cited from the literature reflect the year and currency of original publication. Currency and inflation adjustments were not applied across studies. Where specific dollar amounts are cited, the source study year should be considered.</w:t>
      </w:r>
    </w:p>
    <w:p w14:paraId="7920658D" w14:textId="77777777" w:rsidR="00A732C3" w:rsidRDefault="00000000">
      <w:pPr>
        <w:pStyle w:val="BodyText"/>
      </w:pPr>
      <w:r>
        <w:rPr>
          <w:b/>
          <w:bCs/>
        </w:rPr>
        <w:t>Results describe patterns, not causes.</w:t>
      </w:r>
      <w:r>
        <w:t xml:space="preserve"> A significant difference in growth rates between categories tells us that the pattern is real, not random—but it does not explain why it occurred. Budget cycles, federal grant structures, program openings and closings, and policy decisions all contribute to the patterns observed.</w:t>
      </w:r>
    </w:p>
    <w:p w14:paraId="6AE4D33F" w14:textId="77777777" w:rsidR="00A732C3" w:rsidRDefault="00000000">
      <w:pPr>
        <w:pStyle w:val="BodyText"/>
      </w:pPr>
      <w:r>
        <w:rPr>
          <w:i/>
          <w:iCs/>
        </w:rPr>
        <w:t>Data Analytic Plan prepared by TCCY Resource Mapping and FUTURE Data Dashboard, March 2026.</w:t>
      </w:r>
    </w:p>
    <w:p w14:paraId="67890FFF" w14:textId="77777777" w:rsidR="00A732C3" w:rsidRDefault="00000000">
      <w:pPr>
        <w:pStyle w:val="Heading2"/>
      </w:pPr>
      <w:bookmarkStart w:id="48" w:name="classification-validation-results"/>
      <w:bookmarkEnd w:id="47"/>
      <w:r>
        <w:t>Classification Validation Results</w:t>
      </w:r>
    </w:p>
    <w:p w14:paraId="10378A13" w14:textId="77777777" w:rsidR="00A732C3" w:rsidRDefault="00000000">
      <w:r>
        <w:t>To assess the consistency and accuracy of program classification, TCCY independently coded all reported programs on both taxonomies based solely on the four structured description fields. Each program’s descriptions were reviewed and a Programmatic Focus and Primary Outcome were assigned using the same definitions provided to reporters, with written rationale documenting the basis for each coding decision. TCCY coding was then compared against the reporter-indicated classifications using Cohen’s kappa (κ), a chance-corrected measure of inter-rater agreement that accounts for the possibility of agreement occurring by chance.</w:t>
      </w:r>
    </w:p>
    <w:p w14:paraId="3DB8A59D" w14:textId="77777777" w:rsidR="00A732C3" w:rsidRDefault="00000000">
      <w:pPr>
        <w:pStyle w:val="BodyText"/>
      </w:pPr>
      <w:r>
        <w:rPr>
          <w:b/>
          <w:bCs/>
        </w:rPr>
        <w:t>Primary Outcome Agreement:</w:t>
      </w:r>
      <w:r>
        <w:t xml:space="preserve"> Raw agreement was 70.7 percent across 147 programs, with κ = 0.597, indicating moderate agreement under the Landis and Koch interpretation framework. Agreement was highest for the Department of Education (96 percent) and lowest for the Department of Mental Health and Substance Abuse Services (60 percent).</w:t>
      </w:r>
    </w:p>
    <w:p w14:paraId="6FB6400A" w14:textId="77777777" w:rsidR="00A732C3" w:rsidRDefault="00000000">
      <w:pPr>
        <w:pStyle w:val="BodyText"/>
      </w:pPr>
      <w:r>
        <w:rPr>
          <w:b/>
          <w:bCs/>
        </w:rPr>
        <w:t>Programmatic Focus Agreement:</w:t>
      </w:r>
      <w:r>
        <w:t xml:space="preserve"> Raw agreement was 51.0 percent, with κ = 0.413, also indicating moderate agreement. Agreement was highest for the Department of Education (69 percent) and lowest for the Department of Health (23 percent).</w:t>
      </w:r>
    </w:p>
    <w:p w14:paraId="3DC3AED4" w14:textId="77777777" w:rsidR="00A732C3" w:rsidRDefault="00000000">
      <w:pPr>
        <w:pStyle w:val="BodyText"/>
      </w:pPr>
      <w:r>
        <w:t>The moderate level of agreement on both taxonomies is consistent with findings in other classification studies using multi-category coding schemes and reflects both the inherent complexity of categorizing diverse programs and opportunities for improved reporter training.</w:t>
      </w:r>
    </w:p>
    <w:p w14:paraId="1716C3C6" w14:textId="77777777" w:rsidR="00A732C3" w:rsidRDefault="00000000">
      <w:pPr>
        <w:pStyle w:val="BodyText"/>
      </w:pPr>
      <w:r>
        <w:t>Classification accuracy matters because the Resource Mapping report aggregates expenditures by outcome domain and programmatic focus to inform legislative and budget decisions. When programs are misclassified, the resulting expenditure tables can misrepresent how Tennessee’s investment in children is distributed across priority areas. For example, if clinical mental health treatment programs are classified under “Engaged” rather than “Healthy,” the report would understate expenditures on children’s health while overstating investment in youth engagement — potentially masking unmet health needs and creating a misleading picture of where service gaps exist. Similarly, classifying crisis-level services as moderate intervention could lead policymakers to underestimate the state’s reliance on intensive services and overestimate the resources devoted to community-based moderate supports. In a report designed to help the General Assembly identify “overlapping programs that lead to duplication within the state, gaps in service delivery, and any administrative inefficiencies,” as TCA 37-3-116(a)(2) requires, the accuracy of these classifications directly affects the quality of the insights the data can provide.</w:t>
      </w:r>
    </w:p>
    <w:p w14:paraId="5F6144B7" w14:textId="77777777" w:rsidR="00A732C3" w:rsidRDefault="00000000">
      <w:pPr>
        <w:pStyle w:val="BodyText"/>
      </w:pPr>
      <w:r>
        <w:lastRenderedPageBreak/>
        <w:t>Two systematic disagreement patterns were identified.</w:t>
      </w:r>
    </w:p>
    <w:p w14:paraId="31960CC1" w14:textId="77777777" w:rsidR="00A732C3" w:rsidRDefault="00000000">
      <w:pPr>
        <w:pStyle w:val="BodyText"/>
      </w:pPr>
      <w:r>
        <w:t xml:space="preserve">First, the Department of Mental Health and Substance Abuse Services classified 22 of 90 programs under the “Engaged” outcome category. TCCY coding reclassified the majority of these as “Healthy” based on the clinical treatment nature of the services described. Programs providing outpatient mental health services, crisis stabilization, medication-assisted treatment, peer recovery support, and behavioral health safety net services are more accurately classified under the “Healthy” outcome — which covers physical and mental health — than under “Engaged,” which is defined as programs supporting connections between youth and their peers and community. This pattern likely reflects a departmental interpretation that community-based mental health services “engage” clients, whereas the outcome taxonomy is designed to capture the </w:t>
      </w:r>
      <w:r>
        <w:rPr>
          <w:i/>
          <w:iCs/>
        </w:rPr>
        <w:t>primary domain of intended change,</w:t>
      </w:r>
      <w:r>
        <w:t xml:space="preserve"> which for clinical treatment is health.</w:t>
      </w:r>
    </w:p>
    <w:p w14:paraId="64740DA5" w14:textId="77777777" w:rsidR="00A732C3" w:rsidRDefault="00000000">
      <w:pPr>
        <w:pStyle w:val="BodyText"/>
      </w:pPr>
      <w:r>
        <w:t>Second, MHSAS classified several 24/7/365 crisis services — including the statewide crisis hotline, mobile crisis response teams, crisis walk-in centers, and crisis respite facilities — under “Moderate Intervention.” The Programmatic Focus definitions explicitly include crisis response under “Intensive Intervention,” defined as services for individuals who “require intensive, crisis, or long-term intervention.”</w:t>
      </w:r>
    </w:p>
    <w:p w14:paraId="533C625C" w14:textId="77777777" w:rsidR="00A732C3" w:rsidRDefault="00000000">
      <w:pPr>
        <w:pStyle w:val="BodyText"/>
      </w:pPr>
      <w:r>
        <w:t>These findings informed the expenditure analyses in this report. For aggregate tables reporting expenditures by outcome and by programmatic focus, TCCY applied the validated coding where systematic classification patterns were identified, ensuring that expenditure totals accurately reflect the nature of services being provided. The full comparison workbook with rationale for all coding decisions is maintained as a supplementary data file and summarized in Appendix C.</w:t>
      </w:r>
      <w:bookmarkEnd w:id="0"/>
      <w:bookmarkEnd w:id="48"/>
    </w:p>
    <w:sectPr w:rsidR="00A732C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9024" w14:textId="77777777" w:rsidR="003E6C19" w:rsidRDefault="003E6C19">
      <w:r>
        <w:separator/>
      </w:r>
    </w:p>
  </w:endnote>
  <w:endnote w:type="continuationSeparator" w:id="0">
    <w:p w14:paraId="69ED97AF" w14:textId="77777777" w:rsidR="003E6C19" w:rsidRDefault="003E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2402" w14:textId="77777777" w:rsidR="003E6C19" w:rsidRDefault="003E6C19">
      <w:r>
        <w:separator/>
      </w:r>
    </w:p>
  </w:footnote>
  <w:footnote w:type="continuationSeparator" w:id="0">
    <w:p w14:paraId="514DD96F" w14:textId="77777777" w:rsidR="003E6C19" w:rsidRDefault="003E6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D5A0D16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98AB06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ACA85A5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4"/>
    <w:multiLevelType w:val="multilevel"/>
    <w:tmpl w:val="E99EDEF4"/>
    <w:lvl w:ilvl="0">
      <w:start w:val="1"/>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4" w15:restartNumberingAfterBreak="0">
    <w:nsid w:val="021AECF6"/>
    <w:multiLevelType w:val="multilevel"/>
    <w:tmpl w:val="04825CE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5" w15:restartNumberingAfterBreak="0">
    <w:nsid w:val="024AEB20"/>
    <w:multiLevelType w:val="hybridMultilevel"/>
    <w:tmpl w:val="D7AC6830"/>
    <w:lvl w:ilvl="0" w:tplc="7A8E35DE">
      <w:start w:val="1"/>
      <w:numFmt w:val="decimal"/>
      <w:lvlText w:val="%1."/>
      <w:lvlJc w:val="left"/>
      <w:pPr>
        <w:ind w:left="360" w:hanging="360"/>
      </w:pPr>
    </w:lvl>
    <w:lvl w:ilvl="1" w:tplc="D35046B8">
      <w:numFmt w:val="decimal"/>
      <w:lvlText w:val=""/>
      <w:lvlJc w:val="left"/>
    </w:lvl>
    <w:lvl w:ilvl="2" w:tplc="4F6A03CE">
      <w:numFmt w:val="decimal"/>
      <w:lvlText w:val=""/>
      <w:lvlJc w:val="left"/>
    </w:lvl>
    <w:lvl w:ilvl="3" w:tplc="2E584A0C">
      <w:numFmt w:val="decimal"/>
      <w:lvlText w:val=""/>
      <w:lvlJc w:val="left"/>
    </w:lvl>
    <w:lvl w:ilvl="4" w:tplc="423446AC">
      <w:numFmt w:val="decimal"/>
      <w:lvlText w:val=""/>
      <w:lvlJc w:val="left"/>
    </w:lvl>
    <w:lvl w:ilvl="5" w:tplc="82F20844">
      <w:numFmt w:val="decimal"/>
      <w:lvlText w:val=""/>
      <w:lvlJc w:val="left"/>
    </w:lvl>
    <w:lvl w:ilvl="6" w:tplc="707E2594">
      <w:numFmt w:val="decimal"/>
      <w:lvlText w:val=""/>
      <w:lvlJc w:val="left"/>
    </w:lvl>
    <w:lvl w:ilvl="7" w:tplc="2C2E2EAA">
      <w:numFmt w:val="decimal"/>
      <w:lvlText w:val=""/>
      <w:lvlJc w:val="left"/>
    </w:lvl>
    <w:lvl w:ilvl="8" w:tplc="7752F4E8">
      <w:numFmt w:val="decimal"/>
      <w:lvlText w:val=""/>
      <w:lvlJc w:val="left"/>
    </w:lvl>
  </w:abstractNum>
  <w:abstractNum w:abstractNumId="6" w15:restartNumberingAfterBreak="0">
    <w:nsid w:val="02B38E9A"/>
    <w:multiLevelType w:val="hybridMultilevel"/>
    <w:tmpl w:val="02223732"/>
    <w:lvl w:ilvl="0" w:tplc="C13EE09E">
      <w:start w:val="1"/>
      <w:numFmt w:val="decimal"/>
      <w:lvlText w:val="%1."/>
      <w:lvlJc w:val="left"/>
      <w:pPr>
        <w:ind w:left="720" w:hanging="360"/>
      </w:pPr>
    </w:lvl>
    <w:lvl w:ilvl="1" w:tplc="C5004B9A">
      <w:numFmt w:val="decimal"/>
      <w:lvlText w:val=""/>
      <w:lvlJc w:val="left"/>
    </w:lvl>
    <w:lvl w:ilvl="2" w:tplc="A86822A8">
      <w:numFmt w:val="decimal"/>
      <w:lvlText w:val=""/>
      <w:lvlJc w:val="left"/>
    </w:lvl>
    <w:lvl w:ilvl="3" w:tplc="D5B8A49A">
      <w:numFmt w:val="decimal"/>
      <w:lvlText w:val=""/>
      <w:lvlJc w:val="left"/>
    </w:lvl>
    <w:lvl w:ilvl="4" w:tplc="52C22E4A">
      <w:numFmt w:val="decimal"/>
      <w:lvlText w:val=""/>
      <w:lvlJc w:val="left"/>
    </w:lvl>
    <w:lvl w:ilvl="5" w:tplc="1D7C7D4A">
      <w:numFmt w:val="decimal"/>
      <w:lvlText w:val=""/>
      <w:lvlJc w:val="left"/>
    </w:lvl>
    <w:lvl w:ilvl="6" w:tplc="F80C86A8">
      <w:numFmt w:val="decimal"/>
      <w:lvlText w:val=""/>
      <w:lvlJc w:val="left"/>
    </w:lvl>
    <w:lvl w:ilvl="7" w:tplc="43F68066">
      <w:numFmt w:val="decimal"/>
      <w:lvlText w:val=""/>
      <w:lvlJc w:val="left"/>
    </w:lvl>
    <w:lvl w:ilvl="8" w:tplc="3C10B48A">
      <w:numFmt w:val="decimal"/>
      <w:lvlText w:val=""/>
      <w:lvlJc w:val="left"/>
    </w:lvl>
  </w:abstractNum>
  <w:abstractNum w:abstractNumId="7" w15:restartNumberingAfterBreak="0">
    <w:nsid w:val="04A9BC96"/>
    <w:multiLevelType w:val="hybridMultilevel"/>
    <w:tmpl w:val="9168C0D6"/>
    <w:lvl w:ilvl="0" w:tplc="6D82A33C">
      <w:start w:val="1"/>
      <w:numFmt w:val="bullet"/>
      <w:lvlText w:val="•"/>
      <w:lvlJc w:val="left"/>
      <w:pPr>
        <w:ind w:left="720" w:hanging="360"/>
      </w:pPr>
    </w:lvl>
    <w:lvl w:ilvl="1" w:tplc="C01C6AF4">
      <w:numFmt w:val="decimal"/>
      <w:lvlText w:val=""/>
      <w:lvlJc w:val="left"/>
    </w:lvl>
    <w:lvl w:ilvl="2" w:tplc="AD0047AC">
      <w:numFmt w:val="decimal"/>
      <w:lvlText w:val=""/>
      <w:lvlJc w:val="left"/>
    </w:lvl>
    <w:lvl w:ilvl="3" w:tplc="15A23E90">
      <w:numFmt w:val="decimal"/>
      <w:lvlText w:val=""/>
      <w:lvlJc w:val="left"/>
    </w:lvl>
    <w:lvl w:ilvl="4" w:tplc="6846C9E6">
      <w:numFmt w:val="decimal"/>
      <w:lvlText w:val=""/>
      <w:lvlJc w:val="left"/>
    </w:lvl>
    <w:lvl w:ilvl="5" w:tplc="286E60C2">
      <w:numFmt w:val="decimal"/>
      <w:lvlText w:val=""/>
      <w:lvlJc w:val="left"/>
    </w:lvl>
    <w:lvl w:ilvl="6" w:tplc="745EADDC">
      <w:numFmt w:val="decimal"/>
      <w:lvlText w:val=""/>
      <w:lvlJc w:val="left"/>
    </w:lvl>
    <w:lvl w:ilvl="7" w:tplc="3E5CB8D6">
      <w:numFmt w:val="decimal"/>
      <w:lvlText w:val=""/>
      <w:lvlJc w:val="left"/>
    </w:lvl>
    <w:lvl w:ilvl="8" w:tplc="8812AB3C">
      <w:numFmt w:val="decimal"/>
      <w:lvlText w:val=""/>
      <w:lvlJc w:val="left"/>
    </w:lvl>
  </w:abstractNum>
  <w:abstractNum w:abstractNumId="8" w15:restartNumberingAfterBreak="0">
    <w:nsid w:val="0D0F1C20"/>
    <w:multiLevelType w:val="hybridMultilevel"/>
    <w:tmpl w:val="2626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831D8"/>
    <w:multiLevelType w:val="hybridMultilevel"/>
    <w:tmpl w:val="DFAE9F26"/>
    <w:lvl w:ilvl="0" w:tplc="2180989A">
      <w:start w:val="1"/>
      <w:numFmt w:val="decimal"/>
      <w:lvlText w:val="%1."/>
      <w:lvlJc w:val="left"/>
      <w:pPr>
        <w:ind w:left="720" w:hanging="360"/>
      </w:pPr>
    </w:lvl>
    <w:lvl w:ilvl="1" w:tplc="BCDCBFA8">
      <w:numFmt w:val="decimal"/>
      <w:lvlText w:val=""/>
      <w:lvlJc w:val="left"/>
    </w:lvl>
    <w:lvl w:ilvl="2" w:tplc="397CADEC">
      <w:numFmt w:val="decimal"/>
      <w:lvlText w:val=""/>
      <w:lvlJc w:val="left"/>
    </w:lvl>
    <w:lvl w:ilvl="3" w:tplc="A7501CC0">
      <w:numFmt w:val="decimal"/>
      <w:lvlText w:val=""/>
      <w:lvlJc w:val="left"/>
    </w:lvl>
    <w:lvl w:ilvl="4" w:tplc="45008AE2">
      <w:numFmt w:val="decimal"/>
      <w:lvlText w:val=""/>
      <w:lvlJc w:val="left"/>
    </w:lvl>
    <w:lvl w:ilvl="5" w:tplc="A1909AD4">
      <w:numFmt w:val="decimal"/>
      <w:lvlText w:val=""/>
      <w:lvlJc w:val="left"/>
    </w:lvl>
    <w:lvl w:ilvl="6" w:tplc="2EFE4D3A">
      <w:numFmt w:val="decimal"/>
      <w:lvlText w:val=""/>
      <w:lvlJc w:val="left"/>
    </w:lvl>
    <w:lvl w:ilvl="7" w:tplc="15FEF6D6">
      <w:numFmt w:val="decimal"/>
      <w:lvlText w:val=""/>
      <w:lvlJc w:val="left"/>
    </w:lvl>
    <w:lvl w:ilvl="8" w:tplc="FCC6F728">
      <w:numFmt w:val="decimal"/>
      <w:lvlText w:val=""/>
      <w:lvlJc w:val="left"/>
    </w:lvl>
  </w:abstractNum>
  <w:abstractNum w:abstractNumId="10" w15:restartNumberingAfterBreak="0">
    <w:nsid w:val="35CE6767"/>
    <w:multiLevelType w:val="hybridMultilevel"/>
    <w:tmpl w:val="5630E93C"/>
    <w:lvl w:ilvl="0" w:tplc="68D6363C">
      <w:start w:val="1"/>
      <w:numFmt w:val="bullet"/>
      <w:lvlText w:val="•"/>
      <w:lvlJc w:val="left"/>
      <w:pPr>
        <w:ind w:left="720" w:hanging="360"/>
      </w:pPr>
    </w:lvl>
    <w:lvl w:ilvl="1" w:tplc="1F848068">
      <w:numFmt w:val="decimal"/>
      <w:lvlText w:val=""/>
      <w:lvlJc w:val="left"/>
    </w:lvl>
    <w:lvl w:ilvl="2" w:tplc="7604EC60">
      <w:numFmt w:val="decimal"/>
      <w:lvlText w:val=""/>
      <w:lvlJc w:val="left"/>
    </w:lvl>
    <w:lvl w:ilvl="3" w:tplc="DDAA83AE">
      <w:numFmt w:val="decimal"/>
      <w:lvlText w:val=""/>
      <w:lvlJc w:val="left"/>
    </w:lvl>
    <w:lvl w:ilvl="4" w:tplc="34D0927C">
      <w:numFmt w:val="decimal"/>
      <w:lvlText w:val=""/>
      <w:lvlJc w:val="left"/>
    </w:lvl>
    <w:lvl w:ilvl="5" w:tplc="49B4F9D4">
      <w:numFmt w:val="decimal"/>
      <w:lvlText w:val=""/>
      <w:lvlJc w:val="left"/>
    </w:lvl>
    <w:lvl w:ilvl="6" w:tplc="F0E8BAC6">
      <w:numFmt w:val="decimal"/>
      <w:lvlText w:val=""/>
      <w:lvlJc w:val="left"/>
    </w:lvl>
    <w:lvl w:ilvl="7" w:tplc="B3DEE7E6">
      <w:numFmt w:val="decimal"/>
      <w:lvlText w:val=""/>
      <w:lvlJc w:val="left"/>
    </w:lvl>
    <w:lvl w:ilvl="8" w:tplc="1BA01E22">
      <w:numFmt w:val="decimal"/>
      <w:lvlText w:val=""/>
      <w:lvlJc w:val="left"/>
    </w:lvl>
  </w:abstractNum>
  <w:abstractNum w:abstractNumId="11" w15:restartNumberingAfterBreak="0">
    <w:nsid w:val="39D31DA3"/>
    <w:multiLevelType w:val="hybridMultilevel"/>
    <w:tmpl w:val="71B8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516DF"/>
    <w:multiLevelType w:val="hybridMultilevel"/>
    <w:tmpl w:val="4B4C0C38"/>
    <w:lvl w:ilvl="0" w:tplc="2DCAF1B0">
      <w:start w:val="1"/>
      <w:numFmt w:val="bullet"/>
      <w:lvlText w:val="•"/>
      <w:lvlJc w:val="left"/>
      <w:pPr>
        <w:ind w:left="720" w:hanging="360"/>
      </w:pPr>
    </w:lvl>
    <w:lvl w:ilvl="1" w:tplc="79BA624C">
      <w:numFmt w:val="decimal"/>
      <w:lvlText w:val=""/>
      <w:lvlJc w:val="left"/>
    </w:lvl>
    <w:lvl w:ilvl="2" w:tplc="76A65B7A">
      <w:numFmt w:val="decimal"/>
      <w:lvlText w:val=""/>
      <w:lvlJc w:val="left"/>
    </w:lvl>
    <w:lvl w:ilvl="3" w:tplc="BAC8236E">
      <w:numFmt w:val="decimal"/>
      <w:lvlText w:val=""/>
      <w:lvlJc w:val="left"/>
    </w:lvl>
    <w:lvl w:ilvl="4" w:tplc="9A1C8F1A">
      <w:numFmt w:val="decimal"/>
      <w:lvlText w:val=""/>
      <w:lvlJc w:val="left"/>
    </w:lvl>
    <w:lvl w:ilvl="5" w:tplc="48262D92">
      <w:numFmt w:val="decimal"/>
      <w:lvlText w:val=""/>
      <w:lvlJc w:val="left"/>
    </w:lvl>
    <w:lvl w:ilvl="6" w:tplc="C13A5F0A">
      <w:numFmt w:val="decimal"/>
      <w:lvlText w:val=""/>
      <w:lvlJc w:val="left"/>
    </w:lvl>
    <w:lvl w:ilvl="7" w:tplc="8C38E464">
      <w:numFmt w:val="decimal"/>
      <w:lvlText w:val=""/>
      <w:lvlJc w:val="left"/>
    </w:lvl>
    <w:lvl w:ilvl="8" w:tplc="7BB2BB66">
      <w:numFmt w:val="decimal"/>
      <w:lvlText w:val=""/>
      <w:lvlJc w:val="left"/>
    </w:lvl>
  </w:abstractNum>
  <w:abstractNum w:abstractNumId="13" w15:restartNumberingAfterBreak="0">
    <w:nsid w:val="779152AD"/>
    <w:multiLevelType w:val="hybridMultilevel"/>
    <w:tmpl w:val="F0E29C6E"/>
    <w:lvl w:ilvl="0" w:tplc="A96AFA78">
      <w:start w:val="1"/>
      <w:numFmt w:val="bullet"/>
      <w:lvlText w:val="●"/>
      <w:lvlJc w:val="left"/>
      <w:pPr>
        <w:ind w:left="720" w:hanging="360"/>
      </w:pPr>
    </w:lvl>
    <w:lvl w:ilvl="1" w:tplc="567C5744">
      <w:start w:val="1"/>
      <w:numFmt w:val="bullet"/>
      <w:lvlText w:val="○"/>
      <w:lvlJc w:val="left"/>
      <w:pPr>
        <w:ind w:left="1440" w:hanging="360"/>
      </w:pPr>
    </w:lvl>
    <w:lvl w:ilvl="2" w:tplc="3A123D60">
      <w:start w:val="1"/>
      <w:numFmt w:val="bullet"/>
      <w:lvlText w:val="■"/>
      <w:lvlJc w:val="left"/>
      <w:pPr>
        <w:ind w:left="2160" w:hanging="360"/>
      </w:pPr>
    </w:lvl>
    <w:lvl w:ilvl="3" w:tplc="04987DC4">
      <w:start w:val="1"/>
      <w:numFmt w:val="bullet"/>
      <w:lvlText w:val="●"/>
      <w:lvlJc w:val="left"/>
      <w:pPr>
        <w:ind w:left="2880" w:hanging="360"/>
      </w:pPr>
    </w:lvl>
    <w:lvl w:ilvl="4" w:tplc="4306B124">
      <w:start w:val="1"/>
      <w:numFmt w:val="bullet"/>
      <w:lvlText w:val="○"/>
      <w:lvlJc w:val="left"/>
      <w:pPr>
        <w:ind w:left="3600" w:hanging="360"/>
      </w:pPr>
    </w:lvl>
    <w:lvl w:ilvl="5" w:tplc="4E50B03C">
      <w:start w:val="1"/>
      <w:numFmt w:val="bullet"/>
      <w:lvlText w:val="■"/>
      <w:lvlJc w:val="left"/>
      <w:pPr>
        <w:ind w:left="4320" w:hanging="360"/>
      </w:pPr>
    </w:lvl>
    <w:lvl w:ilvl="6" w:tplc="9A96D1CA">
      <w:start w:val="1"/>
      <w:numFmt w:val="bullet"/>
      <w:lvlText w:val="●"/>
      <w:lvlJc w:val="left"/>
      <w:pPr>
        <w:ind w:left="5040" w:hanging="360"/>
      </w:pPr>
    </w:lvl>
    <w:lvl w:ilvl="7" w:tplc="ED380140">
      <w:start w:val="1"/>
      <w:numFmt w:val="bullet"/>
      <w:lvlText w:val="●"/>
      <w:lvlJc w:val="left"/>
      <w:pPr>
        <w:ind w:left="5760" w:hanging="360"/>
      </w:pPr>
    </w:lvl>
    <w:lvl w:ilvl="8" w:tplc="4D0AD6A2">
      <w:start w:val="1"/>
      <w:numFmt w:val="bullet"/>
      <w:lvlText w:val="●"/>
      <w:lvlJc w:val="left"/>
      <w:pPr>
        <w:ind w:left="6480" w:hanging="360"/>
      </w:pPr>
    </w:lvl>
  </w:abstractNum>
  <w:abstractNum w:abstractNumId="14" w15:restartNumberingAfterBreak="0">
    <w:nsid w:val="7F692ABE"/>
    <w:multiLevelType w:val="hybridMultilevel"/>
    <w:tmpl w:val="D254736C"/>
    <w:lvl w:ilvl="0" w:tplc="594AF888">
      <w:start w:val="1"/>
      <w:numFmt w:val="bullet"/>
      <w:lvlText w:val="●"/>
      <w:lvlJc w:val="left"/>
      <w:pPr>
        <w:ind w:left="720" w:hanging="360"/>
      </w:pPr>
    </w:lvl>
    <w:lvl w:ilvl="1" w:tplc="FF32D378">
      <w:start w:val="1"/>
      <w:numFmt w:val="bullet"/>
      <w:lvlText w:val="○"/>
      <w:lvlJc w:val="left"/>
      <w:pPr>
        <w:ind w:left="1440" w:hanging="360"/>
      </w:pPr>
    </w:lvl>
    <w:lvl w:ilvl="2" w:tplc="3236AF66">
      <w:start w:val="1"/>
      <w:numFmt w:val="bullet"/>
      <w:lvlText w:val="■"/>
      <w:lvlJc w:val="left"/>
      <w:pPr>
        <w:ind w:left="2160" w:hanging="360"/>
      </w:pPr>
    </w:lvl>
    <w:lvl w:ilvl="3" w:tplc="7E02A082">
      <w:start w:val="1"/>
      <w:numFmt w:val="bullet"/>
      <w:lvlText w:val="●"/>
      <w:lvlJc w:val="left"/>
      <w:pPr>
        <w:ind w:left="2880" w:hanging="360"/>
      </w:pPr>
    </w:lvl>
    <w:lvl w:ilvl="4" w:tplc="46523B6A">
      <w:start w:val="1"/>
      <w:numFmt w:val="bullet"/>
      <w:lvlText w:val="○"/>
      <w:lvlJc w:val="left"/>
      <w:pPr>
        <w:ind w:left="3600" w:hanging="360"/>
      </w:pPr>
    </w:lvl>
    <w:lvl w:ilvl="5" w:tplc="DB26DB2C">
      <w:start w:val="1"/>
      <w:numFmt w:val="bullet"/>
      <w:lvlText w:val="■"/>
      <w:lvlJc w:val="left"/>
      <w:pPr>
        <w:ind w:left="4320" w:hanging="360"/>
      </w:pPr>
    </w:lvl>
    <w:lvl w:ilvl="6" w:tplc="ACD2657A">
      <w:start w:val="1"/>
      <w:numFmt w:val="bullet"/>
      <w:lvlText w:val="●"/>
      <w:lvlJc w:val="left"/>
      <w:pPr>
        <w:ind w:left="5040" w:hanging="360"/>
      </w:pPr>
    </w:lvl>
    <w:lvl w:ilvl="7" w:tplc="914A305A">
      <w:start w:val="1"/>
      <w:numFmt w:val="bullet"/>
      <w:lvlText w:val="●"/>
      <w:lvlJc w:val="left"/>
      <w:pPr>
        <w:ind w:left="5760" w:hanging="360"/>
      </w:pPr>
    </w:lvl>
    <w:lvl w:ilvl="8" w:tplc="46F8E8DE">
      <w:start w:val="1"/>
      <w:numFmt w:val="bullet"/>
      <w:lvlText w:val="●"/>
      <w:lvlJc w:val="left"/>
      <w:pPr>
        <w:ind w:left="6480" w:hanging="360"/>
      </w:pPr>
    </w:lvl>
  </w:abstractNum>
  <w:num w:numId="1" w16cid:durableId="146827088">
    <w:abstractNumId w:val="14"/>
    <w:lvlOverride w:ilvl="0">
      <w:startOverride w:val="1"/>
    </w:lvlOverride>
  </w:num>
  <w:num w:numId="2" w16cid:durableId="650448729">
    <w:abstractNumId w:val="12"/>
    <w:lvlOverride w:ilvl="0">
      <w:startOverride w:val="1"/>
    </w:lvlOverride>
  </w:num>
  <w:num w:numId="3" w16cid:durableId="1755974110">
    <w:abstractNumId w:val="11"/>
  </w:num>
  <w:num w:numId="4" w16cid:durableId="525099605">
    <w:abstractNumId w:val="10"/>
    <w:lvlOverride w:ilvl="0">
      <w:startOverride w:val="1"/>
    </w:lvlOverride>
  </w:num>
  <w:num w:numId="5" w16cid:durableId="1923024485">
    <w:abstractNumId w:val="8"/>
  </w:num>
  <w:num w:numId="6" w16cid:durableId="661398047">
    <w:abstractNumId w:val="0"/>
  </w:num>
  <w:num w:numId="7" w16cid:durableId="1405645892">
    <w:abstractNumId w:val="1"/>
  </w:num>
  <w:num w:numId="8" w16cid:durableId="33774109">
    <w:abstractNumId w:val="1"/>
  </w:num>
  <w:num w:numId="9" w16cid:durableId="2020888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855764">
    <w:abstractNumId w:val="4"/>
  </w:num>
  <w:num w:numId="11" w16cid:durableId="117113638">
    <w:abstractNumId w:val="5"/>
    <w:lvlOverride w:ilvl="0">
      <w:startOverride w:val="1"/>
    </w:lvlOverride>
  </w:num>
  <w:num w:numId="12" w16cid:durableId="117113638">
    <w:abstractNumId w:val="5"/>
    <w:lvlOverride w:ilvl="0">
      <w:startOverride w:val="1"/>
    </w:lvlOverride>
  </w:num>
  <w:num w:numId="13" w16cid:durableId="474224736">
    <w:abstractNumId w:val="7"/>
    <w:lvlOverride w:ilvl="0">
      <w:startOverride w:val="1"/>
    </w:lvlOverride>
  </w:num>
  <w:num w:numId="14" w16cid:durableId="1269238493">
    <w:abstractNumId w:val="6"/>
    <w:lvlOverride w:ilvl="0">
      <w:startOverride w:val="1"/>
    </w:lvlOverride>
  </w:num>
  <w:num w:numId="15" w16cid:durableId="1269238493">
    <w:abstractNumId w:val="6"/>
    <w:lvlOverride w:ilvl="0">
      <w:startOverride w:val="1"/>
    </w:lvlOverride>
  </w:num>
  <w:num w:numId="16" w16cid:durableId="311908490">
    <w:abstractNumId w:val="13"/>
    <w:lvlOverride w:ilvl="0">
      <w:startOverride w:val="1"/>
    </w:lvlOverride>
  </w:num>
  <w:num w:numId="17" w16cid:durableId="1760328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8878946">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 w16cid:durableId="556670483">
    <w:abstractNumId w:val="0"/>
  </w:num>
  <w:num w:numId="20" w16cid:durableId="108167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C3"/>
    <w:rsid w:val="000D5EA1"/>
    <w:rsid w:val="0016612F"/>
    <w:rsid w:val="002A1B5C"/>
    <w:rsid w:val="00350F3D"/>
    <w:rsid w:val="003E6C19"/>
    <w:rsid w:val="005E146A"/>
    <w:rsid w:val="00662902"/>
    <w:rsid w:val="00A732C3"/>
    <w:rsid w:val="00AB05BA"/>
    <w:rsid w:val="00CB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8108"/>
  <w15:docId w15:val="{5654E7CC-7B8F-480C-9DE4-799A282A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E4E79"/>
      <w:sz w:val="32"/>
      <w:szCs w:val="32"/>
    </w:rPr>
  </w:style>
  <w:style w:type="paragraph" w:styleId="Heading2">
    <w:name w:val="heading 2"/>
    <w:uiPriority w:val="9"/>
    <w:unhideWhenUsed/>
    <w:qFormat/>
    <w:pPr>
      <w:spacing w:before="280" w:after="180"/>
      <w:outlineLvl w:val="1"/>
    </w:pPr>
    <w:rPr>
      <w:b/>
      <w:bCs/>
      <w:color w:val="2C9FAF"/>
      <w:sz w:val="26"/>
      <w:szCs w:val="26"/>
    </w:rPr>
  </w:style>
  <w:style w:type="paragraph" w:styleId="Heading3">
    <w:name w:val="heading 3"/>
    <w:uiPriority w:val="9"/>
    <w:unhideWhenUsed/>
    <w:qFormat/>
    <w:pPr>
      <w:spacing w:before="200" w:after="14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85467F"/>
    <w:rPr>
      <w:sz w:val="16"/>
      <w:szCs w:val="16"/>
    </w:rPr>
  </w:style>
  <w:style w:type="paragraph" w:styleId="CommentText">
    <w:name w:val="annotation text"/>
    <w:basedOn w:val="Normal"/>
    <w:link w:val="CommentTextChar"/>
    <w:uiPriority w:val="99"/>
    <w:semiHidden/>
    <w:unhideWhenUsed/>
    <w:rsid w:val="0085467F"/>
    <w:rPr>
      <w:sz w:val="20"/>
      <w:szCs w:val="20"/>
    </w:rPr>
  </w:style>
  <w:style w:type="character" w:customStyle="1" w:styleId="CommentTextChar">
    <w:name w:val="Comment Text Char"/>
    <w:basedOn w:val="DefaultParagraphFont"/>
    <w:link w:val="CommentText"/>
    <w:uiPriority w:val="99"/>
    <w:semiHidden/>
    <w:rsid w:val="0085467F"/>
    <w:rPr>
      <w:sz w:val="20"/>
      <w:szCs w:val="20"/>
    </w:rPr>
  </w:style>
  <w:style w:type="paragraph" w:styleId="CommentSubject">
    <w:name w:val="annotation subject"/>
    <w:basedOn w:val="CommentText"/>
    <w:next w:val="CommentText"/>
    <w:link w:val="CommentSubjectChar"/>
    <w:uiPriority w:val="99"/>
    <w:semiHidden/>
    <w:unhideWhenUsed/>
    <w:rsid w:val="0085467F"/>
    <w:rPr>
      <w:b/>
      <w:bCs/>
    </w:rPr>
  </w:style>
  <w:style w:type="character" w:customStyle="1" w:styleId="CommentSubjectChar">
    <w:name w:val="Comment Subject Char"/>
    <w:basedOn w:val="CommentTextChar"/>
    <w:link w:val="CommentSubject"/>
    <w:uiPriority w:val="99"/>
    <w:semiHidden/>
    <w:rsid w:val="0085467F"/>
    <w:rPr>
      <w:b/>
      <w:bCs/>
      <w:sz w:val="20"/>
      <w:szCs w:val="20"/>
    </w:rPr>
  </w:style>
  <w:style w:type="paragraph" w:customStyle="1" w:styleId="font-claude-response-body">
    <w:name w:val="font-claude-response-body"/>
    <w:basedOn w:val="Normal"/>
    <w:rsid w:val="007267F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25640"/>
    <w:rPr>
      <w:b/>
      <w:bCs/>
    </w:rPr>
  </w:style>
  <w:style w:type="paragraph" w:styleId="Header">
    <w:name w:val="header"/>
    <w:basedOn w:val="Normal"/>
    <w:link w:val="HeaderChar"/>
    <w:uiPriority w:val="99"/>
    <w:unhideWhenUsed/>
    <w:rsid w:val="0048772E"/>
    <w:pPr>
      <w:tabs>
        <w:tab w:val="center" w:pos="4680"/>
        <w:tab w:val="right" w:pos="9360"/>
      </w:tabs>
    </w:pPr>
  </w:style>
  <w:style w:type="character" w:customStyle="1" w:styleId="HeaderChar">
    <w:name w:val="Header Char"/>
    <w:basedOn w:val="DefaultParagraphFont"/>
    <w:link w:val="Header"/>
    <w:uiPriority w:val="99"/>
    <w:rsid w:val="0048772E"/>
  </w:style>
  <w:style w:type="paragraph" w:styleId="Footer">
    <w:name w:val="footer"/>
    <w:basedOn w:val="Normal"/>
    <w:link w:val="FooterChar"/>
    <w:uiPriority w:val="99"/>
    <w:unhideWhenUsed/>
    <w:rsid w:val="0048772E"/>
    <w:pPr>
      <w:tabs>
        <w:tab w:val="center" w:pos="4680"/>
        <w:tab w:val="right" w:pos="9360"/>
      </w:tabs>
    </w:pPr>
  </w:style>
  <w:style w:type="character" w:customStyle="1" w:styleId="FooterChar">
    <w:name w:val="Footer Char"/>
    <w:basedOn w:val="DefaultParagraphFont"/>
    <w:link w:val="Footer"/>
    <w:uiPriority w:val="99"/>
    <w:rsid w:val="0048772E"/>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TOC1">
    <w:name w:val="toc 1"/>
    <w:basedOn w:val="Normal"/>
    <w:next w:val="Normal"/>
    <w:autoRedefine/>
    <w:uiPriority w:val="39"/>
    <w:unhideWhenUsed/>
    <w:rsid w:val="00E95AB2"/>
    <w:pPr>
      <w:spacing w:after="100"/>
    </w:pPr>
  </w:style>
  <w:style w:type="paragraph" w:styleId="TOC2">
    <w:name w:val="toc 2"/>
    <w:basedOn w:val="Normal"/>
    <w:next w:val="Normal"/>
    <w:autoRedefine/>
    <w:uiPriority w:val="39"/>
    <w:unhideWhenUsed/>
    <w:rsid w:val="00E95AB2"/>
    <w:pPr>
      <w:spacing w:after="100"/>
      <w:ind w:left="220"/>
    </w:pPr>
  </w:style>
  <w:style w:type="paragraph" w:styleId="TOC3">
    <w:name w:val="toc 3"/>
    <w:basedOn w:val="Normal"/>
    <w:next w:val="Normal"/>
    <w:autoRedefine/>
    <w:uiPriority w:val="39"/>
    <w:unhideWhenUsed/>
    <w:rsid w:val="00E95AB2"/>
    <w:pPr>
      <w:spacing w:after="100"/>
      <w:ind w:left="440"/>
    </w:pPr>
  </w:style>
  <w:style w:type="paragraph" w:styleId="TOC4">
    <w:name w:val="toc 4"/>
    <w:basedOn w:val="Normal"/>
    <w:next w:val="Normal"/>
    <w:autoRedefine/>
    <w:uiPriority w:val="39"/>
    <w:unhideWhenUsed/>
    <w:rsid w:val="00E95AB2"/>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E95AB2"/>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E95AB2"/>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E95AB2"/>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E95AB2"/>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E95AB2"/>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E95AB2"/>
    <w:rPr>
      <w:color w:val="605E5C"/>
      <w:shd w:val="clear" w:color="auto" w:fill="E1DFDD"/>
    </w:rPr>
  </w:style>
  <w:style w:type="paragraph" w:styleId="BodyText">
    <w:name w:val="Body Text"/>
    <w:basedOn w:val="Normal"/>
    <w:link w:val="BodyTextChar"/>
    <w:uiPriority w:val="99"/>
    <w:unhideWhenUsed/>
    <w:rsid w:val="0091127D"/>
    <w:pPr>
      <w:spacing w:after="120"/>
    </w:pPr>
  </w:style>
  <w:style w:type="character" w:customStyle="1" w:styleId="BodyTextChar">
    <w:name w:val="Body Text Char"/>
    <w:basedOn w:val="DefaultParagraphFont"/>
    <w:link w:val="BodyText"/>
    <w:uiPriority w:val="99"/>
    <w:rsid w:val="0091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166">
      <w:bodyDiv w:val="1"/>
      <w:marLeft w:val="0"/>
      <w:marRight w:val="0"/>
      <w:marTop w:val="0"/>
      <w:marBottom w:val="0"/>
      <w:divBdr>
        <w:top w:val="none" w:sz="0" w:space="0" w:color="auto"/>
        <w:left w:val="none" w:sz="0" w:space="0" w:color="auto"/>
        <w:bottom w:val="none" w:sz="0" w:space="0" w:color="auto"/>
        <w:right w:val="none" w:sz="0" w:space="0" w:color="auto"/>
      </w:divBdr>
      <w:divsChild>
        <w:div w:id="1236354823">
          <w:marLeft w:val="0"/>
          <w:marRight w:val="0"/>
          <w:marTop w:val="0"/>
          <w:marBottom w:val="0"/>
          <w:divBdr>
            <w:top w:val="none" w:sz="0" w:space="0" w:color="auto"/>
            <w:left w:val="none" w:sz="0" w:space="0" w:color="auto"/>
            <w:bottom w:val="none" w:sz="0" w:space="0" w:color="auto"/>
            <w:right w:val="none" w:sz="0" w:space="0" w:color="auto"/>
          </w:divBdr>
        </w:div>
      </w:divsChild>
    </w:div>
    <w:div w:id="20009173">
      <w:bodyDiv w:val="1"/>
      <w:marLeft w:val="0"/>
      <w:marRight w:val="0"/>
      <w:marTop w:val="0"/>
      <w:marBottom w:val="0"/>
      <w:divBdr>
        <w:top w:val="none" w:sz="0" w:space="0" w:color="auto"/>
        <w:left w:val="none" w:sz="0" w:space="0" w:color="auto"/>
        <w:bottom w:val="none" w:sz="0" w:space="0" w:color="auto"/>
        <w:right w:val="none" w:sz="0" w:space="0" w:color="auto"/>
      </w:divBdr>
    </w:div>
    <w:div w:id="67240048">
      <w:bodyDiv w:val="1"/>
      <w:marLeft w:val="0"/>
      <w:marRight w:val="0"/>
      <w:marTop w:val="0"/>
      <w:marBottom w:val="0"/>
      <w:divBdr>
        <w:top w:val="none" w:sz="0" w:space="0" w:color="auto"/>
        <w:left w:val="none" w:sz="0" w:space="0" w:color="auto"/>
        <w:bottom w:val="none" w:sz="0" w:space="0" w:color="auto"/>
        <w:right w:val="none" w:sz="0" w:space="0" w:color="auto"/>
      </w:divBdr>
    </w:div>
    <w:div w:id="195777293">
      <w:bodyDiv w:val="1"/>
      <w:marLeft w:val="0"/>
      <w:marRight w:val="0"/>
      <w:marTop w:val="0"/>
      <w:marBottom w:val="0"/>
      <w:divBdr>
        <w:top w:val="none" w:sz="0" w:space="0" w:color="auto"/>
        <w:left w:val="none" w:sz="0" w:space="0" w:color="auto"/>
        <w:bottom w:val="none" w:sz="0" w:space="0" w:color="auto"/>
        <w:right w:val="none" w:sz="0" w:space="0" w:color="auto"/>
      </w:divBdr>
    </w:div>
    <w:div w:id="279189830">
      <w:bodyDiv w:val="1"/>
      <w:marLeft w:val="0"/>
      <w:marRight w:val="0"/>
      <w:marTop w:val="0"/>
      <w:marBottom w:val="0"/>
      <w:divBdr>
        <w:top w:val="none" w:sz="0" w:space="0" w:color="auto"/>
        <w:left w:val="none" w:sz="0" w:space="0" w:color="auto"/>
        <w:bottom w:val="none" w:sz="0" w:space="0" w:color="auto"/>
        <w:right w:val="none" w:sz="0" w:space="0" w:color="auto"/>
      </w:divBdr>
      <w:divsChild>
        <w:div w:id="312029755">
          <w:marLeft w:val="0"/>
          <w:marRight w:val="0"/>
          <w:marTop w:val="0"/>
          <w:marBottom w:val="0"/>
          <w:divBdr>
            <w:top w:val="none" w:sz="0" w:space="0" w:color="auto"/>
            <w:left w:val="none" w:sz="0" w:space="0" w:color="auto"/>
            <w:bottom w:val="none" w:sz="0" w:space="0" w:color="auto"/>
            <w:right w:val="none" w:sz="0" w:space="0" w:color="auto"/>
          </w:divBdr>
        </w:div>
      </w:divsChild>
    </w:div>
    <w:div w:id="374621138">
      <w:bodyDiv w:val="1"/>
      <w:marLeft w:val="0"/>
      <w:marRight w:val="0"/>
      <w:marTop w:val="0"/>
      <w:marBottom w:val="0"/>
      <w:divBdr>
        <w:top w:val="none" w:sz="0" w:space="0" w:color="auto"/>
        <w:left w:val="none" w:sz="0" w:space="0" w:color="auto"/>
        <w:bottom w:val="none" w:sz="0" w:space="0" w:color="auto"/>
        <w:right w:val="none" w:sz="0" w:space="0" w:color="auto"/>
      </w:divBdr>
      <w:divsChild>
        <w:div w:id="1441222485">
          <w:marLeft w:val="0"/>
          <w:marRight w:val="0"/>
          <w:marTop w:val="0"/>
          <w:marBottom w:val="0"/>
          <w:divBdr>
            <w:top w:val="none" w:sz="0" w:space="0" w:color="auto"/>
            <w:left w:val="none" w:sz="0" w:space="0" w:color="auto"/>
            <w:bottom w:val="none" w:sz="0" w:space="0" w:color="auto"/>
            <w:right w:val="none" w:sz="0" w:space="0" w:color="auto"/>
          </w:divBdr>
        </w:div>
      </w:divsChild>
    </w:div>
    <w:div w:id="432634747">
      <w:bodyDiv w:val="1"/>
      <w:marLeft w:val="0"/>
      <w:marRight w:val="0"/>
      <w:marTop w:val="0"/>
      <w:marBottom w:val="0"/>
      <w:divBdr>
        <w:top w:val="none" w:sz="0" w:space="0" w:color="auto"/>
        <w:left w:val="none" w:sz="0" w:space="0" w:color="auto"/>
        <w:bottom w:val="none" w:sz="0" w:space="0" w:color="auto"/>
        <w:right w:val="none" w:sz="0" w:space="0" w:color="auto"/>
      </w:divBdr>
    </w:div>
    <w:div w:id="434836178">
      <w:bodyDiv w:val="1"/>
      <w:marLeft w:val="0"/>
      <w:marRight w:val="0"/>
      <w:marTop w:val="0"/>
      <w:marBottom w:val="0"/>
      <w:divBdr>
        <w:top w:val="none" w:sz="0" w:space="0" w:color="auto"/>
        <w:left w:val="none" w:sz="0" w:space="0" w:color="auto"/>
        <w:bottom w:val="none" w:sz="0" w:space="0" w:color="auto"/>
        <w:right w:val="none" w:sz="0" w:space="0" w:color="auto"/>
      </w:divBdr>
    </w:div>
    <w:div w:id="525749371">
      <w:bodyDiv w:val="1"/>
      <w:marLeft w:val="0"/>
      <w:marRight w:val="0"/>
      <w:marTop w:val="0"/>
      <w:marBottom w:val="0"/>
      <w:divBdr>
        <w:top w:val="none" w:sz="0" w:space="0" w:color="auto"/>
        <w:left w:val="none" w:sz="0" w:space="0" w:color="auto"/>
        <w:bottom w:val="none" w:sz="0" w:space="0" w:color="auto"/>
        <w:right w:val="none" w:sz="0" w:space="0" w:color="auto"/>
      </w:divBdr>
    </w:div>
    <w:div w:id="529756838">
      <w:bodyDiv w:val="1"/>
      <w:marLeft w:val="0"/>
      <w:marRight w:val="0"/>
      <w:marTop w:val="0"/>
      <w:marBottom w:val="0"/>
      <w:divBdr>
        <w:top w:val="none" w:sz="0" w:space="0" w:color="auto"/>
        <w:left w:val="none" w:sz="0" w:space="0" w:color="auto"/>
        <w:bottom w:val="none" w:sz="0" w:space="0" w:color="auto"/>
        <w:right w:val="none" w:sz="0" w:space="0" w:color="auto"/>
      </w:divBdr>
    </w:div>
    <w:div w:id="552741014">
      <w:bodyDiv w:val="1"/>
      <w:marLeft w:val="0"/>
      <w:marRight w:val="0"/>
      <w:marTop w:val="0"/>
      <w:marBottom w:val="0"/>
      <w:divBdr>
        <w:top w:val="none" w:sz="0" w:space="0" w:color="auto"/>
        <w:left w:val="none" w:sz="0" w:space="0" w:color="auto"/>
        <w:bottom w:val="none" w:sz="0" w:space="0" w:color="auto"/>
        <w:right w:val="none" w:sz="0" w:space="0" w:color="auto"/>
      </w:divBdr>
      <w:divsChild>
        <w:div w:id="618530830">
          <w:marLeft w:val="0"/>
          <w:marRight w:val="0"/>
          <w:marTop w:val="0"/>
          <w:marBottom w:val="0"/>
          <w:divBdr>
            <w:top w:val="none" w:sz="0" w:space="0" w:color="auto"/>
            <w:left w:val="none" w:sz="0" w:space="0" w:color="auto"/>
            <w:bottom w:val="none" w:sz="0" w:space="0" w:color="auto"/>
            <w:right w:val="none" w:sz="0" w:space="0" w:color="auto"/>
          </w:divBdr>
          <w:divsChild>
            <w:div w:id="975338002">
              <w:marLeft w:val="0"/>
              <w:marRight w:val="0"/>
              <w:marTop w:val="0"/>
              <w:marBottom w:val="0"/>
              <w:divBdr>
                <w:top w:val="none" w:sz="0" w:space="0" w:color="auto"/>
                <w:left w:val="none" w:sz="0" w:space="0" w:color="auto"/>
                <w:bottom w:val="none" w:sz="0" w:space="0" w:color="auto"/>
                <w:right w:val="none" w:sz="0" w:space="0" w:color="auto"/>
              </w:divBdr>
            </w:div>
          </w:divsChild>
        </w:div>
        <w:div w:id="1478298009">
          <w:marLeft w:val="0"/>
          <w:marRight w:val="0"/>
          <w:marTop w:val="0"/>
          <w:marBottom w:val="0"/>
          <w:divBdr>
            <w:top w:val="none" w:sz="0" w:space="0" w:color="auto"/>
            <w:left w:val="none" w:sz="0" w:space="0" w:color="auto"/>
            <w:bottom w:val="none" w:sz="0" w:space="0" w:color="auto"/>
            <w:right w:val="none" w:sz="0" w:space="0" w:color="auto"/>
          </w:divBdr>
          <w:divsChild>
            <w:div w:id="2138404397">
              <w:marLeft w:val="0"/>
              <w:marRight w:val="0"/>
              <w:marTop w:val="0"/>
              <w:marBottom w:val="0"/>
              <w:divBdr>
                <w:top w:val="none" w:sz="0" w:space="0" w:color="auto"/>
                <w:left w:val="none" w:sz="0" w:space="0" w:color="auto"/>
                <w:bottom w:val="none" w:sz="0" w:space="0" w:color="auto"/>
                <w:right w:val="none" w:sz="0" w:space="0" w:color="auto"/>
              </w:divBdr>
            </w:div>
          </w:divsChild>
        </w:div>
        <w:div w:id="451824033">
          <w:marLeft w:val="0"/>
          <w:marRight w:val="0"/>
          <w:marTop w:val="0"/>
          <w:marBottom w:val="0"/>
          <w:divBdr>
            <w:top w:val="none" w:sz="0" w:space="0" w:color="auto"/>
            <w:left w:val="none" w:sz="0" w:space="0" w:color="auto"/>
            <w:bottom w:val="none" w:sz="0" w:space="0" w:color="auto"/>
            <w:right w:val="none" w:sz="0" w:space="0" w:color="auto"/>
          </w:divBdr>
          <w:divsChild>
            <w:div w:id="1175076278">
              <w:marLeft w:val="0"/>
              <w:marRight w:val="0"/>
              <w:marTop w:val="0"/>
              <w:marBottom w:val="0"/>
              <w:divBdr>
                <w:top w:val="none" w:sz="0" w:space="0" w:color="auto"/>
                <w:left w:val="none" w:sz="0" w:space="0" w:color="auto"/>
                <w:bottom w:val="none" w:sz="0" w:space="0" w:color="auto"/>
                <w:right w:val="none" w:sz="0" w:space="0" w:color="auto"/>
              </w:divBdr>
            </w:div>
          </w:divsChild>
        </w:div>
        <w:div w:id="1123763957">
          <w:marLeft w:val="0"/>
          <w:marRight w:val="0"/>
          <w:marTop w:val="0"/>
          <w:marBottom w:val="0"/>
          <w:divBdr>
            <w:top w:val="none" w:sz="0" w:space="0" w:color="auto"/>
            <w:left w:val="none" w:sz="0" w:space="0" w:color="auto"/>
            <w:bottom w:val="none" w:sz="0" w:space="0" w:color="auto"/>
            <w:right w:val="none" w:sz="0" w:space="0" w:color="auto"/>
          </w:divBdr>
          <w:divsChild>
            <w:div w:id="1196577289">
              <w:marLeft w:val="0"/>
              <w:marRight w:val="0"/>
              <w:marTop w:val="0"/>
              <w:marBottom w:val="0"/>
              <w:divBdr>
                <w:top w:val="none" w:sz="0" w:space="0" w:color="auto"/>
                <w:left w:val="none" w:sz="0" w:space="0" w:color="auto"/>
                <w:bottom w:val="none" w:sz="0" w:space="0" w:color="auto"/>
                <w:right w:val="none" w:sz="0" w:space="0" w:color="auto"/>
              </w:divBdr>
            </w:div>
          </w:divsChild>
        </w:div>
        <w:div w:id="287512845">
          <w:marLeft w:val="0"/>
          <w:marRight w:val="0"/>
          <w:marTop w:val="0"/>
          <w:marBottom w:val="0"/>
          <w:divBdr>
            <w:top w:val="none" w:sz="0" w:space="0" w:color="auto"/>
            <w:left w:val="none" w:sz="0" w:space="0" w:color="auto"/>
            <w:bottom w:val="none" w:sz="0" w:space="0" w:color="auto"/>
            <w:right w:val="none" w:sz="0" w:space="0" w:color="auto"/>
          </w:divBdr>
          <w:divsChild>
            <w:div w:id="877162261">
              <w:marLeft w:val="0"/>
              <w:marRight w:val="0"/>
              <w:marTop w:val="0"/>
              <w:marBottom w:val="0"/>
              <w:divBdr>
                <w:top w:val="none" w:sz="0" w:space="0" w:color="auto"/>
                <w:left w:val="none" w:sz="0" w:space="0" w:color="auto"/>
                <w:bottom w:val="none" w:sz="0" w:space="0" w:color="auto"/>
                <w:right w:val="none" w:sz="0" w:space="0" w:color="auto"/>
              </w:divBdr>
            </w:div>
          </w:divsChild>
        </w:div>
        <w:div w:id="997148037">
          <w:marLeft w:val="0"/>
          <w:marRight w:val="0"/>
          <w:marTop w:val="0"/>
          <w:marBottom w:val="0"/>
          <w:divBdr>
            <w:top w:val="none" w:sz="0" w:space="0" w:color="auto"/>
            <w:left w:val="none" w:sz="0" w:space="0" w:color="auto"/>
            <w:bottom w:val="none" w:sz="0" w:space="0" w:color="auto"/>
            <w:right w:val="none" w:sz="0" w:space="0" w:color="auto"/>
          </w:divBdr>
          <w:divsChild>
            <w:div w:id="6083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8704">
      <w:bodyDiv w:val="1"/>
      <w:marLeft w:val="0"/>
      <w:marRight w:val="0"/>
      <w:marTop w:val="0"/>
      <w:marBottom w:val="0"/>
      <w:divBdr>
        <w:top w:val="none" w:sz="0" w:space="0" w:color="auto"/>
        <w:left w:val="none" w:sz="0" w:space="0" w:color="auto"/>
        <w:bottom w:val="none" w:sz="0" w:space="0" w:color="auto"/>
        <w:right w:val="none" w:sz="0" w:space="0" w:color="auto"/>
      </w:divBdr>
      <w:divsChild>
        <w:div w:id="573903791">
          <w:marLeft w:val="0"/>
          <w:marRight w:val="0"/>
          <w:marTop w:val="0"/>
          <w:marBottom w:val="0"/>
          <w:divBdr>
            <w:top w:val="none" w:sz="0" w:space="0" w:color="auto"/>
            <w:left w:val="none" w:sz="0" w:space="0" w:color="auto"/>
            <w:bottom w:val="none" w:sz="0" w:space="0" w:color="auto"/>
            <w:right w:val="none" w:sz="0" w:space="0" w:color="auto"/>
          </w:divBdr>
        </w:div>
      </w:divsChild>
    </w:div>
    <w:div w:id="700514834">
      <w:bodyDiv w:val="1"/>
      <w:marLeft w:val="0"/>
      <w:marRight w:val="0"/>
      <w:marTop w:val="0"/>
      <w:marBottom w:val="0"/>
      <w:divBdr>
        <w:top w:val="none" w:sz="0" w:space="0" w:color="auto"/>
        <w:left w:val="none" w:sz="0" w:space="0" w:color="auto"/>
        <w:bottom w:val="none" w:sz="0" w:space="0" w:color="auto"/>
        <w:right w:val="none" w:sz="0" w:space="0" w:color="auto"/>
      </w:divBdr>
      <w:divsChild>
        <w:div w:id="2101171731">
          <w:marLeft w:val="0"/>
          <w:marRight w:val="0"/>
          <w:marTop w:val="0"/>
          <w:marBottom w:val="0"/>
          <w:divBdr>
            <w:top w:val="none" w:sz="0" w:space="0" w:color="auto"/>
            <w:left w:val="none" w:sz="0" w:space="0" w:color="auto"/>
            <w:bottom w:val="none" w:sz="0" w:space="0" w:color="auto"/>
            <w:right w:val="none" w:sz="0" w:space="0" w:color="auto"/>
          </w:divBdr>
        </w:div>
      </w:divsChild>
    </w:div>
    <w:div w:id="708847133">
      <w:bodyDiv w:val="1"/>
      <w:marLeft w:val="0"/>
      <w:marRight w:val="0"/>
      <w:marTop w:val="0"/>
      <w:marBottom w:val="0"/>
      <w:divBdr>
        <w:top w:val="none" w:sz="0" w:space="0" w:color="auto"/>
        <w:left w:val="none" w:sz="0" w:space="0" w:color="auto"/>
        <w:bottom w:val="none" w:sz="0" w:space="0" w:color="auto"/>
        <w:right w:val="none" w:sz="0" w:space="0" w:color="auto"/>
      </w:divBdr>
    </w:div>
    <w:div w:id="720592739">
      <w:bodyDiv w:val="1"/>
      <w:marLeft w:val="0"/>
      <w:marRight w:val="0"/>
      <w:marTop w:val="0"/>
      <w:marBottom w:val="0"/>
      <w:divBdr>
        <w:top w:val="none" w:sz="0" w:space="0" w:color="auto"/>
        <w:left w:val="none" w:sz="0" w:space="0" w:color="auto"/>
        <w:bottom w:val="none" w:sz="0" w:space="0" w:color="auto"/>
        <w:right w:val="none" w:sz="0" w:space="0" w:color="auto"/>
      </w:divBdr>
    </w:div>
    <w:div w:id="775370206">
      <w:bodyDiv w:val="1"/>
      <w:marLeft w:val="0"/>
      <w:marRight w:val="0"/>
      <w:marTop w:val="0"/>
      <w:marBottom w:val="0"/>
      <w:divBdr>
        <w:top w:val="none" w:sz="0" w:space="0" w:color="auto"/>
        <w:left w:val="none" w:sz="0" w:space="0" w:color="auto"/>
        <w:bottom w:val="none" w:sz="0" w:space="0" w:color="auto"/>
        <w:right w:val="none" w:sz="0" w:space="0" w:color="auto"/>
      </w:divBdr>
    </w:div>
    <w:div w:id="903880868">
      <w:bodyDiv w:val="1"/>
      <w:marLeft w:val="0"/>
      <w:marRight w:val="0"/>
      <w:marTop w:val="0"/>
      <w:marBottom w:val="0"/>
      <w:divBdr>
        <w:top w:val="none" w:sz="0" w:space="0" w:color="auto"/>
        <w:left w:val="none" w:sz="0" w:space="0" w:color="auto"/>
        <w:bottom w:val="none" w:sz="0" w:space="0" w:color="auto"/>
        <w:right w:val="none" w:sz="0" w:space="0" w:color="auto"/>
      </w:divBdr>
    </w:div>
    <w:div w:id="907884728">
      <w:bodyDiv w:val="1"/>
      <w:marLeft w:val="0"/>
      <w:marRight w:val="0"/>
      <w:marTop w:val="0"/>
      <w:marBottom w:val="0"/>
      <w:divBdr>
        <w:top w:val="none" w:sz="0" w:space="0" w:color="auto"/>
        <w:left w:val="none" w:sz="0" w:space="0" w:color="auto"/>
        <w:bottom w:val="none" w:sz="0" w:space="0" w:color="auto"/>
        <w:right w:val="none" w:sz="0" w:space="0" w:color="auto"/>
      </w:divBdr>
    </w:div>
    <w:div w:id="919825096">
      <w:bodyDiv w:val="1"/>
      <w:marLeft w:val="0"/>
      <w:marRight w:val="0"/>
      <w:marTop w:val="0"/>
      <w:marBottom w:val="0"/>
      <w:divBdr>
        <w:top w:val="none" w:sz="0" w:space="0" w:color="auto"/>
        <w:left w:val="none" w:sz="0" w:space="0" w:color="auto"/>
        <w:bottom w:val="none" w:sz="0" w:space="0" w:color="auto"/>
        <w:right w:val="none" w:sz="0" w:space="0" w:color="auto"/>
      </w:divBdr>
    </w:div>
    <w:div w:id="920335705">
      <w:bodyDiv w:val="1"/>
      <w:marLeft w:val="0"/>
      <w:marRight w:val="0"/>
      <w:marTop w:val="0"/>
      <w:marBottom w:val="0"/>
      <w:divBdr>
        <w:top w:val="none" w:sz="0" w:space="0" w:color="auto"/>
        <w:left w:val="none" w:sz="0" w:space="0" w:color="auto"/>
        <w:bottom w:val="none" w:sz="0" w:space="0" w:color="auto"/>
        <w:right w:val="none" w:sz="0" w:space="0" w:color="auto"/>
      </w:divBdr>
    </w:div>
    <w:div w:id="966011738">
      <w:bodyDiv w:val="1"/>
      <w:marLeft w:val="0"/>
      <w:marRight w:val="0"/>
      <w:marTop w:val="0"/>
      <w:marBottom w:val="0"/>
      <w:divBdr>
        <w:top w:val="none" w:sz="0" w:space="0" w:color="auto"/>
        <w:left w:val="none" w:sz="0" w:space="0" w:color="auto"/>
        <w:bottom w:val="none" w:sz="0" w:space="0" w:color="auto"/>
        <w:right w:val="none" w:sz="0" w:space="0" w:color="auto"/>
      </w:divBdr>
    </w:div>
    <w:div w:id="1033850991">
      <w:bodyDiv w:val="1"/>
      <w:marLeft w:val="0"/>
      <w:marRight w:val="0"/>
      <w:marTop w:val="0"/>
      <w:marBottom w:val="0"/>
      <w:divBdr>
        <w:top w:val="none" w:sz="0" w:space="0" w:color="auto"/>
        <w:left w:val="none" w:sz="0" w:space="0" w:color="auto"/>
        <w:bottom w:val="none" w:sz="0" w:space="0" w:color="auto"/>
        <w:right w:val="none" w:sz="0" w:space="0" w:color="auto"/>
      </w:divBdr>
    </w:div>
    <w:div w:id="1122503502">
      <w:bodyDiv w:val="1"/>
      <w:marLeft w:val="0"/>
      <w:marRight w:val="0"/>
      <w:marTop w:val="0"/>
      <w:marBottom w:val="0"/>
      <w:divBdr>
        <w:top w:val="none" w:sz="0" w:space="0" w:color="auto"/>
        <w:left w:val="none" w:sz="0" w:space="0" w:color="auto"/>
        <w:bottom w:val="none" w:sz="0" w:space="0" w:color="auto"/>
        <w:right w:val="none" w:sz="0" w:space="0" w:color="auto"/>
      </w:divBdr>
      <w:divsChild>
        <w:div w:id="301618380">
          <w:marLeft w:val="0"/>
          <w:marRight w:val="0"/>
          <w:marTop w:val="0"/>
          <w:marBottom w:val="0"/>
          <w:divBdr>
            <w:top w:val="none" w:sz="0" w:space="0" w:color="auto"/>
            <w:left w:val="none" w:sz="0" w:space="0" w:color="auto"/>
            <w:bottom w:val="none" w:sz="0" w:space="0" w:color="auto"/>
            <w:right w:val="none" w:sz="0" w:space="0" w:color="auto"/>
          </w:divBdr>
        </w:div>
      </w:divsChild>
    </w:div>
    <w:div w:id="1298682423">
      <w:bodyDiv w:val="1"/>
      <w:marLeft w:val="0"/>
      <w:marRight w:val="0"/>
      <w:marTop w:val="0"/>
      <w:marBottom w:val="0"/>
      <w:divBdr>
        <w:top w:val="none" w:sz="0" w:space="0" w:color="auto"/>
        <w:left w:val="none" w:sz="0" w:space="0" w:color="auto"/>
        <w:bottom w:val="none" w:sz="0" w:space="0" w:color="auto"/>
        <w:right w:val="none" w:sz="0" w:space="0" w:color="auto"/>
      </w:divBdr>
    </w:div>
    <w:div w:id="1300570346">
      <w:bodyDiv w:val="1"/>
      <w:marLeft w:val="0"/>
      <w:marRight w:val="0"/>
      <w:marTop w:val="0"/>
      <w:marBottom w:val="0"/>
      <w:divBdr>
        <w:top w:val="none" w:sz="0" w:space="0" w:color="auto"/>
        <w:left w:val="none" w:sz="0" w:space="0" w:color="auto"/>
        <w:bottom w:val="none" w:sz="0" w:space="0" w:color="auto"/>
        <w:right w:val="none" w:sz="0" w:space="0" w:color="auto"/>
      </w:divBdr>
      <w:divsChild>
        <w:div w:id="696001766">
          <w:marLeft w:val="0"/>
          <w:marRight w:val="0"/>
          <w:marTop w:val="0"/>
          <w:marBottom w:val="0"/>
          <w:divBdr>
            <w:top w:val="none" w:sz="0" w:space="0" w:color="auto"/>
            <w:left w:val="none" w:sz="0" w:space="0" w:color="auto"/>
            <w:bottom w:val="none" w:sz="0" w:space="0" w:color="auto"/>
            <w:right w:val="none" w:sz="0" w:space="0" w:color="auto"/>
          </w:divBdr>
          <w:divsChild>
            <w:div w:id="747774329">
              <w:marLeft w:val="0"/>
              <w:marRight w:val="0"/>
              <w:marTop w:val="0"/>
              <w:marBottom w:val="0"/>
              <w:divBdr>
                <w:top w:val="none" w:sz="0" w:space="0" w:color="auto"/>
                <w:left w:val="none" w:sz="0" w:space="0" w:color="auto"/>
                <w:bottom w:val="none" w:sz="0" w:space="0" w:color="auto"/>
                <w:right w:val="none" w:sz="0" w:space="0" w:color="auto"/>
              </w:divBdr>
            </w:div>
          </w:divsChild>
        </w:div>
        <w:div w:id="2145539354">
          <w:marLeft w:val="0"/>
          <w:marRight w:val="0"/>
          <w:marTop w:val="0"/>
          <w:marBottom w:val="0"/>
          <w:divBdr>
            <w:top w:val="none" w:sz="0" w:space="0" w:color="auto"/>
            <w:left w:val="none" w:sz="0" w:space="0" w:color="auto"/>
            <w:bottom w:val="none" w:sz="0" w:space="0" w:color="auto"/>
            <w:right w:val="none" w:sz="0" w:space="0" w:color="auto"/>
          </w:divBdr>
          <w:divsChild>
            <w:div w:id="478571434">
              <w:marLeft w:val="0"/>
              <w:marRight w:val="0"/>
              <w:marTop w:val="0"/>
              <w:marBottom w:val="0"/>
              <w:divBdr>
                <w:top w:val="none" w:sz="0" w:space="0" w:color="auto"/>
                <w:left w:val="none" w:sz="0" w:space="0" w:color="auto"/>
                <w:bottom w:val="none" w:sz="0" w:space="0" w:color="auto"/>
                <w:right w:val="none" w:sz="0" w:space="0" w:color="auto"/>
              </w:divBdr>
            </w:div>
          </w:divsChild>
        </w:div>
        <w:div w:id="1632635111">
          <w:marLeft w:val="0"/>
          <w:marRight w:val="0"/>
          <w:marTop w:val="0"/>
          <w:marBottom w:val="0"/>
          <w:divBdr>
            <w:top w:val="none" w:sz="0" w:space="0" w:color="auto"/>
            <w:left w:val="none" w:sz="0" w:space="0" w:color="auto"/>
            <w:bottom w:val="none" w:sz="0" w:space="0" w:color="auto"/>
            <w:right w:val="none" w:sz="0" w:space="0" w:color="auto"/>
          </w:divBdr>
          <w:divsChild>
            <w:div w:id="1876457947">
              <w:marLeft w:val="0"/>
              <w:marRight w:val="0"/>
              <w:marTop w:val="0"/>
              <w:marBottom w:val="0"/>
              <w:divBdr>
                <w:top w:val="none" w:sz="0" w:space="0" w:color="auto"/>
                <w:left w:val="none" w:sz="0" w:space="0" w:color="auto"/>
                <w:bottom w:val="none" w:sz="0" w:space="0" w:color="auto"/>
                <w:right w:val="none" w:sz="0" w:space="0" w:color="auto"/>
              </w:divBdr>
            </w:div>
          </w:divsChild>
        </w:div>
        <w:div w:id="1524977212">
          <w:marLeft w:val="0"/>
          <w:marRight w:val="0"/>
          <w:marTop w:val="0"/>
          <w:marBottom w:val="0"/>
          <w:divBdr>
            <w:top w:val="none" w:sz="0" w:space="0" w:color="auto"/>
            <w:left w:val="none" w:sz="0" w:space="0" w:color="auto"/>
            <w:bottom w:val="none" w:sz="0" w:space="0" w:color="auto"/>
            <w:right w:val="none" w:sz="0" w:space="0" w:color="auto"/>
          </w:divBdr>
          <w:divsChild>
            <w:div w:id="526599378">
              <w:marLeft w:val="0"/>
              <w:marRight w:val="0"/>
              <w:marTop w:val="0"/>
              <w:marBottom w:val="0"/>
              <w:divBdr>
                <w:top w:val="none" w:sz="0" w:space="0" w:color="auto"/>
                <w:left w:val="none" w:sz="0" w:space="0" w:color="auto"/>
                <w:bottom w:val="none" w:sz="0" w:space="0" w:color="auto"/>
                <w:right w:val="none" w:sz="0" w:space="0" w:color="auto"/>
              </w:divBdr>
            </w:div>
          </w:divsChild>
        </w:div>
        <w:div w:id="1892810809">
          <w:marLeft w:val="0"/>
          <w:marRight w:val="0"/>
          <w:marTop w:val="0"/>
          <w:marBottom w:val="0"/>
          <w:divBdr>
            <w:top w:val="none" w:sz="0" w:space="0" w:color="auto"/>
            <w:left w:val="none" w:sz="0" w:space="0" w:color="auto"/>
            <w:bottom w:val="none" w:sz="0" w:space="0" w:color="auto"/>
            <w:right w:val="none" w:sz="0" w:space="0" w:color="auto"/>
          </w:divBdr>
          <w:divsChild>
            <w:div w:id="31466354">
              <w:marLeft w:val="0"/>
              <w:marRight w:val="0"/>
              <w:marTop w:val="0"/>
              <w:marBottom w:val="0"/>
              <w:divBdr>
                <w:top w:val="none" w:sz="0" w:space="0" w:color="auto"/>
                <w:left w:val="none" w:sz="0" w:space="0" w:color="auto"/>
                <w:bottom w:val="none" w:sz="0" w:space="0" w:color="auto"/>
                <w:right w:val="none" w:sz="0" w:space="0" w:color="auto"/>
              </w:divBdr>
            </w:div>
          </w:divsChild>
        </w:div>
        <w:div w:id="2018531796">
          <w:marLeft w:val="0"/>
          <w:marRight w:val="0"/>
          <w:marTop w:val="0"/>
          <w:marBottom w:val="0"/>
          <w:divBdr>
            <w:top w:val="none" w:sz="0" w:space="0" w:color="auto"/>
            <w:left w:val="none" w:sz="0" w:space="0" w:color="auto"/>
            <w:bottom w:val="none" w:sz="0" w:space="0" w:color="auto"/>
            <w:right w:val="none" w:sz="0" w:space="0" w:color="auto"/>
          </w:divBdr>
          <w:divsChild>
            <w:div w:id="412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166">
      <w:bodyDiv w:val="1"/>
      <w:marLeft w:val="0"/>
      <w:marRight w:val="0"/>
      <w:marTop w:val="0"/>
      <w:marBottom w:val="0"/>
      <w:divBdr>
        <w:top w:val="none" w:sz="0" w:space="0" w:color="auto"/>
        <w:left w:val="none" w:sz="0" w:space="0" w:color="auto"/>
        <w:bottom w:val="none" w:sz="0" w:space="0" w:color="auto"/>
        <w:right w:val="none" w:sz="0" w:space="0" w:color="auto"/>
      </w:divBdr>
    </w:div>
    <w:div w:id="1350134892">
      <w:bodyDiv w:val="1"/>
      <w:marLeft w:val="0"/>
      <w:marRight w:val="0"/>
      <w:marTop w:val="0"/>
      <w:marBottom w:val="0"/>
      <w:divBdr>
        <w:top w:val="none" w:sz="0" w:space="0" w:color="auto"/>
        <w:left w:val="none" w:sz="0" w:space="0" w:color="auto"/>
        <w:bottom w:val="none" w:sz="0" w:space="0" w:color="auto"/>
        <w:right w:val="none" w:sz="0" w:space="0" w:color="auto"/>
      </w:divBdr>
    </w:div>
    <w:div w:id="1380324568">
      <w:bodyDiv w:val="1"/>
      <w:marLeft w:val="0"/>
      <w:marRight w:val="0"/>
      <w:marTop w:val="0"/>
      <w:marBottom w:val="0"/>
      <w:divBdr>
        <w:top w:val="none" w:sz="0" w:space="0" w:color="auto"/>
        <w:left w:val="none" w:sz="0" w:space="0" w:color="auto"/>
        <w:bottom w:val="none" w:sz="0" w:space="0" w:color="auto"/>
        <w:right w:val="none" w:sz="0" w:space="0" w:color="auto"/>
      </w:divBdr>
    </w:div>
    <w:div w:id="1392584533">
      <w:bodyDiv w:val="1"/>
      <w:marLeft w:val="0"/>
      <w:marRight w:val="0"/>
      <w:marTop w:val="0"/>
      <w:marBottom w:val="0"/>
      <w:divBdr>
        <w:top w:val="none" w:sz="0" w:space="0" w:color="auto"/>
        <w:left w:val="none" w:sz="0" w:space="0" w:color="auto"/>
        <w:bottom w:val="none" w:sz="0" w:space="0" w:color="auto"/>
        <w:right w:val="none" w:sz="0" w:space="0" w:color="auto"/>
      </w:divBdr>
      <w:divsChild>
        <w:div w:id="567228292">
          <w:marLeft w:val="0"/>
          <w:marRight w:val="0"/>
          <w:marTop w:val="0"/>
          <w:marBottom w:val="0"/>
          <w:divBdr>
            <w:top w:val="none" w:sz="0" w:space="0" w:color="auto"/>
            <w:left w:val="none" w:sz="0" w:space="0" w:color="auto"/>
            <w:bottom w:val="none" w:sz="0" w:space="0" w:color="auto"/>
            <w:right w:val="none" w:sz="0" w:space="0" w:color="auto"/>
          </w:divBdr>
        </w:div>
      </w:divsChild>
    </w:div>
    <w:div w:id="1427848346">
      <w:bodyDiv w:val="1"/>
      <w:marLeft w:val="0"/>
      <w:marRight w:val="0"/>
      <w:marTop w:val="0"/>
      <w:marBottom w:val="0"/>
      <w:divBdr>
        <w:top w:val="none" w:sz="0" w:space="0" w:color="auto"/>
        <w:left w:val="none" w:sz="0" w:space="0" w:color="auto"/>
        <w:bottom w:val="none" w:sz="0" w:space="0" w:color="auto"/>
        <w:right w:val="none" w:sz="0" w:space="0" w:color="auto"/>
      </w:divBdr>
    </w:div>
    <w:div w:id="1562861056">
      <w:bodyDiv w:val="1"/>
      <w:marLeft w:val="0"/>
      <w:marRight w:val="0"/>
      <w:marTop w:val="0"/>
      <w:marBottom w:val="0"/>
      <w:divBdr>
        <w:top w:val="none" w:sz="0" w:space="0" w:color="auto"/>
        <w:left w:val="none" w:sz="0" w:space="0" w:color="auto"/>
        <w:bottom w:val="none" w:sz="0" w:space="0" w:color="auto"/>
        <w:right w:val="none" w:sz="0" w:space="0" w:color="auto"/>
      </w:divBdr>
    </w:div>
    <w:div w:id="1583831074">
      <w:bodyDiv w:val="1"/>
      <w:marLeft w:val="0"/>
      <w:marRight w:val="0"/>
      <w:marTop w:val="0"/>
      <w:marBottom w:val="0"/>
      <w:divBdr>
        <w:top w:val="none" w:sz="0" w:space="0" w:color="auto"/>
        <w:left w:val="none" w:sz="0" w:space="0" w:color="auto"/>
        <w:bottom w:val="none" w:sz="0" w:space="0" w:color="auto"/>
        <w:right w:val="none" w:sz="0" w:space="0" w:color="auto"/>
      </w:divBdr>
    </w:div>
    <w:div w:id="1700159532">
      <w:bodyDiv w:val="1"/>
      <w:marLeft w:val="0"/>
      <w:marRight w:val="0"/>
      <w:marTop w:val="0"/>
      <w:marBottom w:val="0"/>
      <w:divBdr>
        <w:top w:val="none" w:sz="0" w:space="0" w:color="auto"/>
        <w:left w:val="none" w:sz="0" w:space="0" w:color="auto"/>
        <w:bottom w:val="none" w:sz="0" w:space="0" w:color="auto"/>
        <w:right w:val="none" w:sz="0" w:space="0" w:color="auto"/>
      </w:divBdr>
    </w:div>
    <w:div w:id="1711151862">
      <w:bodyDiv w:val="1"/>
      <w:marLeft w:val="0"/>
      <w:marRight w:val="0"/>
      <w:marTop w:val="0"/>
      <w:marBottom w:val="0"/>
      <w:divBdr>
        <w:top w:val="none" w:sz="0" w:space="0" w:color="auto"/>
        <w:left w:val="none" w:sz="0" w:space="0" w:color="auto"/>
        <w:bottom w:val="none" w:sz="0" w:space="0" w:color="auto"/>
        <w:right w:val="none" w:sz="0" w:space="0" w:color="auto"/>
      </w:divBdr>
    </w:div>
    <w:div w:id="1784232230">
      <w:bodyDiv w:val="1"/>
      <w:marLeft w:val="0"/>
      <w:marRight w:val="0"/>
      <w:marTop w:val="0"/>
      <w:marBottom w:val="0"/>
      <w:divBdr>
        <w:top w:val="none" w:sz="0" w:space="0" w:color="auto"/>
        <w:left w:val="none" w:sz="0" w:space="0" w:color="auto"/>
        <w:bottom w:val="none" w:sz="0" w:space="0" w:color="auto"/>
        <w:right w:val="none" w:sz="0" w:space="0" w:color="auto"/>
      </w:divBdr>
    </w:div>
    <w:div w:id="1826623346">
      <w:bodyDiv w:val="1"/>
      <w:marLeft w:val="0"/>
      <w:marRight w:val="0"/>
      <w:marTop w:val="0"/>
      <w:marBottom w:val="0"/>
      <w:divBdr>
        <w:top w:val="none" w:sz="0" w:space="0" w:color="auto"/>
        <w:left w:val="none" w:sz="0" w:space="0" w:color="auto"/>
        <w:bottom w:val="none" w:sz="0" w:space="0" w:color="auto"/>
        <w:right w:val="none" w:sz="0" w:space="0" w:color="auto"/>
      </w:divBdr>
    </w:div>
    <w:div w:id="1956213077">
      <w:bodyDiv w:val="1"/>
      <w:marLeft w:val="0"/>
      <w:marRight w:val="0"/>
      <w:marTop w:val="0"/>
      <w:marBottom w:val="0"/>
      <w:divBdr>
        <w:top w:val="none" w:sz="0" w:space="0" w:color="auto"/>
        <w:left w:val="none" w:sz="0" w:space="0" w:color="auto"/>
        <w:bottom w:val="none" w:sz="0" w:space="0" w:color="auto"/>
        <w:right w:val="none" w:sz="0" w:space="0" w:color="auto"/>
      </w:divBdr>
    </w:div>
    <w:div w:id="1976719699">
      <w:bodyDiv w:val="1"/>
      <w:marLeft w:val="0"/>
      <w:marRight w:val="0"/>
      <w:marTop w:val="0"/>
      <w:marBottom w:val="0"/>
      <w:divBdr>
        <w:top w:val="none" w:sz="0" w:space="0" w:color="auto"/>
        <w:left w:val="none" w:sz="0" w:space="0" w:color="auto"/>
        <w:bottom w:val="none" w:sz="0" w:space="0" w:color="auto"/>
        <w:right w:val="none" w:sz="0" w:space="0" w:color="auto"/>
      </w:divBdr>
    </w:div>
    <w:div w:id="2036685122">
      <w:bodyDiv w:val="1"/>
      <w:marLeft w:val="0"/>
      <w:marRight w:val="0"/>
      <w:marTop w:val="0"/>
      <w:marBottom w:val="0"/>
      <w:divBdr>
        <w:top w:val="none" w:sz="0" w:space="0" w:color="auto"/>
        <w:left w:val="none" w:sz="0" w:space="0" w:color="auto"/>
        <w:bottom w:val="none" w:sz="0" w:space="0" w:color="auto"/>
        <w:right w:val="none" w:sz="0" w:space="0" w:color="auto"/>
      </w:divBdr>
    </w:div>
    <w:div w:id="2059887839">
      <w:bodyDiv w:val="1"/>
      <w:marLeft w:val="0"/>
      <w:marRight w:val="0"/>
      <w:marTop w:val="0"/>
      <w:marBottom w:val="0"/>
      <w:divBdr>
        <w:top w:val="none" w:sz="0" w:space="0" w:color="auto"/>
        <w:left w:val="none" w:sz="0" w:space="0" w:color="auto"/>
        <w:bottom w:val="none" w:sz="0" w:space="0" w:color="auto"/>
        <w:right w:val="none" w:sz="0" w:space="0" w:color="auto"/>
      </w:divBdr>
      <w:divsChild>
        <w:div w:id="753209777">
          <w:marLeft w:val="0"/>
          <w:marRight w:val="0"/>
          <w:marTop w:val="0"/>
          <w:marBottom w:val="0"/>
          <w:divBdr>
            <w:top w:val="none" w:sz="0" w:space="0" w:color="auto"/>
            <w:left w:val="none" w:sz="0" w:space="0" w:color="auto"/>
            <w:bottom w:val="none" w:sz="0" w:space="0" w:color="auto"/>
            <w:right w:val="none" w:sz="0" w:space="0" w:color="auto"/>
          </w:divBdr>
          <w:divsChild>
            <w:div w:id="1542017738">
              <w:marLeft w:val="0"/>
              <w:marRight w:val="0"/>
              <w:marTop w:val="0"/>
              <w:marBottom w:val="0"/>
              <w:divBdr>
                <w:top w:val="none" w:sz="0" w:space="0" w:color="auto"/>
                <w:left w:val="none" w:sz="0" w:space="0" w:color="auto"/>
                <w:bottom w:val="none" w:sz="0" w:space="0" w:color="auto"/>
                <w:right w:val="none" w:sz="0" w:space="0" w:color="auto"/>
              </w:divBdr>
            </w:div>
          </w:divsChild>
        </w:div>
        <w:div w:id="1444299947">
          <w:marLeft w:val="0"/>
          <w:marRight w:val="0"/>
          <w:marTop w:val="0"/>
          <w:marBottom w:val="0"/>
          <w:divBdr>
            <w:top w:val="none" w:sz="0" w:space="0" w:color="auto"/>
            <w:left w:val="none" w:sz="0" w:space="0" w:color="auto"/>
            <w:bottom w:val="none" w:sz="0" w:space="0" w:color="auto"/>
            <w:right w:val="none" w:sz="0" w:space="0" w:color="auto"/>
          </w:divBdr>
          <w:divsChild>
            <w:div w:id="1311903537">
              <w:marLeft w:val="0"/>
              <w:marRight w:val="0"/>
              <w:marTop w:val="0"/>
              <w:marBottom w:val="0"/>
              <w:divBdr>
                <w:top w:val="none" w:sz="0" w:space="0" w:color="auto"/>
                <w:left w:val="none" w:sz="0" w:space="0" w:color="auto"/>
                <w:bottom w:val="none" w:sz="0" w:space="0" w:color="auto"/>
                <w:right w:val="none" w:sz="0" w:space="0" w:color="auto"/>
              </w:divBdr>
            </w:div>
          </w:divsChild>
        </w:div>
        <w:div w:id="1171337304">
          <w:marLeft w:val="0"/>
          <w:marRight w:val="0"/>
          <w:marTop w:val="0"/>
          <w:marBottom w:val="0"/>
          <w:divBdr>
            <w:top w:val="none" w:sz="0" w:space="0" w:color="auto"/>
            <w:left w:val="none" w:sz="0" w:space="0" w:color="auto"/>
            <w:bottom w:val="none" w:sz="0" w:space="0" w:color="auto"/>
            <w:right w:val="none" w:sz="0" w:space="0" w:color="auto"/>
          </w:divBdr>
          <w:divsChild>
            <w:div w:id="2143186700">
              <w:marLeft w:val="0"/>
              <w:marRight w:val="0"/>
              <w:marTop w:val="0"/>
              <w:marBottom w:val="0"/>
              <w:divBdr>
                <w:top w:val="none" w:sz="0" w:space="0" w:color="auto"/>
                <w:left w:val="none" w:sz="0" w:space="0" w:color="auto"/>
                <w:bottom w:val="none" w:sz="0" w:space="0" w:color="auto"/>
                <w:right w:val="none" w:sz="0" w:space="0" w:color="auto"/>
              </w:divBdr>
            </w:div>
          </w:divsChild>
        </w:div>
        <w:div w:id="1821076355">
          <w:marLeft w:val="0"/>
          <w:marRight w:val="0"/>
          <w:marTop w:val="0"/>
          <w:marBottom w:val="0"/>
          <w:divBdr>
            <w:top w:val="none" w:sz="0" w:space="0" w:color="auto"/>
            <w:left w:val="none" w:sz="0" w:space="0" w:color="auto"/>
            <w:bottom w:val="none" w:sz="0" w:space="0" w:color="auto"/>
            <w:right w:val="none" w:sz="0" w:space="0" w:color="auto"/>
          </w:divBdr>
          <w:divsChild>
            <w:div w:id="952053376">
              <w:marLeft w:val="0"/>
              <w:marRight w:val="0"/>
              <w:marTop w:val="0"/>
              <w:marBottom w:val="0"/>
              <w:divBdr>
                <w:top w:val="none" w:sz="0" w:space="0" w:color="auto"/>
                <w:left w:val="none" w:sz="0" w:space="0" w:color="auto"/>
                <w:bottom w:val="none" w:sz="0" w:space="0" w:color="auto"/>
                <w:right w:val="none" w:sz="0" w:space="0" w:color="auto"/>
              </w:divBdr>
            </w:div>
          </w:divsChild>
        </w:div>
        <w:div w:id="156460975">
          <w:marLeft w:val="0"/>
          <w:marRight w:val="0"/>
          <w:marTop w:val="0"/>
          <w:marBottom w:val="0"/>
          <w:divBdr>
            <w:top w:val="none" w:sz="0" w:space="0" w:color="auto"/>
            <w:left w:val="none" w:sz="0" w:space="0" w:color="auto"/>
            <w:bottom w:val="none" w:sz="0" w:space="0" w:color="auto"/>
            <w:right w:val="none" w:sz="0" w:space="0" w:color="auto"/>
          </w:divBdr>
          <w:divsChild>
            <w:div w:id="980647441">
              <w:marLeft w:val="0"/>
              <w:marRight w:val="0"/>
              <w:marTop w:val="0"/>
              <w:marBottom w:val="0"/>
              <w:divBdr>
                <w:top w:val="none" w:sz="0" w:space="0" w:color="auto"/>
                <w:left w:val="none" w:sz="0" w:space="0" w:color="auto"/>
                <w:bottom w:val="none" w:sz="0" w:space="0" w:color="auto"/>
                <w:right w:val="none" w:sz="0" w:space="0" w:color="auto"/>
              </w:divBdr>
            </w:div>
          </w:divsChild>
        </w:div>
        <w:div w:id="137189325">
          <w:marLeft w:val="0"/>
          <w:marRight w:val="0"/>
          <w:marTop w:val="0"/>
          <w:marBottom w:val="0"/>
          <w:divBdr>
            <w:top w:val="none" w:sz="0" w:space="0" w:color="auto"/>
            <w:left w:val="none" w:sz="0" w:space="0" w:color="auto"/>
            <w:bottom w:val="none" w:sz="0" w:space="0" w:color="auto"/>
            <w:right w:val="none" w:sz="0" w:space="0" w:color="auto"/>
          </w:divBdr>
          <w:divsChild>
            <w:div w:id="1452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9483">
      <w:bodyDiv w:val="1"/>
      <w:marLeft w:val="0"/>
      <w:marRight w:val="0"/>
      <w:marTop w:val="0"/>
      <w:marBottom w:val="0"/>
      <w:divBdr>
        <w:top w:val="none" w:sz="0" w:space="0" w:color="auto"/>
        <w:left w:val="none" w:sz="0" w:space="0" w:color="auto"/>
        <w:bottom w:val="none" w:sz="0" w:space="0" w:color="auto"/>
        <w:right w:val="none" w:sz="0" w:space="0" w:color="auto"/>
      </w:divBdr>
      <w:divsChild>
        <w:div w:id="1017075501">
          <w:marLeft w:val="0"/>
          <w:marRight w:val="0"/>
          <w:marTop w:val="0"/>
          <w:marBottom w:val="0"/>
          <w:divBdr>
            <w:top w:val="none" w:sz="0" w:space="0" w:color="auto"/>
            <w:left w:val="none" w:sz="0" w:space="0" w:color="auto"/>
            <w:bottom w:val="none" w:sz="0" w:space="0" w:color="auto"/>
            <w:right w:val="none" w:sz="0" w:space="0" w:color="auto"/>
          </w:divBdr>
        </w:div>
      </w:divsChild>
    </w:div>
    <w:div w:id="2134008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6335</Words>
  <Characters>36111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Mapping 2026: Methodology Supplement</dc:title>
  <dc:creator>Drew Porter</dc:creator>
  <cp:keywords/>
  <cp:lastModifiedBy>Drew Porter</cp:lastModifiedBy>
  <cp:revision>2</cp:revision>
  <dcterms:created xsi:type="dcterms:W3CDTF">2026-04-16T13:04:00Z</dcterms:created>
  <dcterms:modified xsi:type="dcterms:W3CDTF">2026-04-16T13:04:00Z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Technical Documentation for the Resource Mapping FY 2024-25 Analysis</vt:lpwstr>
  </property>
</Properties>
</file>