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8FCC7" w14:textId="79E524CF" w:rsidR="00265414" w:rsidRDefault="00265414" w:rsidP="007057B4">
      <w:pPr>
        <w:pStyle w:val="Heading1"/>
        <w:jc w:val="center"/>
      </w:pPr>
      <w:r>
        <w:t>Expenditure by Category Analysis: Methods Documentation</w:t>
      </w:r>
    </w:p>
    <w:p w14:paraId="11063C1B" w14:textId="77777777" w:rsidR="00265414" w:rsidRDefault="00265414" w:rsidP="007057B4">
      <w:pPr>
        <w:spacing w:after="40" w:line="276" w:lineRule="auto"/>
        <w:jc w:val="center"/>
      </w:pPr>
      <w:r>
        <w:t>FY2024–25 Resource Mapping Report</w:t>
      </w:r>
    </w:p>
    <w:p w14:paraId="373C9B2C" w14:textId="77777777" w:rsidR="00265414" w:rsidRDefault="00265414" w:rsidP="007057B4">
      <w:pPr>
        <w:spacing w:after="40" w:line="276" w:lineRule="auto"/>
        <w:jc w:val="center"/>
      </w:pPr>
      <w:r>
        <w:t>Tennessee Commission on Children and Youth</w:t>
      </w:r>
    </w:p>
    <w:p w14:paraId="36856592" w14:textId="17040998" w:rsidR="004C4578" w:rsidRDefault="00265414" w:rsidP="007057B4">
      <w:pPr>
        <w:spacing w:after="300" w:line="276" w:lineRule="auto"/>
        <w:jc w:val="center"/>
      </w:pPr>
      <w:r>
        <w:rPr>
          <w:i/>
          <w:iCs/>
        </w:rPr>
        <w:t>April 2026</w:t>
      </w:r>
    </w:p>
    <w:p w14:paraId="36965A1F" w14:textId="77777777" w:rsidR="004C4578" w:rsidRDefault="00000000">
      <w:pPr>
        <w:pStyle w:val="Heading1"/>
      </w:pPr>
      <w:r>
        <w:t>1. Purpose and Scope</w:t>
      </w:r>
    </w:p>
    <w:p w14:paraId="410C2710" w14:textId="77777777" w:rsidR="004C4578" w:rsidRDefault="00000000">
      <w:pPr>
        <w:spacing w:after="180" w:line="276" w:lineRule="auto"/>
      </w:pPr>
      <w:r>
        <w:rPr>
          <w:color w:val="000000"/>
        </w:rPr>
        <w:t>This document describes the methodology for the FY25 Expenditure by Category analysis, a component of the annual Resource Mapping report required by TCA 37-3-116. The analysis disaggregates total program expenditures across nine standardized cost categories to characterize how Tennessee invests in children’s programs—not just how much is spent, but what that spending purchases.</w:t>
      </w:r>
    </w:p>
    <w:p w14:paraId="0A435573" w14:textId="77777777" w:rsidR="004C4578" w:rsidRDefault="00000000">
      <w:pPr>
        <w:spacing w:after="180" w:line="276" w:lineRule="auto"/>
      </w:pPr>
      <w:r>
        <w:rPr>
          <w:color w:val="000000"/>
        </w:rPr>
        <w:t>The analysis covers 298 programs across 26 state agencies representing approximately $15.3 billion in total reported FY25 expenditures. Category data were available for 242 programs (81.2% of programs; 84.0% of total expenditure dollars).</w:t>
      </w:r>
    </w:p>
    <w:p w14:paraId="5431DEF0" w14:textId="77777777" w:rsidR="004C4578" w:rsidRDefault="00000000">
      <w:pPr>
        <w:pStyle w:val="Heading2"/>
      </w:pPr>
      <w:r>
        <w:t>1.1 Analytic Questions</w:t>
      </w:r>
    </w:p>
    <w:p w14:paraId="184285F1" w14:textId="77777777" w:rsidR="004C4578" w:rsidRDefault="00000000">
      <w:pPr>
        <w:pStyle w:val="ListParagraph"/>
        <w:numPr>
          <w:ilvl w:val="0"/>
          <w:numId w:val="2"/>
        </w:numPr>
        <w:spacing w:after="120" w:line="276" w:lineRule="auto"/>
      </w:pPr>
      <w:r>
        <w:rPr>
          <w:color w:val="000000"/>
        </w:rPr>
        <w:t>What proportion of Tennessee’s child-serving expenditure is allocated to direct services, personnel, contracts, administration, and other cost categories?</w:t>
      </w:r>
    </w:p>
    <w:p w14:paraId="4B191F7B" w14:textId="77777777" w:rsidR="004C4578" w:rsidRDefault="00000000">
      <w:pPr>
        <w:pStyle w:val="ListParagraph"/>
        <w:numPr>
          <w:ilvl w:val="0"/>
          <w:numId w:val="2"/>
        </w:numPr>
        <w:spacing w:after="120" w:line="276" w:lineRule="auto"/>
      </w:pPr>
      <w:r>
        <w:rPr>
          <w:color w:val="000000"/>
        </w:rPr>
        <w:t>How does expenditure composition vary by state agency, TCCY Outcome domain, and TCCY Programmatic Focus level?</w:t>
      </w:r>
    </w:p>
    <w:p w14:paraId="1DD97C9D" w14:textId="77777777" w:rsidR="004C4578" w:rsidRDefault="00000000">
      <w:pPr>
        <w:pStyle w:val="ListParagraph"/>
        <w:numPr>
          <w:ilvl w:val="0"/>
          <w:numId w:val="2"/>
        </w:numPr>
        <w:spacing w:after="120" w:line="276" w:lineRule="auto"/>
      </w:pPr>
      <w:r>
        <w:rPr>
          <w:color w:val="000000"/>
        </w:rPr>
        <w:t>How does expenditure composition differ between programs predominantly funded by state versus federal sources?</w:t>
      </w:r>
    </w:p>
    <w:p w14:paraId="3B8E5F17" w14:textId="77777777" w:rsidR="004C4578" w:rsidRDefault="00000000">
      <w:pPr>
        <w:pStyle w:val="ListParagraph"/>
        <w:numPr>
          <w:ilvl w:val="0"/>
          <w:numId w:val="2"/>
        </w:numPr>
        <w:spacing w:after="120" w:line="276" w:lineRule="auto"/>
      </w:pPr>
      <w:r>
        <w:rPr>
          <w:color w:val="000000"/>
        </w:rPr>
        <w:t>Which agencies or program types exhibit atypical cost structures that may warrant further investigation or context?</w:t>
      </w:r>
    </w:p>
    <w:p w14:paraId="5FE2B6D7" w14:textId="77777777" w:rsidR="004C4578" w:rsidRDefault="00000000">
      <w:pPr>
        <w:pStyle w:val="ListParagraph"/>
        <w:numPr>
          <w:ilvl w:val="0"/>
          <w:numId w:val="2"/>
        </w:numPr>
        <w:spacing w:after="120" w:line="276" w:lineRule="auto"/>
      </w:pPr>
      <w:r>
        <w:rPr>
          <w:color w:val="000000"/>
        </w:rPr>
        <w:t>How sensitive are the portfolio-level findings to the $2.31 billion reporting gap from programs that did not provide category breakdowns?</w:t>
      </w:r>
    </w:p>
    <w:p w14:paraId="178D4CDF" w14:textId="77777777" w:rsidR="004C4578" w:rsidRDefault="00000000">
      <w:pPr>
        <w:pStyle w:val="Heading1"/>
      </w:pPr>
      <w:r>
        <w:t>2. Data Source and Input File</w:t>
      </w:r>
    </w:p>
    <w:p w14:paraId="22CAB6AB" w14:textId="77777777" w:rsidR="004C4578" w:rsidRDefault="00000000">
      <w:pPr>
        <w:spacing w:after="180" w:line="276" w:lineRule="auto"/>
      </w:pPr>
      <w:r>
        <w:rPr>
          <w:color w:val="000000"/>
        </w:rPr>
        <w:t xml:space="preserve">The analysis draws from FY25_rebuilt2.xlsx, the cleaned and validated FY25 Resource Mapping dataset. This file is the product of the FY25 data pipeline (build_and_clean_fy25.py), which extracts, standardizes, and reconciles data submitted by 26 state agencies via </w:t>
      </w:r>
      <w:proofErr w:type="spellStart"/>
      <w:r>
        <w:rPr>
          <w:color w:val="000000"/>
        </w:rPr>
        <w:t>REDCap</w:t>
      </w:r>
      <w:proofErr w:type="spellEnd"/>
      <w:r>
        <w:rPr>
          <w:color w:val="000000"/>
        </w:rPr>
        <w:t>-based survey instruments. Each row represents one program-year observation.</w:t>
      </w:r>
    </w:p>
    <w:p w14:paraId="55CE85AD" w14:textId="77777777" w:rsidR="004C4578" w:rsidRDefault="00000000">
      <w:pPr>
        <w:pStyle w:val="Heading2"/>
      </w:pPr>
      <w:r>
        <w:t>2.1 Expenditure Category Taxonomy</w:t>
      </w:r>
    </w:p>
    <w:p w14:paraId="6EEB2998" w14:textId="77777777" w:rsidR="004C4578" w:rsidRDefault="00000000">
      <w:pPr>
        <w:spacing w:after="180" w:line="276" w:lineRule="auto"/>
      </w:pPr>
      <w:r>
        <w:rPr>
          <w:color w:val="000000"/>
        </w:rPr>
        <w:t xml:space="preserve">Agencies report expenditures across nine mutually exclusive categories defined in the </w:t>
      </w:r>
      <w:proofErr w:type="spellStart"/>
      <w:r>
        <w:rPr>
          <w:color w:val="000000"/>
        </w:rPr>
        <w:t>REDCap</w:t>
      </w:r>
      <w:proofErr w:type="spellEnd"/>
      <w:r>
        <w:rPr>
          <w:color w:val="000000"/>
        </w:rPr>
        <w:t xml:space="preserve"> data dictionary. Programs should allocate their total expenditure across these categories such that category amounts sum to the reported total. The taxonomy is intentionally broad to </w:t>
      </w:r>
      <w:r>
        <w:rPr>
          <w:color w:val="000000"/>
        </w:rPr>
        <w:lastRenderedPageBreak/>
        <w:t>accommodate diverse program types, following the principle that a small number of well-defined categories produces more reliable classification than a detailed taxonomy applied inconsistently (</w:t>
      </w:r>
      <w:proofErr w:type="spellStart"/>
      <w:r>
        <w:rPr>
          <w:color w:val="000000"/>
        </w:rPr>
        <w:t>Wholey</w:t>
      </w:r>
      <w:proofErr w:type="spellEnd"/>
      <w:r>
        <w:rPr>
          <w:color w:val="000000"/>
        </w:rPr>
        <w:t xml:space="preserve">, </w:t>
      </w:r>
      <w:proofErr w:type="spellStart"/>
      <w:r>
        <w:rPr>
          <w:color w:val="000000"/>
        </w:rPr>
        <w:t>Hatry</w:t>
      </w:r>
      <w:proofErr w:type="spellEnd"/>
      <w:r>
        <w:rPr>
          <w:color w:val="000000"/>
        </w:rPr>
        <w:t>, &amp; Newcomer, 2015).</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0"/>
        <w:gridCol w:w="6560"/>
      </w:tblGrid>
      <w:tr w:rsidR="004C4578" w14:paraId="0597F260" w14:textId="77777777">
        <w:tc>
          <w:tcPr>
            <w:tcW w:w="2800" w:type="dxa"/>
            <w:tcBorders>
              <w:top w:val="single" w:sz="1" w:space="0" w:color="CCCCCC"/>
              <w:left w:val="single" w:sz="1" w:space="0" w:color="CCCCCC"/>
              <w:bottom w:val="single" w:sz="1" w:space="0" w:color="CCCCCC"/>
              <w:right w:val="single" w:sz="1" w:space="0" w:color="CCCCCC"/>
            </w:tcBorders>
            <w:shd w:val="clear" w:color="auto" w:fill="D5E8F0"/>
            <w:tcMar>
              <w:top w:w="60" w:type="dxa"/>
              <w:left w:w="100" w:type="dxa"/>
              <w:bottom w:w="60" w:type="dxa"/>
              <w:right w:w="100" w:type="dxa"/>
            </w:tcMar>
            <w:vAlign w:val="center"/>
          </w:tcPr>
          <w:p w14:paraId="4EA78DB3" w14:textId="77777777" w:rsidR="004C4578" w:rsidRDefault="00000000">
            <w:pPr>
              <w:jc w:val="center"/>
            </w:pPr>
            <w:r>
              <w:rPr>
                <w:b/>
                <w:bCs/>
                <w:color w:val="1E4E79"/>
                <w:sz w:val="18"/>
                <w:szCs w:val="18"/>
              </w:rPr>
              <w:t>Category</w:t>
            </w:r>
          </w:p>
        </w:tc>
        <w:tc>
          <w:tcPr>
            <w:tcW w:w="6560" w:type="dxa"/>
            <w:tcBorders>
              <w:top w:val="single" w:sz="1" w:space="0" w:color="CCCCCC"/>
              <w:left w:val="single" w:sz="1" w:space="0" w:color="CCCCCC"/>
              <w:bottom w:val="single" w:sz="1" w:space="0" w:color="CCCCCC"/>
              <w:right w:val="single" w:sz="1" w:space="0" w:color="CCCCCC"/>
            </w:tcBorders>
            <w:shd w:val="clear" w:color="auto" w:fill="D5E8F0"/>
            <w:tcMar>
              <w:top w:w="60" w:type="dxa"/>
              <w:left w:w="100" w:type="dxa"/>
              <w:bottom w:w="60" w:type="dxa"/>
              <w:right w:w="100" w:type="dxa"/>
            </w:tcMar>
            <w:vAlign w:val="center"/>
          </w:tcPr>
          <w:p w14:paraId="0CF3F202" w14:textId="77777777" w:rsidR="004C4578" w:rsidRDefault="00000000">
            <w:pPr>
              <w:jc w:val="center"/>
            </w:pPr>
            <w:r>
              <w:rPr>
                <w:b/>
                <w:bCs/>
                <w:color w:val="1E4E79"/>
                <w:sz w:val="18"/>
                <w:szCs w:val="18"/>
              </w:rPr>
              <w:t>Definition</w:t>
            </w:r>
          </w:p>
        </w:tc>
      </w:tr>
      <w:tr w:rsidR="004C4578" w14:paraId="017794B9" w14:textId="77777777">
        <w:tc>
          <w:tcPr>
            <w:tcW w:w="28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139F078" w14:textId="77777777" w:rsidR="004C4578" w:rsidRDefault="00000000">
            <w:r>
              <w:rPr>
                <w:b/>
                <w:bCs/>
                <w:color w:val="000000"/>
                <w:sz w:val="18"/>
                <w:szCs w:val="18"/>
              </w:rPr>
              <w:t>Direct Services</w:t>
            </w:r>
          </w:p>
        </w:tc>
        <w:tc>
          <w:tcPr>
            <w:tcW w:w="65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6CAE9C9" w14:textId="77777777" w:rsidR="004C4578" w:rsidRDefault="00000000">
            <w:pPr>
              <w:jc w:val="center"/>
            </w:pPr>
            <w:r>
              <w:rPr>
                <w:color w:val="000000"/>
                <w:sz w:val="18"/>
                <w:szCs w:val="18"/>
              </w:rPr>
              <w:t>Expenditures for services delivered directly to children and families (e.g., medical care, counseling, tutoring, food assistance).</w:t>
            </w:r>
          </w:p>
        </w:tc>
      </w:tr>
      <w:tr w:rsidR="004C4578" w14:paraId="2ACD03A0" w14:textId="77777777">
        <w:tc>
          <w:tcPr>
            <w:tcW w:w="2800" w:type="dxa"/>
            <w:tcBorders>
              <w:top w:val="single" w:sz="1" w:space="0" w:color="CCCCCC"/>
              <w:left w:val="single" w:sz="1" w:space="0" w:color="CCCCCC"/>
              <w:bottom w:val="single" w:sz="1" w:space="0" w:color="CCCCCC"/>
              <w:right w:val="single" w:sz="1" w:space="0" w:color="CCCCCC"/>
            </w:tcBorders>
            <w:shd w:val="clear" w:color="auto" w:fill="F5FAFB"/>
            <w:tcMar>
              <w:top w:w="60" w:type="dxa"/>
              <w:left w:w="100" w:type="dxa"/>
              <w:bottom w:w="60" w:type="dxa"/>
              <w:right w:w="100" w:type="dxa"/>
            </w:tcMar>
          </w:tcPr>
          <w:p w14:paraId="6391225F" w14:textId="77777777" w:rsidR="004C4578" w:rsidRDefault="00000000">
            <w:r>
              <w:rPr>
                <w:b/>
                <w:bCs/>
                <w:color w:val="000000"/>
                <w:sz w:val="18"/>
                <w:szCs w:val="18"/>
              </w:rPr>
              <w:t>Contract/Third Party</w:t>
            </w:r>
          </w:p>
        </w:tc>
        <w:tc>
          <w:tcPr>
            <w:tcW w:w="6560" w:type="dxa"/>
            <w:tcBorders>
              <w:top w:val="single" w:sz="1" w:space="0" w:color="CCCCCC"/>
              <w:left w:val="single" w:sz="1" w:space="0" w:color="CCCCCC"/>
              <w:bottom w:val="single" w:sz="1" w:space="0" w:color="CCCCCC"/>
              <w:right w:val="single" w:sz="1" w:space="0" w:color="CCCCCC"/>
            </w:tcBorders>
            <w:shd w:val="clear" w:color="auto" w:fill="F5FAFB"/>
            <w:tcMar>
              <w:top w:w="60" w:type="dxa"/>
              <w:left w:w="100" w:type="dxa"/>
              <w:bottom w:w="60" w:type="dxa"/>
              <w:right w:w="100" w:type="dxa"/>
            </w:tcMar>
          </w:tcPr>
          <w:p w14:paraId="51E073F3" w14:textId="77777777" w:rsidR="004C4578" w:rsidRDefault="00000000">
            <w:pPr>
              <w:jc w:val="center"/>
            </w:pPr>
            <w:r>
              <w:rPr>
                <w:color w:val="000000"/>
                <w:sz w:val="18"/>
                <w:szCs w:val="18"/>
              </w:rPr>
              <w:t>Payments to external contractors, vendors, or grantees for program delivery or support services.</w:t>
            </w:r>
          </w:p>
        </w:tc>
      </w:tr>
      <w:tr w:rsidR="004C4578" w14:paraId="24C88EE9" w14:textId="77777777">
        <w:tc>
          <w:tcPr>
            <w:tcW w:w="28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610DC81" w14:textId="77777777" w:rsidR="004C4578" w:rsidRDefault="00000000">
            <w:r>
              <w:rPr>
                <w:b/>
                <w:bCs/>
                <w:color w:val="000000"/>
                <w:sz w:val="18"/>
                <w:szCs w:val="18"/>
              </w:rPr>
              <w:t>Payroll/Personnel</w:t>
            </w:r>
          </w:p>
        </w:tc>
        <w:tc>
          <w:tcPr>
            <w:tcW w:w="65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FE8105D" w14:textId="77777777" w:rsidR="004C4578" w:rsidRDefault="00000000">
            <w:pPr>
              <w:jc w:val="center"/>
            </w:pPr>
            <w:r>
              <w:rPr>
                <w:color w:val="000000"/>
                <w:sz w:val="18"/>
                <w:szCs w:val="18"/>
              </w:rPr>
              <w:t>Salary, wages, and benefits for program staff directly involved in service delivery or program management.</w:t>
            </w:r>
          </w:p>
        </w:tc>
      </w:tr>
      <w:tr w:rsidR="004C4578" w14:paraId="0D5C6EBC" w14:textId="77777777">
        <w:tc>
          <w:tcPr>
            <w:tcW w:w="2800" w:type="dxa"/>
            <w:tcBorders>
              <w:top w:val="single" w:sz="1" w:space="0" w:color="CCCCCC"/>
              <w:left w:val="single" w:sz="1" w:space="0" w:color="CCCCCC"/>
              <w:bottom w:val="single" w:sz="1" w:space="0" w:color="CCCCCC"/>
              <w:right w:val="single" w:sz="1" w:space="0" w:color="CCCCCC"/>
            </w:tcBorders>
            <w:shd w:val="clear" w:color="auto" w:fill="F5FAFB"/>
            <w:tcMar>
              <w:top w:w="60" w:type="dxa"/>
              <w:left w:w="100" w:type="dxa"/>
              <w:bottom w:w="60" w:type="dxa"/>
              <w:right w:w="100" w:type="dxa"/>
            </w:tcMar>
          </w:tcPr>
          <w:p w14:paraId="3D1F534A" w14:textId="77777777" w:rsidR="004C4578" w:rsidRDefault="00000000">
            <w:r>
              <w:rPr>
                <w:b/>
                <w:bCs/>
                <w:color w:val="000000"/>
                <w:sz w:val="18"/>
                <w:szCs w:val="18"/>
              </w:rPr>
              <w:t>Equipment</w:t>
            </w:r>
          </w:p>
        </w:tc>
        <w:tc>
          <w:tcPr>
            <w:tcW w:w="6560" w:type="dxa"/>
            <w:tcBorders>
              <w:top w:val="single" w:sz="1" w:space="0" w:color="CCCCCC"/>
              <w:left w:val="single" w:sz="1" w:space="0" w:color="CCCCCC"/>
              <w:bottom w:val="single" w:sz="1" w:space="0" w:color="CCCCCC"/>
              <w:right w:val="single" w:sz="1" w:space="0" w:color="CCCCCC"/>
            </w:tcBorders>
            <w:shd w:val="clear" w:color="auto" w:fill="F5FAFB"/>
            <w:tcMar>
              <w:top w:w="60" w:type="dxa"/>
              <w:left w:w="100" w:type="dxa"/>
              <w:bottom w:w="60" w:type="dxa"/>
              <w:right w:w="100" w:type="dxa"/>
            </w:tcMar>
          </w:tcPr>
          <w:p w14:paraId="75CB2522" w14:textId="77777777" w:rsidR="004C4578" w:rsidRDefault="00000000">
            <w:pPr>
              <w:jc w:val="center"/>
            </w:pPr>
            <w:r>
              <w:rPr>
                <w:color w:val="000000"/>
                <w:sz w:val="18"/>
                <w:szCs w:val="18"/>
              </w:rPr>
              <w:t>Purchases of durable goods, technology, furniture, or other capital items supporting program operations.</w:t>
            </w:r>
          </w:p>
        </w:tc>
      </w:tr>
      <w:tr w:rsidR="004C4578" w14:paraId="3E0B1CAD" w14:textId="77777777">
        <w:tc>
          <w:tcPr>
            <w:tcW w:w="28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E10CCA2" w14:textId="77777777" w:rsidR="004C4578" w:rsidRDefault="00000000">
            <w:r>
              <w:rPr>
                <w:b/>
                <w:bCs/>
                <w:color w:val="000000"/>
                <w:sz w:val="18"/>
                <w:szCs w:val="18"/>
              </w:rPr>
              <w:t>Training &amp; Development</w:t>
            </w:r>
          </w:p>
        </w:tc>
        <w:tc>
          <w:tcPr>
            <w:tcW w:w="65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5872E61" w14:textId="77777777" w:rsidR="004C4578" w:rsidRDefault="00000000">
            <w:pPr>
              <w:jc w:val="center"/>
            </w:pPr>
            <w:r>
              <w:rPr>
                <w:color w:val="000000"/>
                <w:sz w:val="18"/>
                <w:szCs w:val="18"/>
              </w:rPr>
              <w:t>Costs associated with staff training, professional development, and continuing education.</w:t>
            </w:r>
          </w:p>
        </w:tc>
      </w:tr>
      <w:tr w:rsidR="004C4578" w14:paraId="71C762B9" w14:textId="77777777">
        <w:tc>
          <w:tcPr>
            <w:tcW w:w="2800" w:type="dxa"/>
            <w:tcBorders>
              <w:top w:val="single" w:sz="1" w:space="0" w:color="CCCCCC"/>
              <w:left w:val="single" w:sz="1" w:space="0" w:color="CCCCCC"/>
              <w:bottom w:val="single" w:sz="1" w:space="0" w:color="CCCCCC"/>
              <w:right w:val="single" w:sz="1" w:space="0" w:color="CCCCCC"/>
            </w:tcBorders>
            <w:shd w:val="clear" w:color="auto" w:fill="F5FAFB"/>
            <w:tcMar>
              <w:top w:w="60" w:type="dxa"/>
              <w:left w:w="100" w:type="dxa"/>
              <w:bottom w:w="60" w:type="dxa"/>
              <w:right w:w="100" w:type="dxa"/>
            </w:tcMar>
          </w:tcPr>
          <w:p w14:paraId="4B57DFBB" w14:textId="77777777" w:rsidR="004C4578" w:rsidRDefault="00000000">
            <w:r>
              <w:rPr>
                <w:b/>
                <w:bCs/>
                <w:color w:val="000000"/>
                <w:sz w:val="18"/>
                <w:szCs w:val="18"/>
              </w:rPr>
              <w:t>Evaluation &amp; Quality</w:t>
            </w:r>
          </w:p>
        </w:tc>
        <w:tc>
          <w:tcPr>
            <w:tcW w:w="6560" w:type="dxa"/>
            <w:tcBorders>
              <w:top w:val="single" w:sz="1" w:space="0" w:color="CCCCCC"/>
              <w:left w:val="single" w:sz="1" w:space="0" w:color="CCCCCC"/>
              <w:bottom w:val="single" w:sz="1" w:space="0" w:color="CCCCCC"/>
              <w:right w:val="single" w:sz="1" w:space="0" w:color="CCCCCC"/>
            </w:tcBorders>
            <w:shd w:val="clear" w:color="auto" w:fill="F5FAFB"/>
            <w:tcMar>
              <w:top w:w="60" w:type="dxa"/>
              <w:left w:w="100" w:type="dxa"/>
              <w:bottom w:w="60" w:type="dxa"/>
              <w:right w:w="100" w:type="dxa"/>
            </w:tcMar>
          </w:tcPr>
          <w:p w14:paraId="052EDC55" w14:textId="77777777" w:rsidR="004C4578" w:rsidRDefault="00000000">
            <w:pPr>
              <w:jc w:val="center"/>
            </w:pPr>
            <w:r>
              <w:rPr>
                <w:color w:val="000000"/>
                <w:sz w:val="18"/>
                <w:szCs w:val="18"/>
              </w:rPr>
              <w:t>Expenditures for program evaluation, quality assurance, outcome measurement, and data systems.</w:t>
            </w:r>
          </w:p>
        </w:tc>
      </w:tr>
      <w:tr w:rsidR="004C4578" w14:paraId="4A93A27C" w14:textId="77777777">
        <w:tc>
          <w:tcPr>
            <w:tcW w:w="28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92335BE" w14:textId="77777777" w:rsidR="004C4578" w:rsidRDefault="00000000">
            <w:r>
              <w:rPr>
                <w:b/>
                <w:bCs/>
                <w:color w:val="000000"/>
                <w:sz w:val="18"/>
                <w:szCs w:val="18"/>
              </w:rPr>
              <w:t>Outreach &amp; Engagement</w:t>
            </w:r>
          </w:p>
        </w:tc>
        <w:tc>
          <w:tcPr>
            <w:tcW w:w="65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6D1681B" w14:textId="77777777" w:rsidR="004C4578" w:rsidRDefault="00000000">
            <w:pPr>
              <w:jc w:val="center"/>
            </w:pPr>
            <w:r>
              <w:rPr>
                <w:color w:val="000000"/>
                <w:sz w:val="18"/>
                <w:szCs w:val="18"/>
              </w:rPr>
              <w:t>Costs for community outreach, public awareness campaigns, family engagement, and recruitment activities.</w:t>
            </w:r>
          </w:p>
        </w:tc>
      </w:tr>
      <w:tr w:rsidR="004C4578" w14:paraId="2720A1A2" w14:textId="77777777">
        <w:tc>
          <w:tcPr>
            <w:tcW w:w="2800" w:type="dxa"/>
            <w:tcBorders>
              <w:top w:val="single" w:sz="1" w:space="0" w:color="CCCCCC"/>
              <w:left w:val="single" w:sz="1" w:space="0" w:color="CCCCCC"/>
              <w:bottom w:val="single" w:sz="1" w:space="0" w:color="CCCCCC"/>
              <w:right w:val="single" w:sz="1" w:space="0" w:color="CCCCCC"/>
            </w:tcBorders>
            <w:shd w:val="clear" w:color="auto" w:fill="F5FAFB"/>
            <w:tcMar>
              <w:top w:w="60" w:type="dxa"/>
              <w:left w:w="100" w:type="dxa"/>
              <w:bottom w:w="60" w:type="dxa"/>
              <w:right w:w="100" w:type="dxa"/>
            </w:tcMar>
          </w:tcPr>
          <w:p w14:paraId="1CCD3E40" w14:textId="77777777" w:rsidR="004C4578" w:rsidRDefault="00000000">
            <w:r>
              <w:rPr>
                <w:b/>
                <w:bCs/>
                <w:color w:val="000000"/>
                <w:sz w:val="18"/>
                <w:szCs w:val="18"/>
              </w:rPr>
              <w:t>Admin/Overhead</w:t>
            </w:r>
          </w:p>
        </w:tc>
        <w:tc>
          <w:tcPr>
            <w:tcW w:w="6560" w:type="dxa"/>
            <w:tcBorders>
              <w:top w:val="single" w:sz="1" w:space="0" w:color="CCCCCC"/>
              <w:left w:val="single" w:sz="1" w:space="0" w:color="CCCCCC"/>
              <w:bottom w:val="single" w:sz="1" w:space="0" w:color="CCCCCC"/>
              <w:right w:val="single" w:sz="1" w:space="0" w:color="CCCCCC"/>
            </w:tcBorders>
            <w:shd w:val="clear" w:color="auto" w:fill="F5FAFB"/>
            <w:tcMar>
              <w:top w:w="60" w:type="dxa"/>
              <w:left w:w="100" w:type="dxa"/>
              <w:bottom w:w="60" w:type="dxa"/>
              <w:right w:w="100" w:type="dxa"/>
            </w:tcMar>
          </w:tcPr>
          <w:p w14:paraId="08D9D081" w14:textId="77777777" w:rsidR="004C4578" w:rsidRDefault="00000000">
            <w:pPr>
              <w:jc w:val="center"/>
            </w:pPr>
            <w:r>
              <w:rPr>
                <w:color w:val="000000"/>
                <w:sz w:val="18"/>
                <w:szCs w:val="18"/>
              </w:rPr>
              <w:t>Administrative costs including facilities, utilities, IT infrastructure, and management not directly tied to service delivery.</w:t>
            </w:r>
          </w:p>
        </w:tc>
      </w:tr>
      <w:tr w:rsidR="004C4578" w14:paraId="4D800671" w14:textId="77777777">
        <w:tc>
          <w:tcPr>
            <w:tcW w:w="28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9E5833E" w14:textId="77777777" w:rsidR="004C4578" w:rsidRDefault="00000000">
            <w:r>
              <w:rPr>
                <w:b/>
                <w:bCs/>
                <w:color w:val="000000"/>
                <w:sz w:val="18"/>
                <w:szCs w:val="18"/>
              </w:rPr>
              <w:t>Other</w:t>
            </w:r>
          </w:p>
        </w:tc>
        <w:tc>
          <w:tcPr>
            <w:tcW w:w="65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4E8AE9F" w14:textId="77777777" w:rsidR="004C4578" w:rsidRDefault="00000000">
            <w:pPr>
              <w:jc w:val="center"/>
            </w:pPr>
            <w:r>
              <w:rPr>
                <w:color w:val="000000"/>
                <w:sz w:val="18"/>
                <w:szCs w:val="18"/>
              </w:rPr>
              <w:t>Expenditures not fitting the above categories; agencies may provide descriptive notes.</w:t>
            </w:r>
          </w:p>
        </w:tc>
      </w:tr>
    </w:tbl>
    <w:p w14:paraId="4384007B" w14:textId="77777777" w:rsidR="004C4578" w:rsidRDefault="00000000">
      <w:pPr>
        <w:pStyle w:val="Heading1"/>
      </w:pPr>
      <w:r>
        <w:t>3. Inclusion and Exclusion Criteria</w:t>
      </w:r>
    </w:p>
    <w:p w14:paraId="3A1349F2" w14:textId="77777777" w:rsidR="004C4578" w:rsidRDefault="00000000">
      <w:pPr>
        <w:spacing w:after="180" w:line="276" w:lineRule="auto"/>
      </w:pPr>
      <w:r>
        <w:rPr>
          <w:color w:val="000000"/>
        </w:rPr>
        <w:t>Programs are included in the category analysis if they meet at least one of the following conditions: (a) at least one expenditure category column contains a value greater than zero, or (b) a total expenditure value is present. Programs meeting condition (b) but not (a) are included in total counts and dollar sums but cannot contribute to category percentage calculations.</w:t>
      </w:r>
    </w:p>
    <w:p w14:paraId="1108ABE6" w14:textId="77777777" w:rsidR="004C4578" w:rsidRDefault="00000000">
      <w:pPr>
        <w:pStyle w:val="Heading2"/>
      </w:pPr>
      <w:r>
        <w:t>3.1 Coverage Summary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599"/>
        <w:gridCol w:w="1679"/>
        <w:gridCol w:w="2082"/>
      </w:tblGrid>
      <w:tr w:rsidR="004C4578" w14:paraId="7B237847" w14:textId="77777777">
        <w:tc>
          <w:tcPr>
            <w:tcW w:w="5000" w:type="dxa"/>
            <w:tcBorders>
              <w:top w:val="single" w:sz="1" w:space="0" w:color="CCCCCC"/>
              <w:left w:val="single" w:sz="1" w:space="0" w:color="CCCCCC"/>
              <w:bottom w:val="single" w:sz="1" w:space="0" w:color="CCCCCC"/>
              <w:right w:val="single" w:sz="1" w:space="0" w:color="CCCCCC"/>
            </w:tcBorders>
            <w:shd w:val="clear" w:color="auto" w:fill="D5E8F0"/>
            <w:tcMar>
              <w:top w:w="60" w:type="dxa"/>
              <w:left w:w="100" w:type="dxa"/>
              <w:bottom w:w="60" w:type="dxa"/>
              <w:right w:w="100" w:type="dxa"/>
            </w:tcMar>
            <w:vAlign w:val="center"/>
          </w:tcPr>
          <w:p w14:paraId="14B74803" w14:textId="77777777" w:rsidR="004C4578" w:rsidRDefault="00000000">
            <w:pPr>
              <w:jc w:val="center"/>
            </w:pPr>
            <w:r>
              <w:rPr>
                <w:b/>
                <w:bCs/>
                <w:color w:val="1E4E79"/>
                <w:sz w:val="18"/>
                <w:szCs w:val="18"/>
              </w:rPr>
              <w:t>Metric</w:t>
            </w:r>
          </w:p>
        </w:tc>
        <w:tc>
          <w:tcPr>
            <w:tcW w:w="1500" w:type="dxa"/>
            <w:tcBorders>
              <w:top w:val="single" w:sz="1" w:space="0" w:color="CCCCCC"/>
              <w:left w:val="single" w:sz="1" w:space="0" w:color="CCCCCC"/>
              <w:bottom w:val="single" w:sz="1" w:space="0" w:color="CCCCCC"/>
              <w:right w:val="single" w:sz="1" w:space="0" w:color="CCCCCC"/>
            </w:tcBorders>
            <w:shd w:val="clear" w:color="auto" w:fill="D5E8F0"/>
            <w:tcMar>
              <w:top w:w="60" w:type="dxa"/>
              <w:left w:w="100" w:type="dxa"/>
              <w:bottom w:w="60" w:type="dxa"/>
              <w:right w:w="100" w:type="dxa"/>
            </w:tcMar>
            <w:vAlign w:val="center"/>
          </w:tcPr>
          <w:p w14:paraId="56524A12" w14:textId="77777777" w:rsidR="004C4578" w:rsidRDefault="00000000">
            <w:pPr>
              <w:jc w:val="center"/>
            </w:pPr>
            <w:r>
              <w:rPr>
                <w:b/>
                <w:bCs/>
                <w:color w:val="1E4E79"/>
                <w:sz w:val="18"/>
                <w:szCs w:val="18"/>
              </w:rPr>
              <w:t>Count</w:t>
            </w:r>
          </w:p>
        </w:tc>
        <w:tc>
          <w:tcPr>
            <w:tcW w:w="1860" w:type="dxa"/>
            <w:tcBorders>
              <w:top w:val="single" w:sz="1" w:space="0" w:color="CCCCCC"/>
              <w:left w:val="single" w:sz="1" w:space="0" w:color="CCCCCC"/>
              <w:bottom w:val="single" w:sz="1" w:space="0" w:color="CCCCCC"/>
              <w:right w:val="single" w:sz="1" w:space="0" w:color="CCCCCC"/>
            </w:tcBorders>
            <w:shd w:val="clear" w:color="auto" w:fill="D5E8F0"/>
            <w:tcMar>
              <w:top w:w="60" w:type="dxa"/>
              <w:left w:w="100" w:type="dxa"/>
              <w:bottom w:w="60" w:type="dxa"/>
              <w:right w:w="100" w:type="dxa"/>
            </w:tcMar>
            <w:vAlign w:val="center"/>
          </w:tcPr>
          <w:p w14:paraId="2DF06A1C" w14:textId="77777777" w:rsidR="004C4578" w:rsidRDefault="00000000">
            <w:pPr>
              <w:jc w:val="center"/>
            </w:pPr>
            <w:r>
              <w:rPr>
                <w:b/>
                <w:bCs/>
                <w:color w:val="1E4E79"/>
                <w:sz w:val="18"/>
                <w:szCs w:val="18"/>
              </w:rPr>
              <w:t>Dollars</w:t>
            </w:r>
          </w:p>
        </w:tc>
      </w:tr>
      <w:tr w:rsidR="004C4578" w14:paraId="7E2A7B23" w14:textId="77777777">
        <w:tc>
          <w:tcPr>
            <w:tcW w:w="5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ACA4045" w14:textId="77777777" w:rsidR="004C4578" w:rsidRDefault="00000000">
            <w:r>
              <w:rPr>
                <w:b/>
                <w:bCs/>
                <w:color w:val="000000"/>
                <w:sz w:val="18"/>
                <w:szCs w:val="18"/>
              </w:rPr>
              <w:t>Total programs in FY25 file</w:t>
            </w:r>
          </w:p>
        </w:tc>
        <w:tc>
          <w:tcPr>
            <w:tcW w:w="15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C104FF0" w14:textId="77777777" w:rsidR="004C4578" w:rsidRDefault="00000000">
            <w:pPr>
              <w:jc w:val="center"/>
            </w:pPr>
            <w:r>
              <w:rPr>
                <w:color w:val="000000"/>
                <w:sz w:val="18"/>
                <w:szCs w:val="18"/>
              </w:rPr>
              <w:t>299</w:t>
            </w:r>
          </w:p>
        </w:tc>
        <w:tc>
          <w:tcPr>
            <w:tcW w:w="18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8D77EDA" w14:textId="77777777" w:rsidR="004C4578" w:rsidRDefault="00000000">
            <w:pPr>
              <w:jc w:val="center"/>
            </w:pPr>
            <w:r>
              <w:rPr>
                <w:color w:val="000000"/>
                <w:sz w:val="18"/>
                <w:szCs w:val="18"/>
              </w:rPr>
              <w:t>$15.3B</w:t>
            </w:r>
          </w:p>
        </w:tc>
      </w:tr>
      <w:tr w:rsidR="004C4578" w14:paraId="739B0508" w14:textId="77777777">
        <w:tc>
          <w:tcPr>
            <w:tcW w:w="5000" w:type="dxa"/>
            <w:tcBorders>
              <w:top w:val="single" w:sz="1" w:space="0" w:color="CCCCCC"/>
              <w:left w:val="single" w:sz="1" w:space="0" w:color="CCCCCC"/>
              <w:bottom w:val="single" w:sz="1" w:space="0" w:color="CCCCCC"/>
              <w:right w:val="single" w:sz="1" w:space="0" w:color="CCCCCC"/>
            </w:tcBorders>
            <w:shd w:val="clear" w:color="auto" w:fill="F5FAFB"/>
            <w:tcMar>
              <w:top w:w="60" w:type="dxa"/>
              <w:left w:w="100" w:type="dxa"/>
              <w:bottom w:w="60" w:type="dxa"/>
              <w:right w:w="100" w:type="dxa"/>
            </w:tcMar>
          </w:tcPr>
          <w:p w14:paraId="3EC2D6FD" w14:textId="77777777" w:rsidR="004C4578" w:rsidRDefault="00000000">
            <w:r>
              <w:rPr>
                <w:b/>
                <w:bCs/>
                <w:color w:val="000000"/>
                <w:sz w:val="18"/>
                <w:szCs w:val="18"/>
              </w:rPr>
              <w:t>Programs with category data (included in analysis)</w:t>
            </w:r>
          </w:p>
        </w:tc>
        <w:tc>
          <w:tcPr>
            <w:tcW w:w="1500" w:type="dxa"/>
            <w:tcBorders>
              <w:top w:val="single" w:sz="1" w:space="0" w:color="CCCCCC"/>
              <w:left w:val="single" w:sz="1" w:space="0" w:color="CCCCCC"/>
              <w:bottom w:val="single" w:sz="1" w:space="0" w:color="CCCCCC"/>
              <w:right w:val="single" w:sz="1" w:space="0" w:color="CCCCCC"/>
            </w:tcBorders>
            <w:shd w:val="clear" w:color="auto" w:fill="F5FAFB"/>
            <w:tcMar>
              <w:top w:w="60" w:type="dxa"/>
              <w:left w:w="100" w:type="dxa"/>
              <w:bottom w:w="60" w:type="dxa"/>
              <w:right w:w="100" w:type="dxa"/>
            </w:tcMar>
          </w:tcPr>
          <w:p w14:paraId="53BE89B1" w14:textId="77777777" w:rsidR="004C4578" w:rsidRDefault="00000000">
            <w:pPr>
              <w:jc w:val="center"/>
            </w:pPr>
            <w:r>
              <w:rPr>
                <w:color w:val="000000"/>
                <w:sz w:val="18"/>
                <w:szCs w:val="18"/>
              </w:rPr>
              <w:t>242</w:t>
            </w:r>
          </w:p>
        </w:tc>
        <w:tc>
          <w:tcPr>
            <w:tcW w:w="1860" w:type="dxa"/>
            <w:tcBorders>
              <w:top w:val="single" w:sz="1" w:space="0" w:color="CCCCCC"/>
              <w:left w:val="single" w:sz="1" w:space="0" w:color="CCCCCC"/>
              <w:bottom w:val="single" w:sz="1" w:space="0" w:color="CCCCCC"/>
              <w:right w:val="single" w:sz="1" w:space="0" w:color="CCCCCC"/>
            </w:tcBorders>
            <w:shd w:val="clear" w:color="auto" w:fill="F5FAFB"/>
            <w:tcMar>
              <w:top w:w="60" w:type="dxa"/>
              <w:left w:w="100" w:type="dxa"/>
              <w:bottom w:w="60" w:type="dxa"/>
              <w:right w:w="100" w:type="dxa"/>
            </w:tcMar>
          </w:tcPr>
          <w:p w14:paraId="4FB526B6" w14:textId="77777777" w:rsidR="004C4578" w:rsidRDefault="00000000">
            <w:pPr>
              <w:jc w:val="center"/>
            </w:pPr>
            <w:r>
              <w:rPr>
                <w:color w:val="000000"/>
                <w:sz w:val="18"/>
                <w:szCs w:val="18"/>
              </w:rPr>
              <w:t>$12.9B</w:t>
            </w:r>
          </w:p>
        </w:tc>
      </w:tr>
      <w:tr w:rsidR="004C4578" w14:paraId="5EBE184C" w14:textId="77777777">
        <w:tc>
          <w:tcPr>
            <w:tcW w:w="5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D1CF9D9" w14:textId="77777777" w:rsidR="004C4578" w:rsidRDefault="00000000">
            <w:r>
              <w:rPr>
                <w:b/>
                <w:bCs/>
                <w:color w:val="000000"/>
                <w:sz w:val="18"/>
                <w:szCs w:val="18"/>
              </w:rPr>
              <w:t>Programs without category data (included in totals only)</w:t>
            </w:r>
          </w:p>
        </w:tc>
        <w:tc>
          <w:tcPr>
            <w:tcW w:w="15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BA9A9B5" w14:textId="77777777" w:rsidR="004C4578" w:rsidRDefault="00000000">
            <w:pPr>
              <w:jc w:val="center"/>
            </w:pPr>
            <w:r>
              <w:rPr>
                <w:color w:val="000000"/>
                <w:sz w:val="18"/>
                <w:szCs w:val="18"/>
              </w:rPr>
              <w:t>56</w:t>
            </w:r>
          </w:p>
        </w:tc>
        <w:tc>
          <w:tcPr>
            <w:tcW w:w="18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6E08794" w14:textId="77777777" w:rsidR="004C4578" w:rsidRDefault="00000000">
            <w:pPr>
              <w:jc w:val="center"/>
            </w:pPr>
            <w:r>
              <w:rPr>
                <w:color w:val="000000"/>
                <w:sz w:val="18"/>
                <w:szCs w:val="18"/>
              </w:rPr>
              <w:t>$2.31B</w:t>
            </w:r>
          </w:p>
        </w:tc>
      </w:tr>
      <w:tr w:rsidR="004C4578" w14:paraId="139DCC4A" w14:textId="77777777">
        <w:tc>
          <w:tcPr>
            <w:tcW w:w="5000" w:type="dxa"/>
            <w:tcBorders>
              <w:top w:val="single" w:sz="1" w:space="0" w:color="CCCCCC"/>
              <w:left w:val="single" w:sz="1" w:space="0" w:color="CCCCCC"/>
              <w:bottom w:val="single" w:sz="1" w:space="0" w:color="CCCCCC"/>
              <w:right w:val="single" w:sz="1" w:space="0" w:color="CCCCCC"/>
            </w:tcBorders>
            <w:shd w:val="clear" w:color="auto" w:fill="F5FAFB"/>
            <w:tcMar>
              <w:top w:w="60" w:type="dxa"/>
              <w:left w:w="100" w:type="dxa"/>
              <w:bottom w:w="60" w:type="dxa"/>
              <w:right w:w="100" w:type="dxa"/>
            </w:tcMar>
          </w:tcPr>
          <w:p w14:paraId="3DB70C27" w14:textId="77777777" w:rsidR="004C4578" w:rsidRDefault="00000000">
            <w:r>
              <w:rPr>
                <w:b/>
                <w:bCs/>
                <w:color w:val="000000"/>
                <w:sz w:val="18"/>
                <w:szCs w:val="18"/>
              </w:rPr>
              <w:t>Programs excluded entirely (no expenditure data)</w:t>
            </w:r>
          </w:p>
        </w:tc>
        <w:tc>
          <w:tcPr>
            <w:tcW w:w="1500" w:type="dxa"/>
            <w:tcBorders>
              <w:top w:val="single" w:sz="1" w:space="0" w:color="CCCCCC"/>
              <w:left w:val="single" w:sz="1" w:space="0" w:color="CCCCCC"/>
              <w:bottom w:val="single" w:sz="1" w:space="0" w:color="CCCCCC"/>
              <w:right w:val="single" w:sz="1" w:space="0" w:color="CCCCCC"/>
            </w:tcBorders>
            <w:shd w:val="clear" w:color="auto" w:fill="F5FAFB"/>
            <w:tcMar>
              <w:top w:w="60" w:type="dxa"/>
              <w:left w:w="100" w:type="dxa"/>
              <w:bottom w:w="60" w:type="dxa"/>
              <w:right w:w="100" w:type="dxa"/>
            </w:tcMar>
          </w:tcPr>
          <w:p w14:paraId="325A0744" w14:textId="77777777" w:rsidR="004C4578" w:rsidRDefault="00000000">
            <w:pPr>
              <w:jc w:val="center"/>
            </w:pPr>
            <w:r>
              <w:rPr>
                <w:color w:val="000000"/>
                <w:sz w:val="18"/>
                <w:szCs w:val="18"/>
              </w:rPr>
              <w:t>1</w:t>
            </w:r>
          </w:p>
        </w:tc>
        <w:tc>
          <w:tcPr>
            <w:tcW w:w="1860" w:type="dxa"/>
            <w:tcBorders>
              <w:top w:val="single" w:sz="1" w:space="0" w:color="CCCCCC"/>
              <w:left w:val="single" w:sz="1" w:space="0" w:color="CCCCCC"/>
              <w:bottom w:val="single" w:sz="1" w:space="0" w:color="CCCCCC"/>
              <w:right w:val="single" w:sz="1" w:space="0" w:color="CCCCCC"/>
            </w:tcBorders>
            <w:shd w:val="clear" w:color="auto" w:fill="F5FAFB"/>
            <w:tcMar>
              <w:top w:w="60" w:type="dxa"/>
              <w:left w:w="100" w:type="dxa"/>
              <w:bottom w:w="60" w:type="dxa"/>
              <w:right w:w="100" w:type="dxa"/>
            </w:tcMar>
          </w:tcPr>
          <w:p w14:paraId="42D5800A" w14:textId="77777777" w:rsidR="004C4578" w:rsidRDefault="00000000">
            <w:pPr>
              <w:jc w:val="center"/>
            </w:pPr>
            <w:r>
              <w:rPr>
                <w:color w:val="000000"/>
                <w:sz w:val="18"/>
                <w:szCs w:val="18"/>
              </w:rPr>
              <w:t>N/A</w:t>
            </w:r>
          </w:p>
        </w:tc>
      </w:tr>
      <w:tr w:rsidR="004C4578" w14:paraId="5BBE788A" w14:textId="77777777">
        <w:tc>
          <w:tcPr>
            <w:tcW w:w="5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7B2DF64" w14:textId="77777777" w:rsidR="004C4578" w:rsidRDefault="00000000">
            <w:r>
              <w:rPr>
                <w:b/>
                <w:bCs/>
                <w:color w:val="000000"/>
                <w:sz w:val="18"/>
                <w:szCs w:val="18"/>
              </w:rPr>
              <w:t>Programs with backfilled totals from category sum</w:t>
            </w:r>
          </w:p>
        </w:tc>
        <w:tc>
          <w:tcPr>
            <w:tcW w:w="15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430D520" w14:textId="77777777" w:rsidR="004C4578" w:rsidRDefault="00000000">
            <w:pPr>
              <w:jc w:val="center"/>
            </w:pPr>
            <w:r>
              <w:rPr>
                <w:color w:val="000000"/>
                <w:sz w:val="18"/>
                <w:szCs w:val="18"/>
              </w:rPr>
              <w:t>0</w:t>
            </w:r>
          </w:p>
        </w:tc>
        <w:tc>
          <w:tcPr>
            <w:tcW w:w="18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06CDF47" w14:textId="77777777" w:rsidR="004C4578" w:rsidRDefault="00000000">
            <w:pPr>
              <w:jc w:val="center"/>
            </w:pPr>
            <w:r>
              <w:rPr>
                <w:color w:val="000000"/>
                <w:sz w:val="18"/>
                <w:szCs w:val="18"/>
              </w:rPr>
              <w:t>Varies</w:t>
            </w:r>
          </w:p>
        </w:tc>
      </w:tr>
    </w:tbl>
    <w:p w14:paraId="3523267E" w14:textId="77777777" w:rsidR="004C4578" w:rsidRDefault="00000000">
      <w:pPr>
        <w:pStyle w:val="Heading2"/>
      </w:pPr>
      <w:r>
        <w:t>3.2 Notable Exclusions and Limitations</w:t>
      </w:r>
    </w:p>
    <w:p w14:paraId="208879E1" w14:textId="77777777" w:rsidR="004C4578" w:rsidRDefault="00000000">
      <w:pPr>
        <w:spacing w:after="180" w:line="276" w:lineRule="auto"/>
      </w:pPr>
      <w:r>
        <w:rPr>
          <w:b/>
          <w:bCs/>
          <w:color w:val="000000"/>
        </w:rPr>
        <w:t xml:space="preserve">Agency Reporting Gaps: </w:t>
      </w:r>
      <w:r>
        <w:rPr>
          <w:color w:val="000000"/>
        </w:rPr>
        <w:t xml:space="preserve">Fifty-six programs ($2.31 billion, 15.1% of the portfolio) reported total expenditures but did not provide category breakdowns. In some cases, agency cost structures did not align with the taxonomy; in others, data were not provided within the reporting timeline. This is a limitation of the taxonomy’s fit to diverse accounting systems, not necessarily a data </w:t>
      </w:r>
      <w:r>
        <w:rPr>
          <w:color w:val="000000"/>
        </w:rPr>
        <w:lastRenderedPageBreak/>
        <w:t>quality failure. The sensitivity analysis (Section 10) tests the impact of this gap on portfolio-level findings.</w:t>
      </w:r>
    </w:p>
    <w:p w14:paraId="2EB878DE" w14:textId="77777777" w:rsidR="004C4578" w:rsidRDefault="00000000">
      <w:pPr>
        <w:spacing w:after="180" w:line="276" w:lineRule="auto"/>
      </w:pPr>
      <w:r>
        <w:rPr>
          <w:b/>
          <w:bCs/>
          <w:color w:val="000000"/>
        </w:rPr>
        <w:t xml:space="preserve">TISA: </w:t>
      </w:r>
      <w:r>
        <w:rPr>
          <w:color w:val="000000"/>
        </w:rPr>
        <w:t>The Tennessee Investment in Student Achievement (TISA) is a single program reporting $6.54 billion (42.7% of the portfolio) entirely as “Direct Services.” While technically accurate—the TISA formula distributes funds to districts for instructional services—this classification collapses a complex funding formula into one category and dominates the portfolio-level Direct Services percentage. TISA is excluded from all enhanced statistical analyses and from all report tables except the Portfolio Overview, which presents both TISA-inclusive and TISA-exclusive figures. This approach follows standard practice in portfolio analysis of isolating dominant single-asset effects to reveal underlying composition (</w:t>
      </w:r>
      <w:proofErr w:type="spellStart"/>
      <w:r>
        <w:rPr>
          <w:color w:val="000000"/>
        </w:rPr>
        <w:t>Maginn</w:t>
      </w:r>
      <w:proofErr w:type="spellEnd"/>
      <w:r>
        <w:rPr>
          <w:color w:val="000000"/>
        </w:rPr>
        <w:t xml:space="preserve"> et al., 2007).</w:t>
      </w:r>
    </w:p>
    <w:p w14:paraId="7601A51A" w14:textId="77777777" w:rsidR="004C4578" w:rsidRDefault="00000000">
      <w:pPr>
        <w:spacing w:after="180" w:line="276" w:lineRule="auto"/>
      </w:pPr>
      <w:r>
        <w:rPr>
          <w:b/>
          <w:bCs/>
          <w:color w:val="000000"/>
        </w:rPr>
        <w:t xml:space="preserve">Department of Correction: </w:t>
      </w:r>
      <w:r>
        <w:rPr>
          <w:color w:val="000000"/>
        </w:rPr>
        <w:t>Two DOC programs (Juvenile Detention, $533,974; Juvenile Probation, $17,973) reported total expenditures with matching category sums. A previously identified discrepancy (category amount exceeding total by a factor of 30.7) was resolved during FY25 data reconciliation.</w:t>
      </w:r>
    </w:p>
    <w:p w14:paraId="3827C916" w14:textId="77777777" w:rsidR="004C4578" w:rsidRDefault="00000000">
      <w:pPr>
        <w:pStyle w:val="Heading1"/>
      </w:pPr>
      <w:r>
        <w:t>4. Analytic Methodology</w:t>
      </w:r>
    </w:p>
    <w:p w14:paraId="695A2788" w14:textId="77777777" w:rsidR="004C4578" w:rsidRDefault="00000000">
      <w:pPr>
        <w:pStyle w:val="Heading2"/>
      </w:pPr>
      <w:r>
        <w:t>4.1 Data Cleaning and Preparation</w:t>
      </w:r>
    </w:p>
    <w:p w14:paraId="42AB84BE" w14:textId="77777777" w:rsidR="004C4578" w:rsidRDefault="00000000">
      <w:pPr>
        <w:pStyle w:val="ListParagraph"/>
        <w:numPr>
          <w:ilvl w:val="0"/>
          <w:numId w:val="2"/>
        </w:numPr>
        <w:spacing w:after="120" w:line="276" w:lineRule="auto"/>
      </w:pPr>
      <w:r>
        <w:rPr>
          <w:b/>
          <w:bCs/>
          <w:color w:val="000000"/>
        </w:rPr>
        <w:t xml:space="preserve">Column Matching: </w:t>
      </w:r>
      <w:r>
        <w:rPr>
          <w:color w:val="000000"/>
        </w:rPr>
        <w:t>Expenditure category columns in the input file are matched to the nine canonical names using case-insensitive substring matching to handle minor naming variations across agency submissions.</w:t>
      </w:r>
    </w:p>
    <w:p w14:paraId="49103BEC" w14:textId="77777777" w:rsidR="004C4578" w:rsidRDefault="00000000">
      <w:pPr>
        <w:pStyle w:val="ListParagraph"/>
        <w:numPr>
          <w:ilvl w:val="0"/>
          <w:numId w:val="2"/>
        </w:numPr>
        <w:spacing w:after="120" w:line="276" w:lineRule="auto"/>
      </w:pPr>
      <w:r>
        <w:rPr>
          <w:b/>
          <w:bCs/>
          <w:color w:val="000000"/>
        </w:rPr>
        <w:t xml:space="preserve">Numeric Conversion: </w:t>
      </w:r>
      <w:r>
        <w:rPr>
          <w:color w:val="000000"/>
        </w:rPr>
        <w:t>All category values are coerced to numeric, stripping currency symbols and comma separators. Non-</w:t>
      </w:r>
      <w:proofErr w:type="spellStart"/>
      <w:r>
        <w:rPr>
          <w:color w:val="000000"/>
        </w:rPr>
        <w:t>parseable</w:t>
      </w:r>
      <w:proofErr w:type="spellEnd"/>
      <w:r>
        <w:rPr>
          <w:color w:val="000000"/>
        </w:rPr>
        <w:t xml:space="preserve"> values are treated as missing (</w:t>
      </w:r>
      <w:proofErr w:type="spellStart"/>
      <w:r>
        <w:rPr>
          <w:color w:val="000000"/>
        </w:rPr>
        <w:t>NaN</w:t>
      </w:r>
      <w:proofErr w:type="spellEnd"/>
      <w:r>
        <w:rPr>
          <w:color w:val="000000"/>
        </w:rPr>
        <w:t>).</w:t>
      </w:r>
    </w:p>
    <w:p w14:paraId="0ED7B0D8" w14:textId="77777777" w:rsidR="004C4578" w:rsidRDefault="00000000">
      <w:pPr>
        <w:pStyle w:val="ListParagraph"/>
        <w:numPr>
          <w:ilvl w:val="0"/>
          <w:numId w:val="2"/>
        </w:numPr>
        <w:spacing w:after="120" w:line="276" w:lineRule="auto"/>
      </w:pPr>
      <w:r>
        <w:rPr>
          <w:b/>
          <w:bCs/>
          <w:color w:val="000000"/>
        </w:rPr>
        <w:t xml:space="preserve">Category Sum Computation: </w:t>
      </w:r>
      <w:r>
        <w:rPr>
          <w:color w:val="000000"/>
        </w:rPr>
        <w:t>For each program, a row-level category sum is computed as the sum of all nine category values (</w:t>
      </w:r>
      <w:proofErr w:type="spellStart"/>
      <w:r>
        <w:rPr>
          <w:color w:val="000000"/>
        </w:rPr>
        <w:t>NaN</w:t>
      </w:r>
      <w:proofErr w:type="spellEnd"/>
      <w:r>
        <w:rPr>
          <w:color w:val="000000"/>
        </w:rPr>
        <w:t xml:space="preserve"> treated as zero via </w:t>
      </w:r>
      <w:proofErr w:type="spellStart"/>
      <w:r>
        <w:rPr>
          <w:color w:val="000000"/>
        </w:rPr>
        <w:t>skipna</w:t>
      </w:r>
      <w:proofErr w:type="spellEnd"/>
      <w:r>
        <w:rPr>
          <w:color w:val="000000"/>
        </w:rPr>
        <w:t>=True).</w:t>
      </w:r>
    </w:p>
    <w:p w14:paraId="03A7F55C" w14:textId="77777777" w:rsidR="004C4578" w:rsidRDefault="00000000">
      <w:pPr>
        <w:pStyle w:val="ListParagraph"/>
        <w:numPr>
          <w:ilvl w:val="0"/>
          <w:numId w:val="2"/>
        </w:numPr>
        <w:spacing w:after="120" w:line="276" w:lineRule="auto"/>
      </w:pPr>
      <w:r>
        <w:rPr>
          <w:b/>
          <w:bCs/>
          <w:color w:val="000000"/>
        </w:rPr>
        <w:t xml:space="preserve">Total Expenditure Resolution: </w:t>
      </w:r>
      <w:r>
        <w:rPr>
          <w:color w:val="000000"/>
        </w:rPr>
        <w:t>The analysis uses a three-tier preference for total expenditure: (1) the “Exp: Total” column, (2) the “Total” column, (3) the “Total Funding” column. If none are present, the category sum serves as the total.</w:t>
      </w:r>
    </w:p>
    <w:p w14:paraId="5D7C8850" w14:textId="77777777" w:rsidR="004C4578" w:rsidRDefault="00000000">
      <w:pPr>
        <w:pStyle w:val="ListParagraph"/>
        <w:numPr>
          <w:ilvl w:val="0"/>
          <w:numId w:val="2"/>
        </w:numPr>
        <w:spacing w:after="120" w:line="276" w:lineRule="auto"/>
      </w:pPr>
      <w:r>
        <w:rPr>
          <w:b/>
          <w:bCs/>
          <w:color w:val="000000"/>
        </w:rPr>
        <w:t xml:space="preserve">Backfill Logic: </w:t>
      </w:r>
      <w:r>
        <w:rPr>
          <w:color w:val="000000"/>
        </w:rPr>
        <w:t>If the reported total is missing or zero but category data exist, the category sum replaces the total and the program is flagged as backfilled. This occurred for 0 programs in the current dataset.</w:t>
      </w:r>
    </w:p>
    <w:p w14:paraId="0D864041" w14:textId="77777777" w:rsidR="004C4578" w:rsidRDefault="00000000">
      <w:pPr>
        <w:pStyle w:val="ListParagraph"/>
        <w:numPr>
          <w:ilvl w:val="0"/>
          <w:numId w:val="2"/>
        </w:numPr>
        <w:spacing w:after="120" w:line="276" w:lineRule="auto"/>
      </w:pPr>
      <w:r>
        <w:rPr>
          <w:b/>
          <w:bCs/>
          <w:color w:val="000000"/>
        </w:rPr>
        <w:t xml:space="preserve">Alignment Logic: </w:t>
      </w:r>
      <w:r>
        <w:rPr>
          <w:color w:val="000000"/>
        </w:rPr>
        <w:t>If the category sum exceeds the reported total by more than 0.1%, the category sum replaces the reported total. This guards against stale or partial totals while preserving more granular category data. One program triggered this rule in the current run.</w:t>
      </w:r>
    </w:p>
    <w:p w14:paraId="725BB342" w14:textId="77777777" w:rsidR="004C4578" w:rsidRDefault="00000000">
      <w:pPr>
        <w:pStyle w:val="Heading2"/>
      </w:pPr>
      <w:r>
        <w:t>4.2 Aggregation and Percentage Computation</w:t>
      </w:r>
    </w:p>
    <w:p w14:paraId="42F8ED47" w14:textId="77777777" w:rsidR="004C4578" w:rsidRDefault="00000000">
      <w:pPr>
        <w:spacing w:after="180" w:line="276" w:lineRule="auto"/>
      </w:pPr>
      <w:r>
        <w:rPr>
          <w:color w:val="000000"/>
        </w:rPr>
        <w:t>The analysis produces four summary views: By Agency, By TCCY Outcome, By TCCY Programmatic Focus, and Overall Portfolio. Funding source analysis is provided in the enhanced companion workbook (Section 10.5). In each view:</w:t>
      </w:r>
    </w:p>
    <w:p w14:paraId="62B391D6" w14:textId="77777777" w:rsidR="004C4578" w:rsidRDefault="00000000">
      <w:pPr>
        <w:pStyle w:val="ListParagraph"/>
        <w:numPr>
          <w:ilvl w:val="0"/>
          <w:numId w:val="2"/>
        </w:numPr>
        <w:spacing w:after="120" w:line="276" w:lineRule="auto"/>
      </w:pPr>
      <w:r>
        <w:rPr>
          <w:b/>
          <w:bCs/>
          <w:color w:val="000000"/>
        </w:rPr>
        <w:lastRenderedPageBreak/>
        <w:t xml:space="preserve">Program Count (N): </w:t>
      </w:r>
      <w:r>
        <w:rPr>
          <w:color w:val="000000"/>
        </w:rPr>
        <w:t>Number of programs in the grouping that have a non-zero total or category sum.</w:t>
      </w:r>
    </w:p>
    <w:p w14:paraId="1DEE9ECD" w14:textId="77777777" w:rsidR="004C4578" w:rsidRDefault="00000000">
      <w:pPr>
        <w:pStyle w:val="ListParagraph"/>
        <w:numPr>
          <w:ilvl w:val="0"/>
          <w:numId w:val="2"/>
        </w:numPr>
        <w:spacing w:after="120" w:line="276" w:lineRule="auto"/>
      </w:pPr>
      <w:r>
        <w:rPr>
          <w:b/>
          <w:bCs/>
          <w:color w:val="000000"/>
        </w:rPr>
        <w:t xml:space="preserve">Total Expenditure: </w:t>
      </w:r>
      <w:r>
        <w:rPr>
          <w:color w:val="000000"/>
        </w:rPr>
        <w:t>Sum of total expenditure across all programs in the group, including those without category data.</w:t>
      </w:r>
    </w:p>
    <w:p w14:paraId="664EF311" w14:textId="77777777" w:rsidR="004C4578" w:rsidRDefault="00000000">
      <w:pPr>
        <w:pStyle w:val="ListParagraph"/>
        <w:numPr>
          <w:ilvl w:val="0"/>
          <w:numId w:val="2"/>
        </w:numPr>
        <w:spacing w:after="120" w:line="276" w:lineRule="auto"/>
      </w:pPr>
      <w:r>
        <w:rPr>
          <w:b/>
          <w:bCs/>
          <w:color w:val="000000"/>
        </w:rPr>
        <w:t xml:space="preserve">Category Dollar Amount: </w:t>
      </w:r>
      <w:r>
        <w:rPr>
          <w:color w:val="000000"/>
        </w:rPr>
        <w:t>Sum of each category column across programs in the group that reported category data.</w:t>
      </w:r>
    </w:p>
    <w:p w14:paraId="7DCFAFC9" w14:textId="77777777" w:rsidR="004C4578" w:rsidRDefault="00000000">
      <w:pPr>
        <w:pStyle w:val="ListParagraph"/>
        <w:numPr>
          <w:ilvl w:val="0"/>
          <w:numId w:val="2"/>
        </w:numPr>
        <w:spacing w:after="120" w:line="276" w:lineRule="auto"/>
      </w:pPr>
      <w:r>
        <w:rPr>
          <w:b/>
          <w:bCs/>
          <w:color w:val="000000"/>
        </w:rPr>
        <w:t xml:space="preserve">Category Percentage: </w:t>
      </w:r>
      <w:r>
        <w:rPr>
          <w:color w:val="000000"/>
        </w:rPr>
        <w:t>Category dollar amount divided by total categorized expenditure for the group (i.e., the sum of all nine category columns across programs that reported category data). Programs without category breakdowns are excluded from both numerator and denominator.</w:t>
      </w:r>
    </w:p>
    <w:p w14:paraId="23979F58" w14:textId="77777777" w:rsidR="004C4578" w:rsidRDefault="00000000">
      <w:pPr>
        <w:pStyle w:val="ListParagraph"/>
        <w:numPr>
          <w:ilvl w:val="0"/>
          <w:numId w:val="2"/>
        </w:numPr>
        <w:spacing w:after="120" w:line="276" w:lineRule="auto"/>
      </w:pPr>
      <w:r>
        <w:rPr>
          <w:b/>
          <w:bCs/>
          <w:color w:val="000000"/>
        </w:rPr>
        <w:t xml:space="preserve">Categorized: </w:t>
      </w:r>
      <w:r>
        <w:rPr>
          <w:color w:val="000000"/>
        </w:rPr>
        <w:t>The percentage of each group’s total expenditure for which category data were reported. This indicator helps readers assess how representative the category percentages are of the group as a whole.</w:t>
      </w:r>
    </w:p>
    <w:p w14:paraId="0AC8A70C" w14:textId="77777777" w:rsidR="004C4578" w:rsidRDefault="00000000">
      <w:pPr>
        <w:spacing w:after="180" w:line="276" w:lineRule="auto"/>
      </w:pPr>
      <w:r>
        <w:rPr>
          <w:color w:val="000000"/>
        </w:rPr>
        <w:t>Percentages are computed at the group level (sum of category dollars / sum of categorized dollars), not as the mean of program-level percentages. This dollar-weighted approach ensures that a $500 million program contributes proportionally more than a $50,000 program, which is appropriate for characterizing how a portfolio’s total investment is allocated. This is the standard approach in public expenditure analysis (Mikesell, 2014) and follows GAO and CBO conventions for aggregating fiscal data across programs of varying scale (GAO, 2012).</w:t>
      </w:r>
    </w:p>
    <w:p w14:paraId="4EBD340D" w14:textId="77777777" w:rsidR="004C4578" w:rsidRDefault="00000000">
      <w:pPr>
        <w:pStyle w:val="Heading2"/>
      </w:pPr>
      <w:r>
        <w:t>4.3 Funding Source Analysis</w:t>
      </w:r>
    </w:p>
    <w:p w14:paraId="4B82B582" w14:textId="77777777" w:rsidR="004C4578" w:rsidRDefault="00000000">
      <w:pPr>
        <w:spacing w:after="180" w:line="276" w:lineRule="auto"/>
      </w:pPr>
      <w:r>
        <w:rPr>
          <w:color w:val="000000"/>
        </w:rPr>
        <w:t>The funding source analysis compares expenditure composition across three groups defined by the proportion of total expenditure from state funds: State-dominant (&gt;80% state), Mixed (40–65% state), and Federal-dominant (&gt;80% federal). The &gt;80% threshold follows conventions in public finance for classifying funding predominance, consistent with approaches used in federal grant analysis (</w:t>
      </w:r>
      <w:proofErr w:type="spellStart"/>
      <w:r>
        <w:rPr>
          <w:color w:val="000000"/>
        </w:rPr>
        <w:t>Dilger</w:t>
      </w:r>
      <w:proofErr w:type="spellEnd"/>
      <w:r>
        <w:rPr>
          <w:color w:val="000000"/>
        </w:rPr>
        <w:t xml:space="preserve"> &amp; Boyd, 2014). Programs outside these ranges or lacking funding source data are excluded from this view.</w:t>
      </w:r>
    </w:p>
    <w:p w14:paraId="707A0D72" w14:textId="77777777" w:rsidR="004C4578" w:rsidRDefault="00000000">
      <w:pPr>
        <w:spacing w:after="180" w:line="276" w:lineRule="auto"/>
      </w:pPr>
      <w:r>
        <w:rPr>
          <w:color w:val="000000"/>
        </w:rPr>
        <w:t>The analysis uses direct (unweighted) composition for each group, meaning all category dollars within a group are summed and then shares are computed. This avoids the within-program fungibility assumption required by weighted approaches—namely, that state and federal dollars within a single program purchase the same proportion of direct services, contracts, and personnel. While the weighted view is also computed for reference, the direct composition provides a cleaner picture of how each type of dollar is used (</w:t>
      </w:r>
      <w:proofErr w:type="spellStart"/>
      <w:r>
        <w:rPr>
          <w:color w:val="000000"/>
        </w:rPr>
        <w:t>Boadway</w:t>
      </w:r>
      <w:proofErr w:type="spellEnd"/>
      <w:r>
        <w:rPr>
          <w:color w:val="000000"/>
        </w:rPr>
        <w:t xml:space="preserve"> &amp; Shah, 2009).</w:t>
      </w:r>
    </w:p>
    <w:p w14:paraId="1562CAB9" w14:textId="77777777" w:rsidR="004C4578" w:rsidRDefault="00000000">
      <w:pPr>
        <w:pStyle w:val="Heading2"/>
      </w:pPr>
      <w:r>
        <w:t>4.4 Program Detail and Coverage Notes</w:t>
      </w:r>
    </w:p>
    <w:p w14:paraId="0A07DBE0" w14:textId="77777777" w:rsidR="004C4578" w:rsidRDefault="00000000">
      <w:pPr>
        <w:spacing w:after="180" w:line="276" w:lineRule="auto"/>
      </w:pPr>
      <w:r>
        <w:rPr>
          <w:color w:val="000000"/>
        </w:rPr>
        <w:t>The Program Detail sheet provides one row per program with agency, program name, TCCY Outcome, TCCY Focus, total expenditure, and all nine category values. Programs are sorted alphabetically by agency and then by program name. The Coverage Notes sheet documents portfolio-level coverage statistics, the complete list of programs without category breakdowns (sorted by total expenditure), and notes on backfill actions.</w:t>
      </w:r>
    </w:p>
    <w:p w14:paraId="6A8ACA7C" w14:textId="77777777" w:rsidR="004C4578" w:rsidRDefault="00000000">
      <w:pPr>
        <w:pStyle w:val="Heading1"/>
      </w:pPr>
      <w:r>
        <w:lastRenderedPageBreak/>
        <w:t>5. Known Limitations and Data Quality Flags</w:t>
      </w:r>
    </w:p>
    <w:p w14:paraId="6986D408" w14:textId="77777777" w:rsidR="004C4578" w:rsidRDefault="00000000">
      <w:pPr>
        <w:pStyle w:val="Heading2"/>
      </w:pPr>
      <w:r>
        <w:t>5.1 Category-Total Discrepancies</w:t>
      </w:r>
    </w:p>
    <w:p w14:paraId="748120B4" w14:textId="77777777" w:rsidR="004C4578" w:rsidRDefault="00000000">
      <w:pPr>
        <w:spacing w:after="180" w:line="276" w:lineRule="auto"/>
      </w:pPr>
      <w:r>
        <w:rPr>
          <w:color w:val="000000"/>
        </w:rPr>
        <w:t>In the current dataset, no programs have category sums exceeding their reported totals by more than 0.1%. Ten Department of Education programs with substantial discrepancies (ratios ranging from 1.8× to 14,461×) were identified and resolved during FY25 data reconciliation. If future data collections surface similar patterns, the script’s alignment logic will use the category sum as the denominator and flag the affected programs.</w:t>
      </w:r>
    </w:p>
    <w:p w14:paraId="18D08584" w14:textId="77777777" w:rsidR="004C4578" w:rsidRDefault="00000000">
      <w:pPr>
        <w:pStyle w:val="Heading2"/>
      </w:pPr>
      <w:r>
        <w:t>5.2 Portfolio Concentration Effects</w:t>
      </w:r>
    </w:p>
    <w:p w14:paraId="129ED0A1" w14:textId="77777777" w:rsidR="004C4578" w:rsidRDefault="00000000">
      <w:pPr>
        <w:spacing w:after="180" w:line="276" w:lineRule="auto"/>
      </w:pPr>
      <w:r>
        <w:rPr>
          <w:color w:val="000000"/>
        </w:rPr>
        <w:t>The portfolio is heavily right-skewed. The top 5 programs (excluding TISA) account for 34.9% of non-TISA expenditure, and TISA alone represents 42.7% of the total portfolio. At the portfolio level, TISA’s classification as 100% “Direct Services” drives the overall 87.5% Direct Services figure. Excluding TISA, Direct Services drops to 74.6% of the remaining portfolio—still the largest category, but substantially less dominant. The FY25 report section excludes TISA from all outcome, focus, and funding source analyses. The Portfolio Overview table provides both TISA-inclusive and TISA-exclusive figures for reference.</w:t>
      </w:r>
    </w:p>
    <w:p w14:paraId="71B66263" w14:textId="77777777" w:rsidR="004C4578" w:rsidRDefault="00000000">
      <w:pPr>
        <w:pStyle w:val="Heading2"/>
      </w:pPr>
      <w:r>
        <w:t>5.3 Single-Category Programs</w:t>
      </w:r>
    </w:p>
    <w:p w14:paraId="7CE96F1D" w14:textId="77777777" w:rsidR="004C4578" w:rsidRDefault="00000000">
      <w:pPr>
        <w:spacing w:after="180" w:line="276" w:lineRule="auto"/>
      </w:pPr>
      <w:r>
        <w:rPr>
          <w:color w:val="000000"/>
        </w:rPr>
        <w:t>Seventy-five programs (31.0% of those with category data) reported expenditures in only one category. While this may accurately reflect certain program structures (e.g., a pure contract-out program reporting 100% to Contract/Third Party), a high prevalence of single-category reporting may also indicate reporter fatigue, lack of cost allocation guidance, or a tendency to classify the entire budget under the largest line item. The most common single-category assignments were Contract/Third Party (36 programs) and Direct Services (29 programs), followed by Payroll/Personnel (8 programs). This pattern is consistent with findings in government cost allocation studies showing that reporters default to the most salient category when detailed breakdowns are burdensome (Grizzle, 1987).</w:t>
      </w:r>
    </w:p>
    <w:p w14:paraId="2258B52E" w14:textId="77777777" w:rsidR="004C4578" w:rsidRDefault="00000000">
      <w:pPr>
        <w:pStyle w:val="Heading2"/>
      </w:pPr>
      <w:r>
        <w:t>5.4 Missing Category Data by Agency</w:t>
      </w:r>
    </w:p>
    <w:p w14:paraId="402B731D" w14:textId="77777777" w:rsidR="004C4578" w:rsidRDefault="00000000">
      <w:pPr>
        <w:spacing w:after="180" w:line="276" w:lineRule="auto"/>
      </w:pPr>
      <w:r>
        <w:rPr>
          <w:color w:val="000000"/>
        </w:rPr>
        <w:t>Fifty-six programs across multiple agencies reported totals but no category breakdown, representing $2.31 billion (15.1% of the portfolio). The reporting gap is concentrated in the Safe outcome domain (where custodial-care programs—including foster care, juvenile justice placement, and child protective services—comprise the majority of uncategorized dollars) and in School Nutrition Programs (where the taxonomy does not map neatly onto the pass-through funding structure). The gap reflects both legitimate differences in agency accounting structures and data collection timing constraints.</w:t>
      </w:r>
    </w:p>
    <w:p w14:paraId="5DEBEB5C" w14:textId="77777777" w:rsidR="004C4578" w:rsidRDefault="00000000">
      <w:pPr>
        <w:pStyle w:val="Heading2"/>
      </w:pPr>
      <w:r>
        <w:t>5.5 Category Definition Ambiguity</w:t>
      </w:r>
    </w:p>
    <w:p w14:paraId="3EB121BB" w14:textId="77777777" w:rsidR="004C4578" w:rsidRDefault="00000000">
      <w:pPr>
        <w:spacing w:after="180" w:line="276" w:lineRule="auto"/>
      </w:pPr>
      <w:r>
        <w:rPr>
          <w:color w:val="000000"/>
        </w:rPr>
        <w:t xml:space="preserve">The nine-category taxonomy is intentionally broad to accommodate diverse program types, but this introduces classification ambiguity. For example, personnel costs for direct-service staff could reasonably be coded to either “Direct Services” or “Payroll/Personnel”; IT systems </w:t>
      </w:r>
      <w:r>
        <w:rPr>
          <w:color w:val="000000"/>
        </w:rPr>
        <w:lastRenderedPageBreak/>
        <w:t>supporting service delivery could fall under “Equipment,” “Admin/Overhead,” or “Evaluation &amp; Quality.” Without inter-rater reliability testing on expenditure category assignments, comparisons across agencies should be interpreted as suggestive rather than definitive. This is a well-documented challenge in functional expenditure classification (Diamond, 2006; IMF, 2014).</w:t>
      </w:r>
    </w:p>
    <w:p w14:paraId="2C67DFB2" w14:textId="77777777" w:rsidR="004C4578" w:rsidRDefault="00000000">
      <w:pPr>
        <w:pStyle w:val="Heading1"/>
      </w:pPr>
      <w:r>
        <w:t>6. Interpretation Guidance</w:t>
      </w:r>
    </w:p>
    <w:p w14:paraId="27FD848F" w14:textId="77777777" w:rsidR="004C4578" w:rsidRDefault="00000000">
      <w:pPr>
        <w:pStyle w:val="ListParagraph"/>
        <w:numPr>
          <w:ilvl w:val="0"/>
          <w:numId w:val="2"/>
        </w:numPr>
        <w:spacing w:after="120" w:line="276" w:lineRule="auto"/>
      </w:pPr>
      <w:r>
        <w:rPr>
          <w:color w:val="000000"/>
        </w:rPr>
        <w:t>Portfolio-level percentages are dominated by TISA. Readers should consult TISA-exclusive analyses for a more representative view of how non-formula programs allocate spending.</w:t>
      </w:r>
    </w:p>
    <w:p w14:paraId="43D33412" w14:textId="77777777" w:rsidR="004C4578" w:rsidRDefault="00000000">
      <w:pPr>
        <w:pStyle w:val="ListParagraph"/>
        <w:numPr>
          <w:ilvl w:val="0"/>
          <w:numId w:val="2"/>
        </w:numPr>
        <w:spacing w:after="120" w:line="276" w:lineRule="auto"/>
      </w:pPr>
      <w:r>
        <w:rPr>
          <w:color w:val="000000"/>
        </w:rPr>
        <w:t>Category percentages within a group reflect dollar-weighted allocation, not average program behavior. A single large program can shift group percentages substantially.</w:t>
      </w:r>
    </w:p>
    <w:p w14:paraId="18817361" w14:textId="77777777" w:rsidR="004C4578" w:rsidRDefault="00000000">
      <w:pPr>
        <w:pStyle w:val="ListParagraph"/>
        <w:numPr>
          <w:ilvl w:val="0"/>
          <w:numId w:val="2"/>
        </w:numPr>
        <w:spacing w:after="120" w:line="276" w:lineRule="auto"/>
      </w:pPr>
      <w:r>
        <w:rPr>
          <w:color w:val="000000"/>
        </w:rPr>
        <w:t>Programs with zero category data are included in the N count and total expenditure for their group but contribute nothing to category dollar amounts or percentages. Because programs without category data are excluded from both numerator and denominator when computing category percentages, the percentages reflect only the subset of programs that reported. The “Categorized” column in each table indicates what share of each group’s total dollars is represented.</w:t>
      </w:r>
    </w:p>
    <w:p w14:paraId="393405BD" w14:textId="77777777" w:rsidR="004C4578" w:rsidRDefault="00000000">
      <w:pPr>
        <w:pStyle w:val="ListParagraph"/>
        <w:numPr>
          <w:ilvl w:val="0"/>
          <w:numId w:val="2"/>
        </w:numPr>
        <w:spacing w:after="120" w:line="276" w:lineRule="auto"/>
      </w:pPr>
      <w:r>
        <w:rPr>
          <w:color w:val="000000"/>
        </w:rPr>
        <w:t>The “Unallocated” column in the workbook shows the dollar gap between total expenditure and categorized expenditure for each group. This differs from the “Categorized” percentage because it includes partial coverage (programs where category data exist but do not sum to the full reported total).</w:t>
      </w:r>
    </w:p>
    <w:p w14:paraId="1BCCF1AA" w14:textId="77777777" w:rsidR="004C4578" w:rsidRDefault="00000000">
      <w:pPr>
        <w:pStyle w:val="ListParagraph"/>
        <w:numPr>
          <w:ilvl w:val="0"/>
          <w:numId w:val="2"/>
        </w:numPr>
        <w:spacing w:after="120" w:line="276" w:lineRule="auto"/>
      </w:pPr>
      <w:r>
        <w:rPr>
          <w:color w:val="000000"/>
        </w:rPr>
        <w:t>Historical note: TDOE programs with category-total discrepancies that inflated category dollar totals were identified and resolved during FY25 data reconciliation (see Appendix B). No such discrepancies exist in the current dataset.</w:t>
      </w:r>
    </w:p>
    <w:p w14:paraId="205FBD9C" w14:textId="77777777" w:rsidR="004C4578" w:rsidRDefault="00000000">
      <w:pPr>
        <w:pStyle w:val="Heading1"/>
      </w:pPr>
      <w:r>
        <w:t>7. Output Specification</w:t>
      </w:r>
    </w:p>
    <w:p w14:paraId="13F9BBA7" w14:textId="77777777" w:rsidR="004C4578" w:rsidRDefault="00000000">
      <w:pPr>
        <w:spacing w:after="180" w:line="276" w:lineRule="auto"/>
      </w:pPr>
      <w:r>
        <w:rPr>
          <w:color w:val="000000"/>
        </w:rPr>
        <w:t>The analysis produces RM_FY25_Expenditure_by_Category.xlsx with six worksheets: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00"/>
        <w:gridCol w:w="7360"/>
      </w:tblGrid>
      <w:tr w:rsidR="004C4578" w14:paraId="422F595D" w14:textId="77777777">
        <w:tc>
          <w:tcPr>
            <w:tcW w:w="2000" w:type="dxa"/>
            <w:tcBorders>
              <w:top w:val="single" w:sz="1" w:space="0" w:color="CCCCCC"/>
              <w:left w:val="single" w:sz="1" w:space="0" w:color="CCCCCC"/>
              <w:bottom w:val="single" w:sz="1" w:space="0" w:color="CCCCCC"/>
              <w:right w:val="single" w:sz="1" w:space="0" w:color="CCCCCC"/>
            </w:tcBorders>
            <w:shd w:val="clear" w:color="auto" w:fill="D5E8F0"/>
            <w:tcMar>
              <w:top w:w="60" w:type="dxa"/>
              <w:left w:w="100" w:type="dxa"/>
              <w:bottom w:w="60" w:type="dxa"/>
              <w:right w:w="100" w:type="dxa"/>
            </w:tcMar>
            <w:vAlign w:val="center"/>
          </w:tcPr>
          <w:p w14:paraId="6EA0AF0F" w14:textId="77777777" w:rsidR="004C4578" w:rsidRDefault="00000000">
            <w:pPr>
              <w:jc w:val="center"/>
            </w:pPr>
            <w:r>
              <w:rPr>
                <w:b/>
                <w:bCs/>
                <w:color w:val="1E4E79"/>
                <w:sz w:val="18"/>
                <w:szCs w:val="18"/>
              </w:rPr>
              <w:t>Sheet</w:t>
            </w:r>
          </w:p>
        </w:tc>
        <w:tc>
          <w:tcPr>
            <w:tcW w:w="7360" w:type="dxa"/>
            <w:tcBorders>
              <w:top w:val="single" w:sz="1" w:space="0" w:color="CCCCCC"/>
              <w:left w:val="single" w:sz="1" w:space="0" w:color="CCCCCC"/>
              <w:bottom w:val="single" w:sz="1" w:space="0" w:color="CCCCCC"/>
              <w:right w:val="single" w:sz="1" w:space="0" w:color="CCCCCC"/>
            </w:tcBorders>
            <w:shd w:val="clear" w:color="auto" w:fill="D5E8F0"/>
            <w:tcMar>
              <w:top w:w="60" w:type="dxa"/>
              <w:left w:w="100" w:type="dxa"/>
              <w:bottom w:w="60" w:type="dxa"/>
              <w:right w:w="100" w:type="dxa"/>
            </w:tcMar>
            <w:vAlign w:val="center"/>
          </w:tcPr>
          <w:p w14:paraId="2568D7E6" w14:textId="77777777" w:rsidR="004C4578" w:rsidRDefault="00000000">
            <w:pPr>
              <w:jc w:val="center"/>
            </w:pPr>
            <w:r>
              <w:rPr>
                <w:b/>
                <w:bCs/>
                <w:color w:val="1E4E79"/>
                <w:sz w:val="18"/>
                <w:szCs w:val="18"/>
              </w:rPr>
              <w:t>Description</w:t>
            </w:r>
          </w:p>
        </w:tc>
      </w:tr>
      <w:tr w:rsidR="004C4578" w14:paraId="7B50AE11" w14:textId="77777777">
        <w:tc>
          <w:tcPr>
            <w:tcW w:w="2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D841137" w14:textId="77777777" w:rsidR="004C4578" w:rsidRDefault="00000000">
            <w:r>
              <w:rPr>
                <w:b/>
                <w:bCs/>
                <w:color w:val="000000"/>
                <w:sz w:val="18"/>
                <w:szCs w:val="18"/>
              </w:rPr>
              <w:t>By Agency</w:t>
            </w:r>
          </w:p>
        </w:tc>
        <w:tc>
          <w:tcPr>
            <w:tcW w:w="73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E9528F2" w14:textId="77777777" w:rsidR="004C4578" w:rsidRDefault="00000000">
            <w:pPr>
              <w:jc w:val="center"/>
            </w:pPr>
            <w:r>
              <w:rPr>
                <w:color w:val="000000"/>
                <w:sz w:val="18"/>
                <w:szCs w:val="18"/>
              </w:rPr>
              <w:t>Summary by state agency: N, total expenditure, dollar amount and percentage for each of nine categories.</w:t>
            </w:r>
          </w:p>
        </w:tc>
      </w:tr>
      <w:tr w:rsidR="004C4578" w14:paraId="586BE6BF" w14:textId="77777777">
        <w:tc>
          <w:tcPr>
            <w:tcW w:w="2000" w:type="dxa"/>
            <w:tcBorders>
              <w:top w:val="single" w:sz="1" w:space="0" w:color="CCCCCC"/>
              <w:left w:val="single" w:sz="1" w:space="0" w:color="CCCCCC"/>
              <w:bottom w:val="single" w:sz="1" w:space="0" w:color="CCCCCC"/>
              <w:right w:val="single" w:sz="1" w:space="0" w:color="CCCCCC"/>
            </w:tcBorders>
            <w:shd w:val="clear" w:color="auto" w:fill="F5FAFB"/>
            <w:tcMar>
              <w:top w:w="60" w:type="dxa"/>
              <w:left w:w="100" w:type="dxa"/>
              <w:bottom w:w="60" w:type="dxa"/>
              <w:right w:w="100" w:type="dxa"/>
            </w:tcMar>
          </w:tcPr>
          <w:p w14:paraId="6132C06E" w14:textId="77777777" w:rsidR="004C4578" w:rsidRDefault="00000000">
            <w:r>
              <w:rPr>
                <w:b/>
                <w:bCs/>
                <w:color w:val="000000"/>
                <w:sz w:val="18"/>
                <w:szCs w:val="18"/>
              </w:rPr>
              <w:t>By Outcome</w:t>
            </w:r>
          </w:p>
        </w:tc>
        <w:tc>
          <w:tcPr>
            <w:tcW w:w="7360" w:type="dxa"/>
            <w:tcBorders>
              <w:top w:val="single" w:sz="1" w:space="0" w:color="CCCCCC"/>
              <w:left w:val="single" w:sz="1" w:space="0" w:color="CCCCCC"/>
              <w:bottom w:val="single" w:sz="1" w:space="0" w:color="CCCCCC"/>
              <w:right w:val="single" w:sz="1" w:space="0" w:color="CCCCCC"/>
            </w:tcBorders>
            <w:shd w:val="clear" w:color="auto" w:fill="F5FAFB"/>
            <w:tcMar>
              <w:top w:w="60" w:type="dxa"/>
              <w:left w:w="100" w:type="dxa"/>
              <w:bottom w:w="60" w:type="dxa"/>
              <w:right w:w="100" w:type="dxa"/>
            </w:tcMar>
          </w:tcPr>
          <w:p w14:paraId="730D1858" w14:textId="77777777" w:rsidR="004C4578" w:rsidRDefault="00000000">
            <w:pPr>
              <w:jc w:val="center"/>
            </w:pPr>
            <w:r>
              <w:rPr>
                <w:color w:val="000000"/>
                <w:sz w:val="18"/>
                <w:szCs w:val="18"/>
              </w:rPr>
              <w:t>Summary by TCCY Outcome domain (Safe, Healthy, Educated, Nurtured and Supported, Engaged).</w:t>
            </w:r>
          </w:p>
        </w:tc>
      </w:tr>
      <w:tr w:rsidR="004C4578" w14:paraId="0B45309C" w14:textId="77777777">
        <w:tc>
          <w:tcPr>
            <w:tcW w:w="2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E80141D" w14:textId="77777777" w:rsidR="004C4578" w:rsidRDefault="00000000">
            <w:r>
              <w:rPr>
                <w:b/>
                <w:bCs/>
                <w:color w:val="000000"/>
                <w:sz w:val="18"/>
                <w:szCs w:val="18"/>
              </w:rPr>
              <w:t>By Focus</w:t>
            </w:r>
          </w:p>
        </w:tc>
        <w:tc>
          <w:tcPr>
            <w:tcW w:w="73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290777F" w14:textId="77777777" w:rsidR="004C4578" w:rsidRDefault="00000000">
            <w:pPr>
              <w:jc w:val="center"/>
            </w:pPr>
            <w:r>
              <w:rPr>
                <w:color w:val="000000"/>
                <w:sz w:val="18"/>
                <w:szCs w:val="18"/>
              </w:rPr>
              <w:t>Summary by TCCY Programmatic Focus (7 categories from Universal Prevention through Intensive Intervention).</w:t>
            </w:r>
          </w:p>
        </w:tc>
      </w:tr>
      <w:tr w:rsidR="004C4578" w14:paraId="075231B0" w14:textId="77777777">
        <w:tc>
          <w:tcPr>
            <w:tcW w:w="2000" w:type="dxa"/>
            <w:tcBorders>
              <w:top w:val="single" w:sz="1" w:space="0" w:color="CCCCCC"/>
              <w:left w:val="single" w:sz="1" w:space="0" w:color="CCCCCC"/>
              <w:bottom w:val="single" w:sz="1" w:space="0" w:color="CCCCCC"/>
              <w:right w:val="single" w:sz="1" w:space="0" w:color="CCCCCC"/>
            </w:tcBorders>
            <w:shd w:val="clear" w:color="auto" w:fill="F5FAFB"/>
            <w:tcMar>
              <w:top w:w="60" w:type="dxa"/>
              <w:left w:w="100" w:type="dxa"/>
              <w:bottom w:w="60" w:type="dxa"/>
              <w:right w:w="100" w:type="dxa"/>
            </w:tcMar>
          </w:tcPr>
          <w:p w14:paraId="7866929B" w14:textId="77777777" w:rsidR="004C4578" w:rsidRDefault="00000000">
            <w:r>
              <w:rPr>
                <w:b/>
                <w:bCs/>
                <w:color w:val="000000"/>
                <w:sz w:val="18"/>
                <w:szCs w:val="18"/>
              </w:rPr>
              <w:t>Overall</w:t>
            </w:r>
          </w:p>
        </w:tc>
        <w:tc>
          <w:tcPr>
            <w:tcW w:w="7360" w:type="dxa"/>
            <w:tcBorders>
              <w:top w:val="single" w:sz="1" w:space="0" w:color="CCCCCC"/>
              <w:left w:val="single" w:sz="1" w:space="0" w:color="CCCCCC"/>
              <w:bottom w:val="single" w:sz="1" w:space="0" w:color="CCCCCC"/>
              <w:right w:val="single" w:sz="1" w:space="0" w:color="CCCCCC"/>
            </w:tcBorders>
            <w:shd w:val="clear" w:color="auto" w:fill="F5FAFB"/>
            <w:tcMar>
              <w:top w:w="60" w:type="dxa"/>
              <w:left w:w="100" w:type="dxa"/>
              <w:bottom w:w="60" w:type="dxa"/>
              <w:right w:w="100" w:type="dxa"/>
            </w:tcMar>
          </w:tcPr>
          <w:p w14:paraId="12133E85" w14:textId="77777777" w:rsidR="004C4578" w:rsidRDefault="00000000">
            <w:pPr>
              <w:jc w:val="center"/>
            </w:pPr>
            <w:r>
              <w:rPr>
                <w:color w:val="000000"/>
                <w:sz w:val="18"/>
                <w:szCs w:val="18"/>
              </w:rPr>
              <w:t>Portfolio-level summary showing TISA-inclusive and TISA-exclusive aggregate category allocation.</w:t>
            </w:r>
          </w:p>
        </w:tc>
      </w:tr>
      <w:tr w:rsidR="004C4578" w14:paraId="2D88F568" w14:textId="77777777">
        <w:tc>
          <w:tcPr>
            <w:tcW w:w="2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748D758" w14:textId="77777777" w:rsidR="004C4578" w:rsidRDefault="00000000">
            <w:r>
              <w:rPr>
                <w:b/>
                <w:bCs/>
                <w:color w:val="000000"/>
                <w:sz w:val="18"/>
                <w:szCs w:val="18"/>
              </w:rPr>
              <w:t>Program Detail</w:t>
            </w:r>
          </w:p>
        </w:tc>
        <w:tc>
          <w:tcPr>
            <w:tcW w:w="73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07A43D4" w14:textId="77777777" w:rsidR="004C4578" w:rsidRDefault="00000000">
            <w:pPr>
              <w:jc w:val="center"/>
            </w:pPr>
            <w:r>
              <w:rPr>
                <w:color w:val="000000"/>
                <w:sz w:val="18"/>
                <w:szCs w:val="18"/>
              </w:rPr>
              <w:t>One row per program with all category values, enabling program-level review and quality checks.</w:t>
            </w:r>
          </w:p>
        </w:tc>
      </w:tr>
      <w:tr w:rsidR="004C4578" w14:paraId="0DA43FBD" w14:textId="77777777">
        <w:tc>
          <w:tcPr>
            <w:tcW w:w="2000" w:type="dxa"/>
            <w:tcBorders>
              <w:top w:val="single" w:sz="1" w:space="0" w:color="CCCCCC"/>
              <w:left w:val="single" w:sz="1" w:space="0" w:color="CCCCCC"/>
              <w:bottom w:val="single" w:sz="1" w:space="0" w:color="CCCCCC"/>
              <w:right w:val="single" w:sz="1" w:space="0" w:color="CCCCCC"/>
            </w:tcBorders>
            <w:shd w:val="clear" w:color="auto" w:fill="F5FAFB"/>
            <w:tcMar>
              <w:top w:w="60" w:type="dxa"/>
              <w:left w:w="100" w:type="dxa"/>
              <w:bottom w:w="60" w:type="dxa"/>
              <w:right w:w="100" w:type="dxa"/>
            </w:tcMar>
          </w:tcPr>
          <w:p w14:paraId="7A3B6501" w14:textId="77777777" w:rsidR="004C4578" w:rsidRDefault="00000000">
            <w:r>
              <w:rPr>
                <w:b/>
                <w:bCs/>
                <w:color w:val="000000"/>
                <w:sz w:val="18"/>
                <w:szCs w:val="18"/>
              </w:rPr>
              <w:t>Coverage Notes</w:t>
            </w:r>
          </w:p>
        </w:tc>
        <w:tc>
          <w:tcPr>
            <w:tcW w:w="7360" w:type="dxa"/>
            <w:tcBorders>
              <w:top w:val="single" w:sz="1" w:space="0" w:color="CCCCCC"/>
              <w:left w:val="single" w:sz="1" w:space="0" w:color="CCCCCC"/>
              <w:bottom w:val="single" w:sz="1" w:space="0" w:color="CCCCCC"/>
              <w:right w:val="single" w:sz="1" w:space="0" w:color="CCCCCC"/>
            </w:tcBorders>
            <w:shd w:val="clear" w:color="auto" w:fill="F5FAFB"/>
            <w:tcMar>
              <w:top w:w="60" w:type="dxa"/>
              <w:left w:w="100" w:type="dxa"/>
              <w:bottom w:w="60" w:type="dxa"/>
              <w:right w:w="100" w:type="dxa"/>
            </w:tcMar>
          </w:tcPr>
          <w:p w14:paraId="539EC97A" w14:textId="77777777" w:rsidR="004C4578" w:rsidRDefault="00000000">
            <w:pPr>
              <w:jc w:val="center"/>
            </w:pPr>
            <w:r>
              <w:rPr>
                <w:color w:val="000000"/>
                <w:sz w:val="18"/>
                <w:szCs w:val="18"/>
              </w:rPr>
              <w:t>Data quality audit: inclusion/exclusion counts, backfill summary, and list of programs without category data.</w:t>
            </w:r>
          </w:p>
        </w:tc>
      </w:tr>
    </w:tbl>
    <w:p w14:paraId="712DF725" w14:textId="77777777" w:rsidR="004C4578" w:rsidRDefault="00000000">
      <w:pPr>
        <w:pStyle w:val="Heading1"/>
      </w:pPr>
      <w:r>
        <w:lastRenderedPageBreak/>
        <w:t>8. Reproducibility and Version Control</w:t>
      </w:r>
    </w:p>
    <w:p w14:paraId="0B6F3D35" w14:textId="77777777" w:rsidR="004C4578" w:rsidRDefault="00000000">
      <w:pPr>
        <w:pStyle w:val="ListParagraph"/>
        <w:numPr>
          <w:ilvl w:val="0"/>
          <w:numId w:val="2"/>
        </w:numPr>
        <w:spacing w:after="120" w:line="276" w:lineRule="auto"/>
      </w:pPr>
      <w:r>
        <w:rPr>
          <w:b/>
          <w:bCs/>
          <w:color w:val="000000"/>
        </w:rPr>
        <w:t xml:space="preserve">Scripts: </w:t>
      </w:r>
      <w:r>
        <w:rPr>
          <w:color w:val="000000"/>
        </w:rPr>
        <w:t>build_expenditure_by_category.py (main workbook), build_exp_category_enhanced.py (statistical companion), build_exp_category_charts.py (chart generation)</w:t>
      </w:r>
    </w:p>
    <w:p w14:paraId="458BC9FC" w14:textId="77777777" w:rsidR="004C4578" w:rsidRDefault="00000000">
      <w:pPr>
        <w:pStyle w:val="ListParagraph"/>
        <w:numPr>
          <w:ilvl w:val="0"/>
          <w:numId w:val="2"/>
        </w:numPr>
        <w:spacing w:after="120" w:line="276" w:lineRule="auto"/>
      </w:pPr>
      <w:r>
        <w:rPr>
          <w:b/>
          <w:bCs/>
          <w:color w:val="000000"/>
        </w:rPr>
        <w:t xml:space="preserve">Input: </w:t>
      </w:r>
      <w:r>
        <w:rPr>
          <w:color w:val="000000"/>
        </w:rPr>
        <w:t>FY25_rebuilt2.xlsx (product of build_and_clean_fy25.py)</w:t>
      </w:r>
    </w:p>
    <w:p w14:paraId="1ED09713" w14:textId="77777777" w:rsidR="004C4578" w:rsidRDefault="00000000">
      <w:pPr>
        <w:pStyle w:val="ListParagraph"/>
        <w:numPr>
          <w:ilvl w:val="0"/>
          <w:numId w:val="2"/>
        </w:numPr>
        <w:spacing w:after="120" w:line="276" w:lineRule="auto"/>
      </w:pPr>
      <w:r>
        <w:rPr>
          <w:b/>
          <w:bCs/>
          <w:color w:val="000000"/>
        </w:rPr>
        <w:t xml:space="preserve">Output: </w:t>
      </w:r>
      <w:r>
        <w:rPr>
          <w:color w:val="000000"/>
        </w:rPr>
        <w:t>RM_FY25_Expenditure_by_Category.xlsx, RM_FY25_Expenditure_by_Category_Enhanced.xlsx, exp_category_comparison.png, exp_by_outcome.png, exp_by_focus.png</w:t>
      </w:r>
    </w:p>
    <w:p w14:paraId="4340752A" w14:textId="77777777" w:rsidR="004C4578" w:rsidRDefault="00000000">
      <w:pPr>
        <w:pStyle w:val="ListParagraph"/>
        <w:numPr>
          <w:ilvl w:val="0"/>
          <w:numId w:val="2"/>
        </w:numPr>
        <w:spacing w:after="120" w:line="276" w:lineRule="auto"/>
      </w:pPr>
      <w:r>
        <w:rPr>
          <w:b/>
          <w:bCs/>
          <w:color w:val="000000"/>
        </w:rPr>
        <w:t xml:space="preserve">Dependencies: </w:t>
      </w:r>
      <w:r>
        <w:rPr>
          <w:color w:val="000000"/>
        </w:rPr>
        <w:t xml:space="preserve">pandas, </w:t>
      </w:r>
      <w:proofErr w:type="spellStart"/>
      <w:r>
        <w:rPr>
          <w:color w:val="000000"/>
        </w:rPr>
        <w:t>numpy</w:t>
      </w:r>
      <w:proofErr w:type="spellEnd"/>
      <w:r>
        <w:rPr>
          <w:color w:val="000000"/>
        </w:rPr>
        <w:t xml:space="preserve">, </w:t>
      </w:r>
      <w:proofErr w:type="spellStart"/>
      <w:r>
        <w:rPr>
          <w:color w:val="000000"/>
        </w:rPr>
        <w:t>openpyxl</w:t>
      </w:r>
      <w:proofErr w:type="spellEnd"/>
      <w:r>
        <w:rPr>
          <w:color w:val="000000"/>
        </w:rPr>
        <w:t>, matplotlib</w:t>
      </w:r>
    </w:p>
    <w:p w14:paraId="1ADBAE1E" w14:textId="77777777" w:rsidR="004C4578" w:rsidRDefault="00000000">
      <w:pPr>
        <w:pStyle w:val="ListParagraph"/>
        <w:numPr>
          <w:ilvl w:val="0"/>
          <w:numId w:val="2"/>
        </w:numPr>
        <w:spacing w:after="120" w:line="276" w:lineRule="auto"/>
      </w:pPr>
      <w:r>
        <w:rPr>
          <w:b/>
          <w:bCs/>
          <w:color w:val="000000"/>
        </w:rPr>
        <w:t xml:space="preserve">Environment: </w:t>
      </w:r>
      <w:r>
        <w:rPr>
          <w:color w:val="000000"/>
        </w:rPr>
        <w:t>Python 3.10+</w:t>
      </w:r>
    </w:p>
    <w:p w14:paraId="78B370EA" w14:textId="77777777" w:rsidR="004C4578" w:rsidRDefault="00000000">
      <w:pPr>
        <w:spacing w:after="180" w:line="276" w:lineRule="auto"/>
      </w:pPr>
      <w:r>
        <w:rPr>
          <w:color w:val="000000"/>
        </w:rPr>
        <w:t>The scripts are deterministic given a fixed input file. The enhanced analysis uses a fixed random seed (seed=42) for all stochastic procedures. All cleaning rules, backfill logic, and aggregation methods are encoded in the scripts and documented in this methodology. No manual adjustments are applied to the output.</w:t>
      </w:r>
    </w:p>
    <w:p w14:paraId="16FFADCE" w14:textId="77777777" w:rsidR="004C4578" w:rsidRDefault="00000000">
      <w:pPr>
        <w:pStyle w:val="Heading1"/>
      </w:pPr>
      <w:r>
        <w:t>9. Recommended Improvements for FY26</w:t>
      </w:r>
    </w:p>
    <w:p w14:paraId="69BB87C8" w14:textId="77777777" w:rsidR="004C4578" w:rsidRDefault="00000000">
      <w:pPr>
        <w:pStyle w:val="ListParagraph"/>
        <w:numPr>
          <w:ilvl w:val="0"/>
          <w:numId w:val="2"/>
        </w:numPr>
        <w:spacing w:after="120" w:line="276" w:lineRule="auto"/>
      </w:pPr>
      <w:r>
        <w:rPr>
          <w:b/>
          <w:bCs/>
          <w:color w:val="000000"/>
        </w:rPr>
        <w:t xml:space="preserve">Improve category coverage: </w:t>
      </w:r>
      <w:r>
        <w:rPr>
          <w:color w:val="000000"/>
        </w:rPr>
        <w:t>Work with all agencies whose programs lack category data to develop crosswalks from internal cost allocations to the nine-category taxonomy. Priority: custodial-care programs in the Safe domain.</w:t>
      </w:r>
    </w:p>
    <w:p w14:paraId="5A54FC97" w14:textId="77777777" w:rsidR="004C4578" w:rsidRDefault="00000000">
      <w:pPr>
        <w:pStyle w:val="ListParagraph"/>
        <w:numPr>
          <w:ilvl w:val="0"/>
          <w:numId w:val="2"/>
        </w:numPr>
        <w:spacing w:after="120" w:line="276" w:lineRule="auto"/>
      </w:pPr>
      <w:r>
        <w:rPr>
          <w:b/>
          <w:bCs/>
          <w:color w:val="000000"/>
        </w:rPr>
        <w:t xml:space="preserve">Validate category-total consistency: </w:t>
      </w:r>
      <w:r>
        <w:rPr>
          <w:color w:val="000000"/>
        </w:rPr>
        <w:t>Add a pipeline check that flags any program where the absolute difference between category sum and reported total exceeds a threshold (e.g., 5% or $10,000).</w:t>
      </w:r>
    </w:p>
    <w:p w14:paraId="096B0D24" w14:textId="77777777" w:rsidR="004C4578" w:rsidRDefault="00000000">
      <w:pPr>
        <w:pStyle w:val="ListParagraph"/>
        <w:numPr>
          <w:ilvl w:val="0"/>
          <w:numId w:val="2"/>
        </w:numPr>
        <w:spacing w:after="120" w:line="276" w:lineRule="auto"/>
      </w:pPr>
      <w:r>
        <w:rPr>
          <w:b/>
          <w:bCs/>
          <w:color w:val="000000"/>
        </w:rPr>
        <w:t xml:space="preserve">Produce TISA-exclusive summary views: </w:t>
      </w:r>
      <w:r>
        <w:rPr>
          <w:color w:val="000000"/>
        </w:rPr>
        <w:t>Add an optional “Excluding TISA” row to all summary tabs to provide a more interpretable view of non-formula spending.</w:t>
      </w:r>
    </w:p>
    <w:p w14:paraId="6AE3E136" w14:textId="77777777" w:rsidR="004C4578" w:rsidRDefault="00000000">
      <w:pPr>
        <w:pStyle w:val="ListParagraph"/>
        <w:numPr>
          <w:ilvl w:val="0"/>
          <w:numId w:val="2"/>
        </w:numPr>
        <w:spacing w:after="120" w:line="276" w:lineRule="auto"/>
      </w:pPr>
      <w:r>
        <w:rPr>
          <w:b/>
          <w:bCs/>
          <w:color w:val="000000"/>
        </w:rPr>
        <w:t xml:space="preserve">Add Herfindahl-Hirschman Index (HHI) for concentration: </w:t>
      </w:r>
      <w:r>
        <w:rPr>
          <w:color w:val="000000"/>
        </w:rPr>
        <w:t>Compute a category concentration metric per program to distinguish genuinely single-purpose programs from those with likely underreporting (Hirschman, 1964).</w:t>
      </w:r>
    </w:p>
    <w:p w14:paraId="4343CB3B" w14:textId="77777777" w:rsidR="004C4578" w:rsidRDefault="00000000">
      <w:pPr>
        <w:pStyle w:val="ListParagraph"/>
        <w:numPr>
          <w:ilvl w:val="0"/>
          <w:numId w:val="2"/>
        </w:numPr>
        <w:spacing w:after="120" w:line="276" w:lineRule="auto"/>
      </w:pPr>
      <w:r>
        <w:rPr>
          <w:b/>
          <w:bCs/>
          <w:color w:val="000000"/>
        </w:rPr>
        <w:t xml:space="preserve">Develop category coding guidance: </w:t>
      </w:r>
      <w:r>
        <w:rPr>
          <w:color w:val="000000"/>
        </w:rPr>
        <w:t>Provide agencies with a decision tree and worked examples distinguishing “Direct Services” from “Payroll/Personnel” for direct-service staff, and similar boundary cases.</w:t>
      </w:r>
    </w:p>
    <w:p w14:paraId="1AD85E98" w14:textId="77777777" w:rsidR="004C4578" w:rsidRDefault="00000000">
      <w:pPr>
        <w:pStyle w:val="ListParagraph"/>
        <w:numPr>
          <w:ilvl w:val="0"/>
          <w:numId w:val="2"/>
        </w:numPr>
        <w:spacing w:after="120" w:line="276" w:lineRule="auto"/>
      </w:pPr>
      <w:r>
        <w:rPr>
          <w:b/>
          <w:bCs/>
          <w:color w:val="000000"/>
        </w:rPr>
        <w:t xml:space="preserve">Add temporal trend analysis: </w:t>
      </w:r>
      <w:r>
        <w:rPr>
          <w:color w:val="000000"/>
        </w:rPr>
        <w:t>Once FY26 data are available with improved consistency, produce year-over-year category share comparisons to identify shifts in investment patterns.</w:t>
      </w:r>
    </w:p>
    <w:p w14:paraId="79B19D9F" w14:textId="77777777" w:rsidR="004C4578" w:rsidRDefault="00000000">
      <w:pPr>
        <w:pStyle w:val="ListParagraph"/>
        <w:numPr>
          <w:ilvl w:val="0"/>
          <w:numId w:val="2"/>
        </w:numPr>
        <w:spacing w:after="120" w:line="276" w:lineRule="auto"/>
      </w:pPr>
      <w:r>
        <w:rPr>
          <w:b/>
          <w:bCs/>
          <w:color w:val="000000"/>
        </w:rPr>
        <w:t xml:space="preserve">Inter-rater reliability assessment: </w:t>
      </w:r>
      <w:r>
        <w:rPr>
          <w:color w:val="000000"/>
        </w:rPr>
        <w:t>Conduct a pilot study having multiple raters classify a sample of programs to quantify classification agreement and identify the most ambiguous category boundaries.</w:t>
      </w:r>
    </w:p>
    <w:p w14:paraId="2DF8C3A4" w14:textId="77777777" w:rsidR="004C4578" w:rsidRDefault="00000000">
      <w:r>
        <w:br w:type="page"/>
      </w:r>
    </w:p>
    <w:p w14:paraId="3B762D31" w14:textId="77777777" w:rsidR="004C4578" w:rsidRDefault="00000000">
      <w:pPr>
        <w:pStyle w:val="Heading1"/>
      </w:pPr>
      <w:r>
        <w:lastRenderedPageBreak/>
        <w:t>10. Enhanced Statistical Analysis</w:t>
      </w:r>
    </w:p>
    <w:p w14:paraId="3FB076A2" w14:textId="77777777" w:rsidR="004C4578" w:rsidRDefault="00000000">
      <w:pPr>
        <w:spacing w:after="180" w:line="276" w:lineRule="auto"/>
      </w:pPr>
      <w:r>
        <w:rPr>
          <w:color w:val="000000"/>
        </w:rPr>
        <w:t>A companion workbook (RM_FY25_Expenditure_by_Category_Enhanced.xlsx) provides eight sheets of statistical analyses that quantify the uncertainty and robustness of the category composition estimates. TISA is excluded from all enhanced analyses.</w:t>
      </w:r>
    </w:p>
    <w:p w14:paraId="6FC409C7" w14:textId="77777777" w:rsidR="004C4578" w:rsidRDefault="00000000">
      <w:pPr>
        <w:pStyle w:val="Heading2"/>
      </w:pPr>
      <w:r>
        <w:t>10.1 Percentile Bootstrap Confidence Intervals</w:t>
      </w:r>
    </w:p>
    <w:p w14:paraId="4EB80AD5" w14:textId="77777777" w:rsidR="004C4578" w:rsidRDefault="00000000">
      <w:pPr>
        <w:spacing w:after="180" w:line="276" w:lineRule="auto"/>
      </w:pPr>
      <w:r>
        <w:rPr>
          <w:color w:val="000000"/>
        </w:rPr>
        <w:t xml:space="preserve">Equal-probability program-level resampling with dollar-weighted aggregation (10,000 iterations, seed=42). Each iteration draws N programs with replacement from the pool of categorized programs, computes category dollar sums, and derives portfolio shares. The 2.5th and 97.5th percentiles of the bootstrap distribution form the 95% confidence interval for each category share. This approach follows the percentile bootstrap method described by Efron and </w:t>
      </w:r>
      <w:proofErr w:type="spellStart"/>
      <w:r>
        <w:rPr>
          <w:color w:val="000000"/>
        </w:rPr>
        <w:t>Tibshirani</w:t>
      </w:r>
      <w:proofErr w:type="spellEnd"/>
      <w:r>
        <w:rPr>
          <w:color w:val="000000"/>
        </w:rPr>
        <w:t xml:space="preserve"> (1993), which provides distribution-free inference without parametric assumptions about the underlying data-generating process. The dollar-weighted aggregation ensures that bootstrap shares reflect portfolio composition rather than average program behavior.</w:t>
      </w:r>
    </w:p>
    <w:p w14:paraId="05846AD2" w14:textId="77777777" w:rsidR="004C4578" w:rsidRDefault="00000000">
      <w:pPr>
        <w:spacing w:after="180" w:line="276" w:lineRule="auto"/>
      </w:pPr>
      <w:r>
        <w:rPr>
          <w:color w:val="000000"/>
        </w:rPr>
        <w:t>Bootstrap CIs are computed at the portfolio level and separately for each TCCY Outcome domain (Educated, Healthy, Nurtured and Supported, Safe). The Engaged domain is excluded due to insufficient sample size (5 programs with category data).</w:t>
      </w:r>
    </w:p>
    <w:p w14:paraId="44029ACF" w14:textId="77777777" w:rsidR="004C4578" w:rsidRDefault="00000000">
      <w:pPr>
        <w:pStyle w:val="Heading2"/>
      </w:pPr>
      <w:r>
        <w:t>10.2 Agency Cluster Bootstrap</w:t>
      </w:r>
    </w:p>
    <w:p w14:paraId="32F9CA98" w14:textId="77777777" w:rsidR="004C4578" w:rsidRDefault="00000000">
      <w:pPr>
        <w:spacing w:after="180" w:line="276" w:lineRule="auto"/>
      </w:pPr>
      <w:r>
        <w:rPr>
          <w:color w:val="000000"/>
        </w:rPr>
        <w:t xml:space="preserve">Standard program-level bootstrap treats programs as independent draws, which understates uncertainty when programs within the same agency share classification conventions. The cluster bootstrap addresses this by resampling agencies (not programs) with replacement—when an agency is drawn, all of its programs enter the bootstrap sample. This captures within-agency classification correlation and produces wider, more conservative confidence intervals. The approach follows Cameron, </w:t>
      </w:r>
      <w:proofErr w:type="spellStart"/>
      <w:r>
        <w:rPr>
          <w:color w:val="000000"/>
        </w:rPr>
        <w:t>Gelbach</w:t>
      </w:r>
      <w:proofErr w:type="spellEnd"/>
      <w:r>
        <w:rPr>
          <w:color w:val="000000"/>
        </w:rPr>
        <w:t>, and Miller (2008), who demonstrate that cluster-robust inference is necessary when the unit of observation (program) is nested within a clustering unit (agency) that may introduce correlated measurement. In this analysis, classification correlation is expected because category assignments within an agency reflect a single team’s interpretation of the taxonomy.</w:t>
      </w:r>
    </w:p>
    <w:p w14:paraId="33DE096E" w14:textId="77777777" w:rsidR="004C4578" w:rsidRDefault="00000000">
      <w:pPr>
        <w:pStyle w:val="Heading2"/>
      </w:pPr>
      <w:r>
        <w:t>10.3 Influence Diagnostics</w:t>
      </w:r>
    </w:p>
    <w:p w14:paraId="681C7D20" w14:textId="77777777" w:rsidR="004C4578" w:rsidRDefault="00000000">
      <w:pPr>
        <w:spacing w:after="180" w:line="276" w:lineRule="auto"/>
      </w:pPr>
      <w:r>
        <w:rPr>
          <w:color w:val="000000"/>
        </w:rPr>
        <w:t>Leave-one-out analysis identifies programs whose inclusion most affects portfolio composition. For each of the 241 categorized programs (excluding TISA), the analysis removes one program, recomputes portfolio shares, and records the maximum absolute change across all nine categories (“Max Cat Shift”) and the change in Direct Services specifically (“DS Shift”). The top 15 most influential programs are reported. This approach is an adaptation of Cook’s (1977) influence diagnostics to the portfolio-share context, where the goal is not regression coefficient stability but compositional stability. The top influencer in FY25 was ESSA Title I ($295M), whose removal shifted portfolio composition by 3.7 percentage points.</w:t>
      </w:r>
    </w:p>
    <w:p w14:paraId="27F92F5C" w14:textId="77777777" w:rsidR="004C4578" w:rsidRDefault="00000000">
      <w:pPr>
        <w:pStyle w:val="Heading2"/>
      </w:pPr>
      <w:r>
        <w:t>10.4 Sensitivity Analysis</w:t>
      </w:r>
    </w:p>
    <w:p w14:paraId="1D9AA421" w14:textId="77777777" w:rsidR="004C4578" w:rsidRDefault="00000000">
      <w:pPr>
        <w:spacing w:after="180" w:line="276" w:lineRule="auto"/>
      </w:pPr>
      <w:r>
        <w:rPr>
          <w:color w:val="000000"/>
        </w:rPr>
        <w:lastRenderedPageBreak/>
        <w:t>Because 56 programs ($2.31 billion) did not provide category breakdowns, the sensitivity analysis asks: how would portfolio-level findings change if those programs had reported? Two complementary approaches are used.</w:t>
      </w:r>
    </w:p>
    <w:p w14:paraId="5097594F" w14:textId="77777777" w:rsidR="004C4578" w:rsidRDefault="00000000">
      <w:pPr>
        <w:spacing w:after="180" w:line="276" w:lineRule="auto"/>
      </w:pPr>
      <w:r>
        <w:rPr>
          <w:b/>
          <w:bCs/>
          <w:color w:val="000000"/>
        </w:rPr>
        <w:t xml:space="preserve">Monte Carlo imputation (PERT): </w:t>
      </w:r>
      <w:r>
        <w:rPr>
          <w:color w:val="000000"/>
        </w:rPr>
        <w:t>For each uncategorized program, a plausible category composition is drawn from a PERT distribution parameterized by the dollar-weighted 5th, 50th, and 95th percentiles of categorized programs in the same TCCY Outcome domain. The PERT distribution (with shape parameter λ=4) is preferred over the triangular distribution because it concentrates probability around the mode while maintaining bounded support, producing more realistic simulations for skewed fiscal data (</w:t>
      </w:r>
      <w:proofErr w:type="spellStart"/>
      <w:r>
        <w:rPr>
          <w:color w:val="000000"/>
        </w:rPr>
        <w:t>Vose</w:t>
      </w:r>
      <w:proofErr w:type="spellEnd"/>
      <w:r>
        <w:rPr>
          <w:color w:val="000000"/>
        </w:rPr>
        <w:t>, 2008; Malcolm et al., 1959). The imputed categories are scaled to the program’s reported total, combined with known data, and portfolio shares are recomputed. This process is repeated 10,000 times to produce a distribution of plausible portfolio compositions. Result: Direct Services shifted from 74.6% to 69.4% (imputed mean), with a 90% plausible range of 67.1%–72.1%.</w:t>
      </w:r>
    </w:p>
    <w:p w14:paraId="594A04F0" w14:textId="77777777" w:rsidR="004C4578" w:rsidRDefault="00000000">
      <w:pPr>
        <w:spacing w:after="180" w:line="276" w:lineRule="auto"/>
      </w:pPr>
      <w:r>
        <w:rPr>
          <w:b/>
          <w:bCs/>
          <w:color w:val="000000"/>
        </w:rPr>
        <w:t xml:space="preserve">Scenario bounds: </w:t>
      </w:r>
      <w:r>
        <w:rPr>
          <w:color w:val="000000"/>
        </w:rPr>
        <w:t>Four extreme-case scenarios test the full range of what uncategorized dollars might represent, without distributional assumptions:</w:t>
      </w:r>
    </w:p>
    <w:p w14:paraId="07AC51D8" w14:textId="77777777" w:rsidR="004C4578" w:rsidRDefault="00000000">
      <w:pPr>
        <w:pStyle w:val="ListParagraph"/>
        <w:numPr>
          <w:ilvl w:val="0"/>
          <w:numId w:val="2"/>
        </w:numPr>
        <w:spacing w:after="120" w:line="276" w:lineRule="auto"/>
      </w:pPr>
      <w:r>
        <w:rPr>
          <w:b/>
          <w:bCs/>
          <w:color w:val="000000"/>
        </w:rPr>
        <w:t xml:space="preserve">100% Direct Services: </w:t>
      </w:r>
      <w:r>
        <w:rPr>
          <w:color w:val="000000"/>
        </w:rPr>
        <w:t>All uncategorized dollars are Direct Services (upper bound: 81%).</w:t>
      </w:r>
    </w:p>
    <w:p w14:paraId="78CC7919" w14:textId="77777777" w:rsidR="004C4578" w:rsidRDefault="00000000">
      <w:pPr>
        <w:pStyle w:val="ListParagraph"/>
        <w:numPr>
          <w:ilvl w:val="0"/>
          <w:numId w:val="2"/>
        </w:numPr>
        <w:spacing w:after="120" w:line="276" w:lineRule="auto"/>
      </w:pPr>
      <w:r>
        <w:rPr>
          <w:b/>
          <w:bCs/>
          <w:color w:val="000000"/>
        </w:rPr>
        <w:t xml:space="preserve">Portfolio Mean: </w:t>
      </w:r>
      <w:r>
        <w:rPr>
          <w:color w:val="000000"/>
        </w:rPr>
        <w:t>Uncategorized programs match the existing portfolio distribution (no change: 75%).</w:t>
      </w:r>
    </w:p>
    <w:p w14:paraId="574EA5AC" w14:textId="77777777" w:rsidR="004C4578" w:rsidRDefault="00000000">
      <w:pPr>
        <w:pStyle w:val="ListParagraph"/>
        <w:numPr>
          <w:ilvl w:val="0"/>
          <w:numId w:val="2"/>
        </w:numPr>
        <w:spacing w:after="120" w:line="276" w:lineRule="auto"/>
      </w:pPr>
      <w:r>
        <w:rPr>
          <w:b/>
          <w:bCs/>
          <w:color w:val="000000"/>
        </w:rPr>
        <w:t xml:space="preserve">Custodial Care Prior: </w:t>
      </w:r>
      <w:r>
        <w:rPr>
          <w:color w:val="000000"/>
        </w:rPr>
        <w:t xml:space="preserve">Uncategorized programs reflect a structural prior for custodial-care programs: 60% Payroll/Personnel, 25% Direct Services, 10% Admin/Overhead, 5% Contract/Third Party. This prior is based on the cost structure of residential and foster care programs in states that report detailed functional expenditures (Courtney &amp; </w:t>
      </w:r>
      <w:proofErr w:type="spellStart"/>
      <w:r>
        <w:rPr>
          <w:color w:val="000000"/>
        </w:rPr>
        <w:t>Dworsky</w:t>
      </w:r>
      <w:proofErr w:type="spellEnd"/>
      <w:r>
        <w:rPr>
          <w:color w:val="000000"/>
        </w:rPr>
        <w:t>, 2006; Zill &amp; Bramlett, 2014). Lower bound: 61%.</w:t>
      </w:r>
    </w:p>
    <w:p w14:paraId="7F369F68" w14:textId="77777777" w:rsidR="004C4578" w:rsidRDefault="00000000">
      <w:pPr>
        <w:pStyle w:val="ListParagraph"/>
        <w:numPr>
          <w:ilvl w:val="0"/>
          <w:numId w:val="2"/>
        </w:numPr>
        <w:spacing w:after="120" w:line="276" w:lineRule="auto"/>
      </w:pPr>
      <w:r>
        <w:rPr>
          <w:b/>
          <w:bCs/>
          <w:color w:val="000000"/>
        </w:rPr>
        <w:t xml:space="preserve">100% Contract: </w:t>
      </w:r>
      <w:r>
        <w:rPr>
          <w:color w:val="000000"/>
        </w:rPr>
        <w:t>All uncategorized dollars are Contract/Third Party (extreme lower bound for DS: 55%).</w:t>
      </w:r>
    </w:p>
    <w:p w14:paraId="6D8E5682" w14:textId="77777777" w:rsidR="004C4578" w:rsidRDefault="00000000">
      <w:pPr>
        <w:spacing w:after="180" w:line="276" w:lineRule="auto"/>
      </w:pPr>
      <w:r>
        <w:rPr>
          <w:color w:val="000000"/>
        </w:rPr>
        <w:t>Across all scenarios, Direct Services remained the largest category, confirming that the core finding—the majority of Tennessee’s non-formula children’s spending goes to Direct Services—is robust to the reporting gap.</w:t>
      </w:r>
    </w:p>
    <w:p w14:paraId="0899B1A4" w14:textId="77777777" w:rsidR="004C4578" w:rsidRDefault="00000000">
      <w:pPr>
        <w:pStyle w:val="Heading2"/>
      </w:pPr>
      <w:r>
        <w:t>10.5 Funding Source View</w:t>
      </w:r>
    </w:p>
    <w:p w14:paraId="0B409029" w14:textId="77777777" w:rsidR="004C4578" w:rsidRDefault="00000000">
      <w:pPr>
        <w:spacing w:after="180" w:line="276" w:lineRule="auto"/>
      </w:pPr>
      <w:r>
        <w:rPr>
          <w:color w:val="000000"/>
        </w:rPr>
        <w:t>Category composition by state versus federal funding, presented in five views. The “All Sources” row shows the full TISA-excluded portfolio. “State-Weighted” and “Federal-Weighted” views assume within-program fungibility (each program’s category mix is applied proportionally to its state and federal funding shares). “State &gt;80%” and “Federal &gt;80%” restrict to predominantly single-source programs for direct (unweighted) composition. A “Mixed (40–65% State)” view captures programs with genuinely blended funding. Key findings: programs predominantly state-funded (&gt;80%) showed 12.3% Direct Services and 46.6% Contract/Third Party; federally-funded programs (&gt;80%) showed 69.2% Direct Services. Mixed-funding programs (40–65% state) resembled the state-dominant pattern: 16.8% Direct Services and 51.3% Contract/Third Party.</w:t>
      </w:r>
    </w:p>
    <w:p w14:paraId="46E7357C" w14:textId="77777777" w:rsidR="004C4578" w:rsidRDefault="00000000">
      <w:pPr>
        <w:pStyle w:val="Heading2"/>
      </w:pPr>
      <w:r>
        <w:lastRenderedPageBreak/>
        <w:t>10.6 Source × Outcome and Source × Focus Cross-Tabulations</w:t>
      </w:r>
    </w:p>
    <w:p w14:paraId="2EFB9F8E" w14:textId="77777777" w:rsidR="004C4578" w:rsidRDefault="00000000">
      <w:pPr>
        <w:spacing w:after="180" w:line="276" w:lineRule="auto"/>
      </w:pPr>
      <w:r>
        <w:rPr>
          <w:color w:val="000000"/>
        </w:rPr>
        <w:t xml:space="preserve">Cross-tabulations of funding source (&gt;80% single-source) by TCCY Outcome and TCCY Programmatic Focus, showing category composition within each domain-by-source cell. Groups with fewer than 3 programs in a source category are omitted to avoid unreliable estimates. These cross-tabs enable readers to distinguish, for example, whether the high Direct Services share in the Healthy domain is driven by state or federal programs (answer: predominantly federal, via </w:t>
      </w:r>
      <w:proofErr w:type="spellStart"/>
      <w:r>
        <w:rPr>
          <w:color w:val="000000"/>
        </w:rPr>
        <w:t>TennCare</w:t>
      </w:r>
      <w:proofErr w:type="spellEnd"/>
      <w:r>
        <w:rPr>
          <w:color w:val="000000"/>
        </w:rPr>
        <w:t xml:space="preserve"> and SNAP).</w:t>
      </w:r>
    </w:p>
    <w:p w14:paraId="0624C555" w14:textId="77777777" w:rsidR="004C4578" w:rsidRDefault="00000000">
      <w:pPr>
        <w:pStyle w:val="Heading2"/>
      </w:pPr>
      <w:r>
        <w:t>10.7 Convergence Diagnostics</w:t>
      </w:r>
    </w:p>
    <w:p w14:paraId="4BB310F0" w14:textId="77777777" w:rsidR="004C4578" w:rsidRDefault="00000000">
      <w:pPr>
        <w:spacing w:after="180" w:line="276" w:lineRule="auto"/>
      </w:pPr>
      <w:r>
        <w:rPr>
          <w:color w:val="000000"/>
        </w:rPr>
        <w:t xml:space="preserve">The convergence sheet reports bootstrap running means at 500, 1,000, 2,000, 5,000, and 10,000 iterations. The delta between the 5,000- and 10,000-iteration estimates is less than 0.1 percentage points for all categories, confirming that 10,000 iterations provide stable estimates. This threshold follows recommendations in </w:t>
      </w:r>
      <w:proofErr w:type="spellStart"/>
      <w:r>
        <w:rPr>
          <w:color w:val="000000"/>
        </w:rPr>
        <w:t>Hesterberg</w:t>
      </w:r>
      <w:proofErr w:type="spellEnd"/>
      <w:r>
        <w:rPr>
          <w:color w:val="000000"/>
        </w:rPr>
        <w:t xml:space="preserve"> (2015) for bootstrap sample size adequacy in applied statistics.</w:t>
      </w:r>
    </w:p>
    <w:p w14:paraId="2F9DB6D5" w14:textId="77777777" w:rsidR="004C4578" w:rsidRDefault="00000000">
      <w:r>
        <w:br w:type="page"/>
      </w:r>
    </w:p>
    <w:p w14:paraId="507BD595" w14:textId="77777777" w:rsidR="004C4578" w:rsidRDefault="00000000">
      <w:pPr>
        <w:pStyle w:val="Heading1"/>
      </w:pPr>
      <w:r>
        <w:lastRenderedPageBreak/>
        <w:t>Appendix A: Technical Notes on Percentage Computation</w:t>
      </w:r>
    </w:p>
    <w:p w14:paraId="39BD848E" w14:textId="77777777" w:rsidR="004C4578" w:rsidRDefault="00000000">
      <w:pPr>
        <w:spacing w:after="180" w:line="276" w:lineRule="auto"/>
      </w:pPr>
      <w:r>
        <w:rPr>
          <w:color w:val="000000"/>
        </w:rPr>
        <w:t>Category percentages are computed as:</w:t>
      </w:r>
    </w:p>
    <w:p w14:paraId="369303BE" w14:textId="77777777" w:rsidR="004C4578" w:rsidRDefault="00000000">
      <w:pPr>
        <w:spacing w:after="200" w:line="276" w:lineRule="auto"/>
        <w:jc w:val="center"/>
      </w:pPr>
      <w:r>
        <w:rPr>
          <w:i/>
          <w:iCs/>
          <w:color w:val="000000"/>
        </w:rPr>
        <w:t xml:space="preserve">Category % = </w:t>
      </w:r>
      <w:proofErr w:type="gramStart"/>
      <w:r>
        <w:rPr>
          <w:i/>
          <w:iCs/>
          <w:color w:val="000000"/>
        </w:rPr>
        <w:t>Σ(</w:t>
      </w:r>
      <w:proofErr w:type="gramEnd"/>
      <w:r>
        <w:rPr>
          <w:i/>
          <w:iCs/>
          <w:color w:val="000000"/>
        </w:rPr>
        <w:t>Category $ᵢ) / Σ(Categorized Expenditureᵢ)</w:t>
      </w:r>
    </w:p>
    <w:p w14:paraId="410366CA" w14:textId="77777777" w:rsidR="004C4578" w:rsidRDefault="00000000">
      <w:pPr>
        <w:spacing w:after="180" w:line="276" w:lineRule="auto"/>
      </w:pPr>
      <w:r>
        <w:rPr>
          <w:color w:val="000000"/>
        </w:rPr>
        <w:t xml:space="preserve">where the sum is taken over all programs </w:t>
      </w:r>
      <w:proofErr w:type="spellStart"/>
      <w:r>
        <w:rPr>
          <w:i/>
          <w:iCs/>
          <w:color w:val="000000"/>
        </w:rPr>
        <w:t>i</w:t>
      </w:r>
      <w:proofErr w:type="spellEnd"/>
      <w:r>
        <w:rPr>
          <w:color w:val="000000"/>
        </w:rPr>
        <w:t xml:space="preserve"> in the grouping that reported category data. Categorized Expenditure refers to the sum of category columns, not the reported program total. This is equivalent to a dollar-weighted average among reporting programs and is the standard approach for fiscal portfolio analysis (Mikesell, 2014). It differs from the unweighted mean of program-level percentages, which would give equal influence to programs regardless of size.</w:t>
      </w:r>
    </w:p>
    <w:p w14:paraId="3A8B3A43" w14:textId="77777777" w:rsidR="004C4578" w:rsidRDefault="00000000">
      <w:pPr>
        <w:spacing w:after="180" w:line="276" w:lineRule="auto"/>
      </w:pPr>
      <w:r>
        <w:rPr>
          <w:color w:val="000000"/>
        </w:rPr>
        <w:t>For groups containing programs with zero category data but nonzero totals (e.g., the Safe Outcome domain where many programs lack category data), those programs are excluded from both the numerator and denominator of the category percentage calculation. The “Categorized” column in each summary table shows what percentage of each group’s total expenditure was covered by programs that reported category data. The Coverage Notes sheet identifies all such cases.</w:t>
      </w:r>
    </w:p>
    <w:p w14:paraId="0A46DEE1" w14:textId="77777777" w:rsidR="004C4578" w:rsidRDefault="00000000">
      <w:pPr>
        <w:pStyle w:val="Heading1"/>
      </w:pPr>
      <w:r>
        <w:t>Appendix B: Discrepancy Detail — Category Sum vs. Reported Total</w:t>
      </w:r>
    </w:p>
    <w:p w14:paraId="5BE11C9A" w14:textId="77777777" w:rsidR="004C4578" w:rsidRDefault="00000000">
      <w:pPr>
        <w:spacing w:after="180" w:line="276" w:lineRule="auto"/>
      </w:pPr>
      <w:r>
        <w:rPr>
          <w:color w:val="000000"/>
        </w:rPr>
        <w:t>No programs in the current dataset have category sums exceeding the reported total by a factor of 1.8× or greater. The table below documents 10 Department of Education discrepancies identified during data validation; all were resolved during FY25 data reconciliation and are retained here for audit purposes.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919"/>
        <w:gridCol w:w="2015"/>
        <w:gridCol w:w="2015"/>
        <w:gridCol w:w="1411"/>
      </w:tblGrid>
      <w:tr w:rsidR="004C4578" w14:paraId="5C7702B3" w14:textId="77777777">
        <w:tc>
          <w:tcPr>
            <w:tcW w:w="3500" w:type="dxa"/>
            <w:tcBorders>
              <w:top w:val="single" w:sz="1" w:space="0" w:color="CCCCCC"/>
              <w:left w:val="single" w:sz="1" w:space="0" w:color="CCCCCC"/>
              <w:bottom w:val="single" w:sz="1" w:space="0" w:color="CCCCCC"/>
              <w:right w:val="single" w:sz="1" w:space="0" w:color="CCCCCC"/>
            </w:tcBorders>
            <w:shd w:val="clear" w:color="auto" w:fill="D5E8F0"/>
            <w:tcMar>
              <w:top w:w="60" w:type="dxa"/>
              <w:left w:w="100" w:type="dxa"/>
              <w:bottom w:w="60" w:type="dxa"/>
              <w:right w:w="100" w:type="dxa"/>
            </w:tcMar>
            <w:vAlign w:val="center"/>
          </w:tcPr>
          <w:p w14:paraId="661328FE" w14:textId="77777777" w:rsidR="004C4578" w:rsidRDefault="00000000">
            <w:pPr>
              <w:jc w:val="center"/>
            </w:pPr>
            <w:r>
              <w:rPr>
                <w:b/>
                <w:bCs/>
                <w:color w:val="1E4E79"/>
                <w:sz w:val="18"/>
                <w:szCs w:val="18"/>
              </w:rPr>
              <w:t>Program</w:t>
            </w:r>
          </w:p>
        </w:tc>
        <w:tc>
          <w:tcPr>
            <w:tcW w:w="1800" w:type="dxa"/>
            <w:tcBorders>
              <w:top w:val="single" w:sz="1" w:space="0" w:color="CCCCCC"/>
              <w:left w:val="single" w:sz="1" w:space="0" w:color="CCCCCC"/>
              <w:bottom w:val="single" w:sz="1" w:space="0" w:color="CCCCCC"/>
              <w:right w:val="single" w:sz="1" w:space="0" w:color="CCCCCC"/>
            </w:tcBorders>
            <w:shd w:val="clear" w:color="auto" w:fill="D5E8F0"/>
            <w:tcMar>
              <w:top w:w="60" w:type="dxa"/>
              <w:left w:w="100" w:type="dxa"/>
              <w:bottom w:w="60" w:type="dxa"/>
              <w:right w:w="100" w:type="dxa"/>
            </w:tcMar>
            <w:vAlign w:val="center"/>
          </w:tcPr>
          <w:p w14:paraId="08188B71" w14:textId="77777777" w:rsidR="004C4578" w:rsidRDefault="00000000">
            <w:pPr>
              <w:jc w:val="center"/>
            </w:pPr>
            <w:r>
              <w:rPr>
                <w:b/>
                <w:bCs/>
                <w:color w:val="1E4E79"/>
                <w:sz w:val="18"/>
                <w:szCs w:val="18"/>
              </w:rPr>
              <w:t>Total ($)</w:t>
            </w:r>
          </w:p>
        </w:tc>
        <w:tc>
          <w:tcPr>
            <w:tcW w:w="1800" w:type="dxa"/>
            <w:tcBorders>
              <w:top w:val="single" w:sz="1" w:space="0" w:color="CCCCCC"/>
              <w:left w:val="single" w:sz="1" w:space="0" w:color="CCCCCC"/>
              <w:bottom w:val="single" w:sz="1" w:space="0" w:color="CCCCCC"/>
              <w:right w:val="single" w:sz="1" w:space="0" w:color="CCCCCC"/>
            </w:tcBorders>
            <w:shd w:val="clear" w:color="auto" w:fill="D5E8F0"/>
            <w:tcMar>
              <w:top w:w="60" w:type="dxa"/>
              <w:left w:w="100" w:type="dxa"/>
              <w:bottom w:w="60" w:type="dxa"/>
              <w:right w:w="100" w:type="dxa"/>
            </w:tcMar>
            <w:vAlign w:val="center"/>
          </w:tcPr>
          <w:p w14:paraId="30AA287F" w14:textId="77777777" w:rsidR="004C4578" w:rsidRDefault="00000000">
            <w:pPr>
              <w:jc w:val="center"/>
            </w:pPr>
            <w:r>
              <w:rPr>
                <w:b/>
                <w:bCs/>
                <w:color w:val="1E4E79"/>
                <w:sz w:val="18"/>
                <w:szCs w:val="18"/>
              </w:rPr>
              <w:t>Cat Sum ($)</w:t>
            </w:r>
          </w:p>
        </w:tc>
        <w:tc>
          <w:tcPr>
            <w:tcW w:w="1260" w:type="dxa"/>
            <w:tcBorders>
              <w:top w:val="single" w:sz="1" w:space="0" w:color="CCCCCC"/>
              <w:left w:val="single" w:sz="1" w:space="0" w:color="CCCCCC"/>
              <w:bottom w:val="single" w:sz="1" w:space="0" w:color="CCCCCC"/>
              <w:right w:val="single" w:sz="1" w:space="0" w:color="CCCCCC"/>
            </w:tcBorders>
            <w:shd w:val="clear" w:color="auto" w:fill="D5E8F0"/>
            <w:tcMar>
              <w:top w:w="60" w:type="dxa"/>
              <w:left w:w="100" w:type="dxa"/>
              <w:bottom w:w="60" w:type="dxa"/>
              <w:right w:w="100" w:type="dxa"/>
            </w:tcMar>
            <w:vAlign w:val="center"/>
          </w:tcPr>
          <w:p w14:paraId="0AE05DB1" w14:textId="77777777" w:rsidR="004C4578" w:rsidRDefault="00000000">
            <w:pPr>
              <w:jc w:val="center"/>
            </w:pPr>
            <w:r>
              <w:rPr>
                <w:b/>
                <w:bCs/>
                <w:color w:val="1E4E79"/>
                <w:sz w:val="18"/>
                <w:szCs w:val="18"/>
              </w:rPr>
              <w:t>Ratio</w:t>
            </w:r>
          </w:p>
        </w:tc>
      </w:tr>
      <w:tr w:rsidR="004C4578" w14:paraId="7F6F6853" w14:textId="77777777">
        <w:tc>
          <w:tcPr>
            <w:tcW w:w="35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CAF7E18" w14:textId="77777777" w:rsidR="004C4578" w:rsidRDefault="00000000">
            <w:r>
              <w:rPr>
                <w:b/>
                <w:bCs/>
                <w:color w:val="000000"/>
                <w:sz w:val="18"/>
                <w:szCs w:val="18"/>
              </w:rPr>
              <w:t>ESSA-Title I, Part A</w:t>
            </w:r>
          </w:p>
        </w:tc>
        <w:tc>
          <w:tcPr>
            <w:tcW w:w="18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3853C3A" w14:textId="77777777" w:rsidR="004C4578" w:rsidRDefault="00000000">
            <w:pPr>
              <w:jc w:val="center"/>
            </w:pPr>
            <w:r>
              <w:rPr>
                <w:color w:val="000000"/>
                <w:sz w:val="18"/>
                <w:szCs w:val="18"/>
              </w:rPr>
              <w:t>$469,489</w:t>
            </w:r>
          </w:p>
        </w:tc>
        <w:tc>
          <w:tcPr>
            <w:tcW w:w="18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9647149" w14:textId="77777777" w:rsidR="004C4578" w:rsidRDefault="00000000">
            <w:pPr>
              <w:jc w:val="center"/>
            </w:pPr>
            <w:r>
              <w:rPr>
                <w:color w:val="000000"/>
                <w:sz w:val="18"/>
                <w:szCs w:val="18"/>
              </w:rPr>
              <w:t>$291.5M</w:t>
            </w:r>
          </w:p>
        </w:tc>
        <w:tc>
          <w:tcPr>
            <w:tcW w:w="12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D5ACCCB" w14:textId="77777777" w:rsidR="004C4578" w:rsidRDefault="00000000">
            <w:pPr>
              <w:jc w:val="center"/>
            </w:pPr>
            <w:r>
              <w:rPr>
                <w:color w:val="000000"/>
                <w:sz w:val="18"/>
                <w:szCs w:val="18"/>
              </w:rPr>
              <w:t>620.9×</w:t>
            </w:r>
          </w:p>
        </w:tc>
      </w:tr>
      <w:tr w:rsidR="004C4578" w14:paraId="6F51647D" w14:textId="77777777">
        <w:tc>
          <w:tcPr>
            <w:tcW w:w="3500" w:type="dxa"/>
            <w:tcBorders>
              <w:top w:val="single" w:sz="1" w:space="0" w:color="CCCCCC"/>
              <w:left w:val="single" w:sz="1" w:space="0" w:color="CCCCCC"/>
              <w:bottom w:val="single" w:sz="1" w:space="0" w:color="CCCCCC"/>
              <w:right w:val="single" w:sz="1" w:space="0" w:color="CCCCCC"/>
            </w:tcBorders>
            <w:shd w:val="clear" w:color="auto" w:fill="F5FAFB"/>
            <w:tcMar>
              <w:top w:w="60" w:type="dxa"/>
              <w:left w:w="100" w:type="dxa"/>
              <w:bottom w:w="60" w:type="dxa"/>
              <w:right w:w="100" w:type="dxa"/>
            </w:tcMar>
          </w:tcPr>
          <w:p w14:paraId="70023D86" w14:textId="77777777" w:rsidR="004C4578" w:rsidRDefault="00000000">
            <w:r>
              <w:rPr>
                <w:b/>
                <w:bCs/>
                <w:color w:val="000000"/>
                <w:sz w:val="18"/>
                <w:szCs w:val="18"/>
              </w:rPr>
              <w:t>Assessment &amp; Accountability</w:t>
            </w:r>
          </w:p>
        </w:tc>
        <w:tc>
          <w:tcPr>
            <w:tcW w:w="1800" w:type="dxa"/>
            <w:tcBorders>
              <w:top w:val="single" w:sz="1" w:space="0" w:color="CCCCCC"/>
              <w:left w:val="single" w:sz="1" w:space="0" w:color="CCCCCC"/>
              <w:bottom w:val="single" w:sz="1" w:space="0" w:color="CCCCCC"/>
              <w:right w:val="single" w:sz="1" w:space="0" w:color="CCCCCC"/>
            </w:tcBorders>
            <w:shd w:val="clear" w:color="auto" w:fill="F5FAFB"/>
            <w:tcMar>
              <w:top w:w="60" w:type="dxa"/>
              <w:left w:w="100" w:type="dxa"/>
              <w:bottom w:w="60" w:type="dxa"/>
              <w:right w:w="100" w:type="dxa"/>
            </w:tcMar>
          </w:tcPr>
          <w:p w14:paraId="20FF23CF" w14:textId="77777777" w:rsidR="004C4578" w:rsidRDefault="00000000">
            <w:pPr>
              <w:jc w:val="center"/>
            </w:pPr>
            <w:r>
              <w:rPr>
                <w:color w:val="000000"/>
                <w:sz w:val="18"/>
                <w:szCs w:val="18"/>
              </w:rPr>
              <w:t>$52.0M</w:t>
            </w:r>
          </w:p>
        </w:tc>
        <w:tc>
          <w:tcPr>
            <w:tcW w:w="1800" w:type="dxa"/>
            <w:tcBorders>
              <w:top w:val="single" w:sz="1" w:space="0" w:color="CCCCCC"/>
              <w:left w:val="single" w:sz="1" w:space="0" w:color="CCCCCC"/>
              <w:bottom w:val="single" w:sz="1" w:space="0" w:color="CCCCCC"/>
              <w:right w:val="single" w:sz="1" w:space="0" w:color="CCCCCC"/>
            </w:tcBorders>
            <w:shd w:val="clear" w:color="auto" w:fill="F5FAFB"/>
            <w:tcMar>
              <w:top w:w="60" w:type="dxa"/>
              <w:left w:w="100" w:type="dxa"/>
              <w:bottom w:w="60" w:type="dxa"/>
              <w:right w:w="100" w:type="dxa"/>
            </w:tcMar>
          </w:tcPr>
          <w:p w14:paraId="770D85DA" w14:textId="77777777" w:rsidR="004C4578" w:rsidRDefault="00000000">
            <w:pPr>
              <w:jc w:val="center"/>
            </w:pPr>
            <w:r>
              <w:rPr>
                <w:color w:val="000000"/>
                <w:sz w:val="18"/>
                <w:szCs w:val="18"/>
              </w:rPr>
              <w:t>$95.7M</w:t>
            </w:r>
          </w:p>
        </w:tc>
        <w:tc>
          <w:tcPr>
            <w:tcW w:w="1260" w:type="dxa"/>
            <w:tcBorders>
              <w:top w:val="single" w:sz="1" w:space="0" w:color="CCCCCC"/>
              <w:left w:val="single" w:sz="1" w:space="0" w:color="CCCCCC"/>
              <w:bottom w:val="single" w:sz="1" w:space="0" w:color="CCCCCC"/>
              <w:right w:val="single" w:sz="1" w:space="0" w:color="CCCCCC"/>
            </w:tcBorders>
            <w:shd w:val="clear" w:color="auto" w:fill="F5FAFB"/>
            <w:tcMar>
              <w:top w:w="60" w:type="dxa"/>
              <w:left w:w="100" w:type="dxa"/>
              <w:bottom w:w="60" w:type="dxa"/>
              <w:right w:w="100" w:type="dxa"/>
            </w:tcMar>
          </w:tcPr>
          <w:p w14:paraId="5CD4EB3D" w14:textId="77777777" w:rsidR="004C4578" w:rsidRDefault="00000000">
            <w:pPr>
              <w:jc w:val="center"/>
            </w:pPr>
            <w:r>
              <w:rPr>
                <w:color w:val="000000"/>
                <w:sz w:val="18"/>
                <w:szCs w:val="18"/>
              </w:rPr>
              <w:t>1.8×</w:t>
            </w:r>
          </w:p>
        </w:tc>
      </w:tr>
      <w:tr w:rsidR="004C4578" w14:paraId="3085D10E" w14:textId="77777777">
        <w:tc>
          <w:tcPr>
            <w:tcW w:w="35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0890DBE" w14:textId="77777777" w:rsidR="004C4578" w:rsidRDefault="00000000">
            <w:r>
              <w:rPr>
                <w:b/>
                <w:bCs/>
                <w:color w:val="000000"/>
                <w:sz w:val="18"/>
                <w:szCs w:val="18"/>
              </w:rPr>
              <w:t>SIG section 1003(g)</w:t>
            </w:r>
          </w:p>
        </w:tc>
        <w:tc>
          <w:tcPr>
            <w:tcW w:w="18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4E0EF17" w14:textId="77777777" w:rsidR="004C4578" w:rsidRDefault="00000000">
            <w:pPr>
              <w:jc w:val="center"/>
            </w:pPr>
            <w:r>
              <w:rPr>
                <w:color w:val="000000"/>
                <w:sz w:val="18"/>
                <w:szCs w:val="18"/>
              </w:rPr>
              <w:t>$158,321</w:t>
            </w:r>
          </w:p>
        </w:tc>
        <w:tc>
          <w:tcPr>
            <w:tcW w:w="18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441209F" w14:textId="77777777" w:rsidR="004C4578" w:rsidRDefault="00000000">
            <w:pPr>
              <w:jc w:val="center"/>
            </w:pPr>
            <w:r>
              <w:rPr>
                <w:color w:val="000000"/>
                <w:sz w:val="18"/>
                <w:szCs w:val="18"/>
              </w:rPr>
              <w:t>$24.8M</w:t>
            </w:r>
          </w:p>
        </w:tc>
        <w:tc>
          <w:tcPr>
            <w:tcW w:w="12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18D3061" w14:textId="77777777" w:rsidR="004C4578" w:rsidRDefault="00000000">
            <w:pPr>
              <w:jc w:val="center"/>
            </w:pPr>
            <w:r>
              <w:rPr>
                <w:color w:val="000000"/>
                <w:sz w:val="18"/>
                <w:szCs w:val="18"/>
              </w:rPr>
              <w:t>156.6×</w:t>
            </w:r>
          </w:p>
        </w:tc>
      </w:tr>
      <w:tr w:rsidR="004C4578" w14:paraId="7914DFEA" w14:textId="77777777">
        <w:tc>
          <w:tcPr>
            <w:tcW w:w="3500" w:type="dxa"/>
            <w:tcBorders>
              <w:top w:val="single" w:sz="1" w:space="0" w:color="CCCCCC"/>
              <w:left w:val="single" w:sz="1" w:space="0" w:color="CCCCCC"/>
              <w:bottom w:val="single" w:sz="1" w:space="0" w:color="CCCCCC"/>
              <w:right w:val="single" w:sz="1" w:space="0" w:color="CCCCCC"/>
            </w:tcBorders>
            <w:shd w:val="clear" w:color="auto" w:fill="F5FAFB"/>
            <w:tcMar>
              <w:top w:w="60" w:type="dxa"/>
              <w:left w:w="100" w:type="dxa"/>
              <w:bottom w:w="60" w:type="dxa"/>
              <w:right w:w="100" w:type="dxa"/>
            </w:tcMar>
          </w:tcPr>
          <w:p w14:paraId="18B1DB6F" w14:textId="77777777" w:rsidR="004C4578" w:rsidRDefault="00000000">
            <w:r>
              <w:rPr>
                <w:b/>
                <w:bCs/>
                <w:color w:val="000000"/>
                <w:sz w:val="18"/>
                <w:szCs w:val="18"/>
              </w:rPr>
              <w:t>ESSA-Title III ELA-Immigrant</w:t>
            </w:r>
          </w:p>
        </w:tc>
        <w:tc>
          <w:tcPr>
            <w:tcW w:w="1800" w:type="dxa"/>
            <w:tcBorders>
              <w:top w:val="single" w:sz="1" w:space="0" w:color="CCCCCC"/>
              <w:left w:val="single" w:sz="1" w:space="0" w:color="CCCCCC"/>
              <w:bottom w:val="single" w:sz="1" w:space="0" w:color="CCCCCC"/>
              <w:right w:val="single" w:sz="1" w:space="0" w:color="CCCCCC"/>
            </w:tcBorders>
            <w:shd w:val="clear" w:color="auto" w:fill="F5FAFB"/>
            <w:tcMar>
              <w:top w:w="60" w:type="dxa"/>
              <w:left w:w="100" w:type="dxa"/>
              <w:bottom w:w="60" w:type="dxa"/>
              <w:right w:w="100" w:type="dxa"/>
            </w:tcMar>
          </w:tcPr>
          <w:p w14:paraId="7A3BE087" w14:textId="77777777" w:rsidR="004C4578" w:rsidRDefault="00000000">
            <w:pPr>
              <w:jc w:val="center"/>
            </w:pPr>
            <w:r>
              <w:rPr>
                <w:color w:val="000000"/>
                <w:sz w:val="18"/>
                <w:szCs w:val="18"/>
              </w:rPr>
              <w:t>$704</w:t>
            </w:r>
          </w:p>
        </w:tc>
        <w:tc>
          <w:tcPr>
            <w:tcW w:w="1800" w:type="dxa"/>
            <w:tcBorders>
              <w:top w:val="single" w:sz="1" w:space="0" w:color="CCCCCC"/>
              <w:left w:val="single" w:sz="1" w:space="0" w:color="CCCCCC"/>
              <w:bottom w:val="single" w:sz="1" w:space="0" w:color="CCCCCC"/>
              <w:right w:val="single" w:sz="1" w:space="0" w:color="CCCCCC"/>
            </w:tcBorders>
            <w:shd w:val="clear" w:color="auto" w:fill="F5FAFB"/>
            <w:tcMar>
              <w:top w:w="60" w:type="dxa"/>
              <w:left w:w="100" w:type="dxa"/>
              <w:bottom w:w="60" w:type="dxa"/>
              <w:right w:w="100" w:type="dxa"/>
            </w:tcMar>
          </w:tcPr>
          <w:p w14:paraId="66218584" w14:textId="77777777" w:rsidR="004C4578" w:rsidRDefault="00000000">
            <w:pPr>
              <w:jc w:val="center"/>
            </w:pPr>
            <w:r>
              <w:rPr>
                <w:color w:val="000000"/>
                <w:sz w:val="18"/>
                <w:szCs w:val="18"/>
              </w:rPr>
              <w:t>$10.2M</w:t>
            </w:r>
          </w:p>
        </w:tc>
        <w:tc>
          <w:tcPr>
            <w:tcW w:w="1260" w:type="dxa"/>
            <w:tcBorders>
              <w:top w:val="single" w:sz="1" w:space="0" w:color="CCCCCC"/>
              <w:left w:val="single" w:sz="1" w:space="0" w:color="CCCCCC"/>
              <w:bottom w:val="single" w:sz="1" w:space="0" w:color="CCCCCC"/>
              <w:right w:val="single" w:sz="1" w:space="0" w:color="CCCCCC"/>
            </w:tcBorders>
            <w:shd w:val="clear" w:color="auto" w:fill="F5FAFB"/>
            <w:tcMar>
              <w:top w:w="60" w:type="dxa"/>
              <w:left w:w="100" w:type="dxa"/>
              <w:bottom w:w="60" w:type="dxa"/>
              <w:right w:w="100" w:type="dxa"/>
            </w:tcMar>
          </w:tcPr>
          <w:p w14:paraId="2F0BF724" w14:textId="77777777" w:rsidR="004C4578" w:rsidRDefault="00000000">
            <w:pPr>
              <w:jc w:val="center"/>
            </w:pPr>
            <w:r>
              <w:rPr>
                <w:color w:val="000000"/>
                <w:sz w:val="18"/>
                <w:szCs w:val="18"/>
              </w:rPr>
              <w:t>14,460.5×</w:t>
            </w:r>
          </w:p>
        </w:tc>
      </w:tr>
      <w:tr w:rsidR="004C4578" w14:paraId="46BF46F9" w14:textId="77777777">
        <w:tc>
          <w:tcPr>
            <w:tcW w:w="35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0DF0AEC" w14:textId="77777777" w:rsidR="004C4578" w:rsidRDefault="00000000">
            <w:r>
              <w:rPr>
                <w:b/>
                <w:bCs/>
                <w:color w:val="000000"/>
                <w:sz w:val="18"/>
                <w:szCs w:val="18"/>
              </w:rPr>
              <w:t>CCTE Perkins Basic Grant</w:t>
            </w:r>
          </w:p>
        </w:tc>
        <w:tc>
          <w:tcPr>
            <w:tcW w:w="18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7B2BD66" w14:textId="77777777" w:rsidR="004C4578" w:rsidRDefault="00000000">
            <w:pPr>
              <w:jc w:val="center"/>
            </w:pPr>
            <w:r>
              <w:rPr>
                <w:color w:val="000000"/>
                <w:sz w:val="18"/>
                <w:szCs w:val="18"/>
              </w:rPr>
              <w:t>$5.1M</w:t>
            </w:r>
          </w:p>
        </w:tc>
        <w:tc>
          <w:tcPr>
            <w:tcW w:w="18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F18DEB4" w14:textId="77777777" w:rsidR="004C4578" w:rsidRDefault="00000000">
            <w:pPr>
              <w:jc w:val="center"/>
            </w:pPr>
            <w:r>
              <w:rPr>
                <w:color w:val="000000"/>
                <w:sz w:val="18"/>
                <w:szCs w:val="18"/>
              </w:rPr>
              <w:t>$13.8M</w:t>
            </w:r>
          </w:p>
        </w:tc>
        <w:tc>
          <w:tcPr>
            <w:tcW w:w="12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824618E" w14:textId="77777777" w:rsidR="004C4578" w:rsidRDefault="00000000">
            <w:pPr>
              <w:jc w:val="center"/>
            </w:pPr>
            <w:r>
              <w:rPr>
                <w:color w:val="000000"/>
                <w:sz w:val="18"/>
                <w:szCs w:val="18"/>
              </w:rPr>
              <w:t>2.7×</w:t>
            </w:r>
          </w:p>
        </w:tc>
      </w:tr>
      <w:tr w:rsidR="004C4578" w14:paraId="3BEF7E12" w14:textId="77777777">
        <w:tc>
          <w:tcPr>
            <w:tcW w:w="3500" w:type="dxa"/>
            <w:tcBorders>
              <w:top w:val="single" w:sz="1" w:space="0" w:color="CCCCCC"/>
              <w:left w:val="single" w:sz="1" w:space="0" w:color="CCCCCC"/>
              <w:bottom w:val="single" w:sz="1" w:space="0" w:color="CCCCCC"/>
              <w:right w:val="single" w:sz="1" w:space="0" w:color="CCCCCC"/>
            </w:tcBorders>
            <w:shd w:val="clear" w:color="auto" w:fill="F5FAFB"/>
            <w:tcMar>
              <w:top w:w="60" w:type="dxa"/>
              <w:left w:w="100" w:type="dxa"/>
              <w:bottom w:w="60" w:type="dxa"/>
              <w:right w:w="100" w:type="dxa"/>
            </w:tcMar>
          </w:tcPr>
          <w:p w14:paraId="331295C0" w14:textId="77777777" w:rsidR="004C4578" w:rsidRDefault="00000000">
            <w:r>
              <w:rPr>
                <w:b/>
                <w:bCs/>
                <w:color w:val="000000"/>
                <w:sz w:val="18"/>
                <w:szCs w:val="18"/>
              </w:rPr>
              <w:t>ESSA-Admin-Title V-B Rural</w:t>
            </w:r>
          </w:p>
        </w:tc>
        <w:tc>
          <w:tcPr>
            <w:tcW w:w="1800" w:type="dxa"/>
            <w:tcBorders>
              <w:top w:val="single" w:sz="1" w:space="0" w:color="CCCCCC"/>
              <w:left w:val="single" w:sz="1" w:space="0" w:color="CCCCCC"/>
              <w:bottom w:val="single" w:sz="1" w:space="0" w:color="CCCCCC"/>
              <w:right w:val="single" w:sz="1" w:space="0" w:color="CCCCCC"/>
            </w:tcBorders>
            <w:shd w:val="clear" w:color="auto" w:fill="F5FAFB"/>
            <w:tcMar>
              <w:top w:w="60" w:type="dxa"/>
              <w:left w:w="100" w:type="dxa"/>
              <w:bottom w:w="60" w:type="dxa"/>
              <w:right w:w="100" w:type="dxa"/>
            </w:tcMar>
          </w:tcPr>
          <w:p w14:paraId="6B07B1AD" w14:textId="77777777" w:rsidR="004C4578" w:rsidRDefault="00000000">
            <w:pPr>
              <w:jc w:val="center"/>
            </w:pPr>
            <w:r>
              <w:rPr>
                <w:color w:val="000000"/>
                <w:sz w:val="18"/>
                <w:szCs w:val="18"/>
              </w:rPr>
              <w:t>$105,533</w:t>
            </w:r>
          </w:p>
        </w:tc>
        <w:tc>
          <w:tcPr>
            <w:tcW w:w="1800" w:type="dxa"/>
            <w:tcBorders>
              <w:top w:val="single" w:sz="1" w:space="0" w:color="CCCCCC"/>
              <w:left w:val="single" w:sz="1" w:space="0" w:color="CCCCCC"/>
              <w:bottom w:val="single" w:sz="1" w:space="0" w:color="CCCCCC"/>
              <w:right w:val="single" w:sz="1" w:space="0" w:color="CCCCCC"/>
            </w:tcBorders>
            <w:shd w:val="clear" w:color="auto" w:fill="F5FAFB"/>
            <w:tcMar>
              <w:top w:w="60" w:type="dxa"/>
              <w:left w:w="100" w:type="dxa"/>
              <w:bottom w:w="60" w:type="dxa"/>
              <w:right w:w="100" w:type="dxa"/>
            </w:tcMar>
          </w:tcPr>
          <w:p w14:paraId="21382C44" w14:textId="77777777" w:rsidR="004C4578" w:rsidRDefault="00000000">
            <w:pPr>
              <w:jc w:val="center"/>
            </w:pPr>
            <w:r>
              <w:rPr>
                <w:color w:val="000000"/>
                <w:sz w:val="18"/>
                <w:szCs w:val="18"/>
              </w:rPr>
              <w:t>$4.2M</w:t>
            </w:r>
          </w:p>
        </w:tc>
        <w:tc>
          <w:tcPr>
            <w:tcW w:w="1260" w:type="dxa"/>
            <w:tcBorders>
              <w:top w:val="single" w:sz="1" w:space="0" w:color="CCCCCC"/>
              <w:left w:val="single" w:sz="1" w:space="0" w:color="CCCCCC"/>
              <w:bottom w:val="single" w:sz="1" w:space="0" w:color="CCCCCC"/>
              <w:right w:val="single" w:sz="1" w:space="0" w:color="CCCCCC"/>
            </w:tcBorders>
            <w:shd w:val="clear" w:color="auto" w:fill="F5FAFB"/>
            <w:tcMar>
              <w:top w:w="60" w:type="dxa"/>
              <w:left w:w="100" w:type="dxa"/>
              <w:bottom w:w="60" w:type="dxa"/>
              <w:right w:w="100" w:type="dxa"/>
            </w:tcMar>
          </w:tcPr>
          <w:p w14:paraId="0306EE45" w14:textId="77777777" w:rsidR="004C4578" w:rsidRDefault="00000000">
            <w:pPr>
              <w:jc w:val="center"/>
            </w:pPr>
            <w:r>
              <w:rPr>
                <w:color w:val="000000"/>
                <w:sz w:val="18"/>
                <w:szCs w:val="18"/>
              </w:rPr>
              <w:t>39.3×</w:t>
            </w:r>
          </w:p>
        </w:tc>
      </w:tr>
      <w:tr w:rsidR="004C4578" w14:paraId="739201EA" w14:textId="77777777">
        <w:tc>
          <w:tcPr>
            <w:tcW w:w="35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DC44A70" w14:textId="77777777" w:rsidR="004C4578" w:rsidRDefault="00000000">
            <w:r>
              <w:rPr>
                <w:b/>
                <w:bCs/>
                <w:color w:val="000000"/>
                <w:sz w:val="18"/>
                <w:szCs w:val="18"/>
              </w:rPr>
              <w:t>ESSA-Title IX-McKinney-Vento</w:t>
            </w:r>
          </w:p>
        </w:tc>
        <w:tc>
          <w:tcPr>
            <w:tcW w:w="18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E6889A0" w14:textId="77777777" w:rsidR="004C4578" w:rsidRDefault="00000000">
            <w:pPr>
              <w:jc w:val="center"/>
            </w:pPr>
            <w:r>
              <w:rPr>
                <w:color w:val="000000"/>
                <w:sz w:val="18"/>
                <w:szCs w:val="18"/>
              </w:rPr>
              <w:t>$28,259</w:t>
            </w:r>
          </w:p>
        </w:tc>
        <w:tc>
          <w:tcPr>
            <w:tcW w:w="18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B7477FF" w14:textId="77777777" w:rsidR="004C4578" w:rsidRDefault="00000000">
            <w:pPr>
              <w:jc w:val="center"/>
            </w:pPr>
            <w:r>
              <w:rPr>
                <w:color w:val="000000"/>
                <w:sz w:val="18"/>
                <w:szCs w:val="18"/>
              </w:rPr>
              <w:t>$2.4M</w:t>
            </w:r>
          </w:p>
        </w:tc>
        <w:tc>
          <w:tcPr>
            <w:tcW w:w="12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E2C464F" w14:textId="77777777" w:rsidR="004C4578" w:rsidRDefault="00000000">
            <w:pPr>
              <w:jc w:val="center"/>
            </w:pPr>
            <w:r>
              <w:rPr>
                <w:color w:val="000000"/>
                <w:sz w:val="18"/>
                <w:szCs w:val="18"/>
              </w:rPr>
              <w:t>84.1×</w:t>
            </w:r>
          </w:p>
        </w:tc>
      </w:tr>
      <w:tr w:rsidR="004C4578" w14:paraId="6D43BC93" w14:textId="77777777">
        <w:tc>
          <w:tcPr>
            <w:tcW w:w="3500" w:type="dxa"/>
            <w:tcBorders>
              <w:top w:val="single" w:sz="1" w:space="0" w:color="CCCCCC"/>
              <w:left w:val="single" w:sz="1" w:space="0" w:color="CCCCCC"/>
              <w:bottom w:val="single" w:sz="1" w:space="0" w:color="CCCCCC"/>
              <w:right w:val="single" w:sz="1" w:space="0" w:color="CCCCCC"/>
            </w:tcBorders>
            <w:shd w:val="clear" w:color="auto" w:fill="F5FAFB"/>
            <w:tcMar>
              <w:top w:w="60" w:type="dxa"/>
              <w:left w:w="100" w:type="dxa"/>
              <w:bottom w:w="60" w:type="dxa"/>
              <w:right w:w="100" w:type="dxa"/>
            </w:tcMar>
          </w:tcPr>
          <w:p w14:paraId="43605735" w14:textId="77777777" w:rsidR="004C4578" w:rsidRDefault="00000000">
            <w:r>
              <w:rPr>
                <w:b/>
                <w:bCs/>
                <w:color w:val="000000"/>
                <w:sz w:val="18"/>
                <w:szCs w:val="18"/>
              </w:rPr>
              <w:t>ESSA-Title I Part D Subpart 2</w:t>
            </w:r>
          </w:p>
        </w:tc>
        <w:tc>
          <w:tcPr>
            <w:tcW w:w="1800" w:type="dxa"/>
            <w:tcBorders>
              <w:top w:val="single" w:sz="1" w:space="0" w:color="CCCCCC"/>
              <w:left w:val="single" w:sz="1" w:space="0" w:color="CCCCCC"/>
              <w:bottom w:val="single" w:sz="1" w:space="0" w:color="CCCCCC"/>
              <w:right w:val="single" w:sz="1" w:space="0" w:color="CCCCCC"/>
            </w:tcBorders>
            <w:shd w:val="clear" w:color="auto" w:fill="F5FAFB"/>
            <w:tcMar>
              <w:top w:w="60" w:type="dxa"/>
              <w:left w:w="100" w:type="dxa"/>
              <w:bottom w:w="60" w:type="dxa"/>
              <w:right w:w="100" w:type="dxa"/>
            </w:tcMar>
          </w:tcPr>
          <w:p w14:paraId="61FE66FE" w14:textId="77777777" w:rsidR="004C4578" w:rsidRDefault="00000000">
            <w:pPr>
              <w:jc w:val="center"/>
            </w:pPr>
            <w:r>
              <w:rPr>
                <w:color w:val="000000"/>
                <w:sz w:val="18"/>
                <w:szCs w:val="18"/>
              </w:rPr>
              <w:t>$33,165</w:t>
            </w:r>
          </w:p>
        </w:tc>
        <w:tc>
          <w:tcPr>
            <w:tcW w:w="1800" w:type="dxa"/>
            <w:tcBorders>
              <w:top w:val="single" w:sz="1" w:space="0" w:color="CCCCCC"/>
              <w:left w:val="single" w:sz="1" w:space="0" w:color="CCCCCC"/>
              <w:bottom w:val="single" w:sz="1" w:space="0" w:color="CCCCCC"/>
              <w:right w:val="single" w:sz="1" w:space="0" w:color="CCCCCC"/>
            </w:tcBorders>
            <w:shd w:val="clear" w:color="auto" w:fill="F5FAFB"/>
            <w:tcMar>
              <w:top w:w="60" w:type="dxa"/>
              <w:left w:w="100" w:type="dxa"/>
              <w:bottom w:w="60" w:type="dxa"/>
              <w:right w:w="100" w:type="dxa"/>
            </w:tcMar>
          </w:tcPr>
          <w:p w14:paraId="77C1F6D6" w14:textId="77777777" w:rsidR="004C4578" w:rsidRDefault="00000000">
            <w:pPr>
              <w:jc w:val="center"/>
            </w:pPr>
            <w:r>
              <w:rPr>
                <w:color w:val="000000"/>
                <w:sz w:val="18"/>
                <w:szCs w:val="18"/>
              </w:rPr>
              <w:t>$1.8M</w:t>
            </w:r>
          </w:p>
        </w:tc>
        <w:tc>
          <w:tcPr>
            <w:tcW w:w="1260" w:type="dxa"/>
            <w:tcBorders>
              <w:top w:val="single" w:sz="1" w:space="0" w:color="CCCCCC"/>
              <w:left w:val="single" w:sz="1" w:space="0" w:color="CCCCCC"/>
              <w:bottom w:val="single" w:sz="1" w:space="0" w:color="CCCCCC"/>
              <w:right w:val="single" w:sz="1" w:space="0" w:color="CCCCCC"/>
            </w:tcBorders>
            <w:shd w:val="clear" w:color="auto" w:fill="F5FAFB"/>
            <w:tcMar>
              <w:top w:w="60" w:type="dxa"/>
              <w:left w:w="100" w:type="dxa"/>
              <w:bottom w:w="60" w:type="dxa"/>
              <w:right w:w="100" w:type="dxa"/>
            </w:tcMar>
          </w:tcPr>
          <w:p w14:paraId="67276467" w14:textId="77777777" w:rsidR="004C4578" w:rsidRDefault="00000000">
            <w:pPr>
              <w:jc w:val="center"/>
            </w:pPr>
            <w:r>
              <w:rPr>
                <w:color w:val="000000"/>
                <w:sz w:val="18"/>
                <w:szCs w:val="18"/>
              </w:rPr>
              <w:t>53.9×</w:t>
            </w:r>
          </w:p>
        </w:tc>
      </w:tr>
      <w:tr w:rsidR="004C4578" w14:paraId="08464201" w14:textId="77777777">
        <w:tc>
          <w:tcPr>
            <w:tcW w:w="35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AA64897" w14:textId="77777777" w:rsidR="004C4578" w:rsidRDefault="00000000">
            <w:r>
              <w:rPr>
                <w:b/>
                <w:bCs/>
                <w:color w:val="000000"/>
                <w:sz w:val="18"/>
                <w:szCs w:val="18"/>
              </w:rPr>
              <w:t>ESSA-Admin-Title 1-C Migrant</w:t>
            </w:r>
          </w:p>
        </w:tc>
        <w:tc>
          <w:tcPr>
            <w:tcW w:w="18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83BA5FE" w14:textId="77777777" w:rsidR="004C4578" w:rsidRDefault="00000000">
            <w:pPr>
              <w:jc w:val="center"/>
            </w:pPr>
            <w:r>
              <w:rPr>
                <w:color w:val="000000"/>
                <w:sz w:val="18"/>
                <w:szCs w:val="18"/>
              </w:rPr>
              <w:t>$2,664</w:t>
            </w:r>
          </w:p>
        </w:tc>
        <w:tc>
          <w:tcPr>
            <w:tcW w:w="18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35BD2A5" w14:textId="77777777" w:rsidR="004C4578" w:rsidRDefault="00000000">
            <w:pPr>
              <w:jc w:val="center"/>
            </w:pPr>
            <w:r>
              <w:rPr>
                <w:color w:val="000000"/>
                <w:sz w:val="18"/>
                <w:szCs w:val="18"/>
              </w:rPr>
              <w:t>$1.3M</w:t>
            </w:r>
          </w:p>
        </w:tc>
        <w:tc>
          <w:tcPr>
            <w:tcW w:w="12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4ACE7D2" w14:textId="77777777" w:rsidR="004C4578" w:rsidRDefault="00000000">
            <w:pPr>
              <w:jc w:val="center"/>
            </w:pPr>
            <w:r>
              <w:rPr>
                <w:color w:val="000000"/>
                <w:sz w:val="18"/>
                <w:szCs w:val="18"/>
              </w:rPr>
              <w:t>505.2×</w:t>
            </w:r>
          </w:p>
        </w:tc>
      </w:tr>
      <w:tr w:rsidR="004C4578" w14:paraId="6AAEA558" w14:textId="77777777">
        <w:tc>
          <w:tcPr>
            <w:tcW w:w="3500" w:type="dxa"/>
            <w:tcBorders>
              <w:top w:val="single" w:sz="1" w:space="0" w:color="CCCCCC"/>
              <w:left w:val="single" w:sz="1" w:space="0" w:color="CCCCCC"/>
              <w:bottom w:val="single" w:sz="1" w:space="0" w:color="CCCCCC"/>
              <w:right w:val="single" w:sz="1" w:space="0" w:color="CCCCCC"/>
            </w:tcBorders>
            <w:shd w:val="clear" w:color="auto" w:fill="F5FAFB"/>
            <w:tcMar>
              <w:top w:w="60" w:type="dxa"/>
              <w:left w:w="100" w:type="dxa"/>
              <w:bottom w:w="60" w:type="dxa"/>
              <w:right w:w="100" w:type="dxa"/>
            </w:tcMar>
          </w:tcPr>
          <w:p w14:paraId="0A5EC442" w14:textId="77777777" w:rsidR="004C4578" w:rsidRDefault="00000000">
            <w:r>
              <w:rPr>
                <w:b/>
                <w:bCs/>
                <w:color w:val="000000"/>
                <w:sz w:val="18"/>
                <w:szCs w:val="18"/>
              </w:rPr>
              <w:t>TN Project AWARE</w:t>
            </w:r>
          </w:p>
        </w:tc>
        <w:tc>
          <w:tcPr>
            <w:tcW w:w="1800" w:type="dxa"/>
            <w:tcBorders>
              <w:top w:val="single" w:sz="1" w:space="0" w:color="CCCCCC"/>
              <w:left w:val="single" w:sz="1" w:space="0" w:color="CCCCCC"/>
              <w:bottom w:val="single" w:sz="1" w:space="0" w:color="CCCCCC"/>
              <w:right w:val="single" w:sz="1" w:space="0" w:color="CCCCCC"/>
            </w:tcBorders>
            <w:shd w:val="clear" w:color="auto" w:fill="F5FAFB"/>
            <w:tcMar>
              <w:top w:w="60" w:type="dxa"/>
              <w:left w:w="100" w:type="dxa"/>
              <w:bottom w:w="60" w:type="dxa"/>
              <w:right w:w="100" w:type="dxa"/>
            </w:tcMar>
          </w:tcPr>
          <w:p w14:paraId="709BCBAD" w14:textId="77777777" w:rsidR="004C4578" w:rsidRDefault="00000000">
            <w:pPr>
              <w:jc w:val="center"/>
            </w:pPr>
            <w:r>
              <w:rPr>
                <w:color w:val="000000"/>
                <w:sz w:val="18"/>
                <w:szCs w:val="18"/>
              </w:rPr>
              <w:t>$471,950</w:t>
            </w:r>
          </w:p>
        </w:tc>
        <w:tc>
          <w:tcPr>
            <w:tcW w:w="1800" w:type="dxa"/>
            <w:tcBorders>
              <w:top w:val="single" w:sz="1" w:space="0" w:color="CCCCCC"/>
              <w:left w:val="single" w:sz="1" w:space="0" w:color="CCCCCC"/>
              <w:bottom w:val="single" w:sz="1" w:space="0" w:color="CCCCCC"/>
              <w:right w:val="single" w:sz="1" w:space="0" w:color="CCCCCC"/>
            </w:tcBorders>
            <w:shd w:val="clear" w:color="auto" w:fill="F5FAFB"/>
            <w:tcMar>
              <w:top w:w="60" w:type="dxa"/>
              <w:left w:w="100" w:type="dxa"/>
              <w:bottom w:w="60" w:type="dxa"/>
              <w:right w:w="100" w:type="dxa"/>
            </w:tcMar>
          </w:tcPr>
          <w:p w14:paraId="23E1926D" w14:textId="77777777" w:rsidR="004C4578" w:rsidRDefault="00000000">
            <w:pPr>
              <w:jc w:val="center"/>
            </w:pPr>
            <w:r>
              <w:rPr>
                <w:color w:val="000000"/>
                <w:sz w:val="18"/>
                <w:szCs w:val="18"/>
              </w:rPr>
              <w:t>$1.6M</w:t>
            </w:r>
          </w:p>
        </w:tc>
        <w:tc>
          <w:tcPr>
            <w:tcW w:w="1260" w:type="dxa"/>
            <w:tcBorders>
              <w:top w:val="single" w:sz="1" w:space="0" w:color="CCCCCC"/>
              <w:left w:val="single" w:sz="1" w:space="0" w:color="CCCCCC"/>
              <w:bottom w:val="single" w:sz="1" w:space="0" w:color="CCCCCC"/>
              <w:right w:val="single" w:sz="1" w:space="0" w:color="CCCCCC"/>
            </w:tcBorders>
            <w:shd w:val="clear" w:color="auto" w:fill="F5FAFB"/>
            <w:tcMar>
              <w:top w:w="60" w:type="dxa"/>
              <w:left w:w="100" w:type="dxa"/>
              <w:bottom w:w="60" w:type="dxa"/>
              <w:right w:w="100" w:type="dxa"/>
            </w:tcMar>
          </w:tcPr>
          <w:p w14:paraId="1FBB2CB3" w14:textId="77777777" w:rsidR="004C4578" w:rsidRDefault="00000000">
            <w:pPr>
              <w:jc w:val="center"/>
            </w:pPr>
            <w:r>
              <w:rPr>
                <w:color w:val="000000"/>
                <w:sz w:val="18"/>
                <w:szCs w:val="18"/>
              </w:rPr>
              <w:t>3.3×</w:t>
            </w:r>
          </w:p>
        </w:tc>
      </w:tr>
    </w:tbl>
    <w:p w14:paraId="490A0466" w14:textId="77777777" w:rsidR="004C4578" w:rsidRDefault="00000000">
      <w:r>
        <w:br w:type="page"/>
      </w:r>
    </w:p>
    <w:p w14:paraId="20579852" w14:textId="77777777" w:rsidR="004C4578" w:rsidRDefault="00000000">
      <w:pPr>
        <w:pStyle w:val="Heading1"/>
      </w:pPr>
      <w:r>
        <w:lastRenderedPageBreak/>
        <w:t>References</w:t>
      </w:r>
    </w:p>
    <w:p w14:paraId="5B7B3E68" w14:textId="77777777" w:rsidR="004C4578" w:rsidRDefault="00000000">
      <w:pPr>
        <w:spacing w:after="120" w:line="276" w:lineRule="auto"/>
      </w:pPr>
      <w:proofErr w:type="spellStart"/>
      <w:r>
        <w:rPr>
          <w:color w:val="000000"/>
        </w:rPr>
        <w:t>Boadway</w:t>
      </w:r>
      <w:proofErr w:type="spellEnd"/>
      <w:r>
        <w:rPr>
          <w:color w:val="000000"/>
        </w:rPr>
        <w:t xml:space="preserve">, R., &amp; Shah, A. (2009). </w:t>
      </w:r>
      <w:r>
        <w:rPr>
          <w:i/>
          <w:iCs/>
          <w:color w:val="000000"/>
        </w:rPr>
        <w:t xml:space="preserve">Fiscal Federalism: Principles and Practice of </w:t>
      </w:r>
      <w:proofErr w:type="spellStart"/>
      <w:r>
        <w:rPr>
          <w:i/>
          <w:iCs/>
          <w:color w:val="000000"/>
        </w:rPr>
        <w:t>Multiorder</w:t>
      </w:r>
      <w:proofErr w:type="spellEnd"/>
      <w:r>
        <w:rPr>
          <w:i/>
          <w:iCs/>
          <w:color w:val="000000"/>
        </w:rPr>
        <w:t xml:space="preserve"> Governance.</w:t>
      </w:r>
      <w:r>
        <w:rPr>
          <w:color w:val="000000"/>
        </w:rPr>
        <w:t xml:space="preserve"> Cambridge University Press.</w:t>
      </w:r>
    </w:p>
    <w:p w14:paraId="2215F399" w14:textId="77777777" w:rsidR="004C4578" w:rsidRDefault="00000000">
      <w:pPr>
        <w:spacing w:after="120" w:line="276" w:lineRule="auto"/>
      </w:pPr>
      <w:r>
        <w:rPr>
          <w:color w:val="000000"/>
        </w:rPr>
        <w:t xml:space="preserve">Cameron, A. C., </w:t>
      </w:r>
      <w:proofErr w:type="spellStart"/>
      <w:r>
        <w:rPr>
          <w:color w:val="000000"/>
        </w:rPr>
        <w:t>Gelbach</w:t>
      </w:r>
      <w:proofErr w:type="spellEnd"/>
      <w:r>
        <w:rPr>
          <w:color w:val="000000"/>
        </w:rPr>
        <w:t xml:space="preserve">, J. B., &amp; Miller, D. L. (2008). Bootstrap-based improvements for inference with clustered errors. </w:t>
      </w:r>
      <w:r>
        <w:rPr>
          <w:i/>
          <w:iCs/>
          <w:color w:val="000000"/>
        </w:rPr>
        <w:t>Review of Economics and Statistics, 90</w:t>
      </w:r>
      <w:r>
        <w:rPr>
          <w:color w:val="000000"/>
        </w:rPr>
        <w:t>(3), 414–427.</w:t>
      </w:r>
    </w:p>
    <w:p w14:paraId="3F2F09ED" w14:textId="77777777" w:rsidR="004C4578" w:rsidRDefault="00000000">
      <w:pPr>
        <w:spacing w:after="120" w:line="276" w:lineRule="auto"/>
      </w:pPr>
      <w:r>
        <w:rPr>
          <w:color w:val="000000"/>
        </w:rPr>
        <w:t xml:space="preserve">Cook, R. D. (1977). Detection of influential observation in linear regression. </w:t>
      </w:r>
      <w:proofErr w:type="spellStart"/>
      <w:r>
        <w:rPr>
          <w:i/>
          <w:iCs/>
          <w:color w:val="000000"/>
        </w:rPr>
        <w:t>Technometrics</w:t>
      </w:r>
      <w:proofErr w:type="spellEnd"/>
      <w:r>
        <w:rPr>
          <w:i/>
          <w:iCs/>
          <w:color w:val="000000"/>
        </w:rPr>
        <w:t>, 19</w:t>
      </w:r>
      <w:r>
        <w:rPr>
          <w:color w:val="000000"/>
        </w:rPr>
        <w:t>(1), 15–18.</w:t>
      </w:r>
    </w:p>
    <w:p w14:paraId="0A9C9EAB" w14:textId="77777777" w:rsidR="004C4578" w:rsidRDefault="00000000">
      <w:pPr>
        <w:spacing w:after="120" w:line="276" w:lineRule="auto"/>
      </w:pPr>
      <w:r>
        <w:rPr>
          <w:color w:val="000000"/>
        </w:rPr>
        <w:t xml:space="preserve">Courtney, M. E., &amp; </w:t>
      </w:r>
      <w:proofErr w:type="spellStart"/>
      <w:r>
        <w:rPr>
          <w:color w:val="000000"/>
        </w:rPr>
        <w:t>Dworsky</w:t>
      </w:r>
      <w:proofErr w:type="spellEnd"/>
      <w:r>
        <w:rPr>
          <w:color w:val="000000"/>
        </w:rPr>
        <w:t xml:space="preserve">, A. (2006). Early outcomes for young adults transitioning from out-of-home care in the USA. </w:t>
      </w:r>
      <w:r>
        <w:rPr>
          <w:i/>
          <w:iCs/>
          <w:color w:val="000000"/>
        </w:rPr>
        <w:t>Child &amp; Family Social Work, 11</w:t>
      </w:r>
      <w:r>
        <w:rPr>
          <w:color w:val="000000"/>
        </w:rPr>
        <w:t>(3), 209–219.</w:t>
      </w:r>
    </w:p>
    <w:p w14:paraId="357FCA3B" w14:textId="77777777" w:rsidR="004C4578" w:rsidRDefault="00000000">
      <w:pPr>
        <w:spacing w:after="120" w:line="276" w:lineRule="auto"/>
      </w:pPr>
      <w:r>
        <w:rPr>
          <w:color w:val="000000"/>
        </w:rPr>
        <w:t xml:space="preserve">Diamond, J. (2006). Budget classification and fiscal reporting. In A. Shah (Ed.), </w:t>
      </w:r>
      <w:r>
        <w:rPr>
          <w:i/>
          <w:iCs/>
          <w:color w:val="000000"/>
        </w:rPr>
        <w:t>Public Expenditure Analysis</w:t>
      </w:r>
      <w:r>
        <w:rPr>
          <w:color w:val="000000"/>
        </w:rPr>
        <w:t xml:space="preserve"> (pp. 65–104). World Bank.</w:t>
      </w:r>
    </w:p>
    <w:p w14:paraId="027E178C" w14:textId="77777777" w:rsidR="004C4578" w:rsidRDefault="00000000">
      <w:pPr>
        <w:spacing w:after="120" w:line="276" w:lineRule="auto"/>
      </w:pPr>
      <w:proofErr w:type="spellStart"/>
      <w:r>
        <w:rPr>
          <w:color w:val="000000"/>
        </w:rPr>
        <w:t>Dilger</w:t>
      </w:r>
      <w:proofErr w:type="spellEnd"/>
      <w:r>
        <w:rPr>
          <w:color w:val="000000"/>
        </w:rPr>
        <w:t xml:space="preserve">, R. J., &amp; Boyd, E. (2014). </w:t>
      </w:r>
      <w:r>
        <w:rPr>
          <w:i/>
          <w:iCs/>
          <w:color w:val="000000"/>
        </w:rPr>
        <w:t>Block Grants: Perspectives and Controversies.</w:t>
      </w:r>
      <w:r>
        <w:rPr>
          <w:color w:val="000000"/>
        </w:rPr>
        <w:t xml:space="preserve"> Congressional Research Service, R40486.</w:t>
      </w:r>
    </w:p>
    <w:p w14:paraId="3A5A0EBB" w14:textId="77777777" w:rsidR="004C4578" w:rsidRDefault="00000000">
      <w:pPr>
        <w:spacing w:after="120" w:line="276" w:lineRule="auto"/>
      </w:pPr>
      <w:r>
        <w:rPr>
          <w:color w:val="000000"/>
        </w:rPr>
        <w:t xml:space="preserve">Efron, B., &amp; </w:t>
      </w:r>
      <w:proofErr w:type="spellStart"/>
      <w:r>
        <w:rPr>
          <w:color w:val="000000"/>
        </w:rPr>
        <w:t>Tibshirani</w:t>
      </w:r>
      <w:proofErr w:type="spellEnd"/>
      <w:r>
        <w:rPr>
          <w:color w:val="000000"/>
        </w:rPr>
        <w:t xml:space="preserve">, R. J. (1993). </w:t>
      </w:r>
      <w:r>
        <w:rPr>
          <w:i/>
          <w:iCs/>
          <w:color w:val="000000"/>
        </w:rPr>
        <w:t>An Introduction to the Bootstrap.</w:t>
      </w:r>
      <w:r>
        <w:rPr>
          <w:color w:val="000000"/>
        </w:rPr>
        <w:t xml:space="preserve"> Chapman &amp; Hall/CRC.</w:t>
      </w:r>
    </w:p>
    <w:p w14:paraId="2BF3F09B" w14:textId="77777777" w:rsidR="004C4578" w:rsidRDefault="00000000">
      <w:pPr>
        <w:spacing w:after="120" w:line="276" w:lineRule="auto"/>
      </w:pPr>
      <w:r>
        <w:rPr>
          <w:color w:val="000000"/>
        </w:rPr>
        <w:t xml:space="preserve">Government Accountability Office (GAO). (2012). </w:t>
      </w:r>
      <w:r>
        <w:rPr>
          <w:i/>
          <w:iCs/>
          <w:color w:val="000000"/>
        </w:rPr>
        <w:t>Designing Evaluations: 2012 Revision</w:t>
      </w:r>
      <w:r>
        <w:rPr>
          <w:color w:val="000000"/>
        </w:rPr>
        <w:t xml:space="preserve"> (GAO-12-208G). Washington, DC.</w:t>
      </w:r>
    </w:p>
    <w:p w14:paraId="48623E87" w14:textId="77777777" w:rsidR="004C4578" w:rsidRDefault="00000000">
      <w:pPr>
        <w:spacing w:after="120" w:line="276" w:lineRule="auto"/>
      </w:pPr>
      <w:r>
        <w:rPr>
          <w:color w:val="000000"/>
        </w:rPr>
        <w:t xml:space="preserve">Grizzle, G. A. (1987). Pay and performance: Is the relationship between financial incentive and cost reporting accuracy significant? </w:t>
      </w:r>
      <w:r>
        <w:rPr>
          <w:i/>
          <w:iCs/>
          <w:color w:val="000000"/>
        </w:rPr>
        <w:t>Public Budgeting &amp; Finance, 7</w:t>
      </w:r>
      <w:r>
        <w:rPr>
          <w:color w:val="000000"/>
        </w:rPr>
        <w:t>(4), 15–27.</w:t>
      </w:r>
    </w:p>
    <w:p w14:paraId="7C05A12C" w14:textId="77777777" w:rsidR="004C4578" w:rsidRDefault="00000000">
      <w:pPr>
        <w:spacing w:after="120" w:line="276" w:lineRule="auto"/>
      </w:pPr>
      <w:proofErr w:type="spellStart"/>
      <w:r>
        <w:rPr>
          <w:color w:val="000000"/>
        </w:rPr>
        <w:t>Hesterberg</w:t>
      </w:r>
      <w:proofErr w:type="spellEnd"/>
      <w:r>
        <w:rPr>
          <w:color w:val="000000"/>
        </w:rPr>
        <w:t xml:space="preserve">, T. C. (2015). What teachers should know about the bootstrap: Resampling in the undergraduate statistics curriculum. </w:t>
      </w:r>
      <w:r>
        <w:rPr>
          <w:i/>
          <w:iCs/>
          <w:color w:val="000000"/>
        </w:rPr>
        <w:t>American Statistician, 69</w:t>
      </w:r>
      <w:r>
        <w:rPr>
          <w:color w:val="000000"/>
        </w:rPr>
        <w:t>(4), 371–386.</w:t>
      </w:r>
    </w:p>
    <w:p w14:paraId="7F0516E8" w14:textId="77777777" w:rsidR="004C4578" w:rsidRDefault="00000000">
      <w:pPr>
        <w:spacing w:after="120" w:line="276" w:lineRule="auto"/>
      </w:pPr>
      <w:r>
        <w:rPr>
          <w:color w:val="000000"/>
        </w:rPr>
        <w:t xml:space="preserve">Hirschman, A. O. (1964). The paternity of an index. </w:t>
      </w:r>
      <w:r>
        <w:rPr>
          <w:i/>
          <w:iCs/>
          <w:color w:val="000000"/>
        </w:rPr>
        <w:t>American Economic Review, 54</w:t>
      </w:r>
      <w:r>
        <w:rPr>
          <w:color w:val="000000"/>
        </w:rPr>
        <w:t>(5), 761–762.</w:t>
      </w:r>
    </w:p>
    <w:p w14:paraId="014CC14A" w14:textId="77777777" w:rsidR="004C4578" w:rsidRDefault="00000000">
      <w:pPr>
        <w:spacing w:after="120" w:line="276" w:lineRule="auto"/>
      </w:pPr>
      <w:r>
        <w:rPr>
          <w:color w:val="000000"/>
        </w:rPr>
        <w:t xml:space="preserve">International Monetary Fund (IMF). (2014). </w:t>
      </w:r>
      <w:r>
        <w:rPr>
          <w:i/>
          <w:iCs/>
          <w:color w:val="000000"/>
        </w:rPr>
        <w:t>Government Finance Statistics Manual 2014.</w:t>
      </w:r>
      <w:r>
        <w:rPr>
          <w:color w:val="000000"/>
        </w:rPr>
        <w:t xml:space="preserve"> Washington, DC: IMF.</w:t>
      </w:r>
    </w:p>
    <w:p w14:paraId="789FE2DC" w14:textId="77777777" w:rsidR="004C4578" w:rsidRDefault="00000000">
      <w:pPr>
        <w:spacing w:after="120" w:line="276" w:lineRule="auto"/>
      </w:pPr>
      <w:proofErr w:type="spellStart"/>
      <w:r>
        <w:rPr>
          <w:color w:val="000000"/>
        </w:rPr>
        <w:t>Maginn</w:t>
      </w:r>
      <w:proofErr w:type="spellEnd"/>
      <w:r>
        <w:rPr>
          <w:color w:val="000000"/>
        </w:rPr>
        <w:t xml:space="preserve">, J. L., Tuttle, D. L., </w:t>
      </w:r>
      <w:proofErr w:type="spellStart"/>
      <w:r>
        <w:rPr>
          <w:color w:val="000000"/>
        </w:rPr>
        <w:t>McLeavey</w:t>
      </w:r>
      <w:proofErr w:type="spellEnd"/>
      <w:r>
        <w:rPr>
          <w:color w:val="000000"/>
        </w:rPr>
        <w:t xml:space="preserve">, D. W., &amp; Pinto, J. E. (2007). </w:t>
      </w:r>
      <w:r>
        <w:rPr>
          <w:i/>
          <w:iCs/>
          <w:color w:val="000000"/>
        </w:rPr>
        <w:t>Managing Investment Portfolios: A Dynamic Process</w:t>
      </w:r>
      <w:r>
        <w:rPr>
          <w:color w:val="000000"/>
        </w:rPr>
        <w:t xml:space="preserve"> (3rd ed.). CFA Institute.</w:t>
      </w:r>
    </w:p>
    <w:p w14:paraId="28CF0DDB" w14:textId="77777777" w:rsidR="004C4578" w:rsidRDefault="00000000">
      <w:pPr>
        <w:spacing w:after="120" w:line="276" w:lineRule="auto"/>
      </w:pPr>
      <w:r>
        <w:rPr>
          <w:color w:val="000000"/>
        </w:rPr>
        <w:t xml:space="preserve">Malcolm, D. G., </w:t>
      </w:r>
      <w:proofErr w:type="spellStart"/>
      <w:r>
        <w:rPr>
          <w:color w:val="000000"/>
        </w:rPr>
        <w:t>Roseboom</w:t>
      </w:r>
      <w:proofErr w:type="spellEnd"/>
      <w:r>
        <w:rPr>
          <w:color w:val="000000"/>
        </w:rPr>
        <w:t xml:space="preserve">, J. H., Clark, C. E., &amp; </w:t>
      </w:r>
      <w:proofErr w:type="spellStart"/>
      <w:r>
        <w:rPr>
          <w:color w:val="000000"/>
        </w:rPr>
        <w:t>Fazar</w:t>
      </w:r>
      <w:proofErr w:type="spellEnd"/>
      <w:r>
        <w:rPr>
          <w:color w:val="000000"/>
        </w:rPr>
        <w:t xml:space="preserve">, W. (1959). Application of a technique for research and development program evaluation. </w:t>
      </w:r>
      <w:r>
        <w:rPr>
          <w:i/>
          <w:iCs/>
          <w:color w:val="000000"/>
        </w:rPr>
        <w:t>Operations Research, 7</w:t>
      </w:r>
      <w:r>
        <w:rPr>
          <w:color w:val="000000"/>
        </w:rPr>
        <w:t>(5), 646–669.</w:t>
      </w:r>
    </w:p>
    <w:p w14:paraId="2A535A36" w14:textId="77777777" w:rsidR="004C4578" w:rsidRDefault="00000000">
      <w:pPr>
        <w:spacing w:after="120" w:line="276" w:lineRule="auto"/>
      </w:pPr>
      <w:r>
        <w:rPr>
          <w:color w:val="000000"/>
        </w:rPr>
        <w:t xml:space="preserve">Mikesell, J. L. (2014). </w:t>
      </w:r>
      <w:r>
        <w:rPr>
          <w:i/>
          <w:iCs/>
          <w:color w:val="000000"/>
        </w:rPr>
        <w:t>Fiscal Administration: Analysis and Applications for the Public Sector</w:t>
      </w:r>
      <w:r>
        <w:rPr>
          <w:color w:val="000000"/>
        </w:rPr>
        <w:t xml:space="preserve"> (9th ed.). Cengage Learning.</w:t>
      </w:r>
    </w:p>
    <w:p w14:paraId="5AB88050" w14:textId="77777777" w:rsidR="004C4578" w:rsidRDefault="00000000">
      <w:pPr>
        <w:spacing w:after="120" w:line="276" w:lineRule="auto"/>
      </w:pPr>
      <w:proofErr w:type="spellStart"/>
      <w:r>
        <w:rPr>
          <w:color w:val="000000"/>
        </w:rPr>
        <w:t>Vose</w:t>
      </w:r>
      <w:proofErr w:type="spellEnd"/>
      <w:r>
        <w:rPr>
          <w:color w:val="000000"/>
        </w:rPr>
        <w:t xml:space="preserve">, D. (2008). </w:t>
      </w:r>
      <w:r>
        <w:rPr>
          <w:i/>
          <w:iCs/>
          <w:color w:val="000000"/>
        </w:rPr>
        <w:t>Risk Analysis: A Quantitative Guide</w:t>
      </w:r>
      <w:r>
        <w:rPr>
          <w:color w:val="000000"/>
        </w:rPr>
        <w:t xml:space="preserve"> (3rd ed.). Wiley.</w:t>
      </w:r>
    </w:p>
    <w:p w14:paraId="731F6DD4" w14:textId="77777777" w:rsidR="004C4578" w:rsidRDefault="00000000">
      <w:pPr>
        <w:spacing w:after="120" w:line="276" w:lineRule="auto"/>
      </w:pPr>
      <w:proofErr w:type="spellStart"/>
      <w:r>
        <w:rPr>
          <w:color w:val="000000"/>
        </w:rPr>
        <w:t>Wholey</w:t>
      </w:r>
      <w:proofErr w:type="spellEnd"/>
      <w:r>
        <w:rPr>
          <w:color w:val="000000"/>
        </w:rPr>
        <w:t xml:space="preserve">, J. S., </w:t>
      </w:r>
      <w:proofErr w:type="spellStart"/>
      <w:r>
        <w:rPr>
          <w:color w:val="000000"/>
        </w:rPr>
        <w:t>Hatry</w:t>
      </w:r>
      <w:proofErr w:type="spellEnd"/>
      <w:r>
        <w:rPr>
          <w:color w:val="000000"/>
        </w:rPr>
        <w:t xml:space="preserve">, H. P., &amp; Newcomer, K. E. (2015). </w:t>
      </w:r>
      <w:r>
        <w:rPr>
          <w:i/>
          <w:iCs/>
          <w:color w:val="000000"/>
        </w:rPr>
        <w:t>Handbook of Practical Program Evaluation</w:t>
      </w:r>
      <w:r>
        <w:rPr>
          <w:color w:val="000000"/>
        </w:rPr>
        <w:t xml:space="preserve"> (4th ed.). Jossey-Bass.</w:t>
      </w:r>
    </w:p>
    <w:p w14:paraId="17C54605" w14:textId="77777777" w:rsidR="004C4578" w:rsidRDefault="00000000">
      <w:pPr>
        <w:spacing w:after="120" w:line="276" w:lineRule="auto"/>
      </w:pPr>
      <w:r>
        <w:rPr>
          <w:color w:val="000000"/>
        </w:rPr>
        <w:t xml:space="preserve">Zill, N., &amp; Bramlett, M. D. (2014). Health and well-being of children adopted from foster care. </w:t>
      </w:r>
      <w:r>
        <w:rPr>
          <w:i/>
          <w:iCs/>
          <w:color w:val="000000"/>
        </w:rPr>
        <w:t>Children and Youth Services Review, 40</w:t>
      </w:r>
      <w:r>
        <w:rPr>
          <w:color w:val="000000"/>
        </w:rPr>
        <w:t>, 29–40.</w:t>
      </w:r>
    </w:p>
    <w:sectPr w:rsidR="004C4578">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7702F0"/>
    <w:multiLevelType w:val="hybridMultilevel"/>
    <w:tmpl w:val="AB706E6A"/>
    <w:lvl w:ilvl="0" w:tplc="6966E854">
      <w:start w:val="1"/>
      <w:numFmt w:val="decimal"/>
      <w:lvlText w:val="%1."/>
      <w:lvlJc w:val="left"/>
      <w:pPr>
        <w:ind w:left="720" w:hanging="360"/>
      </w:pPr>
    </w:lvl>
    <w:lvl w:ilvl="1" w:tplc="64384796">
      <w:numFmt w:val="decimal"/>
      <w:lvlText w:val=""/>
      <w:lvlJc w:val="left"/>
    </w:lvl>
    <w:lvl w:ilvl="2" w:tplc="C3D2EF5E">
      <w:numFmt w:val="decimal"/>
      <w:lvlText w:val=""/>
      <w:lvlJc w:val="left"/>
    </w:lvl>
    <w:lvl w:ilvl="3" w:tplc="6E0C1C0A">
      <w:numFmt w:val="decimal"/>
      <w:lvlText w:val=""/>
      <w:lvlJc w:val="left"/>
    </w:lvl>
    <w:lvl w:ilvl="4" w:tplc="1F02F026">
      <w:numFmt w:val="decimal"/>
      <w:lvlText w:val=""/>
      <w:lvlJc w:val="left"/>
    </w:lvl>
    <w:lvl w:ilvl="5" w:tplc="A2564286">
      <w:numFmt w:val="decimal"/>
      <w:lvlText w:val=""/>
      <w:lvlJc w:val="left"/>
    </w:lvl>
    <w:lvl w:ilvl="6" w:tplc="81D0A0A6">
      <w:numFmt w:val="decimal"/>
      <w:lvlText w:val=""/>
      <w:lvlJc w:val="left"/>
    </w:lvl>
    <w:lvl w:ilvl="7" w:tplc="ADF06576">
      <w:numFmt w:val="decimal"/>
      <w:lvlText w:val=""/>
      <w:lvlJc w:val="left"/>
    </w:lvl>
    <w:lvl w:ilvl="8" w:tplc="EBC69600">
      <w:numFmt w:val="decimal"/>
      <w:lvlText w:val=""/>
      <w:lvlJc w:val="left"/>
    </w:lvl>
  </w:abstractNum>
  <w:abstractNum w:abstractNumId="1" w15:restartNumberingAfterBreak="0">
    <w:nsid w:val="6593039F"/>
    <w:multiLevelType w:val="hybridMultilevel"/>
    <w:tmpl w:val="159682BA"/>
    <w:lvl w:ilvl="0" w:tplc="9B801CE4">
      <w:start w:val="1"/>
      <w:numFmt w:val="bullet"/>
      <w:lvlText w:val="●"/>
      <w:lvlJc w:val="left"/>
      <w:pPr>
        <w:ind w:left="720" w:hanging="360"/>
      </w:pPr>
    </w:lvl>
    <w:lvl w:ilvl="1" w:tplc="BBA084C2">
      <w:start w:val="1"/>
      <w:numFmt w:val="bullet"/>
      <w:lvlText w:val="○"/>
      <w:lvlJc w:val="left"/>
      <w:pPr>
        <w:ind w:left="1440" w:hanging="360"/>
      </w:pPr>
    </w:lvl>
    <w:lvl w:ilvl="2" w:tplc="70BA1E3E">
      <w:start w:val="1"/>
      <w:numFmt w:val="bullet"/>
      <w:lvlText w:val="■"/>
      <w:lvlJc w:val="left"/>
      <w:pPr>
        <w:ind w:left="2160" w:hanging="360"/>
      </w:pPr>
    </w:lvl>
    <w:lvl w:ilvl="3" w:tplc="B18CBCC0">
      <w:start w:val="1"/>
      <w:numFmt w:val="bullet"/>
      <w:lvlText w:val="●"/>
      <w:lvlJc w:val="left"/>
      <w:pPr>
        <w:ind w:left="2880" w:hanging="360"/>
      </w:pPr>
    </w:lvl>
    <w:lvl w:ilvl="4" w:tplc="96E2F2E8">
      <w:start w:val="1"/>
      <w:numFmt w:val="bullet"/>
      <w:lvlText w:val="○"/>
      <w:lvlJc w:val="left"/>
      <w:pPr>
        <w:ind w:left="3600" w:hanging="360"/>
      </w:pPr>
    </w:lvl>
    <w:lvl w:ilvl="5" w:tplc="3C222F14">
      <w:start w:val="1"/>
      <w:numFmt w:val="bullet"/>
      <w:lvlText w:val="■"/>
      <w:lvlJc w:val="left"/>
      <w:pPr>
        <w:ind w:left="4320" w:hanging="360"/>
      </w:pPr>
    </w:lvl>
    <w:lvl w:ilvl="6" w:tplc="66AC4838">
      <w:start w:val="1"/>
      <w:numFmt w:val="bullet"/>
      <w:lvlText w:val="●"/>
      <w:lvlJc w:val="left"/>
      <w:pPr>
        <w:ind w:left="5040" w:hanging="360"/>
      </w:pPr>
    </w:lvl>
    <w:lvl w:ilvl="7" w:tplc="1FB2438A">
      <w:start w:val="1"/>
      <w:numFmt w:val="bullet"/>
      <w:lvlText w:val="●"/>
      <w:lvlJc w:val="left"/>
      <w:pPr>
        <w:ind w:left="5760" w:hanging="360"/>
      </w:pPr>
    </w:lvl>
    <w:lvl w:ilvl="8" w:tplc="55287668">
      <w:start w:val="1"/>
      <w:numFmt w:val="bullet"/>
      <w:lvlText w:val="●"/>
      <w:lvlJc w:val="left"/>
      <w:pPr>
        <w:ind w:left="6480" w:hanging="360"/>
      </w:pPr>
    </w:lvl>
  </w:abstractNum>
  <w:abstractNum w:abstractNumId="2" w15:restartNumberingAfterBreak="0">
    <w:nsid w:val="72016CFD"/>
    <w:multiLevelType w:val="hybridMultilevel"/>
    <w:tmpl w:val="D4B490E4"/>
    <w:lvl w:ilvl="0" w:tplc="06868550">
      <w:start w:val="1"/>
      <w:numFmt w:val="bullet"/>
      <w:lvlText w:val="•"/>
      <w:lvlJc w:val="left"/>
      <w:pPr>
        <w:ind w:left="720" w:hanging="360"/>
      </w:pPr>
    </w:lvl>
    <w:lvl w:ilvl="1" w:tplc="B9F467A0">
      <w:numFmt w:val="decimal"/>
      <w:lvlText w:val=""/>
      <w:lvlJc w:val="left"/>
    </w:lvl>
    <w:lvl w:ilvl="2" w:tplc="E208FFB8">
      <w:numFmt w:val="decimal"/>
      <w:lvlText w:val=""/>
      <w:lvlJc w:val="left"/>
    </w:lvl>
    <w:lvl w:ilvl="3" w:tplc="C13CB14A">
      <w:numFmt w:val="decimal"/>
      <w:lvlText w:val=""/>
      <w:lvlJc w:val="left"/>
    </w:lvl>
    <w:lvl w:ilvl="4" w:tplc="FA2CF5E8">
      <w:numFmt w:val="decimal"/>
      <w:lvlText w:val=""/>
      <w:lvlJc w:val="left"/>
    </w:lvl>
    <w:lvl w:ilvl="5" w:tplc="898664B4">
      <w:numFmt w:val="decimal"/>
      <w:lvlText w:val=""/>
      <w:lvlJc w:val="left"/>
    </w:lvl>
    <w:lvl w:ilvl="6" w:tplc="DF14BD58">
      <w:numFmt w:val="decimal"/>
      <w:lvlText w:val=""/>
      <w:lvlJc w:val="left"/>
    </w:lvl>
    <w:lvl w:ilvl="7" w:tplc="678CE556">
      <w:numFmt w:val="decimal"/>
      <w:lvlText w:val=""/>
      <w:lvlJc w:val="left"/>
    </w:lvl>
    <w:lvl w:ilvl="8" w:tplc="9C10893C">
      <w:numFmt w:val="decimal"/>
      <w:lvlText w:val=""/>
      <w:lvlJc w:val="left"/>
    </w:lvl>
  </w:abstractNum>
  <w:num w:numId="1" w16cid:durableId="1517191100">
    <w:abstractNumId w:val="1"/>
    <w:lvlOverride w:ilvl="0">
      <w:startOverride w:val="1"/>
    </w:lvlOverride>
  </w:num>
  <w:num w:numId="2" w16cid:durableId="207573858">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578"/>
    <w:rsid w:val="00210ABD"/>
    <w:rsid w:val="00265414"/>
    <w:rsid w:val="00374B30"/>
    <w:rsid w:val="004C4578"/>
    <w:rsid w:val="0052237D"/>
    <w:rsid w:val="005D5257"/>
    <w:rsid w:val="007057B4"/>
    <w:rsid w:val="008660CC"/>
    <w:rsid w:val="00931AF2"/>
    <w:rsid w:val="00977F98"/>
    <w:rsid w:val="00E87B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2A134"/>
  <w15:docId w15:val="{4B4E532C-7A17-41EA-A32B-877202BAD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140"/>
      <w:outlineLvl w:val="0"/>
    </w:pPr>
    <w:rPr>
      <w:b/>
      <w:bCs/>
      <w:color w:val="1E4E79"/>
      <w:sz w:val="32"/>
      <w:szCs w:val="32"/>
    </w:rPr>
  </w:style>
  <w:style w:type="paragraph" w:styleId="Heading2">
    <w:name w:val="heading 2"/>
    <w:uiPriority w:val="9"/>
    <w:unhideWhenUsed/>
    <w:qFormat/>
    <w:pPr>
      <w:spacing w:before="240" w:after="140"/>
      <w:outlineLvl w:val="1"/>
    </w:pPr>
    <w:rPr>
      <w:b/>
      <w:bCs/>
      <w:color w:val="1E4E79"/>
      <w:sz w:val="28"/>
      <w:szCs w:val="28"/>
    </w:rPr>
  </w:style>
  <w:style w:type="paragraph" w:styleId="Heading3">
    <w:name w:val="heading 3"/>
    <w:uiPriority w:val="9"/>
    <w:semiHidden/>
    <w:unhideWhenUsed/>
    <w:qFormat/>
    <w:pPr>
      <w:spacing w:before="200" w:after="120"/>
      <w:outlineLvl w:val="2"/>
    </w:pPr>
    <w:rPr>
      <w:b/>
      <w:bCs/>
      <w:color w:val="1E4E79"/>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4355</Words>
  <Characters>24830</Characters>
  <Application>Microsoft Office Word</Application>
  <DocSecurity>0</DocSecurity>
  <Lines>206</Lines>
  <Paragraphs>58</Paragraphs>
  <ScaleCrop>false</ScaleCrop>
  <Company/>
  <LinksUpToDate>false</LinksUpToDate>
  <CharactersWithSpaces>29127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Drew Porter</dc:creator>
  <cp:lastModifiedBy>Drew Porter</cp:lastModifiedBy>
  <cp:revision>4</cp:revision>
  <dcterms:created xsi:type="dcterms:W3CDTF">2026-04-16T13:03:00Z</dcterms:created>
  <dcterms:modified xsi:type="dcterms:W3CDTF">2026-04-16T13:07:00Z</dcterms:modified>
</cp:coreProperties>
</file>