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91865" w14:textId="55AD0DE7" w:rsidR="0021405F" w:rsidRPr="0021405F" w:rsidRDefault="0021405F" w:rsidP="00E8019C">
      <w:pPr>
        <w:spacing w:before="360" w:after="140"/>
        <w:jc w:val="center"/>
        <w:outlineLvl w:val="0"/>
        <w:rPr>
          <w:b/>
          <w:bCs/>
          <w:color w:val="1E4E79"/>
          <w:sz w:val="32"/>
          <w:szCs w:val="32"/>
        </w:rPr>
      </w:pPr>
      <w:r>
        <w:rPr>
          <w:b/>
          <w:bCs/>
          <w:color w:val="1E4E79"/>
          <w:sz w:val="32"/>
          <w:szCs w:val="32"/>
        </w:rPr>
        <w:t>County-Level Heat Map Analysis</w:t>
      </w:r>
      <w:r w:rsidRPr="0021405F">
        <w:rPr>
          <w:b/>
          <w:bCs/>
          <w:color w:val="1E4E79"/>
          <w:sz w:val="32"/>
          <w:szCs w:val="32"/>
        </w:rPr>
        <w:t>: Methods Documentation</w:t>
      </w:r>
    </w:p>
    <w:p w14:paraId="3D09D19A" w14:textId="77777777" w:rsidR="0021405F" w:rsidRPr="0021405F" w:rsidRDefault="0021405F" w:rsidP="0021405F">
      <w:pPr>
        <w:spacing w:after="40" w:line="276" w:lineRule="auto"/>
        <w:jc w:val="center"/>
      </w:pPr>
      <w:r w:rsidRPr="0021405F">
        <w:t>FY2024–25 Resource Mapping Report</w:t>
      </w:r>
    </w:p>
    <w:p w14:paraId="3CBAE4E6" w14:textId="77777777" w:rsidR="0021405F" w:rsidRPr="0021405F" w:rsidRDefault="0021405F" w:rsidP="0021405F">
      <w:pPr>
        <w:spacing w:after="40" w:line="276" w:lineRule="auto"/>
        <w:jc w:val="center"/>
      </w:pPr>
      <w:r w:rsidRPr="0021405F">
        <w:t>Tennessee Commission on Children and Youth</w:t>
      </w:r>
    </w:p>
    <w:p w14:paraId="68EC313B" w14:textId="77777777" w:rsidR="0021405F" w:rsidRPr="0021405F" w:rsidRDefault="0021405F" w:rsidP="0021405F">
      <w:pPr>
        <w:spacing w:after="300" w:line="276" w:lineRule="auto"/>
        <w:jc w:val="center"/>
      </w:pPr>
      <w:r w:rsidRPr="0021405F">
        <w:rPr>
          <w:i/>
          <w:iCs/>
        </w:rPr>
        <w:t>April 2026</w:t>
      </w:r>
    </w:p>
    <w:p w14:paraId="424D41F6" w14:textId="77777777" w:rsidR="007264BD" w:rsidRDefault="00000000">
      <w:pPr>
        <w:pStyle w:val="Heading1"/>
      </w:pPr>
      <w:r>
        <w:t>1. Overview</w:t>
      </w:r>
    </w:p>
    <w:p w14:paraId="28E85555" w14:textId="77777777" w:rsidR="007264BD" w:rsidRDefault="00000000">
      <w:pPr>
        <w:spacing w:after="160" w:line="276" w:lineRule="auto"/>
      </w:pPr>
      <w:r>
        <w:t>This document describes the data processing, transformation, visualization, and analytic methods used to produce the FY2024–25 county-level heat map matrices and choropleth maps for the Tennessee Commission on Children and Youth (TCCY) Resource Mapping report, submitted annually to the General Assembly pursuant to TCA § 37-3-116. The heat maps display three metrics—program coverage (count), expenditure, and children served—disaggregated by Tennessee’s 95 counties and cross-tabulated by TCCY’s outcome taxonomy (Educated, Healthy, Safe, Nurtured and Supported, Engaged), programmatic focus classification, and early childhood designation.</w:t>
      </w:r>
    </w:p>
    <w:p w14:paraId="741E64FC" w14:textId="77777777" w:rsidR="007264BD" w:rsidRDefault="00000000">
      <w:pPr>
        <w:spacing w:after="160" w:line="276" w:lineRule="auto"/>
      </w:pPr>
      <w:r>
        <w:t>The analysis rests on a three-stage pipeline: (1) a district-to-county crosswalk and extraction script that converts reporter-submitted workbook data into a standardized county-level analytical file; (2) a heat map builder that aggregates the extracted data into population-normalized matrices; and (3) a choropleth visualization engine that renders three-panel county maps using natural breaks classification. All three stages are implemented in Python and are fully reproducible from source workbooks and publicly available Census shapefiles.</w:t>
      </w:r>
    </w:p>
    <w:p w14:paraId="4D14FFD9" w14:textId="77777777" w:rsidR="007264BD" w:rsidRDefault="00000000">
      <w:pPr>
        <w:pStyle w:val="Heading1"/>
      </w:pPr>
      <w:r>
        <w:t>2. Data Sources</w:t>
      </w:r>
    </w:p>
    <w:p w14:paraId="39A7FBAD" w14:textId="77777777" w:rsidR="007264BD" w:rsidRDefault="00000000">
      <w:pPr>
        <w:pStyle w:val="Heading2"/>
      </w:pPr>
      <w:r>
        <w:t>2.1 Agency Workbooks</w:t>
      </w:r>
    </w:p>
    <w:p w14:paraId="7C6EFF80" w14:textId="77777777" w:rsidR="007264BD" w:rsidRDefault="00000000">
      <w:pPr>
        <w:spacing w:after="160" w:line="276" w:lineRule="auto"/>
      </w:pPr>
      <w:r>
        <w:t>Program data are collected via standardized Excel workbooks distributed to 26 state agencies. Each workbook contains one sheet per program following a fixed template layout: program metadata (rows 1–22), statewide filing information including funding amounts (rows 15–21), statewide number of children served (row 26), and a county/district section (rows 82+) with per-geography breakdowns of children served and expenditure by funding source. For FY25, 10 consolidated workbook files were processed, encompassing 282 child-serving programs after exclusions.</w:t>
      </w:r>
    </w:p>
    <w:p w14:paraId="494CC1AB" w14:textId="77777777" w:rsidR="007264BD" w:rsidRDefault="00000000">
      <w:pPr>
        <w:pStyle w:val="Heading2"/>
      </w:pPr>
      <w:r>
        <w:t>2.2 Program Coding Reference</w:t>
      </w:r>
    </w:p>
    <w:p w14:paraId="20AE93D1" w14:textId="77777777" w:rsidR="007264BD" w:rsidRDefault="00000000">
      <w:pPr>
        <w:spacing w:after="160" w:line="276" w:lineRule="auto"/>
      </w:pPr>
      <w:r>
        <w:t xml:space="preserve">All programs are classified using RM_Program_Coding_Reference2.xlsx, which assigns each program a primary outcome (five-category taxonomy), programmatic focus (seven-category taxonomy), early childhood flag (Under_6), and adult-only designation. The coding reference contains 647 entries. Programs not present in the reference are matched via a multi-stage fuzzy lookup (exact match, alias table, parenthetical-stripped normalization, cross-containment matching, significant-word overlap scoring with a minimum of 2 words of 4+ characters, and </w:t>
      </w:r>
      <w:r>
        <w:lastRenderedPageBreak/>
        <w:t>acronym-in-parentheses detection), achieving 100% coverage of the 282 programs in the FY25 file. Three programs not in the reference (Tennessee State Parks, WIOA Summer Jobs, Workforce Innovation Opportunity Act) are coded via a hardcoded fallback table.</w:t>
      </w:r>
    </w:p>
    <w:p w14:paraId="64697278" w14:textId="77777777" w:rsidR="007264BD" w:rsidRDefault="00000000">
      <w:pPr>
        <w:pStyle w:val="Heading2"/>
      </w:pPr>
      <w:r>
        <w:t>2.3 Population Denominators</w:t>
      </w:r>
    </w:p>
    <w:p w14:paraId="3C59529D" w14:textId="77777777" w:rsidR="007264BD" w:rsidRDefault="00000000">
      <w:pPr>
        <w:spacing w:after="160" w:line="276" w:lineRule="auto"/>
      </w:pPr>
      <w:r>
        <w:t>County-level child population estimates are drawn from the U.S. Census Bureau’s American Community Survey (ACS) 5-Year Estimates, Table B09001 (“Population Under 18 Years by Age”). Under-18 population is taken directly from B09001_001E; under-6 population is computed as the sum of B09001_003E (under 3), B09001_004E (ages 3–4), and B09001_005E (age 5). The ACS file covers all 95 Tennessee counties (U.S. Census Bureau, 2024).</w:t>
      </w:r>
    </w:p>
    <w:p w14:paraId="49C335E3" w14:textId="77777777" w:rsidR="007264BD" w:rsidRDefault="00000000">
      <w:pPr>
        <w:pStyle w:val="Heading2"/>
      </w:pPr>
      <w:r>
        <w:t>2.4 Geographic Boundaries</w:t>
      </w:r>
    </w:p>
    <w:p w14:paraId="60F73209" w14:textId="77777777" w:rsidR="007264BD" w:rsidRDefault="00000000">
      <w:pPr>
        <w:spacing w:after="160" w:line="276" w:lineRule="auto"/>
      </w:pPr>
      <w:r>
        <w:t>County boundary geometries are sourced from the U.S. Census Bureau’s TIGER/Line shapefile program (2023 vintage, STATEFP = 47). The shapefile is downloaded once from the Census Bureau and cached locally as a GeoPackage file projected to WGS 84 (EPSG:4326). All 95 Tennessee counties are represented. Using the most recent TIGER/Line vintage ensures alignment with current legal county boundaries and avoids discrepancies from historical boundary changes (U.S. Census Bureau, 2023).</w:t>
      </w:r>
    </w:p>
    <w:p w14:paraId="064764AE" w14:textId="77777777" w:rsidR="007264BD" w:rsidRDefault="00000000">
      <w:pPr>
        <w:pStyle w:val="Heading1"/>
      </w:pPr>
      <w:r>
        <w:t>3. Stage 1: County-Level Extraction and District-to-County Crosswalk</w:t>
      </w:r>
    </w:p>
    <w:p w14:paraId="7BEE1FC7" w14:textId="77777777" w:rsidR="007264BD" w:rsidRDefault="00000000">
      <w:pPr>
        <w:pStyle w:val="Heading2"/>
      </w:pPr>
      <w:r>
        <w:t>3.1 Template Parsing</w:t>
      </w:r>
    </w:p>
    <w:p w14:paraId="79461AD0" w14:textId="77777777" w:rsidR="007264BD" w:rsidRDefault="00000000">
      <w:pPr>
        <w:spacing w:after="160" w:line="276" w:lineRule="auto"/>
      </w:pPr>
      <w:r>
        <w:t>Each program sheet is parsed using openpyxl in data_only mode to read cached formula values. The script dynamically detects the county-section header row (typically row 82) by scanning rows 78–89 for cells containing both “county” and “information” or “district.” Column positions for children served, funding source expenditures, and total expenditure are identified by scanning header text for keywords (“number of children,” “children served,” “allocation,” “expenditure,” “total”). This accommodates layout variation across workbooks: some sheets have 3 funding source columns plus a total column, while others have up to 8 source columns. When a “Total” column is present, it is used directly; otherwise, source columns are summed.</w:t>
      </w:r>
    </w:p>
    <w:p w14:paraId="117F91C8" w14:textId="77777777" w:rsidR="007264BD" w:rsidRDefault="00000000">
      <w:pPr>
        <w:spacing w:after="160" w:line="276" w:lineRule="auto"/>
      </w:pPr>
      <w:r>
        <w:t>Rows in the county section containing summary keywords (e.g., “total,” “grand total,” “calculated number,” “difference between,” “should be zero”) are automatically excluded to prevent aggregate rows from contaminating the county-level extraction.</w:t>
      </w:r>
    </w:p>
    <w:p w14:paraId="66084EA4" w14:textId="77777777" w:rsidR="007264BD" w:rsidRDefault="00000000">
      <w:pPr>
        <w:pStyle w:val="Heading2"/>
      </w:pPr>
      <w:r>
        <w:t>3.2 School District-to-County Conversion</w:t>
      </w:r>
    </w:p>
    <w:p w14:paraId="67BDD120" w14:textId="77777777" w:rsidR="007264BD" w:rsidRDefault="00000000">
      <w:pPr>
        <w:spacing w:after="160" w:line="276" w:lineRule="auto"/>
      </w:pPr>
      <w:r>
        <w:t xml:space="preserve">Tennessee’s education programs frequently report data at the school district level rather than the county level. Tennessee has 142 school districts, including 95 county school districts, approximately 30 city school districts (e.g., Alcoa City, Kingsport City), and several special school districts (e.g., Franklin Special School District). A comprehensive crosswalk maps all known district names—including common misspellings, truncations from column-width </w:t>
      </w:r>
      <w:r>
        <w:lastRenderedPageBreak/>
        <w:t>limitations, and variant forms—to their host county. The crosswalk contains 130 explicit district-to-county mappings plus suffix-stripping rules.</w:t>
      </w:r>
    </w:p>
    <w:p w14:paraId="780CB9E0" w14:textId="77777777" w:rsidR="007264BD" w:rsidRDefault="00000000">
      <w:pPr>
        <w:spacing w:after="160" w:line="276" w:lineRule="auto"/>
      </w:pPr>
      <w:r>
        <w:t>The resolution algorithm proceeds in the following order, stopping at the first match: (1) strip “County” suffix and match against the 95 canonical county names; (2) look up the normalized name in the explicit mapping dictionary; (3) strip common suffixes (“School District,” “City Schools,” “Special School District,” etc.) and retry against both county names and the mapping dictionary; (4) match against bare county names; (5) extract county names from parenthetical annotations (e.g., “included in Anderson County”). Entries that map to state-level agencies (e.g., “State Board of Education,” “Dept Children Services”) resolve to null and are excluded from county-level aggregation.</w:t>
      </w:r>
    </w:p>
    <w:p w14:paraId="1B43ACE1" w14:textId="77777777" w:rsidR="007264BD" w:rsidRDefault="00000000">
      <w:pPr>
        <w:spacing w:after="160" w:line="276" w:lineRule="auto"/>
      </w:pPr>
      <w:r>
        <w:t>When multiple districts map to the same county (e.g., Anderson County School District, Clinton City Elementary, and Oak Ridge City Schools all map to Anderson), their children served and expenditure values are summed. This aggregation is consistent with standard geographic concordance methods used in educational research (Snyder et al., 2019).</w:t>
      </w:r>
    </w:p>
    <w:p w14:paraId="0E4BF9CD" w14:textId="77777777" w:rsidR="007264BD" w:rsidRDefault="00000000">
      <w:pPr>
        <w:pStyle w:val="Heading2"/>
      </w:pPr>
      <w:r>
        <w:t>3.3 Program Merges</w:t>
      </w:r>
    </w:p>
    <w:p w14:paraId="13BADA95" w14:textId="77777777" w:rsidR="007264BD" w:rsidRDefault="00000000">
      <w:pPr>
        <w:spacing w:after="160" w:line="276" w:lineRule="auto"/>
      </w:pPr>
      <w:r>
        <w:t>Three sets of programs are merged into single analytic units to reflect their operational structure:</w:t>
      </w:r>
    </w:p>
    <w:p w14:paraId="026046F2" w14:textId="77777777" w:rsidR="007264BD" w:rsidRDefault="00000000">
      <w:pPr>
        <w:pStyle w:val="ListParagraph"/>
        <w:numPr>
          <w:ilvl w:val="0"/>
          <w:numId w:val="2"/>
        </w:numPr>
        <w:spacing w:after="120" w:line="276" w:lineRule="auto"/>
      </w:pPr>
      <w:r>
        <w:rPr>
          <w:b/>
          <w:bCs/>
        </w:rPr>
        <w:t xml:space="preserve">CCTE Governor’s Schools: </w:t>
      </w:r>
      <w:r>
        <w:t>11 individual Governor’s School sheets (one per host university) are merged into a single program. County-level children served and expenditure are summed across all 11 components.</w:t>
      </w:r>
    </w:p>
    <w:p w14:paraId="428E69F6" w14:textId="77777777" w:rsidR="007264BD" w:rsidRDefault="00000000">
      <w:pPr>
        <w:pStyle w:val="ListParagraph"/>
        <w:numPr>
          <w:ilvl w:val="0"/>
          <w:numId w:val="2"/>
        </w:numPr>
        <w:spacing w:after="120" w:line="276" w:lineRule="auto"/>
      </w:pPr>
      <w:r>
        <w:rPr>
          <w:b/>
          <w:bCs/>
        </w:rPr>
        <w:t xml:space="preserve">Injury Prevention: </w:t>
      </w:r>
      <w:r>
        <w:t>Three DOH sub-programs (Checkpoints PTDA, Tennessee Safe Stars Initiative, and Tennessee Child Safety Seat Fund Program) are consolidated into a single “Injury Prevention” program, consistent with their shared programmatic focus and funding stream.</w:t>
      </w:r>
    </w:p>
    <w:p w14:paraId="6C83D71C" w14:textId="77777777" w:rsidR="007264BD" w:rsidRDefault="00000000">
      <w:pPr>
        <w:pStyle w:val="ListParagraph"/>
        <w:numPr>
          <w:ilvl w:val="0"/>
          <w:numId w:val="2"/>
        </w:numPr>
        <w:spacing w:after="120" w:line="276" w:lineRule="auto"/>
      </w:pPr>
      <w:r>
        <w:rPr>
          <w:b/>
          <w:bCs/>
        </w:rPr>
        <w:t xml:space="preserve">WIC Food &amp; Administration: </w:t>
      </w:r>
      <w:r>
        <w:t>The WIC (343.53) administrative sheet and the WIC Food benefits sheet are merged, as they serve the same enrolled population and their expenditures are complementary components of a single service delivery system.</w:t>
      </w:r>
    </w:p>
    <w:p w14:paraId="18E04EBA" w14:textId="77777777" w:rsidR="007264BD" w:rsidRDefault="00000000">
      <w:pPr>
        <w:pStyle w:val="Heading2"/>
      </w:pPr>
      <w:r>
        <w:t>3.4 Program Exclusions</w:t>
      </w:r>
    </w:p>
    <w:p w14:paraId="7038EB4B" w14:textId="77777777" w:rsidR="007264BD" w:rsidRDefault="00000000">
      <w:pPr>
        <w:spacing w:after="160" w:line="276" w:lineRule="auto"/>
      </w:pPr>
      <w:r>
        <w:t>Two categories of programs are excluded from the county-level analytical file:</w:t>
      </w:r>
    </w:p>
    <w:p w14:paraId="52A77F27" w14:textId="77777777" w:rsidR="007264BD" w:rsidRDefault="00000000">
      <w:pPr>
        <w:pStyle w:val="ListParagraph"/>
        <w:numPr>
          <w:ilvl w:val="0"/>
          <w:numId w:val="2"/>
        </w:numPr>
        <w:spacing w:after="120" w:line="276" w:lineRule="auto"/>
      </w:pPr>
      <w:r>
        <w:rPr>
          <w:b/>
          <w:bCs/>
        </w:rPr>
        <w:t xml:space="preserve">TISA passthrough: </w:t>
      </w:r>
      <w:r>
        <w:t>The Tennessee Investment in Student Achievement (TISA) formula funding ($6.5 billion) is excluded because it represents a general-purpose funding stream that does not correspond to a discrete child-serving program. Including it would obscure meaningful variation in targeted program investment.</w:t>
      </w:r>
    </w:p>
    <w:p w14:paraId="7EC5CC03" w14:textId="77777777" w:rsidR="007264BD" w:rsidRDefault="00000000">
      <w:pPr>
        <w:pStyle w:val="ListParagraph"/>
        <w:numPr>
          <w:ilvl w:val="0"/>
          <w:numId w:val="2"/>
        </w:numPr>
        <w:spacing w:after="120" w:line="276" w:lineRule="auto"/>
      </w:pPr>
      <w:r>
        <w:rPr>
          <w:b/>
          <w:bCs/>
        </w:rPr>
        <w:t xml:space="preserve">ESSA Title IV-A Administration: </w:t>
      </w:r>
      <w:r>
        <w:t>The administrative component of the ESSA Title IV, Part A grant is excluded because its county-level children served figures are identical to the flowthrough component (both report the same enrolled population). Retaining both would double-count 887,550 children. The flowthrough component, which carries the programmatic expenditure ($16.1 million), is retained.</w:t>
      </w:r>
    </w:p>
    <w:p w14:paraId="05308EEC" w14:textId="77777777" w:rsidR="007264BD" w:rsidRDefault="00000000">
      <w:pPr>
        <w:pStyle w:val="Heading2"/>
      </w:pPr>
      <w:r>
        <w:lastRenderedPageBreak/>
        <w:t>3.5 Statewide-Only Programs</w:t>
      </w:r>
    </w:p>
    <w:p w14:paraId="32E7A2B7" w14:textId="77777777" w:rsidR="007264BD" w:rsidRDefault="00000000">
      <w:pPr>
        <w:spacing w:after="160" w:line="276" w:lineRule="auto"/>
      </w:pPr>
      <w:r>
        <w:t>Programs without county-level data in the workbook template (i.e., reporters entered statewide totals but did not distribute to counties) are retained in the analytical file as “Statewide” rows using the header-level number served and expenditure values. These programs contribute to coverage maps (via the Counties Served text parsed in Stage 2) but do not appear in expenditure or children-served maps, which require county-level data. The statewide NServed value is extracted from multiple candidate rows (rows 24–29 for children, rows 37–41 for people served) to accommodate template variation.</w:t>
      </w:r>
    </w:p>
    <w:p w14:paraId="7B5A1C0C" w14:textId="77777777" w:rsidR="007264BD" w:rsidRDefault="00000000">
      <w:pPr>
        <w:pStyle w:val="Heading2"/>
      </w:pPr>
      <w:r>
        <w:t>3.6 Coding Application</w:t>
      </w:r>
    </w:p>
    <w:p w14:paraId="4AF2E2D5" w14:textId="77777777" w:rsidR="007264BD" w:rsidRDefault="00000000">
      <w:pPr>
        <w:spacing w:after="160" w:line="276" w:lineRule="auto"/>
      </w:pPr>
      <w:r>
        <w:t>Each program is assigned its outcome, focus, early childhood, and adult-only classification from the coding reference via the multi-stage lookup described in Section 2.2. The six-stage matching process (exact match, alias table, parenthetical-stripped normalization, cross-containment with an 8-character minimum length threshold, significant-word overlap scoring, and acronym-in-parentheses detection) achieves 100% coding coverage across all 282 programs.</w:t>
      </w:r>
    </w:p>
    <w:p w14:paraId="62F4E390" w14:textId="77777777" w:rsidR="007264BD" w:rsidRDefault="00000000">
      <w:pPr>
        <w:pStyle w:val="Heading2"/>
      </w:pPr>
      <w:r>
        <w:t>3.7 Output and Validation</w:t>
      </w:r>
    </w:p>
    <w:p w14:paraId="67CAF183" w14:textId="77777777" w:rsidR="007264BD" w:rsidRDefault="00000000">
      <w:pPr>
        <w:spacing w:after="160" w:line="276" w:lineRule="auto"/>
      </w:pPr>
      <w:r>
        <w:t>The extraction pipeline produces a CSV file (District_to_County_Converted_v2.csv) with one row per program-county combination. Each row contains: Agency, Program name, County, Children_Served, Expenditure, Outcome code, Focus code, Under_6 flag, Counties_Served_Text (from row 13 of the template), Source_File, State_NServed, and State_Expenditure. The pipeline was validated by comparing the CSV output against the source workbooks at the individual cell level. Across 4,088 county-level rows with matched workbook data, 95.8% matched exactly. All 171 discrepancies are attributable to the district-to-county aggregation (city school districts summed into their host county), producing correctly higher values in the CSV than in the workbook’s single county row. Zero cases of data loss (CSV lower than workbook) were identified.</w:t>
      </w:r>
    </w:p>
    <w:p w14:paraId="6FA02580" w14:textId="77777777" w:rsidR="007264BD" w:rsidRDefault="00000000">
      <w:pPr>
        <w:pStyle w:val="Heading1"/>
      </w:pPr>
      <w:r>
        <w:t>4. Stage 2: Heat Map Construction</w:t>
      </w:r>
    </w:p>
    <w:p w14:paraId="6DCB8374" w14:textId="77777777" w:rsidR="007264BD" w:rsidRDefault="00000000">
      <w:pPr>
        <w:pStyle w:val="Heading2"/>
      </w:pPr>
      <w:r>
        <w:t>4.1 Adult-Only Program Exclusion</w:t>
      </w:r>
    </w:p>
    <w:p w14:paraId="337EDEF8" w14:textId="77777777" w:rsidR="007264BD" w:rsidRDefault="00000000">
      <w:pPr>
        <w:spacing w:after="160" w:line="276" w:lineRule="auto"/>
      </w:pPr>
      <w:r>
        <w:t>Before aggregation, programs flagged as adult-only in the coding reference are excluded from the analytical dataset. Adult-only programs are those directed exclusively at adult participants (e.g., professional development, parent training certifications) where children are indirect rather than direct beneficiaries. This exclusion prevents inflating county-level counts with programs that do not directly serve children. The adult-only set is loaded independently from the coding reference to ensure consistency with the classification taxonomy.</w:t>
      </w:r>
    </w:p>
    <w:p w14:paraId="253CA43D" w14:textId="77777777" w:rsidR="007264BD" w:rsidRDefault="00000000">
      <w:pPr>
        <w:pStyle w:val="Heading2"/>
      </w:pPr>
      <w:r>
        <w:t>4.2 Coverage Maps (Program Count)</w:t>
      </w:r>
    </w:p>
    <w:p w14:paraId="22759154" w14:textId="77777777" w:rsidR="007264BD" w:rsidRDefault="00000000">
      <w:pPr>
        <w:spacing w:after="160" w:line="276" w:lineRule="auto"/>
      </w:pPr>
      <w:r>
        <w:lastRenderedPageBreak/>
        <w:t>Coverage maps count the number of distinct child-serving programs available in each county. Service area is determined from the “Counties Served” text field (row 13) of each reporter template, parsed by a rule-based natural language parser that recognizes the following patterns in priority order:</w:t>
      </w:r>
    </w:p>
    <w:p w14:paraId="1354FCD7" w14:textId="77777777" w:rsidR="007264BD" w:rsidRDefault="00000000">
      <w:pPr>
        <w:pStyle w:val="ListParagraph"/>
        <w:numPr>
          <w:ilvl w:val="0"/>
          <w:numId w:val="2"/>
        </w:numPr>
        <w:spacing w:after="120" w:line="276" w:lineRule="auto"/>
      </w:pPr>
      <w:r>
        <w:rPr>
          <w:b/>
          <w:bCs/>
        </w:rPr>
        <w:t xml:space="preserve">Statewide indicators: </w:t>
      </w:r>
      <w:r>
        <w:t>“Statewide,” “All counties,” “All 95 counties,” “All of Tennessee,” “Yes,” “Available to all counties,” or numeric values ≥ 85 (e.g., “95”).</w:t>
      </w:r>
    </w:p>
    <w:p w14:paraId="3E7475DC" w14:textId="77777777" w:rsidR="007264BD" w:rsidRDefault="00000000">
      <w:pPr>
        <w:pStyle w:val="ListParagraph"/>
        <w:numPr>
          <w:ilvl w:val="0"/>
          <w:numId w:val="2"/>
        </w:numPr>
        <w:spacing w:after="120" w:line="276" w:lineRule="auto"/>
      </w:pPr>
      <w:r>
        <w:rPr>
          <w:b/>
          <w:bCs/>
        </w:rPr>
        <w:t xml:space="preserve">TDOE region names: </w:t>
      </w:r>
      <w:r>
        <w:t>Region identifiers (e.g., “Upper Cumberland,” “Northeast,” “Mid-Cumberland”) are mapped to their constituent counties using the Tennessee Department of Education regional classification (10 regions). When 8 or more distinct regions are mentioned, the program is treated as statewide, since this threshold captures substantially all of Tennessee’s geography.</w:t>
      </w:r>
    </w:p>
    <w:p w14:paraId="14DA43C7" w14:textId="77777777" w:rsidR="007264BD" w:rsidRDefault="00000000">
      <w:pPr>
        <w:pStyle w:val="ListParagraph"/>
        <w:numPr>
          <w:ilvl w:val="0"/>
          <w:numId w:val="2"/>
        </w:numPr>
        <w:spacing w:after="120" w:line="276" w:lineRule="auto"/>
      </w:pPr>
      <w:r>
        <w:rPr>
          <w:b/>
          <w:bCs/>
        </w:rPr>
        <w:t xml:space="preserve">Explicit county lists: </w:t>
      </w:r>
      <w:r>
        <w:t>Comma- or semicolon-delimited county names, with the “County” suffix stripped before matching.</w:t>
      </w:r>
    </w:p>
    <w:p w14:paraId="1466EE61" w14:textId="77777777" w:rsidR="007264BD" w:rsidRDefault="00000000">
      <w:pPr>
        <w:pStyle w:val="ListParagraph"/>
        <w:numPr>
          <w:ilvl w:val="0"/>
          <w:numId w:val="2"/>
        </w:numPr>
        <w:spacing w:after="120" w:line="276" w:lineRule="auto"/>
      </w:pPr>
      <w:r>
        <w:rPr>
          <w:b/>
          <w:bCs/>
        </w:rPr>
        <w:t xml:space="preserve">Substring fallback: </w:t>
      </w:r>
      <w:r>
        <w:t>If no structured match is found, each of the 95 county names is tested as a substring of the raw text.</w:t>
      </w:r>
    </w:p>
    <w:p w14:paraId="4BD3C4D9" w14:textId="77777777" w:rsidR="007264BD" w:rsidRDefault="00000000">
      <w:pPr>
        <w:pStyle w:val="ListParagraph"/>
        <w:numPr>
          <w:ilvl w:val="0"/>
          <w:numId w:val="2"/>
        </w:numPr>
        <w:spacing w:after="120" w:line="276" w:lineRule="auto"/>
      </w:pPr>
      <w:r>
        <w:rPr>
          <w:b/>
          <w:bCs/>
        </w:rPr>
        <w:t xml:space="preserve">Data-row fallback: </w:t>
      </w:r>
      <w:r>
        <w:t>When no service area can be resolved from the text, the actual counties present in the county-level data rows are used.</w:t>
      </w:r>
    </w:p>
    <w:p w14:paraId="163388DC" w14:textId="77777777" w:rsidR="007264BD" w:rsidRDefault="00000000">
      <w:pPr>
        <w:spacing w:after="160" w:line="276" w:lineRule="auto"/>
      </w:pPr>
      <w:r>
        <w:t>Programs with “no direct service” or “N/A” in the service area field are assigned an empty service area and excluded from coverage maps. Coverage counts are not normalized for display in the heat map matrix (raw program counts per county per category) but are normalized per 10,000 children (under-18 for general maps, under-6 for early childhood maps) for cross-county comparison. This normalization standard follows conventions in public health surveillance (CDC, 2023) and child welfare service mapping (Wulczyn et al., 2005).</w:t>
      </w:r>
    </w:p>
    <w:p w14:paraId="52161319" w14:textId="77777777" w:rsidR="007264BD" w:rsidRDefault="00000000">
      <w:pPr>
        <w:spacing w:after="160" w:line="276" w:lineRule="auto"/>
      </w:pPr>
      <w:r>
        <w:rPr>
          <w:b/>
          <w:bCs/>
        </w:rPr>
        <w:t xml:space="preserve">Methodological note: </w:t>
      </w:r>
      <w:r>
        <w:t>Coverage maps measure program breadth (the number of distinct programs available), not program intensity or spending magnitude. A county served by 25 small-budget programs will appear more densely covered than a county served by 3 large programs, even if total investment is lower. Coverage maps should therefore be interpreted in conjunction with expenditure maps to form a complete picture of resource distribution.</w:t>
      </w:r>
    </w:p>
    <w:p w14:paraId="33E7823F" w14:textId="77777777" w:rsidR="007264BD" w:rsidRDefault="00000000">
      <w:pPr>
        <w:pStyle w:val="Heading2"/>
      </w:pPr>
      <w:r>
        <w:t>4.3 Expenditure Maps</w:t>
      </w:r>
    </w:p>
    <w:p w14:paraId="537C6E65" w14:textId="77777777" w:rsidR="007264BD" w:rsidRDefault="00000000">
      <w:pPr>
        <w:spacing w:after="160" w:line="276" w:lineRule="auto"/>
      </w:pPr>
      <w:r>
        <w:t>Expenditure maps aggregate county-level expenditure from the county section of each workbook template. Only programs with county-level data contribute to these maps; statewide-only programs (those with only a “Statewide” row) are excluded. Expenditure is normalized as dollars per child (under-18 for general maps, under-6 for early childhood). This per-capita normalization is standard in fiscal equity analysis of child-serving systems (Meyers et al., 2004; Chaudry et al., 2021).</w:t>
      </w:r>
    </w:p>
    <w:p w14:paraId="67A40BC7" w14:textId="77777777" w:rsidR="007264BD" w:rsidRDefault="00000000">
      <w:pPr>
        <w:spacing w:after="160" w:line="276" w:lineRule="auto"/>
      </w:pPr>
      <w:r>
        <w:t xml:space="preserve">County-level expenditure represents a subset of total FY25 program expenditure. The remaining expenditure consists of programs where reporters entered statewide totals without county-level distribution. This coverage limitation is noted in the heat map metadata and should be considered when interpreting geographic patterns: counties with higher proportions of </w:t>
      </w:r>
      <w:r>
        <w:lastRenderedPageBreak/>
        <w:t>statewide-only programs may appear underserved in expenditure maps relative to their true resource levels.</w:t>
      </w:r>
    </w:p>
    <w:p w14:paraId="1B64D17F" w14:textId="77777777" w:rsidR="007264BD" w:rsidRDefault="00000000">
      <w:pPr>
        <w:pStyle w:val="Heading2"/>
      </w:pPr>
      <w:r>
        <w:t>4.4 Children Served Maps</w:t>
      </w:r>
    </w:p>
    <w:p w14:paraId="05C5C6D0" w14:textId="77777777" w:rsidR="007264BD" w:rsidRDefault="00000000">
      <w:pPr>
        <w:spacing w:after="160" w:line="276" w:lineRule="auto"/>
      </w:pPr>
      <w:r>
        <w:t>Children served maps aggregate county-level enrollment counts from the same county section. NServed counts reflect total program enrollments and are not unduplicated across programs; a child enrolled in multiple programs (e.g., SNAP, school lunch, and Imagination Library) is counted once per program. This is consistent with administrative data reporting conventions where cross-program deduplication is not feasible without individual-level identifiers (Putnam-Hornstein et al., 2013).</w:t>
      </w:r>
    </w:p>
    <w:p w14:paraId="0F68CC98" w14:textId="77777777" w:rsidR="007264BD" w:rsidRDefault="00000000">
      <w:pPr>
        <w:spacing w:after="160" w:line="276" w:lineRule="auto"/>
      </w:pPr>
      <w:r>
        <w:t>NServed is normalized per 1,000 children. Because program enrollments overlap, per-capita rates can exceed 1,000 per 1,000 in counties where children participate in multiple programs. This is expected and interpretable as the average number of program enrollments per child in that category.</w:t>
      </w:r>
    </w:p>
    <w:p w14:paraId="427D8B15" w14:textId="77777777" w:rsidR="007264BD" w:rsidRDefault="00000000">
      <w:pPr>
        <w:pStyle w:val="Heading2"/>
      </w:pPr>
      <w:r>
        <w:t>4.5 Aggregation Logic</w:t>
      </w:r>
    </w:p>
    <w:p w14:paraId="654D7061" w14:textId="77777777" w:rsidR="007264BD" w:rsidRDefault="00000000">
      <w:pPr>
        <w:spacing w:after="160" w:line="276" w:lineRule="auto"/>
      </w:pPr>
      <w:r>
        <w:t>All three metrics are aggregated along three independent dimensions, producing nine matrix sheets in the output workbook plus a metadata sheet (10 sheets total):</w:t>
      </w:r>
    </w:p>
    <w:p w14:paraId="66DD2B94" w14:textId="77777777" w:rsidR="007264BD" w:rsidRDefault="00000000">
      <w:pPr>
        <w:pStyle w:val="ListParagraph"/>
        <w:numPr>
          <w:ilvl w:val="0"/>
          <w:numId w:val="2"/>
        </w:numPr>
        <w:spacing w:after="120" w:line="276" w:lineRule="auto"/>
      </w:pPr>
      <w:r>
        <w:t>Coverage, Expenditure, and NServed by Primary Outcome (5 categories: Educated, Healthy, Safe, Nurtured and Supported, Engaged)</w:t>
      </w:r>
    </w:p>
    <w:p w14:paraId="4DDDADA6" w14:textId="77777777" w:rsidR="007264BD" w:rsidRDefault="00000000">
      <w:pPr>
        <w:pStyle w:val="ListParagraph"/>
        <w:numPr>
          <w:ilvl w:val="0"/>
          <w:numId w:val="2"/>
        </w:numPr>
        <w:spacing w:after="120" w:line="276" w:lineRule="auto"/>
      </w:pPr>
      <w:r>
        <w:t>Coverage, Expenditure, and NServed by Programmatic Focus (7 categories; see Section 6)</w:t>
      </w:r>
    </w:p>
    <w:p w14:paraId="4C5B8DD3" w14:textId="77777777" w:rsidR="007264BD" w:rsidRDefault="00000000">
      <w:pPr>
        <w:pStyle w:val="ListParagraph"/>
        <w:numPr>
          <w:ilvl w:val="0"/>
          <w:numId w:val="2"/>
        </w:numPr>
        <w:spacing w:after="120" w:line="276" w:lineRule="auto"/>
      </w:pPr>
      <w:r>
        <w:t>Coverage, Expenditure, and NServed for Early Childhood (programs with Under_6 = Yes, normalized to under-6 population)</w:t>
      </w:r>
    </w:p>
    <w:p w14:paraId="6F5CAD4B" w14:textId="77777777" w:rsidR="007264BD" w:rsidRDefault="00000000">
      <w:pPr>
        <w:spacing w:after="160" w:line="276" w:lineRule="auto"/>
      </w:pPr>
      <w:r>
        <w:t>Each matrix sheet presents 95 rows (one per county) with paired columns for each category: a raw value column and a population-normalized rate column. The workbook includes autofilters, alternating row shading for readability, and frozen panes at column C, row 4.</w:t>
      </w:r>
    </w:p>
    <w:p w14:paraId="517107B0" w14:textId="77777777" w:rsidR="007264BD" w:rsidRDefault="00000000">
      <w:pPr>
        <w:pStyle w:val="Heading2"/>
      </w:pPr>
      <w:r>
        <w:t>4.6 Data Quality Decisions</w:t>
      </w:r>
    </w:p>
    <w:p w14:paraId="7840C513" w14:textId="77777777" w:rsidR="007264BD" w:rsidRDefault="00000000">
      <w:pPr>
        <w:spacing w:after="160" w:line="276" w:lineRule="auto"/>
      </w:pPr>
      <w:r>
        <w:t>Several reporter-level data quality issues were identified and addressed during the extraction stage:</w:t>
      </w:r>
    </w:p>
    <w:p w14:paraId="67D55772" w14:textId="77777777" w:rsidR="007264BD" w:rsidRDefault="00000000">
      <w:pPr>
        <w:pStyle w:val="ListParagraph"/>
        <w:numPr>
          <w:ilvl w:val="0"/>
          <w:numId w:val="2"/>
        </w:numPr>
        <w:spacing w:after="120" w:line="276" w:lineRule="auto"/>
      </w:pPr>
      <w:r>
        <w:rPr>
          <w:b/>
          <w:bCs/>
        </w:rPr>
        <w:t xml:space="preserve">Seamless Summer Option Lunch Program: </w:t>
      </w:r>
      <w:r>
        <w:t>NServed values represented cumulative meal counts rather than unique children (e.g., 130,904 in Morgan County, population 4,031). NServed was cleared from this program; expenditure data were retained.</w:t>
      </w:r>
    </w:p>
    <w:p w14:paraId="7E889FD4" w14:textId="77777777" w:rsidR="007264BD" w:rsidRDefault="00000000">
      <w:pPr>
        <w:pStyle w:val="ListParagraph"/>
        <w:numPr>
          <w:ilvl w:val="0"/>
          <w:numId w:val="2"/>
        </w:numPr>
        <w:spacing w:after="120" w:line="276" w:lineRule="auto"/>
      </w:pPr>
      <w:r>
        <w:rPr>
          <w:b/>
          <w:bCs/>
        </w:rPr>
        <w:t xml:space="preserve">Dolly Parton’s Imagination Library: </w:t>
      </w:r>
      <w:r>
        <w:t>The original submission reported cumulative book shipments (3.2 million) in the NServed column rather than enrolled children (393,900). The reporter corrected this to reflect unique children enrolled, and a duplicate “Total Books” column was renamed to prevent column-detection errors.</w:t>
      </w:r>
    </w:p>
    <w:p w14:paraId="5A688C0A" w14:textId="77777777" w:rsidR="007264BD" w:rsidRDefault="00000000">
      <w:pPr>
        <w:pStyle w:val="ListParagraph"/>
        <w:numPr>
          <w:ilvl w:val="0"/>
          <w:numId w:val="2"/>
        </w:numPr>
        <w:spacing w:after="120" w:line="276" w:lineRule="auto"/>
      </w:pPr>
      <w:r>
        <w:rPr>
          <w:b/>
          <w:bCs/>
        </w:rPr>
        <w:lastRenderedPageBreak/>
        <w:t xml:space="preserve">THEC Programs (Advise TN, Dual Enrollment Grant, Middle College Scholarship): </w:t>
      </w:r>
      <w:r>
        <w:t>County-level data were identical across all three sheets, indicating a copy-paste error by the reporter. Statewide totals are correct and distinct. This is flagged as a reporter-level issue for FY26 improvement.</w:t>
      </w:r>
    </w:p>
    <w:p w14:paraId="77D13791" w14:textId="77777777" w:rsidR="007264BD" w:rsidRDefault="00000000">
      <w:pPr>
        <w:pStyle w:val="Heading1"/>
      </w:pPr>
      <w:r>
        <w:t>5. Stage 3: Choropleth Visualization</w:t>
      </w:r>
    </w:p>
    <w:p w14:paraId="304DB102" w14:textId="77777777" w:rsidR="007264BD" w:rsidRDefault="00000000">
      <w:pPr>
        <w:pStyle w:val="Heading2"/>
      </w:pPr>
      <w:r>
        <w:t>5.1 Overview</w:t>
      </w:r>
    </w:p>
    <w:p w14:paraId="2F8C72F8" w14:textId="77777777" w:rsidR="007264BD" w:rsidRDefault="00000000">
      <w:pPr>
        <w:spacing w:after="160" w:line="276" w:lineRule="auto"/>
      </w:pPr>
      <w:r>
        <w:t>For each of the 13 categories (5 outcome categories, 7 focus categories, and 1 early childhood designation), a single three-panel choropleth figure is generated displaying Program Count, Children Served per 1,000, and Expenditure per Child side by side. This layout enables simultaneous visual comparison of coverage, utilization, and investment across Tennessee’s 95 counties. Thirteen figures are produced in total.</w:t>
      </w:r>
    </w:p>
    <w:p w14:paraId="3A235462" w14:textId="77777777" w:rsidR="007264BD" w:rsidRDefault="00000000">
      <w:pPr>
        <w:pStyle w:val="Heading2"/>
      </w:pPr>
      <w:r>
        <w:t>5.2 Data Extraction from Heat Map Workbook</w:t>
      </w:r>
    </w:p>
    <w:p w14:paraId="78690798" w14:textId="77777777" w:rsidR="007264BD" w:rsidRDefault="00000000">
      <w:pPr>
        <w:spacing w:after="160" w:line="276" w:lineRule="auto"/>
      </w:pPr>
      <w:r>
        <w:t>The visualization stage reads directly from the RM_FY25_County_HeatMap_Master.xlsx workbook produced in Stage 2. For each of the nine matrix sheets, the script extracts paired raw/rate columns by scanning the header row (row 3) and reading county values from rows 4–98. Both raw counts and normalized rates are available; the choropleth panels use raw values for Program Count and normalized rates for Children Served per 1K and Expenditure per Child. This design choice ensures that coverage maps reflect absolute program availability (which is meaningful for service planning) while utilization and spending maps control for population size.</w:t>
      </w:r>
    </w:p>
    <w:p w14:paraId="705543CF" w14:textId="77777777" w:rsidR="007264BD" w:rsidRDefault="00000000">
      <w:pPr>
        <w:pStyle w:val="Heading2"/>
      </w:pPr>
      <w:r>
        <w:t>5.3 Classification Method: Natural Breaks (Jenks)</w:t>
      </w:r>
    </w:p>
    <w:p w14:paraId="12174421" w14:textId="77777777" w:rsidR="007264BD" w:rsidRDefault="00000000">
      <w:pPr>
        <w:spacing w:after="160" w:line="276" w:lineRule="auto"/>
      </w:pPr>
      <w:r>
        <w:t>County values are classified into choropleth bins using the Natural Breaks (Jenks) optimization algorithm, implemented via the mapclassify library (Rey et al., 2023). Natural Breaks minimizes within-class variance and maximizes between-class variance by iteratively partitioning data values into groups that are internally homogeneous. This is the standard classification method for choropleth maps in geographic information science (Slocum et al., 2014) and is preferred over equal-interval or quantile methods when the data distribution is skewed or multimodal—as is typical for county-level program data where a few urban counties dominate expenditure and enrollment totals.</w:t>
      </w:r>
    </w:p>
    <w:p w14:paraId="219D5712" w14:textId="77777777" w:rsidR="007264BD" w:rsidRDefault="00000000">
      <w:pPr>
        <w:spacing w:after="160" w:line="276" w:lineRule="auto"/>
      </w:pPr>
      <w:r>
        <w:t>The algorithm is configured to produce up to 7 classes (k = min(7, number of unique nonzero values)). When fewer than 3 nonzero values exist in a panel (e.g., a narrowly targeted program category), the classifier falls back to a binary scheme (no data vs. has data). When the Natural Breaks algorithm fails to converge, percentile-based breaks at the 15th, 30th, 45th, 60th, 75th, 90th, and 100th percentiles are used as a fallback. Zero values are always assigned to the lowest bin (“0 / No data”), which is displayed in the lightest color, ensuring that counties with no program activity are visually distinct from counties with low but nonzero values.</w:t>
      </w:r>
    </w:p>
    <w:p w14:paraId="2C22000B" w14:textId="77777777" w:rsidR="007264BD" w:rsidRDefault="00000000">
      <w:pPr>
        <w:pStyle w:val="Heading2"/>
      </w:pPr>
      <w:r>
        <w:t>5.4 Color Palettes</w:t>
      </w:r>
    </w:p>
    <w:p w14:paraId="2F6869CF" w14:textId="77777777" w:rsidR="007264BD" w:rsidRDefault="00000000">
      <w:pPr>
        <w:spacing w:after="160" w:line="276" w:lineRule="auto"/>
      </w:pPr>
      <w:r>
        <w:lastRenderedPageBreak/>
        <w:t>Three sequential color palettes are used, each progressing from a near-white base to a saturated dark tone across 8 stops:</w:t>
      </w:r>
    </w:p>
    <w:p w14:paraId="53AFEC6F" w14:textId="77777777" w:rsidR="007264BD" w:rsidRDefault="00000000">
      <w:pPr>
        <w:pStyle w:val="ListParagraph"/>
        <w:numPr>
          <w:ilvl w:val="0"/>
          <w:numId w:val="2"/>
        </w:numPr>
        <w:spacing w:after="120" w:line="276" w:lineRule="auto"/>
      </w:pPr>
      <w:r>
        <w:rPr>
          <w:b/>
          <w:bCs/>
        </w:rPr>
        <w:t xml:space="preserve">Blue palette: </w:t>
      </w:r>
      <w:r>
        <w:t>Used for general (non-EC) coverage and NServed panels. Based on ColorBrewer’s Blues scheme (Brewer, 2003), a perceptually uniform sequential palette suitable for representing magnitude on light backgrounds.</w:t>
      </w:r>
    </w:p>
    <w:p w14:paraId="1F0E4E0B" w14:textId="77777777" w:rsidR="007264BD" w:rsidRDefault="00000000">
      <w:pPr>
        <w:pStyle w:val="ListParagraph"/>
        <w:numPr>
          <w:ilvl w:val="0"/>
          <w:numId w:val="2"/>
        </w:numPr>
        <w:spacing w:after="120" w:line="276" w:lineRule="auto"/>
      </w:pPr>
      <w:r>
        <w:rPr>
          <w:b/>
          <w:bCs/>
        </w:rPr>
        <w:t xml:space="preserve">Teal palette: </w:t>
      </w:r>
      <w:r>
        <w:t>Used for general expenditure panels. Provides visual differentiation from the blue coverage/NServed panels while maintaining sequential readability.</w:t>
      </w:r>
    </w:p>
    <w:p w14:paraId="02D4CF2C" w14:textId="77777777" w:rsidR="007264BD" w:rsidRDefault="00000000">
      <w:pPr>
        <w:pStyle w:val="ListParagraph"/>
        <w:numPr>
          <w:ilvl w:val="0"/>
          <w:numId w:val="2"/>
        </w:numPr>
        <w:spacing w:after="120" w:line="276" w:lineRule="auto"/>
      </w:pPr>
      <w:r>
        <w:rPr>
          <w:b/>
          <w:bCs/>
        </w:rPr>
        <w:t xml:space="preserve">Green palette: </w:t>
      </w:r>
      <w:r>
        <w:t>Used for all three Early Childhood panels, signaling the distinct denominator (under-6 population) and analytical scope.</w:t>
      </w:r>
    </w:p>
    <w:p w14:paraId="391C6FED" w14:textId="77777777" w:rsidR="007264BD" w:rsidRDefault="00000000">
      <w:pPr>
        <w:spacing w:after="160" w:line="276" w:lineRule="auto"/>
      </w:pPr>
      <w:r>
        <w:t>Sequential single-hue palettes are recommended for choropleth maps displaying ratio or count data because they produce an intuitive low-to-high visual ordering without the perceptual ambiguity of diverging or multi-hue schemes (Brewer, 2003; Slocum et al., 2014).</w:t>
      </w:r>
    </w:p>
    <w:p w14:paraId="12FE9FA2" w14:textId="77777777" w:rsidR="007264BD" w:rsidRDefault="00000000">
      <w:pPr>
        <w:pStyle w:val="Heading2"/>
      </w:pPr>
      <w:r>
        <w:t>5.5 Panel Layout and Labeling</w:t>
      </w:r>
    </w:p>
    <w:p w14:paraId="4D3ECDBC" w14:textId="77777777" w:rsidR="007264BD" w:rsidRDefault="00000000">
      <w:pPr>
        <w:spacing w:after="160" w:line="276" w:lineRule="auto"/>
      </w:pPr>
      <w:r>
        <w:t>Each figure uses an inverted-triangle layout: Program Count and Children Served per 1K are placed side by side on the upper row, with Expenditure per Child centered below. This arrangement prioritizes the two metrics most directly comparable (both normalized to population) in the top row, while giving the expenditure map—which uses a different normalization (dollars rather than counts)—a distinct visual position. Tennessee’s elongated east–west geography (approximately 5:1 aspect ratio) is accommodated by wide panel dimensions (figure size 40 × 11 inches at 250 DPI).</w:t>
      </w:r>
    </w:p>
    <w:p w14:paraId="7D6794DD" w14:textId="77777777" w:rsidR="007264BD" w:rsidRDefault="00000000">
      <w:pPr>
        <w:spacing w:after="160" w:line="276" w:lineRule="auto"/>
      </w:pPr>
      <w:r>
        <w:t>County names are rendered as white-stroked labels at each county’s geometric centroid, with labels displayed for all counties whose polygon area exceeds a minimum threshold (0.02 square degrees) plus the four largest urban counties (Davidson, Shelby, Knox, Hamilton) regardless of area. This ensures readability while avoiding label overlap in Tennessee’s densely packed eastern counties. Each panel includes an embedded legend with color swatches and bin ranges, positioned at the lower left.</w:t>
      </w:r>
    </w:p>
    <w:p w14:paraId="09C6CDE3" w14:textId="77777777" w:rsidR="007264BD" w:rsidRDefault="00000000">
      <w:pPr>
        <w:pStyle w:val="Heading2"/>
      </w:pPr>
      <w:r>
        <w:t>5.6 Reproducibility</w:t>
      </w:r>
    </w:p>
    <w:p w14:paraId="2AD52AA6" w14:textId="77777777" w:rsidR="007264BD" w:rsidRDefault="00000000">
      <w:pPr>
        <w:spacing w:after="160" w:line="276" w:lineRule="auto"/>
      </w:pPr>
      <w:r>
        <w:t>The visualization pipeline requires five Python packages (geopandas, matplotlib, mapclassify, openpyxl, pandas) and the TIGER/Line county shapefile. On first execution, the shapefile is downloaded automatically from the Census Bureau and cached locally. Subsequent runs use the cached file. All output PNG files are written to an output directory with filenames following the pattern Outcome_{category}.png, Focus_{category}.png, or Early_Childhood.png. The pipeline is deterministic: given the same input workbook and shapefile, identical maps are produced.</w:t>
      </w:r>
    </w:p>
    <w:p w14:paraId="4ED1EA16" w14:textId="77777777" w:rsidR="007264BD" w:rsidRDefault="00000000">
      <w:pPr>
        <w:pStyle w:val="Heading1"/>
      </w:pPr>
      <w:r>
        <w:t>6. Classification Taxonomy</w:t>
      </w:r>
    </w:p>
    <w:p w14:paraId="660E2847" w14:textId="77777777" w:rsidR="007264BD" w:rsidRDefault="00000000">
      <w:pPr>
        <w:pStyle w:val="Heading2"/>
      </w:pPr>
      <w:r>
        <w:t>6.1 Primary Outcome Categories</w:t>
      </w:r>
    </w:p>
    <w:p w14:paraId="482C2746" w14:textId="77777777" w:rsidR="007264BD" w:rsidRDefault="00000000">
      <w:pPr>
        <w:spacing w:after="160" w:line="276" w:lineRule="auto"/>
      </w:pPr>
      <w:r>
        <w:lastRenderedPageBreak/>
        <w:t>Each program is assigned to one of five primary outcome categories reflecting Tennessee’s child well-being framework:</w:t>
      </w:r>
    </w:p>
    <w:tbl>
      <w:tblPr>
        <w:tblW w:w="936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7264BD" w14:paraId="28CE92CF" w14:textId="77777777">
        <w:tc>
          <w:tcPr>
            <w:tcW w:w="3000" w:type="dxa"/>
            <w:tcBorders>
              <w:top w:val="single" w:sz="1" w:space="0" w:color="B0B0B0"/>
              <w:left w:val="single" w:sz="1" w:space="0" w:color="B0B0B0"/>
              <w:bottom w:val="single" w:sz="1" w:space="0" w:color="B0B0B0"/>
              <w:right w:val="single" w:sz="1" w:space="0" w:color="B0B0B0"/>
            </w:tcBorders>
            <w:shd w:val="clear" w:color="auto" w:fill="1E4E79"/>
            <w:tcMar>
              <w:top w:w="60" w:type="dxa"/>
              <w:left w:w="100" w:type="dxa"/>
              <w:bottom w:w="60" w:type="dxa"/>
              <w:right w:w="100" w:type="dxa"/>
            </w:tcMar>
          </w:tcPr>
          <w:p w14:paraId="60EB8F74" w14:textId="77777777" w:rsidR="007264BD" w:rsidRDefault="00000000">
            <w:r>
              <w:rPr>
                <w:b/>
                <w:bCs/>
                <w:color w:val="FFFFFF"/>
                <w:sz w:val="18"/>
                <w:szCs w:val="18"/>
              </w:rPr>
              <w:t>Outcome</w:t>
            </w:r>
          </w:p>
        </w:tc>
        <w:tc>
          <w:tcPr>
            <w:tcW w:w="6360" w:type="dxa"/>
            <w:tcBorders>
              <w:top w:val="single" w:sz="1" w:space="0" w:color="B0B0B0"/>
              <w:left w:val="single" w:sz="1" w:space="0" w:color="B0B0B0"/>
              <w:bottom w:val="single" w:sz="1" w:space="0" w:color="B0B0B0"/>
              <w:right w:val="single" w:sz="1" w:space="0" w:color="B0B0B0"/>
            </w:tcBorders>
            <w:shd w:val="clear" w:color="auto" w:fill="1E4E79"/>
            <w:tcMar>
              <w:top w:w="60" w:type="dxa"/>
              <w:left w:w="100" w:type="dxa"/>
              <w:bottom w:w="60" w:type="dxa"/>
              <w:right w:w="100" w:type="dxa"/>
            </w:tcMar>
          </w:tcPr>
          <w:p w14:paraId="47EB4BFA" w14:textId="77777777" w:rsidR="007264BD" w:rsidRDefault="00000000">
            <w:r>
              <w:rPr>
                <w:b/>
                <w:bCs/>
                <w:color w:val="FFFFFF"/>
                <w:sz w:val="18"/>
                <w:szCs w:val="18"/>
              </w:rPr>
              <w:t>Definition</w:t>
            </w:r>
          </w:p>
        </w:tc>
      </w:tr>
      <w:tr w:rsidR="007264BD" w14:paraId="61423A6A" w14:textId="77777777">
        <w:tc>
          <w:tcPr>
            <w:tcW w:w="3000" w:type="dxa"/>
            <w:tcBorders>
              <w:top w:val="single" w:sz="1" w:space="0" w:color="B0B0B0"/>
              <w:left w:val="single" w:sz="1" w:space="0" w:color="B0B0B0"/>
              <w:bottom w:val="single" w:sz="1" w:space="0" w:color="B0B0B0"/>
              <w:right w:val="single" w:sz="1" w:space="0" w:color="B0B0B0"/>
            </w:tcBorders>
            <w:tcMar>
              <w:top w:w="60" w:type="dxa"/>
              <w:left w:w="100" w:type="dxa"/>
              <w:bottom w:w="60" w:type="dxa"/>
              <w:right w:w="100" w:type="dxa"/>
            </w:tcMar>
          </w:tcPr>
          <w:p w14:paraId="17E2D2A3" w14:textId="77777777" w:rsidR="007264BD" w:rsidRDefault="00000000">
            <w:r>
              <w:rPr>
                <w:sz w:val="18"/>
                <w:szCs w:val="18"/>
              </w:rPr>
              <w:t>Educated</w:t>
            </w:r>
          </w:p>
        </w:tc>
        <w:tc>
          <w:tcPr>
            <w:tcW w:w="6360" w:type="dxa"/>
            <w:tcBorders>
              <w:top w:val="single" w:sz="1" w:space="0" w:color="B0B0B0"/>
              <w:left w:val="single" w:sz="1" w:space="0" w:color="B0B0B0"/>
              <w:bottom w:val="single" w:sz="1" w:space="0" w:color="B0B0B0"/>
              <w:right w:val="single" w:sz="1" w:space="0" w:color="B0B0B0"/>
            </w:tcBorders>
            <w:tcMar>
              <w:top w:w="60" w:type="dxa"/>
              <w:left w:w="100" w:type="dxa"/>
              <w:bottom w:w="60" w:type="dxa"/>
              <w:right w:w="100" w:type="dxa"/>
            </w:tcMar>
          </w:tcPr>
          <w:p w14:paraId="73B77CF8" w14:textId="77777777" w:rsidR="007264BD" w:rsidRDefault="00000000">
            <w:r>
              <w:rPr>
                <w:sz w:val="18"/>
                <w:szCs w:val="18"/>
              </w:rPr>
              <w:t>Academic achievement, educational access, workforce readiness, and vocational training</w:t>
            </w:r>
          </w:p>
        </w:tc>
      </w:tr>
      <w:tr w:rsidR="007264BD" w14:paraId="5979BA04" w14:textId="77777777">
        <w:tc>
          <w:tcPr>
            <w:tcW w:w="3000" w:type="dxa"/>
            <w:tcBorders>
              <w:top w:val="single" w:sz="1" w:space="0" w:color="B0B0B0"/>
              <w:left w:val="single" w:sz="1" w:space="0" w:color="B0B0B0"/>
              <w:bottom w:val="single" w:sz="1" w:space="0" w:color="B0B0B0"/>
              <w:right w:val="single" w:sz="1" w:space="0" w:color="B0B0B0"/>
            </w:tcBorders>
            <w:shd w:val="clear" w:color="auto" w:fill="EAF4F7"/>
            <w:tcMar>
              <w:top w:w="60" w:type="dxa"/>
              <w:left w:w="100" w:type="dxa"/>
              <w:bottom w:w="60" w:type="dxa"/>
              <w:right w:w="100" w:type="dxa"/>
            </w:tcMar>
          </w:tcPr>
          <w:p w14:paraId="44C7EC51" w14:textId="77777777" w:rsidR="007264BD" w:rsidRDefault="00000000">
            <w:r>
              <w:rPr>
                <w:sz w:val="18"/>
                <w:szCs w:val="18"/>
              </w:rPr>
              <w:t>Healthy</w:t>
            </w:r>
          </w:p>
        </w:tc>
        <w:tc>
          <w:tcPr>
            <w:tcW w:w="6360" w:type="dxa"/>
            <w:tcBorders>
              <w:top w:val="single" w:sz="1" w:space="0" w:color="B0B0B0"/>
              <w:left w:val="single" w:sz="1" w:space="0" w:color="B0B0B0"/>
              <w:bottom w:val="single" w:sz="1" w:space="0" w:color="B0B0B0"/>
              <w:right w:val="single" w:sz="1" w:space="0" w:color="B0B0B0"/>
            </w:tcBorders>
            <w:shd w:val="clear" w:color="auto" w:fill="EAF4F7"/>
            <w:tcMar>
              <w:top w:w="60" w:type="dxa"/>
              <w:left w:w="100" w:type="dxa"/>
              <w:bottom w:w="60" w:type="dxa"/>
              <w:right w:w="100" w:type="dxa"/>
            </w:tcMar>
          </w:tcPr>
          <w:p w14:paraId="44C1CA46" w14:textId="77777777" w:rsidR="007264BD" w:rsidRDefault="00000000">
            <w:r>
              <w:rPr>
                <w:sz w:val="18"/>
                <w:szCs w:val="18"/>
              </w:rPr>
              <w:t>Physical health, nutrition, behavioral health, and substance abuse prevention</w:t>
            </w:r>
          </w:p>
        </w:tc>
      </w:tr>
      <w:tr w:rsidR="007264BD" w14:paraId="3F25E3FA" w14:textId="77777777">
        <w:tc>
          <w:tcPr>
            <w:tcW w:w="3000" w:type="dxa"/>
            <w:tcBorders>
              <w:top w:val="single" w:sz="1" w:space="0" w:color="B0B0B0"/>
              <w:left w:val="single" w:sz="1" w:space="0" w:color="B0B0B0"/>
              <w:bottom w:val="single" w:sz="1" w:space="0" w:color="B0B0B0"/>
              <w:right w:val="single" w:sz="1" w:space="0" w:color="B0B0B0"/>
            </w:tcBorders>
            <w:tcMar>
              <w:top w:w="60" w:type="dxa"/>
              <w:left w:w="100" w:type="dxa"/>
              <w:bottom w:w="60" w:type="dxa"/>
              <w:right w:w="100" w:type="dxa"/>
            </w:tcMar>
          </w:tcPr>
          <w:p w14:paraId="2DE21C72" w14:textId="77777777" w:rsidR="007264BD" w:rsidRDefault="00000000">
            <w:r>
              <w:rPr>
                <w:sz w:val="18"/>
                <w:szCs w:val="18"/>
              </w:rPr>
              <w:t>Safe</w:t>
            </w:r>
          </w:p>
        </w:tc>
        <w:tc>
          <w:tcPr>
            <w:tcW w:w="6360" w:type="dxa"/>
            <w:tcBorders>
              <w:top w:val="single" w:sz="1" w:space="0" w:color="B0B0B0"/>
              <w:left w:val="single" w:sz="1" w:space="0" w:color="B0B0B0"/>
              <w:bottom w:val="single" w:sz="1" w:space="0" w:color="B0B0B0"/>
              <w:right w:val="single" w:sz="1" w:space="0" w:color="B0B0B0"/>
            </w:tcBorders>
            <w:tcMar>
              <w:top w:w="60" w:type="dxa"/>
              <w:left w:w="100" w:type="dxa"/>
              <w:bottom w:w="60" w:type="dxa"/>
              <w:right w:w="100" w:type="dxa"/>
            </w:tcMar>
          </w:tcPr>
          <w:p w14:paraId="566A17F5" w14:textId="77777777" w:rsidR="007264BD" w:rsidRDefault="00000000">
            <w:r>
              <w:rPr>
                <w:sz w:val="18"/>
                <w:szCs w:val="18"/>
              </w:rPr>
              <w:t>Child safety, injury prevention, abuse/neglect prevention, and justice system involvement</w:t>
            </w:r>
          </w:p>
        </w:tc>
      </w:tr>
      <w:tr w:rsidR="007264BD" w14:paraId="5AE6B187" w14:textId="77777777">
        <w:tc>
          <w:tcPr>
            <w:tcW w:w="3000" w:type="dxa"/>
            <w:tcBorders>
              <w:top w:val="single" w:sz="1" w:space="0" w:color="B0B0B0"/>
              <w:left w:val="single" w:sz="1" w:space="0" w:color="B0B0B0"/>
              <w:bottom w:val="single" w:sz="1" w:space="0" w:color="B0B0B0"/>
              <w:right w:val="single" w:sz="1" w:space="0" w:color="B0B0B0"/>
            </w:tcBorders>
            <w:shd w:val="clear" w:color="auto" w:fill="EAF4F7"/>
            <w:tcMar>
              <w:top w:w="60" w:type="dxa"/>
              <w:left w:w="100" w:type="dxa"/>
              <w:bottom w:w="60" w:type="dxa"/>
              <w:right w:w="100" w:type="dxa"/>
            </w:tcMar>
          </w:tcPr>
          <w:p w14:paraId="2BA7BCB9" w14:textId="77777777" w:rsidR="007264BD" w:rsidRDefault="00000000">
            <w:r>
              <w:rPr>
                <w:sz w:val="18"/>
                <w:szCs w:val="18"/>
              </w:rPr>
              <w:t>Nurtured and Supported</w:t>
            </w:r>
          </w:p>
        </w:tc>
        <w:tc>
          <w:tcPr>
            <w:tcW w:w="6360" w:type="dxa"/>
            <w:tcBorders>
              <w:top w:val="single" w:sz="1" w:space="0" w:color="B0B0B0"/>
              <w:left w:val="single" w:sz="1" w:space="0" w:color="B0B0B0"/>
              <w:bottom w:val="single" w:sz="1" w:space="0" w:color="B0B0B0"/>
              <w:right w:val="single" w:sz="1" w:space="0" w:color="B0B0B0"/>
            </w:tcBorders>
            <w:shd w:val="clear" w:color="auto" w:fill="EAF4F7"/>
            <w:tcMar>
              <w:top w:w="60" w:type="dxa"/>
              <w:left w:w="100" w:type="dxa"/>
              <w:bottom w:w="60" w:type="dxa"/>
              <w:right w:w="100" w:type="dxa"/>
            </w:tcMar>
          </w:tcPr>
          <w:p w14:paraId="5CFFC2F2" w14:textId="77777777" w:rsidR="007264BD" w:rsidRDefault="00000000">
            <w:r>
              <w:rPr>
                <w:sz w:val="18"/>
                <w:szCs w:val="18"/>
              </w:rPr>
              <w:t>Family stability, economic supports, housing, and caregiver capacity</w:t>
            </w:r>
          </w:p>
        </w:tc>
      </w:tr>
      <w:tr w:rsidR="007264BD" w14:paraId="51DBC01F" w14:textId="77777777">
        <w:tc>
          <w:tcPr>
            <w:tcW w:w="3000" w:type="dxa"/>
            <w:tcBorders>
              <w:top w:val="single" w:sz="1" w:space="0" w:color="B0B0B0"/>
              <w:left w:val="single" w:sz="1" w:space="0" w:color="B0B0B0"/>
              <w:bottom w:val="single" w:sz="1" w:space="0" w:color="B0B0B0"/>
              <w:right w:val="single" w:sz="1" w:space="0" w:color="B0B0B0"/>
            </w:tcBorders>
            <w:tcMar>
              <w:top w:w="60" w:type="dxa"/>
              <w:left w:w="100" w:type="dxa"/>
              <w:bottom w:w="60" w:type="dxa"/>
              <w:right w:w="100" w:type="dxa"/>
            </w:tcMar>
          </w:tcPr>
          <w:p w14:paraId="5F356C4C" w14:textId="77777777" w:rsidR="007264BD" w:rsidRDefault="00000000">
            <w:r>
              <w:rPr>
                <w:sz w:val="18"/>
                <w:szCs w:val="18"/>
              </w:rPr>
              <w:t>Engaged</w:t>
            </w:r>
          </w:p>
        </w:tc>
        <w:tc>
          <w:tcPr>
            <w:tcW w:w="6360" w:type="dxa"/>
            <w:tcBorders>
              <w:top w:val="single" w:sz="1" w:space="0" w:color="B0B0B0"/>
              <w:left w:val="single" w:sz="1" w:space="0" w:color="B0B0B0"/>
              <w:bottom w:val="single" w:sz="1" w:space="0" w:color="B0B0B0"/>
              <w:right w:val="single" w:sz="1" w:space="0" w:color="B0B0B0"/>
            </w:tcBorders>
            <w:tcMar>
              <w:top w:w="60" w:type="dxa"/>
              <w:left w:w="100" w:type="dxa"/>
              <w:bottom w:w="60" w:type="dxa"/>
              <w:right w:w="100" w:type="dxa"/>
            </w:tcMar>
          </w:tcPr>
          <w:p w14:paraId="1F887ACD" w14:textId="77777777" w:rsidR="007264BD" w:rsidRDefault="00000000">
            <w:r>
              <w:rPr>
                <w:sz w:val="18"/>
                <w:szCs w:val="18"/>
              </w:rPr>
              <w:t>Community participation, recreation, arts, and civic engagement</w:t>
            </w:r>
          </w:p>
        </w:tc>
      </w:tr>
    </w:tbl>
    <w:p w14:paraId="76664132" w14:textId="77777777" w:rsidR="007264BD" w:rsidRDefault="007264BD">
      <w:pPr>
        <w:spacing w:after="120" w:line="276" w:lineRule="auto"/>
      </w:pPr>
    </w:p>
    <w:p w14:paraId="4BE0167F" w14:textId="77777777" w:rsidR="007264BD" w:rsidRDefault="00000000">
      <w:pPr>
        <w:pStyle w:val="Heading2"/>
      </w:pPr>
      <w:r>
        <w:t>6.2 Programmatic Focus Categories</w:t>
      </w:r>
    </w:p>
    <w:p w14:paraId="6ECBDF60" w14:textId="77777777" w:rsidR="007264BD" w:rsidRDefault="00000000">
      <w:pPr>
        <w:spacing w:after="160" w:line="276" w:lineRule="auto"/>
      </w:pPr>
      <w:r>
        <w:t>Programs are further classified by intervention intensity along a prevention-to-intervention continuum, adapted from the public health prevention framework (Gordon, 1983; Mrazek &amp; Haggerty, 1994):</w:t>
      </w:r>
    </w:p>
    <w:tbl>
      <w:tblPr>
        <w:tblW w:w="936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6160"/>
      </w:tblGrid>
      <w:tr w:rsidR="007264BD" w14:paraId="7FD52999" w14:textId="77777777">
        <w:tc>
          <w:tcPr>
            <w:tcW w:w="3200" w:type="dxa"/>
            <w:tcBorders>
              <w:top w:val="single" w:sz="1" w:space="0" w:color="B0B0B0"/>
              <w:left w:val="single" w:sz="1" w:space="0" w:color="B0B0B0"/>
              <w:bottom w:val="single" w:sz="1" w:space="0" w:color="B0B0B0"/>
              <w:right w:val="single" w:sz="1" w:space="0" w:color="B0B0B0"/>
            </w:tcBorders>
            <w:shd w:val="clear" w:color="auto" w:fill="1E4E79"/>
            <w:tcMar>
              <w:top w:w="60" w:type="dxa"/>
              <w:left w:w="100" w:type="dxa"/>
              <w:bottom w:w="60" w:type="dxa"/>
              <w:right w:w="100" w:type="dxa"/>
            </w:tcMar>
          </w:tcPr>
          <w:p w14:paraId="1E454C87" w14:textId="77777777" w:rsidR="007264BD" w:rsidRDefault="00000000">
            <w:r>
              <w:rPr>
                <w:b/>
                <w:bCs/>
                <w:color w:val="FFFFFF"/>
                <w:sz w:val="18"/>
                <w:szCs w:val="18"/>
              </w:rPr>
              <w:t>Focus</w:t>
            </w:r>
          </w:p>
        </w:tc>
        <w:tc>
          <w:tcPr>
            <w:tcW w:w="6160" w:type="dxa"/>
            <w:tcBorders>
              <w:top w:val="single" w:sz="1" w:space="0" w:color="B0B0B0"/>
              <w:left w:val="single" w:sz="1" w:space="0" w:color="B0B0B0"/>
              <w:bottom w:val="single" w:sz="1" w:space="0" w:color="B0B0B0"/>
              <w:right w:val="single" w:sz="1" w:space="0" w:color="B0B0B0"/>
            </w:tcBorders>
            <w:shd w:val="clear" w:color="auto" w:fill="1E4E79"/>
            <w:tcMar>
              <w:top w:w="60" w:type="dxa"/>
              <w:left w:w="100" w:type="dxa"/>
              <w:bottom w:w="60" w:type="dxa"/>
              <w:right w:w="100" w:type="dxa"/>
            </w:tcMar>
          </w:tcPr>
          <w:p w14:paraId="6395AB30" w14:textId="77777777" w:rsidR="007264BD" w:rsidRDefault="00000000">
            <w:r>
              <w:rPr>
                <w:b/>
                <w:bCs/>
                <w:color w:val="FFFFFF"/>
                <w:sz w:val="18"/>
                <w:szCs w:val="18"/>
              </w:rPr>
              <w:t>Description</w:t>
            </w:r>
          </w:p>
        </w:tc>
      </w:tr>
      <w:tr w:rsidR="007264BD" w14:paraId="6D379508" w14:textId="77777777">
        <w:tc>
          <w:tcPr>
            <w:tcW w:w="3200" w:type="dxa"/>
            <w:tcBorders>
              <w:top w:val="single" w:sz="1" w:space="0" w:color="B0B0B0"/>
              <w:left w:val="single" w:sz="1" w:space="0" w:color="B0B0B0"/>
              <w:bottom w:val="single" w:sz="1" w:space="0" w:color="B0B0B0"/>
              <w:right w:val="single" w:sz="1" w:space="0" w:color="B0B0B0"/>
            </w:tcBorders>
            <w:tcMar>
              <w:top w:w="60" w:type="dxa"/>
              <w:left w:w="100" w:type="dxa"/>
              <w:bottom w:w="60" w:type="dxa"/>
              <w:right w:w="100" w:type="dxa"/>
            </w:tcMar>
          </w:tcPr>
          <w:p w14:paraId="2FA9D8A1" w14:textId="77777777" w:rsidR="007264BD" w:rsidRDefault="00000000">
            <w:r>
              <w:rPr>
                <w:sz w:val="18"/>
                <w:szCs w:val="18"/>
              </w:rPr>
              <w:t>Universal Promotion and Prevention</w:t>
            </w:r>
          </w:p>
        </w:tc>
        <w:tc>
          <w:tcPr>
            <w:tcW w:w="6160" w:type="dxa"/>
            <w:tcBorders>
              <w:top w:val="single" w:sz="1" w:space="0" w:color="B0B0B0"/>
              <w:left w:val="single" w:sz="1" w:space="0" w:color="B0B0B0"/>
              <w:bottom w:val="single" w:sz="1" w:space="0" w:color="B0B0B0"/>
              <w:right w:val="single" w:sz="1" w:space="0" w:color="B0B0B0"/>
            </w:tcBorders>
            <w:tcMar>
              <w:top w:w="60" w:type="dxa"/>
              <w:left w:w="100" w:type="dxa"/>
              <w:bottom w:w="60" w:type="dxa"/>
              <w:right w:w="100" w:type="dxa"/>
            </w:tcMar>
          </w:tcPr>
          <w:p w14:paraId="21E870AE" w14:textId="77777777" w:rsidR="007264BD" w:rsidRDefault="00000000">
            <w:r>
              <w:rPr>
                <w:sz w:val="18"/>
                <w:szCs w:val="18"/>
              </w:rPr>
              <w:t>Available to all children without screening; promotes positive outcomes before problems emerge</w:t>
            </w:r>
          </w:p>
        </w:tc>
      </w:tr>
      <w:tr w:rsidR="007264BD" w14:paraId="17C9CF08" w14:textId="77777777">
        <w:tc>
          <w:tcPr>
            <w:tcW w:w="3200" w:type="dxa"/>
            <w:tcBorders>
              <w:top w:val="single" w:sz="1" w:space="0" w:color="B0B0B0"/>
              <w:left w:val="single" w:sz="1" w:space="0" w:color="B0B0B0"/>
              <w:bottom w:val="single" w:sz="1" w:space="0" w:color="B0B0B0"/>
              <w:right w:val="single" w:sz="1" w:space="0" w:color="B0B0B0"/>
            </w:tcBorders>
            <w:shd w:val="clear" w:color="auto" w:fill="EAF4F7"/>
            <w:tcMar>
              <w:top w:w="60" w:type="dxa"/>
              <w:left w:w="100" w:type="dxa"/>
              <w:bottom w:w="60" w:type="dxa"/>
              <w:right w:w="100" w:type="dxa"/>
            </w:tcMar>
          </w:tcPr>
          <w:p w14:paraId="085D3B3C" w14:textId="77777777" w:rsidR="007264BD" w:rsidRDefault="00000000">
            <w:r>
              <w:rPr>
                <w:sz w:val="18"/>
                <w:szCs w:val="18"/>
              </w:rPr>
              <w:t>Targeted Prevention</w:t>
            </w:r>
          </w:p>
        </w:tc>
        <w:tc>
          <w:tcPr>
            <w:tcW w:w="6160" w:type="dxa"/>
            <w:tcBorders>
              <w:top w:val="single" w:sz="1" w:space="0" w:color="B0B0B0"/>
              <w:left w:val="single" w:sz="1" w:space="0" w:color="B0B0B0"/>
              <w:bottom w:val="single" w:sz="1" w:space="0" w:color="B0B0B0"/>
              <w:right w:val="single" w:sz="1" w:space="0" w:color="B0B0B0"/>
            </w:tcBorders>
            <w:shd w:val="clear" w:color="auto" w:fill="EAF4F7"/>
            <w:tcMar>
              <w:top w:w="60" w:type="dxa"/>
              <w:left w:w="100" w:type="dxa"/>
              <w:bottom w:w="60" w:type="dxa"/>
              <w:right w:w="100" w:type="dxa"/>
            </w:tcMar>
          </w:tcPr>
          <w:p w14:paraId="7BB632DA" w14:textId="77777777" w:rsidR="007264BD" w:rsidRDefault="00000000">
            <w:r>
              <w:rPr>
                <w:sz w:val="18"/>
                <w:szCs w:val="18"/>
              </w:rPr>
              <w:t>Directed at populations with identified risk factors; prevents problem onset in at-risk groups</w:t>
            </w:r>
          </w:p>
        </w:tc>
      </w:tr>
      <w:tr w:rsidR="007264BD" w14:paraId="6B1E4923" w14:textId="77777777">
        <w:tc>
          <w:tcPr>
            <w:tcW w:w="3200" w:type="dxa"/>
            <w:tcBorders>
              <w:top w:val="single" w:sz="1" w:space="0" w:color="B0B0B0"/>
              <w:left w:val="single" w:sz="1" w:space="0" w:color="B0B0B0"/>
              <w:bottom w:val="single" w:sz="1" w:space="0" w:color="B0B0B0"/>
              <w:right w:val="single" w:sz="1" w:space="0" w:color="B0B0B0"/>
            </w:tcBorders>
            <w:tcMar>
              <w:top w:w="60" w:type="dxa"/>
              <w:left w:w="100" w:type="dxa"/>
              <w:bottom w:w="60" w:type="dxa"/>
              <w:right w:w="100" w:type="dxa"/>
            </w:tcMar>
          </w:tcPr>
          <w:p w14:paraId="341826DF" w14:textId="77777777" w:rsidR="007264BD" w:rsidRDefault="00000000">
            <w:r>
              <w:rPr>
                <w:sz w:val="18"/>
                <w:szCs w:val="18"/>
              </w:rPr>
              <w:t>Early Intervention</w:t>
            </w:r>
          </w:p>
        </w:tc>
        <w:tc>
          <w:tcPr>
            <w:tcW w:w="6160" w:type="dxa"/>
            <w:tcBorders>
              <w:top w:val="single" w:sz="1" w:space="0" w:color="B0B0B0"/>
              <w:left w:val="single" w:sz="1" w:space="0" w:color="B0B0B0"/>
              <w:bottom w:val="single" w:sz="1" w:space="0" w:color="B0B0B0"/>
              <w:right w:val="single" w:sz="1" w:space="0" w:color="B0B0B0"/>
            </w:tcBorders>
            <w:tcMar>
              <w:top w:w="60" w:type="dxa"/>
              <w:left w:w="100" w:type="dxa"/>
              <w:bottom w:w="60" w:type="dxa"/>
              <w:right w:w="100" w:type="dxa"/>
            </w:tcMar>
          </w:tcPr>
          <w:p w14:paraId="1D97FEFF" w14:textId="77777777" w:rsidR="007264BD" w:rsidRDefault="00000000">
            <w:r>
              <w:rPr>
                <w:sz w:val="18"/>
                <w:szCs w:val="18"/>
              </w:rPr>
              <w:t>Addresses emerging problems early to prevent escalation; typically age 0–5 developmental focus</w:t>
            </w:r>
          </w:p>
        </w:tc>
      </w:tr>
      <w:tr w:rsidR="007264BD" w14:paraId="54D277E4" w14:textId="77777777">
        <w:tc>
          <w:tcPr>
            <w:tcW w:w="3200" w:type="dxa"/>
            <w:tcBorders>
              <w:top w:val="single" w:sz="1" w:space="0" w:color="B0B0B0"/>
              <w:left w:val="single" w:sz="1" w:space="0" w:color="B0B0B0"/>
              <w:bottom w:val="single" w:sz="1" w:space="0" w:color="B0B0B0"/>
              <w:right w:val="single" w:sz="1" w:space="0" w:color="B0B0B0"/>
            </w:tcBorders>
            <w:shd w:val="clear" w:color="auto" w:fill="EAF4F7"/>
            <w:tcMar>
              <w:top w:w="60" w:type="dxa"/>
              <w:left w:w="100" w:type="dxa"/>
              <w:bottom w:w="60" w:type="dxa"/>
              <w:right w:w="100" w:type="dxa"/>
            </w:tcMar>
          </w:tcPr>
          <w:p w14:paraId="03E8AF04" w14:textId="77777777" w:rsidR="007264BD" w:rsidRDefault="00000000">
            <w:r>
              <w:rPr>
                <w:sz w:val="18"/>
                <w:szCs w:val="18"/>
              </w:rPr>
              <w:t>Moderate Intervention</w:t>
            </w:r>
          </w:p>
        </w:tc>
        <w:tc>
          <w:tcPr>
            <w:tcW w:w="6160" w:type="dxa"/>
            <w:tcBorders>
              <w:top w:val="single" w:sz="1" w:space="0" w:color="B0B0B0"/>
              <w:left w:val="single" w:sz="1" w:space="0" w:color="B0B0B0"/>
              <w:bottom w:val="single" w:sz="1" w:space="0" w:color="B0B0B0"/>
              <w:right w:val="single" w:sz="1" w:space="0" w:color="B0B0B0"/>
            </w:tcBorders>
            <w:shd w:val="clear" w:color="auto" w:fill="EAF4F7"/>
            <w:tcMar>
              <w:top w:w="60" w:type="dxa"/>
              <w:left w:w="100" w:type="dxa"/>
              <w:bottom w:w="60" w:type="dxa"/>
              <w:right w:w="100" w:type="dxa"/>
            </w:tcMar>
          </w:tcPr>
          <w:p w14:paraId="108EE421" w14:textId="77777777" w:rsidR="007264BD" w:rsidRDefault="00000000">
            <w:r>
              <w:rPr>
                <w:sz w:val="18"/>
                <w:szCs w:val="18"/>
              </w:rPr>
              <w:t>Structured services for identified needs; includes special education, school-based behavioral health</w:t>
            </w:r>
          </w:p>
        </w:tc>
      </w:tr>
      <w:tr w:rsidR="007264BD" w14:paraId="5900FEAA" w14:textId="77777777">
        <w:tc>
          <w:tcPr>
            <w:tcW w:w="3200" w:type="dxa"/>
            <w:tcBorders>
              <w:top w:val="single" w:sz="1" w:space="0" w:color="B0B0B0"/>
              <w:left w:val="single" w:sz="1" w:space="0" w:color="B0B0B0"/>
              <w:bottom w:val="single" w:sz="1" w:space="0" w:color="B0B0B0"/>
              <w:right w:val="single" w:sz="1" w:space="0" w:color="B0B0B0"/>
            </w:tcBorders>
            <w:tcMar>
              <w:top w:w="60" w:type="dxa"/>
              <w:left w:w="100" w:type="dxa"/>
              <w:bottom w:w="60" w:type="dxa"/>
              <w:right w:w="100" w:type="dxa"/>
            </w:tcMar>
          </w:tcPr>
          <w:p w14:paraId="294E3E9F" w14:textId="77777777" w:rsidR="007264BD" w:rsidRDefault="00000000">
            <w:r>
              <w:rPr>
                <w:sz w:val="18"/>
                <w:szCs w:val="18"/>
              </w:rPr>
              <w:t>Intensive Intervention</w:t>
            </w:r>
          </w:p>
        </w:tc>
        <w:tc>
          <w:tcPr>
            <w:tcW w:w="6160" w:type="dxa"/>
            <w:tcBorders>
              <w:top w:val="single" w:sz="1" w:space="0" w:color="B0B0B0"/>
              <w:left w:val="single" w:sz="1" w:space="0" w:color="B0B0B0"/>
              <w:bottom w:val="single" w:sz="1" w:space="0" w:color="B0B0B0"/>
              <w:right w:val="single" w:sz="1" w:space="0" w:color="B0B0B0"/>
            </w:tcBorders>
            <w:tcMar>
              <w:top w:w="60" w:type="dxa"/>
              <w:left w:w="100" w:type="dxa"/>
              <w:bottom w:w="60" w:type="dxa"/>
              <w:right w:w="100" w:type="dxa"/>
            </w:tcMar>
          </w:tcPr>
          <w:p w14:paraId="39C5169B" w14:textId="77777777" w:rsidR="007264BD" w:rsidRDefault="00000000">
            <w:r>
              <w:rPr>
                <w:sz w:val="18"/>
                <w:szCs w:val="18"/>
              </w:rPr>
              <w:t>High-intensity services for acute needs; includes residential treatment, crisis services, foster care</w:t>
            </w:r>
          </w:p>
        </w:tc>
      </w:tr>
      <w:tr w:rsidR="007264BD" w14:paraId="4D30D19F" w14:textId="77777777">
        <w:tc>
          <w:tcPr>
            <w:tcW w:w="3200" w:type="dxa"/>
            <w:tcBorders>
              <w:top w:val="single" w:sz="1" w:space="0" w:color="B0B0B0"/>
              <w:left w:val="single" w:sz="1" w:space="0" w:color="B0B0B0"/>
              <w:bottom w:val="single" w:sz="1" w:space="0" w:color="B0B0B0"/>
              <w:right w:val="single" w:sz="1" w:space="0" w:color="B0B0B0"/>
            </w:tcBorders>
            <w:shd w:val="clear" w:color="auto" w:fill="EAF4F7"/>
            <w:tcMar>
              <w:top w:w="60" w:type="dxa"/>
              <w:left w:w="100" w:type="dxa"/>
              <w:bottom w:w="60" w:type="dxa"/>
              <w:right w:w="100" w:type="dxa"/>
            </w:tcMar>
          </w:tcPr>
          <w:p w14:paraId="1636AF1B" w14:textId="77777777" w:rsidR="007264BD" w:rsidRDefault="00000000">
            <w:r>
              <w:rPr>
                <w:sz w:val="18"/>
                <w:szCs w:val="18"/>
              </w:rPr>
              <w:t>Adult-Focused Capacity Building and Support</w:t>
            </w:r>
          </w:p>
        </w:tc>
        <w:tc>
          <w:tcPr>
            <w:tcW w:w="6160" w:type="dxa"/>
            <w:tcBorders>
              <w:top w:val="single" w:sz="1" w:space="0" w:color="B0B0B0"/>
              <w:left w:val="single" w:sz="1" w:space="0" w:color="B0B0B0"/>
              <w:bottom w:val="single" w:sz="1" w:space="0" w:color="B0B0B0"/>
              <w:right w:val="single" w:sz="1" w:space="0" w:color="B0B0B0"/>
            </w:tcBorders>
            <w:shd w:val="clear" w:color="auto" w:fill="EAF4F7"/>
            <w:tcMar>
              <w:top w:w="60" w:type="dxa"/>
              <w:left w:w="100" w:type="dxa"/>
              <w:bottom w:w="60" w:type="dxa"/>
              <w:right w:w="100" w:type="dxa"/>
            </w:tcMar>
          </w:tcPr>
          <w:p w14:paraId="4AE84F23" w14:textId="77777777" w:rsidR="007264BD" w:rsidRDefault="00000000">
            <w:r>
              <w:rPr>
                <w:sz w:val="18"/>
                <w:szCs w:val="18"/>
              </w:rPr>
              <w:t>Services directed at adults (parents, professionals) to build capacity benefiting children</w:t>
            </w:r>
          </w:p>
        </w:tc>
      </w:tr>
      <w:tr w:rsidR="007264BD" w14:paraId="705785CC" w14:textId="77777777">
        <w:tc>
          <w:tcPr>
            <w:tcW w:w="3200" w:type="dxa"/>
            <w:tcBorders>
              <w:top w:val="single" w:sz="1" w:space="0" w:color="B0B0B0"/>
              <w:left w:val="single" w:sz="1" w:space="0" w:color="B0B0B0"/>
              <w:bottom w:val="single" w:sz="1" w:space="0" w:color="B0B0B0"/>
              <w:right w:val="single" w:sz="1" w:space="0" w:color="B0B0B0"/>
            </w:tcBorders>
            <w:tcMar>
              <w:top w:w="60" w:type="dxa"/>
              <w:left w:w="100" w:type="dxa"/>
              <w:bottom w:w="60" w:type="dxa"/>
              <w:right w:w="100" w:type="dxa"/>
            </w:tcMar>
          </w:tcPr>
          <w:p w14:paraId="64E6ADC8" w14:textId="77777777" w:rsidR="007264BD" w:rsidRDefault="00000000">
            <w:r>
              <w:rPr>
                <w:sz w:val="18"/>
                <w:szCs w:val="18"/>
              </w:rPr>
              <w:t>General Services</w:t>
            </w:r>
          </w:p>
        </w:tc>
        <w:tc>
          <w:tcPr>
            <w:tcW w:w="6160" w:type="dxa"/>
            <w:tcBorders>
              <w:top w:val="single" w:sz="1" w:space="0" w:color="B0B0B0"/>
              <w:left w:val="single" w:sz="1" w:space="0" w:color="B0B0B0"/>
              <w:bottom w:val="single" w:sz="1" w:space="0" w:color="B0B0B0"/>
              <w:right w:val="single" w:sz="1" w:space="0" w:color="B0B0B0"/>
            </w:tcBorders>
            <w:tcMar>
              <w:top w:w="60" w:type="dxa"/>
              <w:left w:w="100" w:type="dxa"/>
              <w:bottom w:w="60" w:type="dxa"/>
              <w:right w:w="100" w:type="dxa"/>
            </w:tcMar>
          </w:tcPr>
          <w:p w14:paraId="00A5B684" w14:textId="77777777" w:rsidR="007264BD" w:rsidRDefault="00000000">
            <w:r>
              <w:rPr>
                <w:sz w:val="18"/>
                <w:szCs w:val="18"/>
              </w:rPr>
              <w:t>Administrative, infrastructure, or system-level activities not classifiable to a single intensity level</w:t>
            </w:r>
          </w:p>
        </w:tc>
      </w:tr>
    </w:tbl>
    <w:p w14:paraId="68B4C484" w14:textId="77777777" w:rsidR="007264BD" w:rsidRDefault="007264BD">
      <w:pPr>
        <w:spacing w:after="120" w:line="276" w:lineRule="auto"/>
      </w:pPr>
    </w:p>
    <w:p w14:paraId="79E3E66C" w14:textId="77777777" w:rsidR="007264BD" w:rsidRDefault="00000000">
      <w:pPr>
        <w:pStyle w:val="Heading2"/>
      </w:pPr>
      <w:r>
        <w:t>6.3 Early Childhood Designation</w:t>
      </w:r>
    </w:p>
    <w:p w14:paraId="370BC1B5" w14:textId="77777777" w:rsidR="007264BD" w:rsidRDefault="00000000">
      <w:pPr>
        <w:spacing w:after="160" w:line="276" w:lineRule="auto"/>
      </w:pPr>
      <w:r>
        <w:t>Programs serving children under age 6 are flagged with Under_6 = Yes in the coding reference. This cross-cutting tag is independent of primary outcome and focus classifications, allowing the same program to appear in both its outcome/focus category maps and the Early Childhood maps. Early Childhood maps use the under-6 population denominator rather than under-18, producing rates specific to the age group served.</w:t>
      </w:r>
    </w:p>
    <w:p w14:paraId="59131BFD" w14:textId="77777777" w:rsidR="007264BD" w:rsidRDefault="00000000">
      <w:pPr>
        <w:pStyle w:val="Heading1"/>
      </w:pPr>
      <w:r>
        <w:t>7. Normalization and Rate Calculation</w:t>
      </w:r>
    </w:p>
    <w:p w14:paraId="4D258D94" w14:textId="77777777" w:rsidR="007264BD" w:rsidRDefault="00000000">
      <w:pPr>
        <w:spacing w:after="160" w:line="276" w:lineRule="auto"/>
      </w:pPr>
      <w:r>
        <w:lastRenderedPageBreak/>
        <w:t>All metrics are presented both as raw counts and as population-normalized rates to enable cross-county comparison controlling for population size. The normalization formula is:</w:t>
      </w:r>
    </w:p>
    <w:p w14:paraId="34B54A59" w14:textId="77777777" w:rsidR="007264BD" w:rsidRDefault="00000000">
      <w:pPr>
        <w:spacing w:before="120" w:after="120"/>
        <w:jc w:val="center"/>
      </w:pPr>
      <w:r>
        <w:rPr>
          <w:rFonts w:ascii="Courier New" w:eastAsia="Courier New" w:hAnsi="Courier New" w:cs="Courier New"/>
          <w:i/>
          <w:iCs/>
        </w:rPr>
        <w:t>Rate = (Raw Value / County Population) × Multiplier</w:t>
      </w:r>
    </w:p>
    <w:p w14:paraId="29F1FB2B" w14:textId="77777777" w:rsidR="007264BD" w:rsidRDefault="00000000">
      <w:pPr>
        <w:spacing w:after="160" w:line="276" w:lineRule="auto"/>
      </w:pPr>
      <w:r>
        <w:t>The following table specifies the denominator and multiplier for each metric:</w:t>
      </w:r>
    </w:p>
    <w:tbl>
      <w:tblPr>
        <w:tblW w:w="936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2200"/>
        <w:gridCol w:w="1800"/>
        <w:gridCol w:w="1600"/>
        <w:gridCol w:w="1560"/>
      </w:tblGrid>
      <w:tr w:rsidR="007264BD" w14:paraId="5A341F1F" w14:textId="77777777">
        <w:tc>
          <w:tcPr>
            <w:tcW w:w="2200" w:type="dxa"/>
            <w:tcBorders>
              <w:top w:val="single" w:sz="1" w:space="0" w:color="B0B0B0"/>
              <w:left w:val="single" w:sz="1" w:space="0" w:color="B0B0B0"/>
              <w:bottom w:val="single" w:sz="1" w:space="0" w:color="B0B0B0"/>
              <w:right w:val="single" w:sz="1" w:space="0" w:color="B0B0B0"/>
            </w:tcBorders>
            <w:shd w:val="clear" w:color="auto" w:fill="1E4E79"/>
            <w:tcMar>
              <w:top w:w="60" w:type="dxa"/>
              <w:left w:w="100" w:type="dxa"/>
              <w:bottom w:w="60" w:type="dxa"/>
              <w:right w:w="100" w:type="dxa"/>
            </w:tcMar>
          </w:tcPr>
          <w:p w14:paraId="433D7B5C" w14:textId="77777777" w:rsidR="007264BD" w:rsidRDefault="00000000">
            <w:r>
              <w:rPr>
                <w:b/>
                <w:bCs/>
                <w:color w:val="FFFFFF"/>
                <w:sz w:val="18"/>
                <w:szCs w:val="18"/>
              </w:rPr>
              <w:t>Metric</w:t>
            </w:r>
          </w:p>
        </w:tc>
        <w:tc>
          <w:tcPr>
            <w:tcW w:w="2200" w:type="dxa"/>
            <w:tcBorders>
              <w:top w:val="single" w:sz="1" w:space="0" w:color="B0B0B0"/>
              <w:left w:val="single" w:sz="1" w:space="0" w:color="B0B0B0"/>
              <w:bottom w:val="single" w:sz="1" w:space="0" w:color="B0B0B0"/>
              <w:right w:val="single" w:sz="1" w:space="0" w:color="B0B0B0"/>
            </w:tcBorders>
            <w:shd w:val="clear" w:color="auto" w:fill="1E4E79"/>
            <w:tcMar>
              <w:top w:w="60" w:type="dxa"/>
              <w:left w:w="100" w:type="dxa"/>
              <w:bottom w:w="60" w:type="dxa"/>
              <w:right w:w="100" w:type="dxa"/>
            </w:tcMar>
          </w:tcPr>
          <w:p w14:paraId="28B250FD" w14:textId="77777777" w:rsidR="007264BD" w:rsidRDefault="00000000">
            <w:r>
              <w:rPr>
                <w:b/>
                <w:bCs/>
                <w:color w:val="FFFFFF"/>
                <w:sz w:val="18"/>
                <w:szCs w:val="18"/>
              </w:rPr>
              <w:t>Denominator</w:t>
            </w:r>
          </w:p>
        </w:tc>
        <w:tc>
          <w:tcPr>
            <w:tcW w:w="1800" w:type="dxa"/>
            <w:tcBorders>
              <w:top w:val="single" w:sz="1" w:space="0" w:color="B0B0B0"/>
              <w:left w:val="single" w:sz="1" w:space="0" w:color="B0B0B0"/>
              <w:bottom w:val="single" w:sz="1" w:space="0" w:color="B0B0B0"/>
              <w:right w:val="single" w:sz="1" w:space="0" w:color="B0B0B0"/>
            </w:tcBorders>
            <w:shd w:val="clear" w:color="auto" w:fill="1E4E79"/>
            <w:tcMar>
              <w:top w:w="60" w:type="dxa"/>
              <w:left w:w="100" w:type="dxa"/>
              <w:bottom w:w="60" w:type="dxa"/>
              <w:right w:w="100" w:type="dxa"/>
            </w:tcMar>
          </w:tcPr>
          <w:p w14:paraId="5BD9C835" w14:textId="77777777" w:rsidR="007264BD" w:rsidRDefault="00000000">
            <w:r>
              <w:rPr>
                <w:b/>
                <w:bCs/>
                <w:color w:val="FFFFFF"/>
                <w:sz w:val="18"/>
                <w:szCs w:val="18"/>
              </w:rPr>
              <w:t>Multiplier</w:t>
            </w:r>
          </w:p>
        </w:tc>
        <w:tc>
          <w:tcPr>
            <w:tcW w:w="1600" w:type="dxa"/>
            <w:tcBorders>
              <w:top w:val="single" w:sz="1" w:space="0" w:color="B0B0B0"/>
              <w:left w:val="single" w:sz="1" w:space="0" w:color="B0B0B0"/>
              <w:bottom w:val="single" w:sz="1" w:space="0" w:color="B0B0B0"/>
              <w:right w:val="single" w:sz="1" w:space="0" w:color="B0B0B0"/>
            </w:tcBorders>
            <w:shd w:val="clear" w:color="auto" w:fill="1E4E79"/>
            <w:tcMar>
              <w:top w:w="60" w:type="dxa"/>
              <w:left w:w="100" w:type="dxa"/>
              <w:bottom w:w="60" w:type="dxa"/>
              <w:right w:w="100" w:type="dxa"/>
            </w:tcMar>
          </w:tcPr>
          <w:p w14:paraId="4CE29256" w14:textId="77777777" w:rsidR="007264BD" w:rsidRDefault="00000000">
            <w:r>
              <w:rPr>
                <w:b/>
                <w:bCs/>
                <w:color w:val="FFFFFF"/>
                <w:sz w:val="18"/>
                <w:szCs w:val="18"/>
              </w:rPr>
              <w:t>Unit</w:t>
            </w:r>
          </w:p>
        </w:tc>
        <w:tc>
          <w:tcPr>
            <w:tcW w:w="1560" w:type="dxa"/>
            <w:tcBorders>
              <w:top w:val="single" w:sz="1" w:space="0" w:color="B0B0B0"/>
              <w:left w:val="single" w:sz="1" w:space="0" w:color="B0B0B0"/>
              <w:bottom w:val="single" w:sz="1" w:space="0" w:color="B0B0B0"/>
              <w:right w:val="single" w:sz="1" w:space="0" w:color="B0B0B0"/>
            </w:tcBorders>
            <w:shd w:val="clear" w:color="auto" w:fill="1E4E79"/>
            <w:tcMar>
              <w:top w:w="60" w:type="dxa"/>
              <w:left w:w="100" w:type="dxa"/>
              <w:bottom w:w="60" w:type="dxa"/>
              <w:right w:w="100" w:type="dxa"/>
            </w:tcMar>
          </w:tcPr>
          <w:p w14:paraId="2B14DB77" w14:textId="77777777" w:rsidR="007264BD" w:rsidRDefault="00000000">
            <w:r>
              <w:rPr>
                <w:b/>
                <w:bCs/>
                <w:color w:val="FFFFFF"/>
                <w:sz w:val="18"/>
                <w:szCs w:val="18"/>
              </w:rPr>
              <w:t>Map Panel</w:t>
            </w:r>
          </w:p>
        </w:tc>
      </w:tr>
      <w:tr w:rsidR="007264BD" w14:paraId="6282221A" w14:textId="77777777">
        <w:tc>
          <w:tcPr>
            <w:tcW w:w="2200" w:type="dxa"/>
            <w:tcBorders>
              <w:top w:val="single" w:sz="1" w:space="0" w:color="B0B0B0"/>
              <w:left w:val="single" w:sz="1" w:space="0" w:color="B0B0B0"/>
              <w:bottom w:val="single" w:sz="1" w:space="0" w:color="B0B0B0"/>
              <w:right w:val="single" w:sz="1" w:space="0" w:color="B0B0B0"/>
            </w:tcBorders>
            <w:tcMar>
              <w:top w:w="60" w:type="dxa"/>
              <w:left w:w="100" w:type="dxa"/>
              <w:bottom w:w="60" w:type="dxa"/>
              <w:right w:w="100" w:type="dxa"/>
            </w:tcMar>
          </w:tcPr>
          <w:p w14:paraId="1C9ADFA0" w14:textId="77777777" w:rsidR="007264BD" w:rsidRDefault="00000000">
            <w:r>
              <w:rPr>
                <w:sz w:val="18"/>
                <w:szCs w:val="18"/>
              </w:rPr>
              <w:t>Program Coverage</w:t>
            </w:r>
          </w:p>
        </w:tc>
        <w:tc>
          <w:tcPr>
            <w:tcW w:w="2200" w:type="dxa"/>
            <w:tcBorders>
              <w:top w:val="single" w:sz="1" w:space="0" w:color="B0B0B0"/>
              <w:left w:val="single" w:sz="1" w:space="0" w:color="B0B0B0"/>
              <w:bottom w:val="single" w:sz="1" w:space="0" w:color="B0B0B0"/>
              <w:right w:val="single" w:sz="1" w:space="0" w:color="B0B0B0"/>
            </w:tcBorders>
            <w:tcMar>
              <w:top w:w="60" w:type="dxa"/>
              <w:left w:w="100" w:type="dxa"/>
              <w:bottom w:w="60" w:type="dxa"/>
              <w:right w:w="100" w:type="dxa"/>
            </w:tcMar>
          </w:tcPr>
          <w:p w14:paraId="7C81BE29" w14:textId="77777777" w:rsidR="007264BD" w:rsidRDefault="00000000">
            <w:r>
              <w:rPr>
                <w:sz w:val="18"/>
                <w:szCs w:val="18"/>
              </w:rPr>
              <w:t>Under-18</w:t>
            </w:r>
          </w:p>
        </w:tc>
        <w:tc>
          <w:tcPr>
            <w:tcW w:w="1800" w:type="dxa"/>
            <w:tcBorders>
              <w:top w:val="single" w:sz="1" w:space="0" w:color="B0B0B0"/>
              <w:left w:val="single" w:sz="1" w:space="0" w:color="B0B0B0"/>
              <w:bottom w:val="single" w:sz="1" w:space="0" w:color="B0B0B0"/>
              <w:right w:val="single" w:sz="1" w:space="0" w:color="B0B0B0"/>
            </w:tcBorders>
            <w:tcMar>
              <w:top w:w="60" w:type="dxa"/>
              <w:left w:w="100" w:type="dxa"/>
              <w:bottom w:w="60" w:type="dxa"/>
              <w:right w:w="100" w:type="dxa"/>
            </w:tcMar>
          </w:tcPr>
          <w:p w14:paraId="18691E36" w14:textId="77777777" w:rsidR="007264BD" w:rsidRDefault="00000000">
            <w:r>
              <w:rPr>
                <w:sz w:val="18"/>
                <w:szCs w:val="18"/>
              </w:rPr>
              <w:t>10,000</w:t>
            </w:r>
          </w:p>
        </w:tc>
        <w:tc>
          <w:tcPr>
            <w:tcW w:w="1600" w:type="dxa"/>
            <w:tcBorders>
              <w:top w:val="single" w:sz="1" w:space="0" w:color="B0B0B0"/>
              <w:left w:val="single" w:sz="1" w:space="0" w:color="B0B0B0"/>
              <w:bottom w:val="single" w:sz="1" w:space="0" w:color="B0B0B0"/>
              <w:right w:val="single" w:sz="1" w:space="0" w:color="B0B0B0"/>
            </w:tcBorders>
            <w:tcMar>
              <w:top w:w="60" w:type="dxa"/>
              <w:left w:w="100" w:type="dxa"/>
              <w:bottom w:w="60" w:type="dxa"/>
              <w:right w:w="100" w:type="dxa"/>
            </w:tcMar>
          </w:tcPr>
          <w:p w14:paraId="13B8C613" w14:textId="77777777" w:rsidR="007264BD" w:rsidRDefault="00000000">
            <w:r>
              <w:rPr>
                <w:sz w:val="18"/>
                <w:szCs w:val="18"/>
              </w:rPr>
              <w:t>per 10K children</w:t>
            </w:r>
          </w:p>
        </w:tc>
        <w:tc>
          <w:tcPr>
            <w:tcW w:w="1560" w:type="dxa"/>
            <w:tcBorders>
              <w:top w:val="single" w:sz="1" w:space="0" w:color="B0B0B0"/>
              <w:left w:val="single" w:sz="1" w:space="0" w:color="B0B0B0"/>
              <w:bottom w:val="single" w:sz="1" w:space="0" w:color="B0B0B0"/>
              <w:right w:val="single" w:sz="1" w:space="0" w:color="B0B0B0"/>
            </w:tcBorders>
            <w:tcMar>
              <w:top w:w="60" w:type="dxa"/>
              <w:left w:w="100" w:type="dxa"/>
              <w:bottom w:w="60" w:type="dxa"/>
              <w:right w:w="100" w:type="dxa"/>
            </w:tcMar>
          </w:tcPr>
          <w:p w14:paraId="3293932E" w14:textId="77777777" w:rsidR="007264BD" w:rsidRDefault="00000000">
            <w:r>
              <w:rPr>
                <w:sz w:val="18"/>
                <w:szCs w:val="18"/>
              </w:rPr>
              <w:t>Program Count</w:t>
            </w:r>
          </w:p>
        </w:tc>
      </w:tr>
      <w:tr w:rsidR="007264BD" w14:paraId="4991BBE9" w14:textId="77777777">
        <w:tc>
          <w:tcPr>
            <w:tcW w:w="2200" w:type="dxa"/>
            <w:tcBorders>
              <w:top w:val="single" w:sz="1" w:space="0" w:color="B0B0B0"/>
              <w:left w:val="single" w:sz="1" w:space="0" w:color="B0B0B0"/>
              <w:bottom w:val="single" w:sz="1" w:space="0" w:color="B0B0B0"/>
              <w:right w:val="single" w:sz="1" w:space="0" w:color="B0B0B0"/>
            </w:tcBorders>
            <w:shd w:val="clear" w:color="auto" w:fill="EAF4F7"/>
            <w:tcMar>
              <w:top w:w="60" w:type="dxa"/>
              <w:left w:w="100" w:type="dxa"/>
              <w:bottom w:w="60" w:type="dxa"/>
              <w:right w:w="100" w:type="dxa"/>
            </w:tcMar>
          </w:tcPr>
          <w:p w14:paraId="356329D8" w14:textId="77777777" w:rsidR="007264BD" w:rsidRDefault="00000000">
            <w:r>
              <w:rPr>
                <w:sz w:val="18"/>
                <w:szCs w:val="18"/>
              </w:rPr>
              <w:t>Expenditure</w:t>
            </w:r>
          </w:p>
        </w:tc>
        <w:tc>
          <w:tcPr>
            <w:tcW w:w="2200" w:type="dxa"/>
            <w:tcBorders>
              <w:top w:val="single" w:sz="1" w:space="0" w:color="B0B0B0"/>
              <w:left w:val="single" w:sz="1" w:space="0" w:color="B0B0B0"/>
              <w:bottom w:val="single" w:sz="1" w:space="0" w:color="B0B0B0"/>
              <w:right w:val="single" w:sz="1" w:space="0" w:color="B0B0B0"/>
            </w:tcBorders>
            <w:shd w:val="clear" w:color="auto" w:fill="EAF4F7"/>
            <w:tcMar>
              <w:top w:w="60" w:type="dxa"/>
              <w:left w:w="100" w:type="dxa"/>
              <w:bottom w:w="60" w:type="dxa"/>
              <w:right w:w="100" w:type="dxa"/>
            </w:tcMar>
          </w:tcPr>
          <w:p w14:paraId="38491A9C" w14:textId="77777777" w:rsidR="007264BD" w:rsidRDefault="00000000">
            <w:r>
              <w:rPr>
                <w:sz w:val="18"/>
                <w:szCs w:val="18"/>
              </w:rPr>
              <w:t>Under-18</w:t>
            </w:r>
          </w:p>
        </w:tc>
        <w:tc>
          <w:tcPr>
            <w:tcW w:w="1800" w:type="dxa"/>
            <w:tcBorders>
              <w:top w:val="single" w:sz="1" w:space="0" w:color="B0B0B0"/>
              <w:left w:val="single" w:sz="1" w:space="0" w:color="B0B0B0"/>
              <w:bottom w:val="single" w:sz="1" w:space="0" w:color="B0B0B0"/>
              <w:right w:val="single" w:sz="1" w:space="0" w:color="B0B0B0"/>
            </w:tcBorders>
            <w:shd w:val="clear" w:color="auto" w:fill="EAF4F7"/>
            <w:tcMar>
              <w:top w:w="60" w:type="dxa"/>
              <w:left w:w="100" w:type="dxa"/>
              <w:bottom w:w="60" w:type="dxa"/>
              <w:right w:w="100" w:type="dxa"/>
            </w:tcMar>
          </w:tcPr>
          <w:p w14:paraId="678EB606" w14:textId="77777777" w:rsidR="007264BD" w:rsidRDefault="00000000">
            <w:r>
              <w:rPr>
                <w:sz w:val="18"/>
                <w:szCs w:val="18"/>
              </w:rPr>
              <w:t>1</w:t>
            </w:r>
          </w:p>
        </w:tc>
        <w:tc>
          <w:tcPr>
            <w:tcW w:w="1600" w:type="dxa"/>
            <w:tcBorders>
              <w:top w:val="single" w:sz="1" w:space="0" w:color="B0B0B0"/>
              <w:left w:val="single" w:sz="1" w:space="0" w:color="B0B0B0"/>
              <w:bottom w:val="single" w:sz="1" w:space="0" w:color="B0B0B0"/>
              <w:right w:val="single" w:sz="1" w:space="0" w:color="B0B0B0"/>
            </w:tcBorders>
            <w:shd w:val="clear" w:color="auto" w:fill="EAF4F7"/>
            <w:tcMar>
              <w:top w:w="60" w:type="dxa"/>
              <w:left w:w="100" w:type="dxa"/>
              <w:bottom w:w="60" w:type="dxa"/>
              <w:right w:w="100" w:type="dxa"/>
            </w:tcMar>
          </w:tcPr>
          <w:p w14:paraId="68E9FED6" w14:textId="77777777" w:rsidR="007264BD" w:rsidRDefault="00000000">
            <w:r>
              <w:rPr>
                <w:sz w:val="18"/>
                <w:szCs w:val="18"/>
              </w:rPr>
              <w:t>$ per child</w:t>
            </w:r>
          </w:p>
        </w:tc>
        <w:tc>
          <w:tcPr>
            <w:tcW w:w="1560" w:type="dxa"/>
            <w:tcBorders>
              <w:top w:val="single" w:sz="1" w:space="0" w:color="B0B0B0"/>
              <w:left w:val="single" w:sz="1" w:space="0" w:color="B0B0B0"/>
              <w:bottom w:val="single" w:sz="1" w:space="0" w:color="B0B0B0"/>
              <w:right w:val="single" w:sz="1" w:space="0" w:color="B0B0B0"/>
            </w:tcBorders>
            <w:shd w:val="clear" w:color="auto" w:fill="EAF4F7"/>
            <w:tcMar>
              <w:top w:w="60" w:type="dxa"/>
              <w:left w:w="100" w:type="dxa"/>
              <w:bottom w:w="60" w:type="dxa"/>
              <w:right w:w="100" w:type="dxa"/>
            </w:tcMar>
          </w:tcPr>
          <w:p w14:paraId="73E23ED7" w14:textId="77777777" w:rsidR="007264BD" w:rsidRDefault="00000000">
            <w:r>
              <w:rPr>
                <w:sz w:val="18"/>
                <w:szCs w:val="18"/>
              </w:rPr>
              <w:t>Exp per Child</w:t>
            </w:r>
          </w:p>
        </w:tc>
      </w:tr>
      <w:tr w:rsidR="007264BD" w14:paraId="73671638" w14:textId="77777777">
        <w:tc>
          <w:tcPr>
            <w:tcW w:w="2200" w:type="dxa"/>
            <w:tcBorders>
              <w:top w:val="single" w:sz="1" w:space="0" w:color="B0B0B0"/>
              <w:left w:val="single" w:sz="1" w:space="0" w:color="B0B0B0"/>
              <w:bottom w:val="single" w:sz="1" w:space="0" w:color="B0B0B0"/>
              <w:right w:val="single" w:sz="1" w:space="0" w:color="B0B0B0"/>
            </w:tcBorders>
            <w:tcMar>
              <w:top w:w="60" w:type="dxa"/>
              <w:left w:w="100" w:type="dxa"/>
              <w:bottom w:w="60" w:type="dxa"/>
              <w:right w:w="100" w:type="dxa"/>
            </w:tcMar>
          </w:tcPr>
          <w:p w14:paraId="76E2B295" w14:textId="77777777" w:rsidR="007264BD" w:rsidRDefault="00000000">
            <w:r>
              <w:rPr>
                <w:sz w:val="18"/>
                <w:szCs w:val="18"/>
              </w:rPr>
              <w:t>Children Served</w:t>
            </w:r>
          </w:p>
        </w:tc>
        <w:tc>
          <w:tcPr>
            <w:tcW w:w="2200" w:type="dxa"/>
            <w:tcBorders>
              <w:top w:val="single" w:sz="1" w:space="0" w:color="B0B0B0"/>
              <w:left w:val="single" w:sz="1" w:space="0" w:color="B0B0B0"/>
              <w:bottom w:val="single" w:sz="1" w:space="0" w:color="B0B0B0"/>
              <w:right w:val="single" w:sz="1" w:space="0" w:color="B0B0B0"/>
            </w:tcBorders>
            <w:tcMar>
              <w:top w:w="60" w:type="dxa"/>
              <w:left w:w="100" w:type="dxa"/>
              <w:bottom w:w="60" w:type="dxa"/>
              <w:right w:w="100" w:type="dxa"/>
            </w:tcMar>
          </w:tcPr>
          <w:p w14:paraId="71E9EF45" w14:textId="77777777" w:rsidR="007264BD" w:rsidRDefault="00000000">
            <w:r>
              <w:rPr>
                <w:sz w:val="18"/>
                <w:szCs w:val="18"/>
              </w:rPr>
              <w:t>Under-18</w:t>
            </w:r>
          </w:p>
        </w:tc>
        <w:tc>
          <w:tcPr>
            <w:tcW w:w="1800" w:type="dxa"/>
            <w:tcBorders>
              <w:top w:val="single" w:sz="1" w:space="0" w:color="B0B0B0"/>
              <w:left w:val="single" w:sz="1" w:space="0" w:color="B0B0B0"/>
              <w:bottom w:val="single" w:sz="1" w:space="0" w:color="B0B0B0"/>
              <w:right w:val="single" w:sz="1" w:space="0" w:color="B0B0B0"/>
            </w:tcBorders>
            <w:tcMar>
              <w:top w:w="60" w:type="dxa"/>
              <w:left w:w="100" w:type="dxa"/>
              <w:bottom w:w="60" w:type="dxa"/>
              <w:right w:w="100" w:type="dxa"/>
            </w:tcMar>
          </w:tcPr>
          <w:p w14:paraId="368D0EB2" w14:textId="77777777" w:rsidR="007264BD" w:rsidRDefault="00000000">
            <w:r>
              <w:rPr>
                <w:sz w:val="18"/>
                <w:szCs w:val="18"/>
              </w:rPr>
              <w:t>1,000</w:t>
            </w:r>
          </w:p>
        </w:tc>
        <w:tc>
          <w:tcPr>
            <w:tcW w:w="1600" w:type="dxa"/>
            <w:tcBorders>
              <w:top w:val="single" w:sz="1" w:space="0" w:color="B0B0B0"/>
              <w:left w:val="single" w:sz="1" w:space="0" w:color="B0B0B0"/>
              <w:bottom w:val="single" w:sz="1" w:space="0" w:color="B0B0B0"/>
              <w:right w:val="single" w:sz="1" w:space="0" w:color="B0B0B0"/>
            </w:tcBorders>
            <w:tcMar>
              <w:top w:w="60" w:type="dxa"/>
              <w:left w:w="100" w:type="dxa"/>
              <w:bottom w:w="60" w:type="dxa"/>
              <w:right w:w="100" w:type="dxa"/>
            </w:tcMar>
          </w:tcPr>
          <w:p w14:paraId="5C799A67" w14:textId="77777777" w:rsidR="007264BD" w:rsidRDefault="00000000">
            <w:r>
              <w:rPr>
                <w:sz w:val="18"/>
                <w:szCs w:val="18"/>
              </w:rPr>
              <w:t>per 1K children</w:t>
            </w:r>
          </w:p>
        </w:tc>
        <w:tc>
          <w:tcPr>
            <w:tcW w:w="1560" w:type="dxa"/>
            <w:tcBorders>
              <w:top w:val="single" w:sz="1" w:space="0" w:color="B0B0B0"/>
              <w:left w:val="single" w:sz="1" w:space="0" w:color="B0B0B0"/>
              <w:bottom w:val="single" w:sz="1" w:space="0" w:color="B0B0B0"/>
              <w:right w:val="single" w:sz="1" w:space="0" w:color="B0B0B0"/>
            </w:tcBorders>
            <w:tcMar>
              <w:top w:w="60" w:type="dxa"/>
              <w:left w:w="100" w:type="dxa"/>
              <w:bottom w:w="60" w:type="dxa"/>
              <w:right w:w="100" w:type="dxa"/>
            </w:tcMar>
          </w:tcPr>
          <w:p w14:paraId="40255628" w14:textId="77777777" w:rsidR="007264BD" w:rsidRDefault="00000000">
            <w:r>
              <w:rPr>
                <w:sz w:val="18"/>
                <w:szCs w:val="18"/>
              </w:rPr>
              <w:t>Served per 1K</w:t>
            </w:r>
          </w:p>
        </w:tc>
      </w:tr>
      <w:tr w:rsidR="007264BD" w14:paraId="1045C717" w14:textId="77777777">
        <w:tc>
          <w:tcPr>
            <w:tcW w:w="2200" w:type="dxa"/>
            <w:tcBorders>
              <w:top w:val="single" w:sz="1" w:space="0" w:color="B0B0B0"/>
              <w:left w:val="single" w:sz="1" w:space="0" w:color="B0B0B0"/>
              <w:bottom w:val="single" w:sz="1" w:space="0" w:color="B0B0B0"/>
              <w:right w:val="single" w:sz="1" w:space="0" w:color="B0B0B0"/>
            </w:tcBorders>
            <w:shd w:val="clear" w:color="auto" w:fill="EAF4F7"/>
            <w:tcMar>
              <w:top w:w="60" w:type="dxa"/>
              <w:left w:w="100" w:type="dxa"/>
              <w:bottom w:w="60" w:type="dxa"/>
              <w:right w:w="100" w:type="dxa"/>
            </w:tcMar>
          </w:tcPr>
          <w:p w14:paraId="54CC4C71" w14:textId="77777777" w:rsidR="007264BD" w:rsidRDefault="00000000">
            <w:r>
              <w:rPr>
                <w:sz w:val="18"/>
                <w:szCs w:val="18"/>
              </w:rPr>
              <w:t>EC Coverage</w:t>
            </w:r>
          </w:p>
        </w:tc>
        <w:tc>
          <w:tcPr>
            <w:tcW w:w="2200" w:type="dxa"/>
            <w:tcBorders>
              <w:top w:val="single" w:sz="1" w:space="0" w:color="B0B0B0"/>
              <w:left w:val="single" w:sz="1" w:space="0" w:color="B0B0B0"/>
              <w:bottom w:val="single" w:sz="1" w:space="0" w:color="B0B0B0"/>
              <w:right w:val="single" w:sz="1" w:space="0" w:color="B0B0B0"/>
            </w:tcBorders>
            <w:shd w:val="clear" w:color="auto" w:fill="EAF4F7"/>
            <w:tcMar>
              <w:top w:w="60" w:type="dxa"/>
              <w:left w:w="100" w:type="dxa"/>
              <w:bottom w:w="60" w:type="dxa"/>
              <w:right w:w="100" w:type="dxa"/>
            </w:tcMar>
          </w:tcPr>
          <w:p w14:paraId="3C9D6CAF" w14:textId="77777777" w:rsidR="007264BD" w:rsidRDefault="00000000">
            <w:r>
              <w:rPr>
                <w:sz w:val="18"/>
                <w:szCs w:val="18"/>
              </w:rPr>
              <w:t>Under-6</w:t>
            </w:r>
          </w:p>
        </w:tc>
        <w:tc>
          <w:tcPr>
            <w:tcW w:w="1800" w:type="dxa"/>
            <w:tcBorders>
              <w:top w:val="single" w:sz="1" w:space="0" w:color="B0B0B0"/>
              <w:left w:val="single" w:sz="1" w:space="0" w:color="B0B0B0"/>
              <w:bottom w:val="single" w:sz="1" w:space="0" w:color="B0B0B0"/>
              <w:right w:val="single" w:sz="1" w:space="0" w:color="B0B0B0"/>
            </w:tcBorders>
            <w:shd w:val="clear" w:color="auto" w:fill="EAF4F7"/>
            <w:tcMar>
              <w:top w:w="60" w:type="dxa"/>
              <w:left w:w="100" w:type="dxa"/>
              <w:bottom w:w="60" w:type="dxa"/>
              <w:right w:w="100" w:type="dxa"/>
            </w:tcMar>
          </w:tcPr>
          <w:p w14:paraId="7E5F430C" w14:textId="77777777" w:rsidR="007264BD" w:rsidRDefault="00000000">
            <w:r>
              <w:rPr>
                <w:sz w:val="18"/>
                <w:szCs w:val="18"/>
              </w:rPr>
              <w:t>10,000</w:t>
            </w:r>
          </w:p>
        </w:tc>
        <w:tc>
          <w:tcPr>
            <w:tcW w:w="1600" w:type="dxa"/>
            <w:tcBorders>
              <w:top w:val="single" w:sz="1" w:space="0" w:color="B0B0B0"/>
              <w:left w:val="single" w:sz="1" w:space="0" w:color="B0B0B0"/>
              <w:bottom w:val="single" w:sz="1" w:space="0" w:color="B0B0B0"/>
              <w:right w:val="single" w:sz="1" w:space="0" w:color="B0B0B0"/>
            </w:tcBorders>
            <w:shd w:val="clear" w:color="auto" w:fill="EAF4F7"/>
            <w:tcMar>
              <w:top w:w="60" w:type="dxa"/>
              <w:left w:w="100" w:type="dxa"/>
              <w:bottom w:w="60" w:type="dxa"/>
              <w:right w:w="100" w:type="dxa"/>
            </w:tcMar>
          </w:tcPr>
          <w:p w14:paraId="279C1C85" w14:textId="77777777" w:rsidR="007264BD" w:rsidRDefault="00000000">
            <w:r>
              <w:rPr>
                <w:sz w:val="18"/>
                <w:szCs w:val="18"/>
              </w:rPr>
              <w:t>per 10K &lt;6</w:t>
            </w:r>
          </w:p>
        </w:tc>
        <w:tc>
          <w:tcPr>
            <w:tcW w:w="1560" w:type="dxa"/>
            <w:tcBorders>
              <w:top w:val="single" w:sz="1" w:space="0" w:color="B0B0B0"/>
              <w:left w:val="single" w:sz="1" w:space="0" w:color="B0B0B0"/>
              <w:bottom w:val="single" w:sz="1" w:space="0" w:color="B0B0B0"/>
              <w:right w:val="single" w:sz="1" w:space="0" w:color="B0B0B0"/>
            </w:tcBorders>
            <w:shd w:val="clear" w:color="auto" w:fill="EAF4F7"/>
            <w:tcMar>
              <w:top w:w="60" w:type="dxa"/>
              <w:left w:w="100" w:type="dxa"/>
              <w:bottom w:w="60" w:type="dxa"/>
              <w:right w:w="100" w:type="dxa"/>
            </w:tcMar>
          </w:tcPr>
          <w:p w14:paraId="2AFEE938" w14:textId="77777777" w:rsidR="007264BD" w:rsidRDefault="00000000">
            <w:r>
              <w:rPr>
                <w:sz w:val="18"/>
                <w:szCs w:val="18"/>
              </w:rPr>
              <w:t>Program Count</w:t>
            </w:r>
          </w:p>
        </w:tc>
      </w:tr>
      <w:tr w:rsidR="007264BD" w14:paraId="3B41EDEA" w14:textId="77777777">
        <w:tc>
          <w:tcPr>
            <w:tcW w:w="2200" w:type="dxa"/>
            <w:tcBorders>
              <w:top w:val="single" w:sz="1" w:space="0" w:color="B0B0B0"/>
              <w:left w:val="single" w:sz="1" w:space="0" w:color="B0B0B0"/>
              <w:bottom w:val="single" w:sz="1" w:space="0" w:color="B0B0B0"/>
              <w:right w:val="single" w:sz="1" w:space="0" w:color="B0B0B0"/>
            </w:tcBorders>
            <w:tcMar>
              <w:top w:w="60" w:type="dxa"/>
              <w:left w:w="100" w:type="dxa"/>
              <w:bottom w:w="60" w:type="dxa"/>
              <w:right w:w="100" w:type="dxa"/>
            </w:tcMar>
          </w:tcPr>
          <w:p w14:paraId="5FF3643E" w14:textId="77777777" w:rsidR="007264BD" w:rsidRDefault="00000000">
            <w:r>
              <w:rPr>
                <w:sz w:val="18"/>
                <w:szCs w:val="18"/>
              </w:rPr>
              <w:t>EC Expenditure</w:t>
            </w:r>
          </w:p>
        </w:tc>
        <w:tc>
          <w:tcPr>
            <w:tcW w:w="2200" w:type="dxa"/>
            <w:tcBorders>
              <w:top w:val="single" w:sz="1" w:space="0" w:color="B0B0B0"/>
              <w:left w:val="single" w:sz="1" w:space="0" w:color="B0B0B0"/>
              <w:bottom w:val="single" w:sz="1" w:space="0" w:color="B0B0B0"/>
              <w:right w:val="single" w:sz="1" w:space="0" w:color="B0B0B0"/>
            </w:tcBorders>
            <w:tcMar>
              <w:top w:w="60" w:type="dxa"/>
              <w:left w:w="100" w:type="dxa"/>
              <w:bottom w:w="60" w:type="dxa"/>
              <w:right w:w="100" w:type="dxa"/>
            </w:tcMar>
          </w:tcPr>
          <w:p w14:paraId="175982C8" w14:textId="77777777" w:rsidR="007264BD" w:rsidRDefault="00000000">
            <w:r>
              <w:rPr>
                <w:sz w:val="18"/>
                <w:szCs w:val="18"/>
              </w:rPr>
              <w:t>Under-6</w:t>
            </w:r>
          </w:p>
        </w:tc>
        <w:tc>
          <w:tcPr>
            <w:tcW w:w="1800" w:type="dxa"/>
            <w:tcBorders>
              <w:top w:val="single" w:sz="1" w:space="0" w:color="B0B0B0"/>
              <w:left w:val="single" w:sz="1" w:space="0" w:color="B0B0B0"/>
              <w:bottom w:val="single" w:sz="1" w:space="0" w:color="B0B0B0"/>
              <w:right w:val="single" w:sz="1" w:space="0" w:color="B0B0B0"/>
            </w:tcBorders>
            <w:tcMar>
              <w:top w:w="60" w:type="dxa"/>
              <w:left w:w="100" w:type="dxa"/>
              <w:bottom w:w="60" w:type="dxa"/>
              <w:right w:w="100" w:type="dxa"/>
            </w:tcMar>
          </w:tcPr>
          <w:p w14:paraId="5FFAE77B" w14:textId="77777777" w:rsidR="007264BD" w:rsidRDefault="00000000">
            <w:r>
              <w:rPr>
                <w:sz w:val="18"/>
                <w:szCs w:val="18"/>
              </w:rPr>
              <w:t>1</w:t>
            </w:r>
          </w:p>
        </w:tc>
        <w:tc>
          <w:tcPr>
            <w:tcW w:w="1600" w:type="dxa"/>
            <w:tcBorders>
              <w:top w:val="single" w:sz="1" w:space="0" w:color="B0B0B0"/>
              <w:left w:val="single" w:sz="1" w:space="0" w:color="B0B0B0"/>
              <w:bottom w:val="single" w:sz="1" w:space="0" w:color="B0B0B0"/>
              <w:right w:val="single" w:sz="1" w:space="0" w:color="B0B0B0"/>
            </w:tcBorders>
            <w:tcMar>
              <w:top w:w="60" w:type="dxa"/>
              <w:left w:w="100" w:type="dxa"/>
              <w:bottom w:w="60" w:type="dxa"/>
              <w:right w:w="100" w:type="dxa"/>
            </w:tcMar>
          </w:tcPr>
          <w:p w14:paraId="378F35B2" w14:textId="77777777" w:rsidR="007264BD" w:rsidRDefault="00000000">
            <w:r>
              <w:rPr>
                <w:sz w:val="18"/>
                <w:szCs w:val="18"/>
              </w:rPr>
              <w:t>$ per child &lt;6</w:t>
            </w:r>
          </w:p>
        </w:tc>
        <w:tc>
          <w:tcPr>
            <w:tcW w:w="1560" w:type="dxa"/>
            <w:tcBorders>
              <w:top w:val="single" w:sz="1" w:space="0" w:color="B0B0B0"/>
              <w:left w:val="single" w:sz="1" w:space="0" w:color="B0B0B0"/>
              <w:bottom w:val="single" w:sz="1" w:space="0" w:color="B0B0B0"/>
              <w:right w:val="single" w:sz="1" w:space="0" w:color="B0B0B0"/>
            </w:tcBorders>
            <w:tcMar>
              <w:top w:w="60" w:type="dxa"/>
              <w:left w:w="100" w:type="dxa"/>
              <w:bottom w:w="60" w:type="dxa"/>
              <w:right w:w="100" w:type="dxa"/>
            </w:tcMar>
          </w:tcPr>
          <w:p w14:paraId="0C0BC99B" w14:textId="77777777" w:rsidR="007264BD" w:rsidRDefault="00000000">
            <w:r>
              <w:rPr>
                <w:sz w:val="18"/>
                <w:szCs w:val="18"/>
              </w:rPr>
              <w:t>Exp per Child</w:t>
            </w:r>
          </w:p>
        </w:tc>
      </w:tr>
      <w:tr w:rsidR="007264BD" w14:paraId="18AF43EA" w14:textId="77777777">
        <w:tc>
          <w:tcPr>
            <w:tcW w:w="2200" w:type="dxa"/>
            <w:tcBorders>
              <w:top w:val="single" w:sz="1" w:space="0" w:color="B0B0B0"/>
              <w:left w:val="single" w:sz="1" w:space="0" w:color="B0B0B0"/>
              <w:bottom w:val="single" w:sz="1" w:space="0" w:color="B0B0B0"/>
              <w:right w:val="single" w:sz="1" w:space="0" w:color="B0B0B0"/>
            </w:tcBorders>
            <w:shd w:val="clear" w:color="auto" w:fill="EAF4F7"/>
            <w:tcMar>
              <w:top w:w="60" w:type="dxa"/>
              <w:left w:w="100" w:type="dxa"/>
              <w:bottom w:w="60" w:type="dxa"/>
              <w:right w:w="100" w:type="dxa"/>
            </w:tcMar>
          </w:tcPr>
          <w:p w14:paraId="6B510318" w14:textId="77777777" w:rsidR="007264BD" w:rsidRDefault="00000000">
            <w:r>
              <w:rPr>
                <w:sz w:val="18"/>
                <w:szCs w:val="18"/>
              </w:rPr>
              <w:t>EC Children Served</w:t>
            </w:r>
          </w:p>
        </w:tc>
        <w:tc>
          <w:tcPr>
            <w:tcW w:w="2200" w:type="dxa"/>
            <w:tcBorders>
              <w:top w:val="single" w:sz="1" w:space="0" w:color="B0B0B0"/>
              <w:left w:val="single" w:sz="1" w:space="0" w:color="B0B0B0"/>
              <w:bottom w:val="single" w:sz="1" w:space="0" w:color="B0B0B0"/>
              <w:right w:val="single" w:sz="1" w:space="0" w:color="B0B0B0"/>
            </w:tcBorders>
            <w:shd w:val="clear" w:color="auto" w:fill="EAF4F7"/>
            <w:tcMar>
              <w:top w:w="60" w:type="dxa"/>
              <w:left w:w="100" w:type="dxa"/>
              <w:bottom w:w="60" w:type="dxa"/>
              <w:right w:w="100" w:type="dxa"/>
            </w:tcMar>
          </w:tcPr>
          <w:p w14:paraId="1DF0AECD" w14:textId="77777777" w:rsidR="007264BD" w:rsidRDefault="00000000">
            <w:r>
              <w:rPr>
                <w:sz w:val="18"/>
                <w:szCs w:val="18"/>
              </w:rPr>
              <w:t>Under-6</w:t>
            </w:r>
          </w:p>
        </w:tc>
        <w:tc>
          <w:tcPr>
            <w:tcW w:w="1800" w:type="dxa"/>
            <w:tcBorders>
              <w:top w:val="single" w:sz="1" w:space="0" w:color="B0B0B0"/>
              <w:left w:val="single" w:sz="1" w:space="0" w:color="B0B0B0"/>
              <w:bottom w:val="single" w:sz="1" w:space="0" w:color="B0B0B0"/>
              <w:right w:val="single" w:sz="1" w:space="0" w:color="B0B0B0"/>
            </w:tcBorders>
            <w:shd w:val="clear" w:color="auto" w:fill="EAF4F7"/>
            <w:tcMar>
              <w:top w:w="60" w:type="dxa"/>
              <w:left w:w="100" w:type="dxa"/>
              <w:bottom w:w="60" w:type="dxa"/>
              <w:right w:w="100" w:type="dxa"/>
            </w:tcMar>
          </w:tcPr>
          <w:p w14:paraId="356EA459" w14:textId="77777777" w:rsidR="007264BD" w:rsidRDefault="00000000">
            <w:r>
              <w:rPr>
                <w:sz w:val="18"/>
                <w:szCs w:val="18"/>
              </w:rPr>
              <w:t>1,000</w:t>
            </w:r>
          </w:p>
        </w:tc>
        <w:tc>
          <w:tcPr>
            <w:tcW w:w="1600" w:type="dxa"/>
            <w:tcBorders>
              <w:top w:val="single" w:sz="1" w:space="0" w:color="B0B0B0"/>
              <w:left w:val="single" w:sz="1" w:space="0" w:color="B0B0B0"/>
              <w:bottom w:val="single" w:sz="1" w:space="0" w:color="B0B0B0"/>
              <w:right w:val="single" w:sz="1" w:space="0" w:color="B0B0B0"/>
            </w:tcBorders>
            <w:shd w:val="clear" w:color="auto" w:fill="EAF4F7"/>
            <w:tcMar>
              <w:top w:w="60" w:type="dxa"/>
              <w:left w:w="100" w:type="dxa"/>
              <w:bottom w:w="60" w:type="dxa"/>
              <w:right w:w="100" w:type="dxa"/>
            </w:tcMar>
          </w:tcPr>
          <w:p w14:paraId="70A3B4CF" w14:textId="77777777" w:rsidR="007264BD" w:rsidRDefault="00000000">
            <w:r>
              <w:rPr>
                <w:sz w:val="18"/>
                <w:szCs w:val="18"/>
              </w:rPr>
              <w:t>per 1K &lt;6</w:t>
            </w:r>
          </w:p>
        </w:tc>
        <w:tc>
          <w:tcPr>
            <w:tcW w:w="1560" w:type="dxa"/>
            <w:tcBorders>
              <w:top w:val="single" w:sz="1" w:space="0" w:color="B0B0B0"/>
              <w:left w:val="single" w:sz="1" w:space="0" w:color="B0B0B0"/>
              <w:bottom w:val="single" w:sz="1" w:space="0" w:color="B0B0B0"/>
              <w:right w:val="single" w:sz="1" w:space="0" w:color="B0B0B0"/>
            </w:tcBorders>
            <w:shd w:val="clear" w:color="auto" w:fill="EAF4F7"/>
            <w:tcMar>
              <w:top w:w="60" w:type="dxa"/>
              <w:left w:w="100" w:type="dxa"/>
              <w:bottom w:w="60" w:type="dxa"/>
              <w:right w:w="100" w:type="dxa"/>
            </w:tcMar>
          </w:tcPr>
          <w:p w14:paraId="535C582B" w14:textId="77777777" w:rsidR="007264BD" w:rsidRDefault="00000000">
            <w:r>
              <w:rPr>
                <w:sz w:val="18"/>
                <w:szCs w:val="18"/>
              </w:rPr>
              <w:t>Served per 1K</w:t>
            </w:r>
          </w:p>
        </w:tc>
      </w:tr>
    </w:tbl>
    <w:p w14:paraId="16CD16C4" w14:textId="77777777" w:rsidR="007264BD" w:rsidRDefault="007264BD">
      <w:pPr>
        <w:spacing w:after="120" w:line="276" w:lineRule="auto"/>
      </w:pPr>
    </w:p>
    <w:p w14:paraId="54EF1DDE" w14:textId="77777777" w:rsidR="007264BD" w:rsidRDefault="00000000">
      <w:pPr>
        <w:spacing w:after="160" w:line="276" w:lineRule="auto"/>
      </w:pPr>
      <w:r>
        <w:rPr>
          <w:b/>
          <w:bCs/>
        </w:rPr>
        <w:t xml:space="preserve">Note on choropleth map normalization: </w:t>
      </w:r>
      <w:r>
        <w:t>The Program Count panel in the choropleth maps displays raw (unnormalized) program counts rather than per-10K rates, because the heat map matrix workbook already provides both values and the raw count is more intuitive for visual pattern recognition at the county level. The NServed and Expenditure panels use the normalized rates as described above.</w:t>
      </w:r>
    </w:p>
    <w:p w14:paraId="74599E1E" w14:textId="77777777" w:rsidR="007264BD" w:rsidRDefault="00000000">
      <w:pPr>
        <w:pStyle w:val="Heading1"/>
      </w:pPr>
      <w:r>
        <w:t>8. Limitations</w:t>
      </w:r>
    </w:p>
    <w:p w14:paraId="2D13E840" w14:textId="77777777" w:rsidR="007264BD" w:rsidRDefault="00000000">
      <w:pPr>
        <w:pStyle w:val="ListParagraph"/>
        <w:numPr>
          <w:ilvl w:val="0"/>
          <w:numId w:val="2"/>
        </w:numPr>
        <w:spacing w:after="120" w:line="276" w:lineRule="auto"/>
      </w:pPr>
      <w:r>
        <w:rPr>
          <w:b/>
          <w:bCs/>
        </w:rPr>
        <w:t xml:space="preserve">Incomplete county-level distribution. </w:t>
      </w:r>
      <w:r>
        <w:t>County-level expenditure data are available for a subset of the 282 programs. The remaining programs report statewide totals only. Counties with higher proportions of statewide-only programs may appear underserved in expenditure maps relative to their true resource levels.</w:t>
      </w:r>
    </w:p>
    <w:p w14:paraId="6FC1A2C2" w14:textId="77777777" w:rsidR="007264BD" w:rsidRDefault="00000000">
      <w:pPr>
        <w:pStyle w:val="ListParagraph"/>
        <w:numPr>
          <w:ilvl w:val="0"/>
          <w:numId w:val="2"/>
        </w:numPr>
        <w:spacing w:after="120" w:line="276" w:lineRule="auto"/>
      </w:pPr>
      <w:r>
        <w:rPr>
          <w:b/>
          <w:bCs/>
        </w:rPr>
        <w:t xml:space="preserve">Duplicated enrollment counts. </w:t>
      </w:r>
      <w:r>
        <w:t>Children served counts are not unduplicated across programs. A child enrolled in SNAP, WIC, TEIS, and school lunch appears four times in aggregate NServed. Per-capita rates exceeding 1,000 per 1,000 reflect average program enrollments per child, not service penetration of unique individuals.</w:t>
      </w:r>
    </w:p>
    <w:p w14:paraId="728DDF90" w14:textId="77777777" w:rsidR="007264BD" w:rsidRDefault="00000000">
      <w:pPr>
        <w:pStyle w:val="ListParagraph"/>
        <w:numPr>
          <w:ilvl w:val="0"/>
          <w:numId w:val="2"/>
        </w:numPr>
        <w:spacing w:after="120" w:line="276" w:lineRule="auto"/>
      </w:pPr>
      <w:r>
        <w:rPr>
          <w:b/>
          <w:bCs/>
        </w:rPr>
        <w:t xml:space="preserve">Reporter variability. </w:t>
      </w:r>
      <w:r>
        <w:t>Data quality varies by agency and reporter. Some reporters distribute expenditure to counties proportionally (by enrollment share), while others enter actual county-level allocations. Three THEC programs contain copy-pasted county data. The Seamless Summer program originally reported meal counts rather than children served.</w:t>
      </w:r>
    </w:p>
    <w:p w14:paraId="47C69784" w14:textId="77777777" w:rsidR="007264BD" w:rsidRDefault="00000000">
      <w:pPr>
        <w:pStyle w:val="ListParagraph"/>
        <w:numPr>
          <w:ilvl w:val="0"/>
          <w:numId w:val="2"/>
        </w:numPr>
        <w:spacing w:after="120" w:line="276" w:lineRule="auto"/>
      </w:pPr>
      <w:r>
        <w:rPr>
          <w:b/>
          <w:bCs/>
        </w:rPr>
        <w:t xml:space="preserve">Service area approximation. </w:t>
      </w:r>
      <w:r>
        <w:t>Coverage maps rely on reporter-entered text describing service areas. Regional designations (e.g., “Upper Cumberland”) are mapped to counties using TDOE regional definitions, which may not precisely match program service boundaries. Programs with unresolvable service area text and no county-level data rows are excluded from coverage maps.</w:t>
      </w:r>
    </w:p>
    <w:p w14:paraId="28AF74B4" w14:textId="77777777" w:rsidR="007264BD" w:rsidRDefault="00000000">
      <w:pPr>
        <w:pStyle w:val="ListParagraph"/>
        <w:numPr>
          <w:ilvl w:val="0"/>
          <w:numId w:val="2"/>
        </w:numPr>
        <w:spacing w:after="120" w:line="276" w:lineRule="auto"/>
      </w:pPr>
      <w:r>
        <w:rPr>
          <w:b/>
          <w:bCs/>
        </w:rPr>
        <w:t xml:space="preserve">ACS margin of error. </w:t>
      </w:r>
      <w:r>
        <w:t xml:space="preserve">Population denominators are ACS 5-year estimates subject to sampling error, particularly in small counties. Rates for counties with very small </w:t>
      </w:r>
      <w:r>
        <w:lastRenderedPageBreak/>
        <w:t>populations (e.g., Pickett County, under-6 population of approximately 248) should be interpreted with caution, as small denominator values amplify rate instability.</w:t>
      </w:r>
    </w:p>
    <w:p w14:paraId="6E1CD762" w14:textId="77777777" w:rsidR="007264BD" w:rsidRDefault="00000000">
      <w:pPr>
        <w:pStyle w:val="ListParagraph"/>
        <w:numPr>
          <w:ilvl w:val="0"/>
          <w:numId w:val="2"/>
        </w:numPr>
        <w:spacing w:after="120" w:line="276" w:lineRule="auto"/>
      </w:pPr>
      <w:r>
        <w:rPr>
          <w:b/>
          <w:bCs/>
        </w:rPr>
        <w:t xml:space="preserve">Classification sensitivity. </w:t>
      </w:r>
      <w:r>
        <w:t>Natural Breaks classification is data-driven and bin boundaries shift with the underlying data distribution. Adding or removing programs in a category can change bin thresholds, making direct year-over-year comparison of choropleth color assignments inappropriate without re-running both years on a common classification. The heat map matrix (raw values) should be used for longitudinal comparison.</w:t>
      </w:r>
    </w:p>
    <w:p w14:paraId="637FBB11" w14:textId="77777777" w:rsidR="007264BD" w:rsidRDefault="00000000">
      <w:pPr>
        <w:pStyle w:val="ListParagraph"/>
        <w:numPr>
          <w:ilvl w:val="0"/>
          <w:numId w:val="2"/>
        </w:numPr>
        <w:spacing w:after="120" w:line="276" w:lineRule="auto"/>
      </w:pPr>
      <w:r>
        <w:rPr>
          <w:b/>
          <w:bCs/>
        </w:rPr>
        <w:t xml:space="preserve">Modifiable areal unit problem (MAUP). </w:t>
      </w:r>
      <w:r>
        <w:t>County boundaries are administrative rather than functional service delivery areas. Aggregating to counties may mask within-county variation (e.g., rural portions of large metropolitan counties) and create artificial spatial patterns at county borders. This is a general limitation of choropleth mapping at the county level (Openshaw, 1984).</w:t>
      </w:r>
    </w:p>
    <w:p w14:paraId="36386DBE" w14:textId="77777777" w:rsidR="007264BD" w:rsidRDefault="00000000">
      <w:pPr>
        <w:pStyle w:val="ListParagraph"/>
        <w:numPr>
          <w:ilvl w:val="0"/>
          <w:numId w:val="2"/>
        </w:numPr>
        <w:spacing w:after="120" w:line="276" w:lineRule="auto"/>
      </w:pPr>
      <w:r>
        <w:rPr>
          <w:b/>
          <w:bCs/>
        </w:rPr>
        <w:t xml:space="preserve">Coverage measures breadth, not intensity. </w:t>
      </w:r>
      <w:r>
        <w:t>Program count does not weight programs by budget size, enrollment capacity, or service intensity. A county with many small programs and a county with few large programs may display similar coverage scores despite very different resource profiles. Cross-referencing with expenditure and NServed maps is essential for accurate interpretation.</w:t>
      </w:r>
    </w:p>
    <w:p w14:paraId="2DD6E173" w14:textId="77777777" w:rsidR="007264BD" w:rsidRDefault="00000000">
      <w:pPr>
        <w:pStyle w:val="Heading1"/>
      </w:pPr>
      <w:r>
        <w:t>9. References</w:t>
      </w:r>
    </w:p>
    <w:p w14:paraId="2793C0EF" w14:textId="77777777" w:rsidR="007264BD" w:rsidRDefault="00000000">
      <w:pPr>
        <w:spacing w:after="100" w:line="276" w:lineRule="auto"/>
        <w:ind w:left="480"/>
      </w:pPr>
      <w:r>
        <w:t>Brewer, C. A. (2003). A transition in improving maps: The ColorBrewer example. Cartography and Geographic Information Science, 30(2), 159–162.</w:t>
      </w:r>
    </w:p>
    <w:p w14:paraId="6A5D6797" w14:textId="77777777" w:rsidR="007264BD" w:rsidRDefault="00000000">
      <w:pPr>
        <w:spacing w:after="100" w:line="276" w:lineRule="auto"/>
        <w:ind w:left="480"/>
      </w:pPr>
      <w:r>
        <w:t>Centers for Disease Control and Prevention. (2023). Principles of epidemiology in public health practice (4th ed.). U.S. Department of Health and Human Services.</w:t>
      </w:r>
    </w:p>
    <w:p w14:paraId="1C5BF2BC" w14:textId="77777777" w:rsidR="007264BD" w:rsidRDefault="00000000">
      <w:pPr>
        <w:spacing w:after="100" w:line="276" w:lineRule="auto"/>
        <w:ind w:left="480"/>
      </w:pPr>
      <w:r>
        <w:t>Chaudry, A., Morrissey, T., Weiland, C., &amp; Yoshikawa, H. (2021). Cradle to kindergarten: A new plan to combat inequality. Russell Sage Foundation.</w:t>
      </w:r>
    </w:p>
    <w:p w14:paraId="0E7BD8D6" w14:textId="77777777" w:rsidR="007264BD" w:rsidRDefault="00000000">
      <w:pPr>
        <w:spacing w:after="100" w:line="276" w:lineRule="auto"/>
        <w:ind w:left="480"/>
      </w:pPr>
      <w:r>
        <w:t>Gordon, R. S. (1983). An operational classification of disease prevention. Public Health Reports, 98(2), 107–109.</w:t>
      </w:r>
    </w:p>
    <w:p w14:paraId="403A489B" w14:textId="77777777" w:rsidR="007264BD" w:rsidRDefault="00000000">
      <w:pPr>
        <w:spacing w:after="100" w:line="276" w:lineRule="auto"/>
        <w:ind w:left="480"/>
      </w:pPr>
      <w:r>
        <w:t>Meyers, M. K., Rosenbaum, D., Ruhm, C., &amp; Waldfogel, J. (2004). Inequality in early childhood education and care: What do we know? In K. M. Neckerman (Ed.), Social inequality (pp. 223–269). Russell Sage Foundation.</w:t>
      </w:r>
    </w:p>
    <w:p w14:paraId="17004B5C" w14:textId="77777777" w:rsidR="007264BD" w:rsidRDefault="00000000">
      <w:pPr>
        <w:spacing w:after="100" w:line="276" w:lineRule="auto"/>
        <w:ind w:left="480"/>
      </w:pPr>
      <w:r>
        <w:t>Mrazek, P. J., &amp; Haggerty, R. J. (Eds.). (1994). Reducing risks for mental disorders: Frontiers for preventive intervention research. National Academy Press.</w:t>
      </w:r>
    </w:p>
    <w:p w14:paraId="0157D53A" w14:textId="77777777" w:rsidR="007264BD" w:rsidRDefault="00000000">
      <w:pPr>
        <w:spacing w:after="100" w:line="276" w:lineRule="auto"/>
        <w:ind w:left="480"/>
      </w:pPr>
      <w:r>
        <w:t>Openshaw, S. (1984). The modifiable areal unit problem. Concepts and Techniques in Modern Geography, 38. Geo Books.</w:t>
      </w:r>
    </w:p>
    <w:p w14:paraId="219BCC84" w14:textId="77777777" w:rsidR="007264BD" w:rsidRDefault="00000000">
      <w:pPr>
        <w:spacing w:after="100" w:line="276" w:lineRule="auto"/>
        <w:ind w:left="480"/>
      </w:pPr>
      <w:r>
        <w:t>Putnam-Hornstein, E., Needell, B., King, B., &amp; Johnson-Motoyama, M. (2013). Racial and ethnic disparities: A population-based examination of risk factors for involvement with child protective services. Child Abuse &amp; Neglect, 37(1), 33–46.</w:t>
      </w:r>
    </w:p>
    <w:p w14:paraId="7101B181" w14:textId="77777777" w:rsidR="007264BD" w:rsidRDefault="00000000">
      <w:pPr>
        <w:spacing w:after="100" w:line="276" w:lineRule="auto"/>
        <w:ind w:left="480"/>
      </w:pPr>
      <w:r>
        <w:lastRenderedPageBreak/>
        <w:t>Rey, S. J., Arribas-Bel, D., &amp; Wolf, L. J. (2023). Geographic data science with Python. CRC Press.</w:t>
      </w:r>
    </w:p>
    <w:p w14:paraId="69038720" w14:textId="77777777" w:rsidR="007264BD" w:rsidRDefault="00000000">
      <w:pPr>
        <w:spacing w:after="100" w:line="276" w:lineRule="auto"/>
        <w:ind w:left="480"/>
      </w:pPr>
      <w:r>
        <w:t>Slocum, T. A., McMaster, R. B., Kessler, F. C., &amp; Howard, H. H. (2014). Thematic cartography and geovisualization (3rd ed.). Pearson.</w:t>
      </w:r>
    </w:p>
    <w:p w14:paraId="4763D661" w14:textId="77777777" w:rsidR="007264BD" w:rsidRDefault="00000000">
      <w:pPr>
        <w:spacing w:after="100" w:line="276" w:lineRule="auto"/>
        <w:ind w:left="480"/>
      </w:pPr>
      <w:r>
        <w:t>Snyder, T. D., de Brey, C., &amp; Dillow, S. A. (2019). Digest of education statistics 2018 (NCES 2020-009). National Center for Education Statistics.</w:t>
      </w:r>
    </w:p>
    <w:p w14:paraId="5C241576" w14:textId="77777777" w:rsidR="007264BD" w:rsidRDefault="00000000">
      <w:pPr>
        <w:spacing w:after="100" w:line="276" w:lineRule="auto"/>
        <w:ind w:left="480"/>
      </w:pPr>
      <w:r>
        <w:t>U.S. Census Bureau. (2023). TIGER/Line shapefiles. Retrieved from https://www.census.gov/geographies/mapping-files/time-series/geo/tiger-line-file.html.</w:t>
      </w:r>
    </w:p>
    <w:p w14:paraId="6F5841FB" w14:textId="77777777" w:rsidR="007264BD" w:rsidRDefault="00000000">
      <w:pPr>
        <w:spacing w:after="100" w:line="276" w:lineRule="auto"/>
        <w:ind w:left="480"/>
      </w:pPr>
      <w:r>
        <w:t>U.S. Census Bureau. (2024). American Community Survey 5-year estimates, Table B09001. Retrieved from https://data.census.gov/.</w:t>
      </w:r>
    </w:p>
    <w:p w14:paraId="27E82C87" w14:textId="77777777" w:rsidR="007264BD" w:rsidRDefault="00000000">
      <w:pPr>
        <w:spacing w:after="100" w:line="276" w:lineRule="auto"/>
        <w:ind w:left="480"/>
      </w:pPr>
      <w:r>
        <w:t>Wulczyn, F., Barth, R. P., Yuan, Y. T., Harden, B. J., &amp; Landsverk, J. (2005). Beyond common sense: Child welfare, child well-being, and the evidence for policy reform. Transaction Publishers.</w:t>
      </w:r>
    </w:p>
    <w:sectPr w:rsidR="007264BD">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D9A7E" w14:textId="77777777" w:rsidR="00F62EAD" w:rsidRDefault="00F62EAD">
      <w:r>
        <w:separator/>
      </w:r>
    </w:p>
  </w:endnote>
  <w:endnote w:type="continuationSeparator" w:id="0">
    <w:p w14:paraId="5BBC3D33" w14:textId="77777777" w:rsidR="00F62EAD" w:rsidRDefault="00F62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C8BB2" w14:textId="77777777" w:rsidR="007264BD" w:rsidRDefault="00000000">
    <w:pPr>
      <w:jc w:val="center"/>
    </w:pPr>
    <w:r>
      <w:rPr>
        <w:color w:val="888888"/>
        <w:sz w:val="16"/>
        <w:szCs w:val="16"/>
      </w:rPr>
      <w:t xml:space="preserve">Page </w:t>
    </w:r>
    <w:r>
      <w:rPr>
        <w:color w:val="888888"/>
        <w:sz w:val="16"/>
        <w:szCs w:val="16"/>
      </w:rPr>
      <w:fldChar w:fldCharType="begin"/>
    </w:r>
    <w:r>
      <w:rPr>
        <w:color w:val="888888"/>
        <w:sz w:val="16"/>
        <w:szCs w:val="16"/>
      </w:rPr>
      <w:instrText>PAGE</w:instrText>
    </w:r>
    <w:r>
      <w:rPr>
        <w:color w:val="888888"/>
        <w:sz w:val="16"/>
        <w:szCs w:val="16"/>
      </w:rPr>
      <w:fldChar w:fldCharType="separate"/>
    </w:r>
    <w:r w:rsidR="00EF65F7">
      <w:rPr>
        <w:noProof/>
        <w:color w:val="888888"/>
        <w:sz w:val="16"/>
        <w:szCs w:val="16"/>
      </w:rPr>
      <w:t>1</w:t>
    </w:r>
    <w:r>
      <w:rPr>
        <w:color w:val="888888"/>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F1112" w14:textId="77777777" w:rsidR="00F62EAD" w:rsidRDefault="00F62EAD">
      <w:r>
        <w:separator/>
      </w:r>
    </w:p>
  </w:footnote>
  <w:footnote w:type="continuationSeparator" w:id="0">
    <w:p w14:paraId="561A17C8" w14:textId="77777777" w:rsidR="00F62EAD" w:rsidRDefault="00F62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83D6A" w14:textId="77777777" w:rsidR="007264BD" w:rsidRDefault="00000000">
    <w:pPr>
      <w:jc w:val="right"/>
    </w:pPr>
    <w:r>
      <w:rPr>
        <w:i/>
        <w:iCs/>
        <w:color w:val="888888"/>
        <w:sz w:val="16"/>
        <w:szCs w:val="16"/>
      </w:rPr>
      <w:t>TCCY Resource Mapping — County Heat Map Methods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97488"/>
    <w:multiLevelType w:val="hybridMultilevel"/>
    <w:tmpl w:val="A6B04712"/>
    <w:lvl w:ilvl="0" w:tplc="CE0E8910">
      <w:start w:val="1"/>
      <w:numFmt w:val="bullet"/>
      <w:lvlText w:val="●"/>
      <w:lvlJc w:val="left"/>
      <w:pPr>
        <w:ind w:left="720" w:hanging="360"/>
      </w:pPr>
    </w:lvl>
    <w:lvl w:ilvl="1" w:tplc="CC6240B2">
      <w:start w:val="1"/>
      <w:numFmt w:val="bullet"/>
      <w:lvlText w:val="○"/>
      <w:lvlJc w:val="left"/>
      <w:pPr>
        <w:ind w:left="1440" w:hanging="360"/>
      </w:pPr>
    </w:lvl>
    <w:lvl w:ilvl="2" w:tplc="5E8A5C28">
      <w:start w:val="1"/>
      <w:numFmt w:val="bullet"/>
      <w:lvlText w:val="■"/>
      <w:lvlJc w:val="left"/>
      <w:pPr>
        <w:ind w:left="2160" w:hanging="360"/>
      </w:pPr>
    </w:lvl>
    <w:lvl w:ilvl="3" w:tplc="04BAC8E6">
      <w:start w:val="1"/>
      <w:numFmt w:val="bullet"/>
      <w:lvlText w:val="●"/>
      <w:lvlJc w:val="left"/>
      <w:pPr>
        <w:ind w:left="2880" w:hanging="360"/>
      </w:pPr>
    </w:lvl>
    <w:lvl w:ilvl="4" w:tplc="D16E0682">
      <w:start w:val="1"/>
      <w:numFmt w:val="bullet"/>
      <w:lvlText w:val="○"/>
      <w:lvlJc w:val="left"/>
      <w:pPr>
        <w:ind w:left="3600" w:hanging="360"/>
      </w:pPr>
    </w:lvl>
    <w:lvl w:ilvl="5" w:tplc="E3B058A8">
      <w:start w:val="1"/>
      <w:numFmt w:val="bullet"/>
      <w:lvlText w:val="■"/>
      <w:lvlJc w:val="left"/>
      <w:pPr>
        <w:ind w:left="4320" w:hanging="360"/>
      </w:pPr>
    </w:lvl>
    <w:lvl w:ilvl="6" w:tplc="BF5848CC">
      <w:start w:val="1"/>
      <w:numFmt w:val="bullet"/>
      <w:lvlText w:val="●"/>
      <w:lvlJc w:val="left"/>
      <w:pPr>
        <w:ind w:left="5040" w:hanging="360"/>
      </w:pPr>
    </w:lvl>
    <w:lvl w:ilvl="7" w:tplc="48402BD0">
      <w:start w:val="1"/>
      <w:numFmt w:val="bullet"/>
      <w:lvlText w:val="●"/>
      <w:lvlJc w:val="left"/>
      <w:pPr>
        <w:ind w:left="5760" w:hanging="360"/>
      </w:pPr>
    </w:lvl>
    <w:lvl w:ilvl="8" w:tplc="32427A74">
      <w:start w:val="1"/>
      <w:numFmt w:val="bullet"/>
      <w:lvlText w:val="●"/>
      <w:lvlJc w:val="left"/>
      <w:pPr>
        <w:ind w:left="6480" w:hanging="360"/>
      </w:pPr>
    </w:lvl>
  </w:abstractNum>
  <w:abstractNum w:abstractNumId="1" w15:restartNumberingAfterBreak="0">
    <w:nsid w:val="59876B24"/>
    <w:multiLevelType w:val="hybridMultilevel"/>
    <w:tmpl w:val="02FCB560"/>
    <w:lvl w:ilvl="0" w:tplc="CC8A7A44">
      <w:start w:val="1"/>
      <w:numFmt w:val="bullet"/>
      <w:lvlText w:val="•"/>
      <w:lvlJc w:val="left"/>
      <w:pPr>
        <w:ind w:left="720" w:hanging="360"/>
      </w:pPr>
    </w:lvl>
    <w:lvl w:ilvl="1" w:tplc="E264ACBE">
      <w:numFmt w:val="decimal"/>
      <w:lvlText w:val=""/>
      <w:lvlJc w:val="left"/>
    </w:lvl>
    <w:lvl w:ilvl="2" w:tplc="629A176A">
      <w:numFmt w:val="decimal"/>
      <w:lvlText w:val=""/>
      <w:lvlJc w:val="left"/>
    </w:lvl>
    <w:lvl w:ilvl="3" w:tplc="A696587E">
      <w:numFmt w:val="decimal"/>
      <w:lvlText w:val=""/>
      <w:lvlJc w:val="left"/>
    </w:lvl>
    <w:lvl w:ilvl="4" w:tplc="47308FC6">
      <w:numFmt w:val="decimal"/>
      <w:lvlText w:val=""/>
      <w:lvlJc w:val="left"/>
    </w:lvl>
    <w:lvl w:ilvl="5" w:tplc="45B22792">
      <w:numFmt w:val="decimal"/>
      <w:lvlText w:val=""/>
      <w:lvlJc w:val="left"/>
    </w:lvl>
    <w:lvl w:ilvl="6" w:tplc="71A07E06">
      <w:numFmt w:val="decimal"/>
      <w:lvlText w:val=""/>
      <w:lvlJc w:val="left"/>
    </w:lvl>
    <w:lvl w:ilvl="7" w:tplc="33441500">
      <w:numFmt w:val="decimal"/>
      <w:lvlText w:val=""/>
      <w:lvlJc w:val="left"/>
    </w:lvl>
    <w:lvl w:ilvl="8" w:tplc="EF288488">
      <w:numFmt w:val="decimal"/>
      <w:lvlText w:val=""/>
      <w:lvlJc w:val="left"/>
    </w:lvl>
  </w:abstractNum>
  <w:num w:numId="1" w16cid:durableId="712315247">
    <w:abstractNumId w:val="0"/>
    <w:lvlOverride w:ilvl="0">
      <w:startOverride w:val="1"/>
    </w:lvlOverride>
  </w:num>
  <w:num w:numId="2" w16cid:durableId="129532899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4BD"/>
    <w:rsid w:val="0021405F"/>
    <w:rsid w:val="00571EFB"/>
    <w:rsid w:val="00672A50"/>
    <w:rsid w:val="00672BA3"/>
    <w:rsid w:val="0072109A"/>
    <w:rsid w:val="007264BD"/>
    <w:rsid w:val="0074757B"/>
    <w:rsid w:val="00977F98"/>
    <w:rsid w:val="00A426C4"/>
    <w:rsid w:val="00BC644C"/>
    <w:rsid w:val="00BE6D44"/>
    <w:rsid w:val="00CB41AA"/>
    <w:rsid w:val="00DE78F5"/>
    <w:rsid w:val="00E8019C"/>
    <w:rsid w:val="00EF65F7"/>
    <w:rsid w:val="00F62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39AF6"/>
  <w15:docId w15:val="{62203A0C-3F50-41FD-B061-AE9A57A50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color w:val="1E4E79"/>
      <w:sz w:val="28"/>
      <w:szCs w:val="28"/>
    </w:rPr>
  </w:style>
  <w:style w:type="paragraph" w:styleId="Heading2">
    <w:name w:val="heading 2"/>
    <w:uiPriority w:val="9"/>
    <w:unhideWhenUsed/>
    <w:qFormat/>
    <w:pPr>
      <w:spacing w:before="280" w:after="160"/>
      <w:outlineLvl w:val="1"/>
    </w:pPr>
    <w:rPr>
      <w:b/>
      <w:bCs/>
      <w:color w:val="2C6EA0"/>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4476</Words>
  <Characters>25517</Characters>
  <Application>Microsoft Office Word</Application>
  <DocSecurity>0</DocSecurity>
  <Lines>212</Lines>
  <Paragraphs>59</Paragraphs>
  <ScaleCrop>false</ScaleCrop>
  <Company/>
  <LinksUpToDate>false</LinksUpToDate>
  <CharactersWithSpaces>29934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Drew Porter</dc:creator>
  <cp:lastModifiedBy>Drew Porter</cp:lastModifiedBy>
  <cp:revision>4</cp:revision>
  <dcterms:created xsi:type="dcterms:W3CDTF">2026-04-16T13:04:00Z</dcterms:created>
  <dcterms:modified xsi:type="dcterms:W3CDTF">2026-04-16T13:07:00Z</dcterms:modified>
</cp:coreProperties>
</file>