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69872641" w:rsidR="00DE6BF8" w:rsidRPr="00295CE6" w:rsidRDefault="00295159" w:rsidP="00DE6BF8">
      <w:pPr>
        <w:pStyle w:val="Heading1"/>
        <w:ind w:left="1440"/>
        <w:rPr>
          <w:rFonts w:cs="Open Sans"/>
        </w:rPr>
      </w:pPr>
      <w:r w:rsidRPr="00295CE6">
        <w:rPr>
          <w:rFonts w:cs="Open Sans"/>
        </w:rPr>
        <w:t>Subject:</w:t>
      </w:r>
      <w:r w:rsidR="00AE70B5" w:rsidRPr="00295CE6">
        <w:rPr>
          <w:rFonts w:cs="Open Sans"/>
        </w:rPr>
        <w:t xml:space="preserve"> </w:t>
      </w:r>
      <w:r w:rsidR="00F8688C">
        <w:rPr>
          <w:rFonts w:cs="Open Sans"/>
        </w:rPr>
        <w:t xml:space="preserve">Transparency Policy </w:t>
      </w:r>
      <w:r w:rsidR="006B7BC4">
        <w:rPr>
          <w:rFonts w:cs="Open Sans"/>
        </w:rPr>
        <w:t xml:space="preserve"> </w:t>
      </w:r>
      <w:r w:rsidR="003D0BC7" w:rsidRPr="00295CE6">
        <w:rPr>
          <w:rFonts w:cs="Open Sans"/>
        </w:rPr>
        <w:t xml:space="preserve"> </w:t>
      </w:r>
      <w:r w:rsidR="00372A60" w:rsidRPr="00295CE6">
        <w:rPr>
          <w:rFonts w:cs="Open Sans"/>
        </w:rPr>
        <w:t xml:space="preserve"> </w:t>
      </w:r>
    </w:p>
    <w:p w14:paraId="6D907FB4" w14:textId="278C2C49" w:rsidR="00295159" w:rsidRPr="00295CE6" w:rsidRDefault="00295159" w:rsidP="00E87684">
      <w:pPr>
        <w:ind w:left="1440"/>
        <w:jc w:val="both"/>
        <w:rPr>
          <w:rFonts w:cs="Open Sans"/>
        </w:rPr>
      </w:pPr>
      <w:r w:rsidRPr="00295CE6">
        <w:rPr>
          <w:rFonts w:cs="Open Sans"/>
        </w:rPr>
        <w:t>Policy Number:</w:t>
      </w:r>
      <w:r w:rsidR="00AE70B5" w:rsidRPr="00295CE6">
        <w:rPr>
          <w:rFonts w:cs="Open Sans"/>
        </w:rPr>
        <w:t xml:space="preserve"> </w:t>
      </w:r>
      <w:r w:rsidR="00F8688C">
        <w:rPr>
          <w:rFonts w:cs="Open Sans"/>
        </w:rPr>
        <w:t>OFF-25-004</w:t>
      </w:r>
    </w:p>
    <w:p w14:paraId="5C31EC69" w14:textId="3A9ACC91" w:rsidR="00295159" w:rsidRPr="00295CE6" w:rsidRDefault="00295159" w:rsidP="00E87684">
      <w:pPr>
        <w:ind w:left="1440"/>
        <w:jc w:val="both"/>
        <w:rPr>
          <w:rFonts w:cs="Open Sans"/>
        </w:rPr>
      </w:pPr>
      <w:r w:rsidRPr="00295CE6">
        <w:rPr>
          <w:rFonts w:cs="Open Sans"/>
        </w:rPr>
        <w:t>Effective Date:</w:t>
      </w:r>
      <w:r w:rsidR="00AE70B5" w:rsidRPr="00295CE6">
        <w:rPr>
          <w:rFonts w:cs="Open Sans"/>
        </w:rPr>
        <w:t xml:space="preserve"> </w:t>
      </w:r>
      <w:r w:rsidR="00F8688C">
        <w:rPr>
          <w:rFonts w:cs="Open Sans"/>
        </w:rPr>
        <w:t>3/3/2025</w:t>
      </w:r>
    </w:p>
    <w:p w14:paraId="02476432" w14:textId="4BB3B9E7" w:rsidR="00295159" w:rsidRPr="00295CE6" w:rsidRDefault="00AE70B5" w:rsidP="00E87684">
      <w:pPr>
        <w:ind w:left="1440"/>
        <w:jc w:val="both"/>
        <w:rPr>
          <w:rFonts w:cs="Open Sans"/>
        </w:rPr>
      </w:pPr>
      <w:r w:rsidRPr="00295CE6">
        <w:rPr>
          <w:rFonts w:cs="Open Sans"/>
        </w:rPr>
        <w:t xml:space="preserve">Entity Responsible: </w:t>
      </w:r>
      <w:r w:rsidR="00DE6BF8" w:rsidRPr="00295CE6">
        <w:rPr>
          <w:rFonts w:cs="Open Sans"/>
        </w:rPr>
        <w:t xml:space="preserve">Opioid Abatement </w:t>
      </w:r>
      <w:r w:rsidR="00E911C2" w:rsidRPr="00295CE6">
        <w:rPr>
          <w:rFonts w:cs="Open Sans"/>
        </w:rPr>
        <w:t>Council</w:t>
      </w:r>
      <w:r w:rsidR="00DE6BF8" w:rsidRPr="00295CE6">
        <w:rPr>
          <w:rFonts w:cs="Open Sans"/>
        </w:rPr>
        <w:t xml:space="preserve"> </w:t>
      </w:r>
      <w:r w:rsidRPr="00295CE6">
        <w:rPr>
          <w:rFonts w:cs="Open Sans"/>
        </w:rPr>
        <w:t xml:space="preserve"> </w:t>
      </w:r>
    </w:p>
    <w:p w14:paraId="0B357B2C" w14:textId="159B7DC4" w:rsidR="00295159" w:rsidRPr="00295CE6" w:rsidRDefault="00295159" w:rsidP="00E87684">
      <w:pPr>
        <w:ind w:left="1440"/>
        <w:jc w:val="both"/>
        <w:rPr>
          <w:rFonts w:cs="Open Sans"/>
        </w:rPr>
      </w:pPr>
      <w:r w:rsidRPr="00295CE6">
        <w:rPr>
          <w:rFonts w:cs="Open Sans"/>
        </w:rPr>
        <w:t>Last Review or Revision:</w:t>
      </w:r>
      <w:r w:rsidR="007265A5" w:rsidRPr="00295CE6">
        <w:rPr>
          <w:rFonts w:cs="Open Sans"/>
        </w:rPr>
        <w:t xml:space="preserve"> </w:t>
      </w:r>
      <w:r w:rsidR="00F8688C">
        <w:rPr>
          <w:rFonts w:cs="Open Sans"/>
          <w:kern w:val="0"/>
          <w14:ligatures w14:val="none"/>
        </w:rPr>
        <w:t>3/3/2025</w:t>
      </w:r>
    </w:p>
    <w:p w14:paraId="5A292C69" w14:textId="1E8FF23F" w:rsidR="00295159" w:rsidRPr="00295CE6" w:rsidRDefault="00295159" w:rsidP="000B4639">
      <w:pPr>
        <w:ind w:left="1440"/>
        <w:jc w:val="both"/>
        <w:rPr>
          <w:rFonts w:cs="Open Sans"/>
        </w:rPr>
      </w:pPr>
      <w:r w:rsidRPr="00295CE6">
        <w:rPr>
          <w:rFonts w:cs="Open Sans"/>
        </w:rPr>
        <w:t>Approved by:</w:t>
      </w:r>
      <w:r w:rsidR="007265A5" w:rsidRPr="00295CE6">
        <w:rPr>
          <w:rFonts w:cs="Open Sans"/>
        </w:rPr>
        <w:t xml:space="preserve"> </w:t>
      </w:r>
      <w:r w:rsidR="00DE6BF8" w:rsidRPr="00295CE6">
        <w:rPr>
          <w:rFonts w:cs="Open Sans"/>
        </w:rPr>
        <w:t>Mary Shelton and Dr. Stephen Lloyd</w:t>
      </w:r>
    </w:p>
    <w:p w14:paraId="242B12BA" w14:textId="77777777" w:rsidR="00E911C2" w:rsidRPr="00295CE6" w:rsidRDefault="00E911C2" w:rsidP="009E452F">
      <w:pPr>
        <w:pStyle w:val="Heading2"/>
      </w:pPr>
      <w:r w:rsidRPr="00295CE6">
        <w:t xml:space="preserve">Purpose  </w:t>
      </w:r>
    </w:p>
    <w:p w14:paraId="2D599098" w14:textId="77777777" w:rsidR="00F8688C" w:rsidRPr="00F8688C" w:rsidRDefault="00F8688C" w:rsidP="00F8688C">
      <w:pPr>
        <w:ind w:left="720"/>
        <w:rPr>
          <w:rFonts w:cs="Open Sans"/>
          <w:b/>
          <w:bCs/>
          <w:sz w:val="24"/>
          <w:szCs w:val="24"/>
        </w:rPr>
      </w:pPr>
      <w:r w:rsidRPr="00F8688C">
        <w:t>The Opioid Abatement Council’s website is the main communication tool with the public. The Opioid Abatement Council (OAC) Office manages the website so that the public is informed of all relevant information and data.</w:t>
      </w:r>
    </w:p>
    <w:p w14:paraId="1F3B7802" w14:textId="5C61C1ED" w:rsidR="00E911C2" w:rsidRPr="00295CE6" w:rsidRDefault="00E911C2" w:rsidP="003D0BC7">
      <w:pPr>
        <w:pStyle w:val="Heading2"/>
      </w:pPr>
      <w:r w:rsidRPr="00295CE6">
        <w:t>Policy</w:t>
      </w:r>
    </w:p>
    <w:p w14:paraId="2F289C56" w14:textId="77777777" w:rsidR="00F8688C" w:rsidRPr="00F8688C" w:rsidRDefault="00F8688C" w:rsidP="00F8688C">
      <w:pPr>
        <w:ind w:firstLine="720"/>
        <w:rPr>
          <w:rFonts w:cs="Open Sans"/>
          <w:b/>
          <w:bCs/>
          <w:sz w:val="24"/>
          <w:szCs w:val="24"/>
        </w:rPr>
      </w:pPr>
      <w:r w:rsidRPr="00F8688C">
        <w:t>This policy is designed to ensure all information posted to the OAC website is relevant and current.</w:t>
      </w:r>
    </w:p>
    <w:p w14:paraId="031A0F06" w14:textId="5E098B0F" w:rsidR="00E911C2" w:rsidRPr="00295CE6" w:rsidRDefault="00E911C2" w:rsidP="009E452F">
      <w:pPr>
        <w:pStyle w:val="Heading2"/>
      </w:pPr>
      <w:r w:rsidRPr="00295CE6">
        <w:t>Definitions</w:t>
      </w:r>
    </w:p>
    <w:p w14:paraId="6B748843" w14:textId="1786416B" w:rsidR="00F8688C" w:rsidRPr="00F8688C" w:rsidRDefault="003D0BC7" w:rsidP="00F8688C">
      <w:pPr>
        <w:pStyle w:val="ListParagraph"/>
        <w:ind w:left="1440" w:hanging="720"/>
        <w:rPr>
          <w:rFonts w:cs="Open Sans"/>
        </w:rPr>
      </w:pPr>
      <w:r w:rsidRPr="00295CE6">
        <w:rPr>
          <w:rFonts w:cs="Open Sans"/>
        </w:rPr>
        <w:t>3.1</w:t>
      </w:r>
      <w:r w:rsidRPr="00295CE6">
        <w:rPr>
          <w:rFonts w:cs="Open Sans"/>
        </w:rPr>
        <w:tab/>
      </w:r>
      <w:r w:rsidR="00F8688C" w:rsidRPr="00F8688C">
        <w:rPr>
          <w:rFonts w:cs="Open Sans"/>
        </w:rPr>
        <w:t>OAC Office- Refers to the staff of the Opioid Abatement Council that administers the Council.</w:t>
      </w:r>
    </w:p>
    <w:p w14:paraId="709C5DB6" w14:textId="4DE6DC5B" w:rsidR="00F8688C" w:rsidRPr="00F8688C" w:rsidRDefault="00F8688C" w:rsidP="00F8688C">
      <w:pPr>
        <w:pStyle w:val="ListParagraph"/>
        <w:ind w:left="1440" w:hanging="720"/>
        <w:rPr>
          <w:rFonts w:cs="Open Sans"/>
        </w:rPr>
      </w:pPr>
      <w:r w:rsidRPr="00F8688C">
        <w:rPr>
          <w:rFonts w:cs="Open Sans"/>
        </w:rPr>
        <w:t>3.2</w:t>
      </w:r>
      <w:r w:rsidRPr="00F8688C">
        <w:rPr>
          <w:rFonts w:cs="Open Sans"/>
        </w:rPr>
        <w:tab/>
        <w:t>The Council- Refers to the council established by the Tennessee General Assembly pursuant to Public Chapter 491 responsible for disbursing settlement dollars received from lawsuits related to the opioid crisis.</w:t>
      </w:r>
    </w:p>
    <w:p w14:paraId="39C3F432" w14:textId="77777777" w:rsidR="00F8688C" w:rsidRPr="00F8688C" w:rsidRDefault="00F8688C" w:rsidP="00F8688C">
      <w:pPr>
        <w:pStyle w:val="ListParagraph"/>
        <w:ind w:left="1440" w:hanging="720"/>
        <w:rPr>
          <w:rFonts w:cs="Open Sans"/>
        </w:rPr>
      </w:pPr>
      <w:r w:rsidRPr="00F8688C">
        <w:rPr>
          <w:rFonts w:cs="Open Sans"/>
        </w:rPr>
        <w:t>3.3</w:t>
      </w:r>
      <w:r w:rsidRPr="00F8688C">
        <w:rPr>
          <w:rFonts w:cs="Open Sans"/>
        </w:rPr>
        <w:tab/>
        <w:t>Executive Director- Refers to the Executive Director of the Opioid Abatement Council confirmed by the Council.</w:t>
      </w:r>
    </w:p>
    <w:p w14:paraId="2D7BFD5A" w14:textId="77777777" w:rsidR="00F8688C" w:rsidRPr="00F8688C" w:rsidRDefault="00F8688C" w:rsidP="00F8688C">
      <w:pPr>
        <w:pStyle w:val="ListParagraph"/>
        <w:ind w:left="1440" w:hanging="720"/>
        <w:rPr>
          <w:rFonts w:cs="Open Sans"/>
        </w:rPr>
      </w:pPr>
      <w:r w:rsidRPr="00F8688C">
        <w:rPr>
          <w:rFonts w:cs="Open Sans"/>
        </w:rPr>
        <w:t>3.4</w:t>
      </w:r>
      <w:r w:rsidRPr="00F8688C">
        <w:rPr>
          <w:rFonts w:cs="Open Sans"/>
        </w:rPr>
        <w:tab/>
        <w:t xml:space="preserve">Deputy Director- Refers to the Deputy Director of the Opioid Abatement Council Office. </w:t>
      </w:r>
    </w:p>
    <w:p w14:paraId="08B341B6" w14:textId="77777777" w:rsidR="00F8688C" w:rsidRPr="00F8688C" w:rsidRDefault="00F8688C" w:rsidP="00F8688C">
      <w:pPr>
        <w:pStyle w:val="ListParagraph"/>
        <w:ind w:left="1440" w:hanging="720"/>
        <w:rPr>
          <w:rFonts w:cs="Open Sans"/>
        </w:rPr>
      </w:pPr>
      <w:r w:rsidRPr="00F8688C">
        <w:rPr>
          <w:rFonts w:cs="Open Sans"/>
        </w:rPr>
        <w:t>3.5</w:t>
      </w:r>
      <w:r w:rsidRPr="00F8688C">
        <w:rPr>
          <w:rFonts w:cs="Open Sans"/>
        </w:rPr>
        <w:tab/>
        <w:t>TDMHSAS- Refers to the Tennessee Department of Mental Health and Substance Abuse Services.</w:t>
      </w:r>
    </w:p>
    <w:p w14:paraId="5FEC98B0" w14:textId="237D135B" w:rsidR="00F8688C" w:rsidRPr="00F8688C" w:rsidRDefault="00F8688C" w:rsidP="00F8688C">
      <w:pPr>
        <w:pStyle w:val="ListParagraph"/>
        <w:ind w:left="1440" w:hanging="720"/>
        <w:rPr>
          <w:rFonts w:cs="Open Sans"/>
        </w:rPr>
      </w:pPr>
      <w:r w:rsidRPr="00F8688C">
        <w:rPr>
          <w:rFonts w:cs="Open Sans"/>
        </w:rPr>
        <w:t>3.6</w:t>
      </w:r>
      <w:r w:rsidRPr="00F8688C">
        <w:rPr>
          <w:rFonts w:cs="Open Sans"/>
        </w:rPr>
        <w:tab/>
        <w:t>Community Funding- Refers to the sixty-five percent (65%) from the opioid abatement fund required by law to be disbursed for statewide, regional, or local opioid abatement and remediation purposes pursuant to T.C.A. §33-11-105.</w:t>
      </w:r>
    </w:p>
    <w:p w14:paraId="12AA9346" w14:textId="77777777" w:rsidR="00F8688C" w:rsidRPr="00F8688C" w:rsidRDefault="00F8688C" w:rsidP="00F8688C">
      <w:pPr>
        <w:pStyle w:val="ListParagraph"/>
        <w:ind w:left="1440" w:hanging="720"/>
        <w:rPr>
          <w:rFonts w:cs="Open Sans"/>
        </w:rPr>
      </w:pPr>
      <w:r w:rsidRPr="00F8688C">
        <w:rPr>
          <w:rFonts w:cs="Open Sans"/>
        </w:rPr>
        <w:t>3.7</w:t>
      </w:r>
      <w:r w:rsidRPr="00F8688C">
        <w:rPr>
          <w:rFonts w:cs="Open Sans"/>
        </w:rPr>
        <w:tab/>
        <w:t>County Funding- Refers to the thirty-five percent (35%) from the opioid abatement fund required by law to be disbursed to counties that join the settlement pursuant to T.C.A. § 33-11-103.</w:t>
      </w:r>
    </w:p>
    <w:p w14:paraId="186ACA3D" w14:textId="34E09728" w:rsidR="002C1FCE" w:rsidRDefault="00F8688C" w:rsidP="00F8688C">
      <w:pPr>
        <w:pStyle w:val="ListParagraph"/>
        <w:ind w:left="1440" w:hanging="720"/>
        <w:rPr>
          <w:rFonts w:cs="Open Sans"/>
        </w:rPr>
      </w:pPr>
      <w:r w:rsidRPr="00F8688C">
        <w:rPr>
          <w:rFonts w:cs="Open Sans"/>
        </w:rPr>
        <w:t>3.8</w:t>
      </w:r>
      <w:r w:rsidRPr="00F8688C">
        <w:rPr>
          <w:rFonts w:cs="Open Sans"/>
        </w:rPr>
        <w:tab/>
        <w:t xml:space="preserve">Community Grants Portal- Refers to the OAC Office’s </w:t>
      </w:r>
      <w:proofErr w:type="spellStart"/>
      <w:r w:rsidRPr="00F8688C">
        <w:rPr>
          <w:rFonts w:cs="Open Sans"/>
        </w:rPr>
        <w:t>SmartSimple</w:t>
      </w:r>
      <w:proofErr w:type="spellEnd"/>
      <w:r w:rsidRPr="00F8688C">
        <w:rPr>
          <w:rFonts w:cs="Open Sans"/>
        </w:rPr>
        <w:t xml:space="preserve"> web application used for receiving and managing OAC Community Grant applications.</w:t>
      </w:r>
    </w:p>
    <w:p w14:paraId="1BE27652" w14:textId="77777777" w:rsidR="00F55F6D" w:rsidRDefault="00F55F6D" w:rsidP="00F8688C">
      <w:pPr>
        <w:pStyle w:val="ListParagraph"/>
        <w:ind w:left="1440" w:hanging="720"/>
        <w:rPr>
          <w:rFonts w:cs="Open Sans"/>
        </w:rPr>
      </w:pPr>
    </w:p>
    <w:p w14:paraId="43E534F8" w14:textId="40AB6043" w:rsidR="00F8688C" w:rsidRDefault="00F8688C" w:rsidP="00F8688C">
      <w:pPr>
        <w:pStyle w:val="Heading2"/>
      </w:pPr>
      <w:r>
        <w:t>Procedures</w:t>
      </w:r>
    </w:p>
    <w:p w14:paraId="4B2DE9CE" w14:textId="77777777" w:rsidR="00F8688C" w:rsidRDefault="00F8688C" w:rsidP="00F8688C">
      <w:pPr>
        <w:pStyle w:val="ListParagraph"/>
        <w:ind w:firstLine="720"/>
      </w:pPr>
      <w:r>
        <w:t>4.1</w:t>
      </w:r>
      <w:r>
        <w:tab/>
        <w:t>OAC Website Management</w:t>
      </w:r>
    </w:p>
    <w:p w14:paraId="3B6F6A43" w14:textId="77777777" w:rsidR="00F8688C" w:rsidRDefault="00F8688C" w:rsidP="00F8688C">
      <w:pPr>
        <w:pStyle w:val="ListParagraph"/>
        <w:ind w:left="2160" w:hanging="720"/>
      </w:pPr>
      <w:r>
        <w:t>4.1.1</w:t>
      </w:r>
      <w:r>
        <w:tab/>
        <w:t>All information posted to the OAC website must first be approved by the OAC Executive Director or the OAC Deputy Director.</w:t>
      </w:r>
    </w:p>
    <w:p w14:paraId="3C4C71CB" w14:textId="77777777" w:rsidR="00F8688C" w:rsidRDefault="00F8688C" w:rsidP="00F8688C">
      <w:pPr>
        <w:pStyle w:val="ListParagraph"/>
        <w:ind w:left="2160" w:hanging="720"/>
      </w:pPr>
      <w:r>
        <w:lastRenderedPageBreak/>
        <w:t>4.1.2</w:t>
      </w:r>
      <w:r>
        <w:tab/>
        <w:t xml:space="preserve">The OAC Executive Administrative Assistant, in consultation with the TDMHSAS Director of the Office of Communication, will manage the OAC’s official website and serve as the point of contact for posting information on the website. </w:t>
      </w:r>
    </w:p>
    <w:p w14:paraId="5BB65056" w14:textId="77777777" w:rsidR="00F8688C" w:rsidRDefault="00F8688C" w:rsidP="00F8688C">
      <w:pPr>
        <w:pStyle w:val="ListParagraph"/>
        <w:ind w:left="2160" w:hanging="720"/>
      </w:pPr>
      <w:r>
        <w:t>4.1.3</w:t>
      </w:r>
      <w:r>
        <w:tab/>
        <w:t xml:space="preserve">The website is updated as new information is ready to be shared with the </w:t>
      </w:r>
      <w:proofErr w:type="gramStart"/>
      <w:r>
        <w:t>general public</w:t>
      </w:r>
      <w:proofErr w:type="gramEnd"/>
      <w:r>
        <w:t xml:space="preserve">.  The shared information is created by the OAC Office staff. </w:t>
      </w:r>
    </w:p>
    <w:p w14:paraId="7C34DA0A" w14:textId="77777777" w:rsidR="00F8688C" w:rsidRDefault="00F8688C" w:rsidP="00F8688C">
      <w:pPr>
        <w:pStyle w:val="ListParagraph"/>
        <w:ind w:left="2160" w:hanging="720"/>
      </w:pPr>
      <w:r>
        <w:t>4.1.4</w:t>
      </w:r>
      <w:r>
        <w:tab/>
        <w:t>The OAC Office, led by the OAC Executive Administrative Assistant, will complete a twice a year review of all information on the website.</w:t>
      </w:r>
    </w:p>
    <w:p w14:paraId="5A88F62A" w14:textId="77777777" w:rsidR="00DD1D72" w:rsidRDefault="00F8688C" w:rsidP="00DD1D72">
      <w:pPr>
        <w:pStyle w:val="ListParagraph"/>
        <w:ind w:left="2160" w:hanging="720"/>
      </w:pPr>
      <w:r>
        <w:t>4.1.5</w:t>
      </w:r>
      <w:r>
        <w:tab/>
        <w:t>The OAC Office will create new pages when there is new content the OAC Office wishes to share with the public.</w:t>
      </w:r>
    </w:p>
    <w:p w14:paraId="47E4FA0A" w14:textId="77777777" w:rsidR="00F55F6D" w:rsidRDefault="00F55F6D" w:rsidP="00DD1D72">
      <w:pPr>
        <w:pStyle w:val="ListParagraph"/>
        <w:ind w:left="2160" w:hanging="720"/>
      </w:pPr>
    </w:p>
    <w:p w14:paraId="1E634B7E" w14:textId="0DC1AFFB" w:rsidR="00DD1D72" w:rsidRDefault="00DD1D72" w:rsidP="00DD1D72">
      <w:pPr>
        <w:pStyle w:val="ListParagraph"/>
        <w:ind w:left="1440" w:hanging="720"/>
      </w:pPr>
      <w:r>
        <w:t>4.2</w:t>
      </w:r>
      <w:r>
        <w:tab/>
        <w:t xml:space="preserve">Community Funding </w:t>
      </w:r>
    </w:p>
    <w:p w14:paraId="6253F238" w14:textId="77777777" w:rsidR="00DD1D72" w:rsidRDefault="00DD1D72" w:rsidP="00DD1D72">
      <w:pPr>
        <w:pStyle w:val="ListParagraph"/>
        <w:ind w:left="2160" w:hanging="720"/>
      </w:pPr>
      <w:r>
        <w:t>4.2.1</w:t>
      </w:r>
      <w:r>
        <w:tab/>
        <w:t xml:space="preserve">The OAC Website shall have a page dedicated to Community Funding which will be updated with information, activities, announcements of funding, etc.   </w:t>
      </w:r>
    </w:p>
    <w:p w14:paraId="49803931" w14:textId="77777777" w:rsidR="00DD1D72" w:rsidRDefault="00DD1D72" w:rsidP="00DD1D72">
      <w:pPr>
        <w:pStyle w:val="ListParagraph"/>
        <w:ind w:left="2160" w:hanging="720"/>
      </w:pPr>
      <w:r>
        <w:t>4.2.2</w:t>
      </w:r>
      <w:r>
        <w:tab/>
        <w:t xml:space="preserve">The OAC Office will announce when Community Grant Funding opportunities are available to the public via the OAC Website.  When the Community Grant Funding opportunities </w:t>
      </w:r>
      <w:proofErr w:type="gramStart"/>
      <w:r>
        <w:t>are  open</w:t>
      </w:r>
      <w:proofErr w:type="gramEnd"/>
      <w:r>
        <w:t xml:space="preserve"> to the public, the Opioid Abatement Council Office will post documents and videos to assist the public in applying for funding.   These may include:</w:t>
      </w:r>
    </w:p>
    <w:p w14:paraId="571EE763" w14:textId="77777777" w:rsidR="00DD1D72" w:rsidRDefault="00DD1D72" w:rsidP="00DD1D72">
      <w:pPr>
        <w:pStyle w:val="ListParagraph"/>
        <w:ind w:left="1440" w:firstLine="720"/>
      </w:pPr>
      <w:r>
        <w:t>4.2.2.1</w:t>
      </w:r>
      <w:r>
        <w:tab/>
        <w:t xml:space="preserve">step-by-step instruction sheet for the Community Grants Portal.  </w:t>
      </w:r>
    </w:p>
    <w:p w14:paraId="579FB1F5" w14:textId="77777777" w:rsidR="00DD1D72" w:rsidRDefault="00DD1D72" w:rsidP="00DD1D72">
      <w:pPr>
        <w:pStyle w:val="ListParagraph"/>
        <w:ind w:left="1440" w:firstLine="720"/>
      </w:pPr>
      <w:r>
        <w:t>4.2.2.2</w:t>
      </w:r>
      <w:r>
        <w:tab/>
        <w:t>recorded videos demonstrating the functions of the Portal.</w:t>
      </w:r>
    </w:p>
    <w:p w14:paraId="247ADA8C" w14:textId="77777777" w:rsidR="00DD1D72" w:rsidRDefault="00DD1D72" w:rsidP="00DD1D72">
      <w:pPr>
        <w:pStyle w:val="ListParagraph"/>
        <w:ind w:left="1440" w:firstLine="720"/>
      </w:pPr>
      <w:r>
        <w:t>4.2.2.3</w:t>
      </w:r>
      <w:r>
        <w:tab/>
        <w:t>Announcement of Funding link and the schedule of events.</w:t>
      </w:r>
    </w:p>
    <w:p w14:paraId="181EFED5" w14:textId="096A3C90" w:rsidR="00DD1D72" w:rsidRDefault="00DD1D72" w:rsidP="00DD1D72">
      <w:pPr>
        <w:pStyle w:val="ListParagraph"/>
        <w:ind w:left="2880" w:hanging="720"/>
      </w:pPr>
      <w:r>
        <w:t>4.2.2.4</w:t>
      </w:r>
      <w:r>
        <w:tab/>
        <w:t>Responses based on frequently asked questions received from potential proposers as requested in the Announcement of Funding.</w:t>
      </w:r>
    </w:p>
    <w:p w14:paraId="78230046" w14:textId="77777777" w:rsidR="00DD1D72" w:rsidRDefault="00DD1D72" w:rsidP="00DD1D72">
      <w:pPr>
        <w:pStyle w:val="ListParagraph"/>
        <w:ind w:left="1440" w:firstLine="720"/>
      </w:pPr>
      <w:r>
        <w:t>4.2.2.5</w:t>
      </w:r>
      <w:r>
        <w:tab/>
        <w:t>helpful hints from the people who scored the Community Grants.</w:t>
      </w:r>
    </w:p>
    <w:p w14:paraId="71CE87E5" w14:textId="77777777" w:rsidR="00DD1D72" w:rsidRDefault="00DD1D72" w:rsidP="00DD1D72">
      <w:pPr>
        <w:pStyle w:val="ListParagraph"/>
        <w:ind w:left="2160" w:hanging="720"/>
      </w:pPr>
      <w:r>
        <w:t>4.2.3</w:t>
      </w:r>
      <w:r>
        <w:tab/>
        <w:t xml:space="preserve">The Opioid Abatement Council Office will provide links to list of community grant awardees and applications and average scores. </w:t>
      </w:r>
    </w:p>
    <w:p w14:paraId="1B404FCF" w14:textId="77777777" w:rsidR="00DD1D72" w:rsidRDefault="00DD1D72" w:rsidP="00DD1D72">
      <w:pPr>
        <w:pStyle w:val="ListParagraph"/>
        <w:ind w:left="2160" w:hanging="720"/>
      </w:pPr>
      <w:r>
        <w:t>4.2.4</w:t>
      </w:r>
      <w:r>
        <w:tab/>
        <w:t>The Opioid Abatement Council Office will post a breakdown of funding amounts by remediation strategy.</w:t>
      </w:r>
    </w:p>
    <w:p w14:paraId="33E089F7" w14:textId="77777777" w:rsidR="00DD1D72" w:rsidRDefault="00DD1D72" w:rsidP="00DD1D72">
      <w:pPr>
        <w:pStyle w:val="ListParagraph"/>
        <w:ind w:left="720" w:firstLine="720"/>
      </w:pPr>
      <w:r>
        <w:t>4.2.5</w:t>
      </w:r>
      <w:r>
        <w:tab/>
        <w:t>The Office will post spending by community grant awardees.</w:t>
      </w:r>
    </w:p>
    <w:p w14:paraId="16F6A659" w14:textId="77777777" w:rsidR="00F55F6D" w:rsidRDefault="00F55F6D" w:rsidP="00DD1D72">
      <w:pPr>
        <w:pStyle w:val="ListParagraph"/>
        <w:ind w:left="720" w:firstLine="720"/>
      </w:pPr>
    </w:p>
    <w:p w14:paraId="46D2D092" w14:textId="34D39A58" w:rsidR="00DD1D72" w:rsidRDefault="00DD1D72" w:rsidP="00DD1D72">
      <w:pPr>
        <w:ind w:firstLine="720"/>
      </w:pPr>
      <w:r>
        <w:t>4.3</w:t>
      </w:r>
      <w:r>
        <w:tab/>
        <w:t xml:space="preserve">County Funding </w:t>
      </w:r>
    </w:p>
    <w:p w14:paraId="194ACD28" w14:textId="77777777" w:rsidR="00DD1D72" w:rsidRDefault="00DD1D72" w:rsidP="00DD1D72">
      <w:pPr>
        <w:ind w:left="1440"/>
      </w:pPr>
      <w:r>
        <w:t>4.3.1</w:t>
      </w:r>
      <w:r>
        <w:tab/>
        <w:t>The OAC Website shall have a page dedicated to County Funding which will be updated with information, activities, and resources, etc.</w:t>
      </w:r>
      <w:r>
        <w:br/>
        <w:t>4.3.2</w:t>
      </w:r>
      <w:r>
        <w:tab/>
        <w:t xml:space="preserve">The Opioid Abatement Council Office will post a breakdown of county annual payments. </w:t>
      </w:r>
      <w:r>
        <w:br/>
        <w:t>4.3.3</w:t>
      </w:r>
      <w:r>
        <w:tab/>
        <w:t>The Opioid Abatement Council Office will post county semiannual reports.</w:t>
      </w:r>
    </w:p>
    <w:p w14:paraId="0B560230" w14:textId="1FBCFD40" w:rsidR="00DD1D72" w:rsidRDefault="00DD1D72" w:rsidP="00DD1D72">
      <w:pPr>
        <w:ind w:left="720"/>
      </w:pPr>
      <w:r>
        <w:t xml:space="preserve">4.4 </w:t>
      </w:r>
      <w:r>
        <w:tab/>
        <w:t xml:space="preserve">About Us  </w:t>
      </w:r>
    </w:p>
    <w:p w14:paraId="7D9EAD85" w14:textId="28FB5BBC" w:rsidR="00DD1D72" w:rsidRDefault="00DD1D72" w:rsidP="00DD1D72">
      <w:pPr>
        <w:pStyle w:val="ListParagraph"/>
        <w:ind w:left="2160" w:hanging="720"/>
      </w:pPr>
      <w:r>
        <w:t>4.4.1</w:t>
      </w:r>
      <w:r>
        <w:tab/>
        <w:t xml:space="preserve">The OAC website shall have a page titled “About Us” dedicated to the history of the Opioid Abatement Council and the disbursement directives. This page shall include, but is not limited to: </w:t>
      </w:r>
    </w:p>
    <w:p w14:paraId="4B73CF76" w14:textId="77777777" w:rsidR="00DD1D72" w:rsidRDefault="00DD1D72" w:rsidP="00DD1D72">
      <w:pPr>
        <w:pStyle w:val="ListParagraph"/>
        <w:ind w:left="720" w:firstLine="720"/>
      </w:pPr>
      <w:r>
        <w:t>4.4.2</w:t>
      </w:r>
      <w:r>
        <w:tab/>
        <w:t>The OAC Council Members and their biography information.</w:t>
      </w:r>
    </w:p>
    <w:p w14:paraId="34EABD5B" w14:textId="77777777" w:rsidR="00DD1D72" w:rsidRDefault="00DD1D72" w:rsidP="00DD1D72">
      <w:pPr>
        <w:pStyle w:val="ListParagraph"/>
        <w:ind w:left="720" w:firstLine="720"/>
      </w:pPr>
      <w:r>
        <w:t>4.4.3</w:t>
      </w:r>
      <w:r>
        <w:tab/>
      </w:r>
      <w:proofErr w:type="gramStart"/>
      <w:r>
        <w:t>The  OAC</w:t>
      </w:r>
      <w:proofErr w:type="gramEnd"/>
      <w:r>
        <w:t xml:space="preserve"> Executive Leadership team, their contact information, and their biographies.  </w:t>
      </w:r>
    </w:p>
    <w:p w14:paraId="1969F38C" w14:textId="2C6F1D95" w:rsidR="00DD1D72" w:rsidRDefault="00DD1D72" w:rsidP="00DD1D72">
      <w:pPr>
        <w:pStyle w:val="ListParagraph"/>
        <w:ind w:left="720" w:firstLine="720"/>
      </w:pPr>
      <w:r>
        <w:t>4.4.4</w:t>
      </w:r>
      <w:r>
        <w:tab/>
        <w:t>The OAC Office is responsible for updating the “About Us” page whenever applicable.</w:t>
      </w:r>
    </w:p>
    <w:p w14:paraId="14764796" w14:textId="77777777" w:rsidR="00DD1D72" w:rsidRDefault="00DD1D72" w:rsidP="00DD1D72"/>
    <w:p w14:paraId="24372FA4" w14:textId="77777777" w:rsidR="00DD1D72" w:rsidRDefault="00DD1D72" w:rsidP="00DD1D72"/>
    <w:p w14:paraId="3EBA564B" w14:textId="77777777" w:rsidR="00DD1D72" w:rsidRDefault="00DD1D72" w:rsidP="00DD1D72"/>
    <w:p w14:paraId="35996630" w14:textId="77777777" w:rsidR="00DD1D72" w:rsidRDefault="00DD1D72" w:rsidP="00DD1D72">
      <w:pPr>
        <w:ind w:firstLine="720"/>
      </w:pPr>
      <w:r>
        <w:t>4.5</w:t>
      </w:r>
      <w:r>
        <w:tab/>
        <w:t>Meetings</w:t>
      </w:r>
    </w:p>
    <w:p w14:paraId="58F20306" w14:textId="77777777" w:rsidR="00DD1D72" w:rsidRDefault="00DD1D72" w:rsidP="00DD1D72">
      <w:pPr>
        <w:pStyle w:val="ListParagraph"/>
        <w:ind w:left="2160" w:hanging="720"/>
      </w:pPr>
      <w:r>
        <w:t>4.5.1</w:t>
      </w:r>
      <w:r>
        <w:tab/>
        <w:t xml:space="preserve">The OAC website shall have a page dedicated to the Council meetings which will provide the following: </w:t>
      </w:r>
    </w:p>
    <w:p w14:paraId="576AD0E0" w14:textId="77777777" w:rsidR="00DD1D72" w:rsidRDefault="00DD1D72" w:rsidP="00DD1D72">
      <w:pPr>
        <w:pStyle w:val="ListParagraph"/>
        <w:ind w:left="720" w:firstLine="720"/>
      </w:pPr>
      <w:r>
        <w:t>4.5.2</w:t>
      </w:r>
      <w:r>
        <w:tab/>
        <w:t>Notices of upcoming Council and Town Hall meetings.</w:t>
      </w:r>
    </w:p>
    <w:p w14:paraId="37DBF718" w14:textId="77777777" w:rsidR="00DD1D72" w:rsidRDefault="00DD1D72" w:rsidP="00DD1D72">
      <w:pPr>
        <w:pStyle w:val="ListParagraph"/>
        <w:ind w:left="2160" w:hanging="720"/>
      </w:pPr>
      <w:r>
        <w:t>4.5.3</w:t>
      </w:r>
      <w:r>
        <w:tab/>
        <w:t>The Agenda for the OAC meetings will be posted in accordance with the Open Meetings Act</w:t>
      </w:r>
    </w:p>
    <w:p w14:paraId="0CA325C5" w14:textId="77777777" w:rsidR="00DD1D72" w:rsidRDefault="00DD1D72" w:rsidP="00DD1D72">
      <w:pPr>
        <w:pStyle w:val="ListParagraph"/>
        <w:ind w:left="2160" w:hanging="720"/>
      </w:pPr>
      <w:r>
        <w:t>4.5.4</w:t>
      </w:r>
      <w:r>
        <w:tab/>
        <w:t>The notice will include, but is not limited to, the meeting date, time, place, agenda items, instructions for attending the meeting in person or accessing the meeting electronically, and any other necessary information in accordance with state law.</w:t>
      </w:r>
    </w:p>
    <w:p w14:paraId="7FD29802" w14:textId="69ECA612" w:rsidR="00DD1D72" w:rsidRDefault="00DD1D72" w:rsidP="00DD1D72">
      <w:pPr>
        <w:pStyle w:val="ListParagraph"/>
        <w:ind w:left="720" w:firstLine="720"/>
      </w:pPr>
      <w:r>
        <w:t>4.5.5</w:t>
      </w:r>
      <w:r>
        <w:tab/>
        <w:t>The OAC Office is responsible for updating the “Meetings” page whenever applicable.</w:t>
      </w:r>
    </w:p>
    <w:p w14:paraId="34A8CE6A" w14:textId="77777777" w:rsidR="00F55F6D" w:rsidRDefault="00F55F6D" w:rsidP="00DD1D72">
      <w:pPr>
        <w:pStyle w:val="ListParagraph"/>
        <w:ind w:left="720" w:firstLine="720"/>
      </w:pPr>
    </w:p>
    <w:p w14:paraId="6F4219BA" w14:textId="77777777" w:rsidR="00DD1D72" w:rsidRDefault="00DD1D72" w:rsidP="00DD1D72">
      <w:pPr>
        <w:pStyle w:val="ListParagraph"/>
        <w:ind w:firstLine="720"/>
      </w:pPr>
      <w:r>
        <w:t>4.6</w:t>
      </w:r>
      <w:r>
        <w:tab/>
        <w:t>Reports and Resources</w:t>
      </w:r>
    </w:p>
    <w:p w14:paraId="55E1D4B4" w14:textId="77777777" w:rsidR="00DD1D72" w:rsidRDefault="00DD1D72" w:rsidP="00DD1D72">
      <w:pPr>
        <w:pStyle w:val="ListParagraph"/>
        <w:ind w:left="720" w:firstLine="720"/>
      </w:pPr>
      <w:r>
        <w:t>4.6.1</w:t>
      </w:r>
      <w:r>
        <w:tab/>
        <w:t>This page will be updated with the Annual OAC Report.</w:t>
      </w:r>
    </w:p>
    <w:p w14:paraId="22CE8C0E" w14:textId="1DCF7711" w:rsidR="00DD1D72" w:rsidRDefault="00DD1D72" w:rsidP="00DD1D72">
      <w:pPr>
        <w:pStyle w:val="ListParagraph"/>
        <w:ind w:left="720" w:firstLine="720"/>
      </w:pPr>
      <w:r>
        <w:t>4.6.2</w:t>
      </w:r>
      <w:r>
        <w:tab/>
        <w:t>A link to the Approved Remediation List is included on this page.</w:t>
      </w:r>
    </w:p>
    <w:p w14:paraId="604C31F2" w14:textId="77777777" w:rsidR="00F55F6D" w:rsidRDefault="00F55F6D" w:rsidP="00DD1D72">
      <w:pPr>
        <w:pStyle w:val="ListParagraph"/>
        <w:ind w:left="720" w:firstLine="720"/>
      </w:pPr>
    </w:p>
    <w:p w14:paraId="752A8217" w14:textId="77777777" w:rsidR="00DD1D72" w:rsidRDefault="00DD1D72" w:rsidP="00DD1D72">
      <w:pPr>
        <w:pStyle w:val="ListParagraph"/>
        <w:ind w:firstLine="720"/>
      </w:pPr>
      <w:r>
        <w:t>4.7</w:t>
      </w:r>
      <w:r>
        <w:tab/>
        <w:t>OAC Policies</w:t>
      </w:r>
    </w:p>
    <w:p w14:paraId="3D708913" w14:textId="6F841EDD" w:rsidR="00DD1D72" w:rsidRDefault="00DD1D72" w:rsidP="00DD1D72">
      <w:pPr>
        <w:pStyle w:val="ListParagraph"/>
        <w:ind w:left="2160" w:hanging="720"/>
      </w:pPr>
      <w:r>
        <w:t>4.7.1</w:t>
      </w:r>
      <w:r>
        <w:tab/>
        <w:t xml:space="preserve">The OAC Website shall have a page dedicated to policies of the Council.  </w:t>
      </w:r>
      <w:proofErr w:type="gramStart"/>
      <w:r>
        <w:t>This  page</w:t>
      </w:r>
      <w:proofErr w:type="gramEnd"/>
      <w:r>
        <w:t xml:space="preserve"> will be updated with the policies approved by the Opioid Abatement Council. </w:t>
      </w:r>
    </w:p>
    <w:p w14:paraId="344E3D42" w14:textId="77777777" w:rsidR="00F55F6D" w:rsidRDefault="00F55F6D" w:rsidP="00DD1D72">
      <w:pPr>
        <w:pStyle w:val="ListParagraph"/>
        <w:ind w:firstLine="720"/>
      </w:pPr>
    </w:p>
    <w:p w14:paraId="21476550" w14:textId="6624FEC2" w:rsidR="00DD1D72" w:rsidRDefault="00DD1D72" w:rsidP="00DD1D72">
      <w:pPr>
        <w:pStyle w:val="ListParagraph"/>
        <w:ind w:firstLine="720"/>
      </w:pPr>
      <w:r>
        <w:t>4.8</w:t>
      </w:r>
      <w:r>
        <w:tab/>
        <w:t>Community Advocacy Panel</w:t>
      </w:r>
    </w:p>
    <w:p w14:paraId="4F7115F3" w14:textId="7B0A8B03" w:rsidR="00DD1D72" w:rsidRDefault="00DD1D72" w:rsidP="00DD1D72">
      <w:pPr>
        <w:pStyle w:val="ListParagraph"/>
        <w:ind w:left="1440"/>
      </w:pPr>
      <w:r>
        <w:t>The OAC Website shall have a page dedicated to the Community Advocacy Panel.  This page will be updated with information regarding the Community Advocacy Panel.</w:t>
      </w:r>
    </w:p>
    <w:p w14:paraId="25F73F83" w14:textId="77777777" w:rsidR="00F55F6D" w:rsidRDefault="00F55F6D" w:rsidP="00DD1D72">
      <w:pPr>
        <w:pStyle w:val="ListParagraph"/>
        <w:ind w:firstLine="720"/>
      </w:pPr>
    </w:p>
    <w:p w14:paraId="4063F06E" w14:textId="3890CC38" w:rsidR="00DD1D72" w:rsidRDefault="00DD1D72" w:rsidP="00DD1D72">
      <w:pPr>
        <w:pStyle w:val="ListParagraph"/>
        <w:ind w:firstLine="720"/>
      </w:pPr>
      <w:r>
        <w:t>4.9</w:t>
      </w:r>
      <w:r>
        <w:tab/>
        <w:t>Contact Us</w:t>
      </w:r>
    </w:p>
    <w:p w14:paraId="11726BB1" w14:textId="148BE481" w:rsidR="00DD1D72" w:rsidRDefault="00DD1D72" w:rsidP="00DD1D72">
      <w:pPr>
        <w:pStyle w:val="ListParagraph"/>
        <w:ind w:left="2160" w:hanging="720"/>
      </w:pPr>
      <w:r>
        <w:t>4.9.1</w:t>
      </w:r>
      <w:r>
        <w:tab/>
        <w:t>The OAC Website shall have a page which contains email addresses for the OAC Office staff as well as the TDMHSAS Director of the Office of Communication.</w:t>
      </w:r>
    </w:p>
    <w:p w14:paraId="3AFD13F4" w14:textId="797679D3" w:rsidR="00DD1D72" w:rsidRDefault="00DD1D72" w:rsidP="00DD1D72">
      <w:pPr>
        <w:pStyle w:val="ListParagraph"/>
        <w:ind w:left="2160" w:hanging="720"/>
      </w:pPr>
      <w:r w:rsidRPr="00DD1D72">
        <w:t>4.9.2</w:t>
      </w:r>
      <w:r w:rsidRPr="00DD1D72">
        <w:tab/>
        <w:t xml:space="preserve">This page will also contain a contact form which shall be </w:t>
      </w:r>
      <w:proofErr w:type="gramStart"/>
      <w:r w:rsidRPr="00DD1D72">
        <w:t>completed  in</w:t>
      </w:r>
      <w:proofErr w:type="gramEnd"/>
      <w:r w:rsidRPr="00DD1D72">
        <w:t xml:space="preserve"> order to be added to the newsletter mailing list.</w:t>
      </w:r>
    </w:p>
    <w:p w14:paraId="1CC4CDB4" w14:textId="77777777" w:rsidR="00F55F6D" w:rsidRDefault="00F55F6D" w:rsidP="00DD1D72">
      <w:pPr>
        <w:pStyle w:val="ListParagraph"/>
        <w:ind w:firstLine="720"/>
      </w:pPr>
    </w:p>
    <w:p w14:paraId="7D1CDF9A" w14:textId="194C3CCA" w:rsidR="00DD1D72" w:rsidRDefault="00DD1D72" w:rsidP="00DD1D72">
      <w:pPr>
        <w:pStyle w:val="ListParagraph"/>
        <w:ind w:firstLine="720"/>
      </w:pPr>
      <w:r>
        <w:t>4.10</w:t>
      </w:r>
      <w:r>
        <w:tab/>
        <w:t>Connect to Help</w:t>
      </w:r>
    </w:p>
    <w:p w14:paraId="40DE0E42" w14:textId="4AD5013B" w:rsidR="00DD1D72" w:rsidRDefault="00DD1D72" w:rsidP="00DD1D72">
      <w:pPr>
        <w:pStyle w:val="ListParagraph"/>
        <w:ind w:left="2160" w:hanging="720"/>
      </w:pPr>
      <w:r>
        <w:t>4.10.1</w:t>
      </w:r>
      <w:r>
        <w:tab/>
        <w:t xml:space="preserve">The OAC Website contains links to Tennessee REDLINE, 988 Suicide &amp; Crisis Lifeline and Lifeline Peer Recovery Project and shall be updated whenever applicable. </w:t>
      </w:r>
    </w:p>
    <w:p w14:paraId="324258B5" w14:textId="77777777" w:rsidR="00F55F6D" w:rsidRDefault="00F55F6D" w:rsidP="00DD1D72">
      <w:pPr>
        <w:pStyle w:val="ListParagraph"/>
        <w:ind w:firstLine="720"/>
      </w:pPr>
    </w:p>
    <w:p w14:paraId="21D5C5CE" w14:textId="45142E55" w:rsidR="00DD1D72" w:rsidRDefault="00DD1D72" w:rsidP="00DD1D72">
      <w:pPr>
        <w:pStyle w:val="ListParagraph"/>
        <w:ind w:firstLine="720"/>
      </w:pPr>
      <w:r>
        <w:t>4.11</w:t>
      </w:r>
      <w:r>
        <w:tab/>
        <w:t>Council Quick Links</w:t>
      </w:r>
    </w:p>
    <w:p w14:paraId="5498CF6B" w14:textId="5853BF14" w:rsidR="00DD1D72" w:rsidRDefault="00DD1D72" w:rsidP="00DD1D72">
      <w:pPr>
        <w:pStyle w:val="ListParagraph"/>
        <w:ind w:left="2160" w:hanging="720"/>
      </w:pPr>
      <w:r>
        <w:t>4.11.1</w:t>
      </w:r>
      <w:r>
        <w:tab/>
        <w:t>The OAC Website contains links to the Approved Remediation Activity List, County Direct Payment Amounts, Attorney General Opioid Settlement Info and the Current FY Annual Report.</w:t>
      </w:r>
      <w:r>
        <w:tab/>
      </w:r>
    </w:p>
    <w:p w14:paraId="7FD0CFD8" w14:textId="77777777" w:rsidR="00F55F6D" w:rsidRDefault="00F55F6D" w:rsidP="00DD1D72">
      <w:pPr>
        <w:pStyle w:val="ListParagraph"/>
        <w:ind w:firstLine="720"/>
      </w:pPr>
    </w:p>
    <w:p w14:paraId="055A10C5" w14:textId="3651EBD3" w:rsidR="00DD1D72" w:rsidRDefault="00DD1D72" w:rsidP="00DD1D72">
      <w:pPr>
        <w:pStyle w:val="ListParagraph"/>
        <w:ind w:firstLine="720"/>
      </w:pPr>
      <w:r>
        <w:t>4.12</w:t>
      </w:r>
      <w:r>
        <w:tab/>
        <w:t>Get Involved</w:t>
      </w:r>
    </w:p>
    <w:p w14:paraId="5E39A9FD" w14:textId="1FD63789" w:rsidR="00DD1D72" w:rsidRDefault="00DD1D72" w:rsidP="00DD1D72">
      <w:pPr>
        <w:pStyle w:val="ListParagraph"/>
        <w:ind w:left="2160" w:hanging="720"/>
      </w:pPr>
      <w:r>
        <w:lastRenderedPageBreak/>
        <w:t>4.12.1</w:t>
      </w:r>
      <w:r>
        <w:tab/>
        <w:t xml:space="preserve">The OAC Website contains links to Our Next Meeting, Contact the Council, Learn How to Reverse and Overdose, </w:t>
      </w:r>
      <w:proofErr w:type="gramStart"/>
      <w:r>
        <w:t>Save</w:t>
      </w:r>
      <w:proofErr w:type="gramEnd"/>
      <w:r>
        <w:t xml:space="preserve"> a Life and Join Your Local Prevention Coalition.</w:t>
      </w:r>
    </w:p>
    <w:p w14:paraId="2CD993F5" w14:textId="77777777" w:rsidR="00F55F6D" w:rsidRDefault="00F55F6D" w:rsidP="00DD1D72">
      <w:pPr>
        <w:pStyle w:val="ListParagraph"/>
        <w:ind w:firstLine="720"/>
      </w:pPr>
    </w:p>
    <w:p w14:paraId="653B2AD8" w14:textId="08C29BA4" w:rsidR="00DD1D72" w:rsidRDefault="00DD1D72" w:rsidP="00DD1D72">
      <w:pPr>
        <w:pStyle w:val="ListParagraph"/>
        <w:ind w:firstLine="720"/>
      </w:pPr>
      <w:r>
        <w:t>4.13</w:t>
      </w:r>
      <w:r>
        <w:tab/>
        <w:t>TDMHSAS Resources</w:t>
      </w:r>
    </w:p>
    <w:p w14:paraId="674946FE" w14:textId="29E79BCD" w:rsidR="00DD1D72" w:rsidRDefault="00DD1D72" w:rsidP="00DD1D72">
      <w:pPr>
        <w:pStyle w:val="ListParagraph"/>
        <w:ind w:left="2160" w:hanging="720"/>
      </w:pPr>
      <w:r>
        <w:t>4.13.1</w:t>
      </w:r>
      <w:r>
        <w:tab/>
        <w:t>The OAC Website contains links to Substance Use Treatment, Learn More About Medication Assisted Treatment and Recovery Housing Resources</w:t>
      </w:r>
    </w:p>
    <w:p w14:paraId="17B79E64" w14:textId="13BCD9CD" w:rsidR="00DD1D72" w:rsidRDefault="00DD1D72" w:rsidP="00DD1D72">
      <w:pPr>
        <w:pStyle w:val="Heading2"/>
      </w:pPr>
      <w:r>
        <w:t>Authority</w:t>
      </w:r>
    </w:p>
    <w:p w14:paraId="6AF986AC" w14:textId="7A44222A" w:rsidR="00DD1D72" w:rsidRDefault="00DD1D72" w:rsidP="00DD1D72">
      <w:pPr>
        <w:ind w:firstLine="720"/>
      </w:pPr>
      <w:r>
        <w:t>T.C.A. §§ 33-11-101 et seq</w:t>
      </w:r>
    </w:p>
    <w:p w14:paraId="5B321EED" w14:textId="1C03648F" w:rsidR="00F55F6D" w:rsidRPr="00295CE6" w:rsidRDefault="00F55F6D" w:rsidP="00DD1D72">
      <w:pPr>
        <w:ind w:firstLine="720"/>
      </w:pPr>
      <w:r w:rsidRPr="00F55F6D">
        <w:rPr>
          <w:noProof/>
        </w:rPr>
        <w:drawing>
          <wp:inline distT="0" distB="0" distL="0" distR="0" wp14:anchorId="4935884F" wp14:editId="16D10660">
            <wp:extent cx="4001058" cy="3248478"/>
            <wp:effectExtent l="0" t="0" r="0" b="9525"/>
            <wp:docPr id="811511010" name="Picture 1" descr="Photo showing approval date of March 3, 2025 with the approval signatures of OAC Executive Director Mary Shelton and Council Chair Dr. Stephen Llo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11010" name="Picture 1" descr="Photo showing approval date of March 3, 2025 with the approval signatures of OAC Executive Director Mary Shelton and Council Chair Dr. Stephen Lloyd"/>
                    <pic:cNvPicPr/>
                  </pic:nvPicPr>
                  <pic:blipFill>
                    <a:blip r:embed="rId8"/>
                    <a:stretch>
                      <a:fillRect/>
                    </a:stretch>
                  </pic:blipFill>
                  <pic:spPr>
                    <a:xfrm>
                      <a:off x="0" y="0"/>
                      <a:ext cx="4001058" cy="3248478"/>
                    </a:xfrm>
                    <a:prstGeom prst="rect">
                      <a:avLst/>
                    </a:prstGeom>
                  </pic:spPr>
                </pic:pic>
              </a:graphicData>
            </a:graphic>
          </wp:inline>
        </w:drawing>
      </w:r>
    </w:p>
    <w:sectPr w:rsidR="00F55F6D" w:rsidRPr="00295CE6"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A177" w14:textId="77777777" w:rsidR="006F3FE8" w:rsidRDefault="006F3FE8" w:rsidP="00801079">
      <w:r>
        <w:separator/>
      </w:r>
    </w:p>
  </w:endnote>
  <w:endnote w:type="continuationSeparator" w:id="0">
    <w:p w14:paraId="770C78E9" w14:textId="77777777" w:rsidR="006F3FE8" w:rsidRDefault="006F3FE8"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5E7A230D"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OFF-25-00</w:t>
    </w:r>
    <w:r w:rsidR="00F55F6D">
      <w:rPr>
        <w:rFonts w:cs="Open Sans"/>
        <w:sz w:val="20"/>
        <w:szCs w:val="20"/>
      </w:rPr>
      <w:t>4</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F55F6D">
      <w:rPr>
        <w:rFonts w:cs="Open Sans"/>
        <w:sz w:val="20"/>
        <w:szCs w:val="20"/>
      </w:rPr>
      <w:t>Transparency</w:t>
    </w:r>
    <w:r w:rsidR="003F7D12">
      <w:rPr>
        <w:rFonts w:cs="Open Sans"/>
        <w:sz w:val="20"/>
        <w:szCs w:val="20"/>
      </w:rPr>
      <w:t xml:space="preserve"> Policy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55F6D">
      <w:rPr>
        <w:rFonts w:cs="Open Sans"/>
        <w:sz w:val="20"/>
        <w:szCs w:val="20"/>
      </w:rPr>
      <w:t>March 3</w:t>
    </w:r>
    <w:r w:rsidR="003F7D12">
      <w:rPr>
        <w:rFonts w:cs="Open Sans"/>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3974" w14:textId="77777777" w:rsidR="006F3FE8" w:rsidRDefault="006F3FE8" w:rsidP="00801079">
      <w:r>
        <w:separator/>
      </w:r>
    </w:p>
  </w:footnote>
  <w:footnote w:type="continuationSeparator" w:id="0">
    <w:p w14:paraId="02BB65F5" w14:textId="77777777" w:rsidR="006F3FE8" w:rsidRDefault="006F3FE8"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5F6C6C8A"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F55F6D">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6245B"/>
    <w:multiLevelType w:val="multilevel"/>
    <w:tmpl w:val="F388585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8198B"/>
    <w:multiLevelType w:val="multilevel"/>
    <w:tmpl w:val="4D7E6D6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5901C6"/>
    <w:multiLevelType w:val="multilevel"/>
    <w:tmpl w:val="0E8C7220"/>
    <w:lvl w:ilvl="0">
      <w:start w:val="4"/>
      <w:numFmt w:val="decimal"/>
      <w:lvlText w:val="%1"/>
      <w:lvlJc w:val="left"/>
      <w:pPr>
        <w:ind w:left="444" w:hanging="444"/>
      </w:pPr>
      <w:rPr>
        <w:rFonts w:ascii="PermianSlabSerifTypeface" w:eastAsia="Times New Roman" w:hAnsi="PermianSlabSerifTypeface" w:cs="Times New Roman" w:hint="default"/>
      </w:rPr>
    </w:lvl>
    <w:lvl w:ilvl="1">
      <w:start w:val="2"/>
      <w:numFmt w:val="decimal"/>
      <w:lvlText w:val="%1.%2"/>
      <w:lvlJc w:val="left"/>
      <w:pPr>
        <w:ind w:left="1164" w:hanging="444"/>
      </w:pPr>
      <w:rPr>
        <w:rFonts w:ascii="PermianSlabSerifTypeface" w:eastAsia="Times New Roman" w:hAnsi="PermianSlabSerifTypeface" w:cs="Times New Roman" w:hint="default"/>
      </w:rPr>
    </w:lvl>
    <w:lvl w:ilvl="2">
      <w:start w:val="1"/>
      <w:numFmt w:val="decimal"/>
      <w:lvlText w:val="%1.%2.%3"/>
      <w:lvlJc w:val="left"/>
      <w:pPr>
        <w:ind w:left="2160" w:hanging="720"/>
      </w:pPr>
      <w:rPr>
        <w:rFonts w:ascii="Open Sans" w:eastAsia="Times New Roman" w:hAnsi="Open Sans" w:cs="Open Sans" w:hint="default"/>
      </w:rPr>
    </w:lvl>
    <w:lvl w:ilvl="3">
      <w:start w:val="1"/>
      <w:numFmt w:val="decimal"/>
      <w:lvlText w:val="%1.%2.%3.%4"/>
      <w:lvlJc w:val="left"/>
      <w:pPr>
        <w:ind w:left="3240" w:hanging="1080"/>
      </w:pPr>
      <w:rPr>
        <w:rFonts w:ascii="PermianSlabSerifTypeface" w:eastAsia="Times New Roman" w:hAnsi="PermianSlabSerifTypeface" w:cs="Times New Roman" w:hint="default"/>
      </w:rPr>
    </w:lvl>
    <w:lvl w:ilvl="4">
      <w:start w:val="1"/>
      <w:numFmt w:val="decimal"/>
      <w:lvlText w:val="%1.%2.%3.%4.%5"/>
      <w:lvlJc w:val="left"/>
      <w:pPr>
        <w:ind w:left="3960" w:hanging="1080"/>
      </w:pPr>
      <w:rPr>
        <w:rFonts w:ascii="PermianSlabSerifTypeface" w:eastAsia="Times New Roman" w:hAnsi="PermianSlabSerifTypeface" w:cs="Times New Roman" w:hint="default"/>
      </w:rPr>
    </w:lvl>
    <w:lvl w:ilvl="5">
      <w:start w:val="1"/>
      <w:numFmt w:val="decimal"/>
      <w:lvlText w:val="%1.%2.%3.%4.%5.%6"/>
      <w:lvlJc w:val="left"/>
      <w:pPr>
        <w:ind w:left="5040" w:hanging="1440"/>
      </w:pPr>
      <w:rPr>
        <w:rFonts w:ascii="PermianSlabSerifTypeface" w:eastAsia="Times New Roman" w:hAnsi="PermianSlabSerifTypeface" w:cs="Times New Roman" w:hint="default"/>
      </w:rPr>
    </w:lvl>
    <w:lvl w:ilvl="6">
      <w:start w:val="1"/>
      <w:numFmt w:val="decimal"/>
      <w:lvlText w:val="%1.%2.%3.%4.%5.%6.%7"/>
      <w:lvlJc w:val="left"/>
      <w:pPr>
        <w:ind w:left="5760" w:hanging="1440"/>
      </w:pPr>
      <w:rPr>
        <w:rFonts w:ascii="PermianSlabSerifTypeface" w:eastAsia="Times New Roman" w:hAnsi="PermianSlabSerifTypeface" w:cs="Times New Roman" w:hint="default"/>
      </w:rPr>
    </w:lvl>
    <w:lvl w:ilvl="7">
      <w:start w:val="1"/>
      <w:numFmt w:val="decimal"/>
      <w:lvlText w:val="%1.%2.%3.%4.%5.%6.%7.%8"/>
      <w:lvlJc w:val="left"/>
      <w:pPr>
        <w:ind w:left="6840" w:hanging="1800"/>
      </w:pPr>
      <w:rPr>
        <w:rFonts w:ascii="PermianSlabSerifTypeface" w:eastAsia="Times New Roman" w:hAnsi="PermianSlabSerifTypeface" w:cs="Times New Roman" w:hint="default"/>
      </w:rPr>
    </w:lvl>
    <w:lvl w:ilvl="8">
      <w:start w:val="1"/>
      <w:numFmt w:val="decimal"/>
      <w:lvlText w:val="%1.%2.%3.%4.%5.%6.%7.%8.%9"/>
      <w:lvlJc w:val="left"/>
      <w:pPr>
        <w:ind w:left="7560" w:hanging="1800"/>
      </w:pPr>
      <w:rPr>
        <w:rFonts w:ascii="PermianSlabSerifTypeface" w:eastAsia="Times New Roman" w:hAnsi="PermianSlabSerifTypeface" w:cs="Times New Roman" w:hint="default"/>
      </w:rPr>
    </w:lvl>
  </w:abstractNum>
  <w:abstractNum w:abstractNumId="8"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566190"/>
    <w:multiLevelType w:val="multilevel"/>
    <w:tmpl w:val="2F96DCD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2764D8"/>
    <w:multiLevelType w:val="multilevel"/>
    <w:tmpl w:val="9D6237F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644CE5"/>
    <w:multiLevelType w:val="multilevel"/>
    <w:tmpl w:val="4DB206A8"/>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FE7416"/>
    <w:multiLevelType w:val="multilevel"/>
    <w:tmpl w:val="A5B0F5D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5F6052"/>
    <w:multiLevelType w:val="hybridMultilevel"/>
    <w:tmpl w:val="6154667C"/>
    <w:lvl w:ilvl="0" w:tplc="014E6DD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A3C0B"/>
    <w:multiLevelType w:val="multilevel"/>
    <w:tmpl w:val="57AA8A08"/>
    <w:lvl w:ilvl="0">
      <w:start w:val="3"/>
      <w:numFmt w:val="decimal"/>
      <w:lvlText w:val="%1"/>
      <w:lvlJc w:val="left"/>
      <w:pPr>
        <w:ind w:left="408" w:hanging="408"/>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B145D9B"/>
    <w:multiLevelType w:val="multilevel"/>
    <w:tmpl w:val="C17667E0"/>
    <w:lvl w:ilvl="0">
      <w:start w:val="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4" w15:restartNumberingAfterBreak="0">
    <w:nsid w:val="637C525F"/>
    <w:multiLevelType w:val="multilevel"/>
    <w:tmpl w:val="64EE55C6"/>
    <w:lvl w:ilvl="0">
      <w:start w:val="4"/>
      <w:numFmt w:val="decimal"/>
      <w:lvlText w:val="%1"/>
      <w:lvlJc w:val="left"/>
      <w:pPr>
        <w:ind w:left="420" w:hanging="420"/>
      </w:pPr>
      <w:rPr>
        <w:rFonts w:ascii="PermianSlabSerifTypeface" w:eastAsia="Times New Roman" w:hAnsi="PermianSlabSerifTypeface" w:cs="Times New Roman" w:hint="default"/>
      </w:rPr>
    </w:lvl>
    <w:lvl w:ilvl="1">
      <w:start w:val="7"/>
      <w:numFmt w:val="decimal"/>
      <w:lvlText w:val="%1.%2"/>
      <w:lvlJc w:val="left"/>
      <w:pPr>
        <w:ind w:left="1140" w:hanging="420"/>
      </w:pPr>
      <w:rPr>
        <w:rFonts w:ascii="PermianSlabSerifTypeface" w:eastAsia="Times New Roman" w:hAnsi="PermianSlabSerifTypeface" w:cs="Times New Roman" w:hint="default"/>
      </w:rPr>
    </w:lvl>
    <w:lvl w:ilvl="2">
      <w:start w:val="1"/>
      <w:numFmt w:val="decimal"/>
      <w:lvlText w:val="%1.%2.%3"/>
      <w:lvlJc w:val="left"/>
      <w:pPr>
        <w:ind w:left="2160" w:hanging="720"/>
      </w:pPr>
      <w:rPr>
        <w:rFonts w:ascii="Open Sans" w:eastAsia="Times New Roman" w:hAnsi="Open Sans" w:cs="Open Sans" w:hint="default"/>
      </w:rPr>
    </w:lvl>
    <w:lvl w:ilvl="3">
      <w:start w:val="1"/>
      <w:numFmt w:val="decimal"/>
      <w:lvlText w:val="%1.%2.%3.%4"/>
      <w:lvlJc w:val="left"/>
      <w:pPr>
        <w:ind w:left="3240" w:hanging="1080"/>
      </w:pPr>
      <w:rPr>
        <w:rFonts w:ascii="PermianSlabSerifTypeface" w:eastAsia="Times New Roman" w:hAnsi="PermianSlabSerifTypeface" w:cs="Times New Roman" w:hint="default"/>
      </w:rPr>
    </w:lvl>
    <w:lvl w:ilvl="4">
      <w:start w:val="1"/>
      <w:numFmt w:val="decimal"/>
      <w:lvlText w:val="%1.%2.%3.%4.%5"/>
      <w:lvlJc w:val="left"/>
      <w:pPr>
        <w:ind w:left="3960" w:hanging="1080"/>
      </w:pPr>
      <w:rPr>
        <w:rFonts w:ascii="PermianSlabSerifTypeface" w:eastAsia="Times New Roman" w:hAnsi="PermianSlabSerifTypeface" w:cs="Times New Roman" w:hint="default"/>
      </w:rPr>
    </w:lvl>
    <w:lvl w:ilvl="5">
      <w:start w:val="1"/>
      <w:numFmt w:val="decimal"/>
      <w:lvlText w:val="%1.%2.%3.%4.%5.%6"/>
      <w:lvlJc w:val="left"/>
      <w:pPr>
        <w:ind w:left="5040" w:hanging="1440"/>
      </w:pPr>
      <w:rPr>
        <w:rFonts w:ascii="PermianSlabSerifTypeface" w:eastAsia="Times New Roman" w:hAnsi="PermianSlabSerifTypeface" w:cs="Times New Roman" w:hint="default"/>
      </w:rPr>
    </w:lvl>
    <w:lvl w:ilvl="6">
      <w:start w:val="1"/>
      <w:numFmt w:val="decimal"/>
      <w:lvlText w:val="%1.%2.%3.%4.%5.%6.%7"/>
      <w:lvlJc w:val="left"/>
      <w:pPr>
        <w:ind w:left="5760" w:hanging="1440"/>
      </w:pPr>
      <w:rPr>
        <w:rFonts w:ascii="PermianSlabSerifTypeface" w:eastAsia="Times New Roman" w:hAnsi="PermianSlabSerifTypeface" w:cs="Times New Roman" w:hint="default"/>
      </w:rPr>
    </w:lvl>
    <w:lvl w:ilvl="7">
      <w:start w:val="1"/>
      <w:numFmt w:val="decimal"/>
      <w:lvlText w:val="%1.%2.%3.%4.%5.%6.%7.%8"/>
      <w:lvlJc w:val="left"/>
      <w:pPr>
        <w:ind w:left="6840" w:hanging="1800"/>
      </w:pPr>
      <w:rPr>
        <w:rFonts w:ascii="PermianSlabSerifTypeface" w:eastAsia="Times New Roman" w:hAnsi="PermianSlabSerifTypeface" w:cs="Times New Roman" w:hint="default"/>
      </w:rPr>
    </w:lvl>
    <w:lvl w:ilvl="8">
      <w:start w:val="1"/>
      <w:numFmt w:val="decimal"/>
      <w:lvlText w:val="%1.%2.%3.%4.%5.%6.%7.%8.%9"/>
      <w:lvlJc w:val="left"/>
      <w:pPr>
        <w:ind w:left="7560" w:hanging="1800"/>
      </w:pPr>
      <w:rPr>
        <w:rFonts w:ascii="PermianSlabSerifTypeface" w:eastAsia="Times New Roman" w:hAnsi="PermianSlabSerifTypeface" w:cs="Times New Roman" w:hint="default"/>
      </w:rPr>
    </w:lvl>
  </w:abstractNum>
  <w:abstractNum w:abstractNumId="25"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741170EF"/>
    <w:multiLevelType w:val="multilevel"/>
    <w:tmpl w:val="9880D85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1"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28"/>
  </w:num>
  <w:num w:numId="2" w16cid:durableId="783118593">
    <w:abstractNumId w:val="31"/>
  </w:num>
  <w:num w:numId="3" w16cid:durableId="1505390476">
    <w:abstractNumId w:val="8"/>
  </w:num>
  <w:num w:numId="4" w16cid:durableId="1274096518">
    <w:abstractNumId w:val="27"/>
  </w:num>
  <w:num w:numId="5" w16cid:durableId="855191819">
    <w:abstractNumId w:val="12"/>
  </w:num>
  <w:num w:numId="6" w16cid:durableId="1329669013">
    <w:abstractNumId w:val="32"/>
  </w:num>
  <w:num w:numId="7" w16cid:durableId="1721434853">
    <w:abstractNumId w:val="33"/>
  </w:num>
  <w:num w:numId="8" w16cid:durableId="1150367029">
    <w:abstractNumId w:val="14"/>
  </w:num>
  <w:num w:numId="9" w16cid:durableId="2028869913">
    <w:abstractNumId w:val="5"/>
  </w:num>
  <w:num w:numId="10" w16cid:durableId="1115558235">
    <w:abstractNumId w:val="26"/>
  </w:num>
  <w:num w:numId="11" w16cid:durableId="1375544509">
    <w:abstractNumId w:val="30"/>
  </w:num>
  <w:num w:numId="12" w16cid:durableId="463891535">
    <w:abstractNumId w:val="17"/>
  </w:num>
  <w:num w:numId="13" w16cid:durableId="687878566">
    <w:abstractNumId w:val="23"/>
  </w:num>
  <w:num w:numId="14" w16cid:durableId="476453308">
    <w:abstractNumId w:val="2"/>
  </w:num>
  <w:num w:numId="15" w16cid:durableId="1974822128">
    <w:abstractNumId w:val="16"/>
  </w:num>
  <w:num w:numId="16" w16cid:durableId="525289569">
    <w:abstractNumId w:val="34"/>
  </w:num>
  <w:num w:numId="17" w16cid:durableId="1799374499">
    <w:abstractNumId w:val="25"/>
  </w:num>
  <w:num w:numId="18" w16cid:durableId="1959069171">
    <w:abstractNumId w:val="6"/>
  </w:num>
  <w:num w:numId="19" w16cid:durableId="678969389">
    <w:abstractNumId w:val="22"/>
  </w:num>
  <w:num w:numId="20" w16cid:durableId="1540127759">
    <w:abstractNumId w:val="11"/>
  </w:num>
  <w:num w:numId="21" w16cid:durableId="1769307720">
    <w:abstractNumId w:val="19"/>
  </w:num>
  <w:num w:numId="22" w16cid:durableId="1312633749">
    <w:abstractNumId w:val="0"/>
  </w:num>
  <w:num w:numId="23" w16cid:durableId="439568532">
    <w:abstractNumId w:val="3"/>
  </w:num>
  <w:num w:numId="24" w16cid:durableId="1811558984">
    <w:abstractNumId w:val="13"/>
  </w:num>
  <w:num w:numId="25" w16cid:durableId="110522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236591">
    <w:abstractNumId w:val="9"/>
  </w:num>
  <w:num w:numId="27" w16cid:durableId="217864941">
    <w:abstractNumId w:val="18"/>
  </w:num>
  <w:num w:numId="28" w16cid:durableId="994379821">
    <w:abstractNumId w:val="4"/>
  </w:num>
  <w:num w:numId="29" w16cid:durableId="1727608387">
    <w:abstractNumId w:val="20"/>
  </w:num>
  <w:num w:numId="30" w16cid:durableId="1958755477">
    <w:abstractNumId w:val="1"/>
  </w:num>
  <w:num w:numId="31" w16cid:durableId="731389313">
    <w:abstractNumId w:val="10"/>
  </w:num>
  <w:num w:numId="32" w16cid:durableId="1281574311">
    <w:abstractNumId w:val="15"/>
  </w:num>
  <w:num w:numId="33" w16cid:durableId="1247114868">
    <w:abstractNumId w:val="29"/>
  </w:num>
  <w:num w:numId="34" w16cid:durableId="1417745152">
    <w:abstractNumId w:val="7"/>
  </w:num>
  <w:num w:numId="35" w16cid:durableId="1024476766">
    <w:abstractNumId w:val="21"/>
  </w:num>
  <w:num w:numId="36" w16cid:durableId="1546942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N90Thh18Z25QrmjLxySTkCF/p3hPksRDGit0btEZLk4z4wkq0i8LG+Z38l+y9bRibB4tXh9SB1pseDrfbofzw==" w:salt="o+EaRRxhGYnvisXzAMNX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B4639"/>
    <w:rsid w:val="00154412"/>
    <w:rsid w:val="00160A0D"/>
    <w:rsid w:val="00174E46"/>
    <w:rsid w:val="0019173E"/>
    <w:rsid w:val="001A7846"/>
    <w:rsid w:val="001F783E"/>
    <w:rsid w:val="002126F5"/>
    <w:rsid w:val="00295159"/>
    <w:rsid w:val="00295CE6"/>
    <w:rsid w:val="002C1FCE"/>
    <w:rsid w:val="002D38EF"/>
    <w:rsid w:val="0031236F"/>
    <w:rsid w:val="00336210"/>
    <w:rsid w:val="00350200"/>
    <w:rsid w:val="00372A60"/>
    <w:rsid w:val="0039259F"/>
    <w:rsid w:val="00392FF6"/>
    <w:rsid w:val="00397BBD"/>
    <w:rsid w:val="003D0BC7"/>
    <w:rsid w:val="003D5611"/>
    <w:rsid w:val="003F7D12"/>
    <w:rsid w:val="00415024"/>
    <w:rsid w:val="0051764F"/>
    <w:rsid w:val="00524802"/>
    <w:rsid w:val="00532C95"/>
    <w:rsid w:val="00560396"/>
    <w:rsid w:val="005B23CE"/>
    <w:rsid w:val="005D6AB0"/>
    <w:rsid w:val="00601970"/>
    <w:rsid w:val="006B7BC4"/>
    <w:rsid w:val="006D1142"/>
    <w:rsid w:val="006D2DD7"/>
    <w:rsid w:val="006F3FE8"/>
    <w:rsid w:val="006F4334"/>
    <w:rsid w:val="00703739"/>
    <w:rsid w:val="007265A5"/>
    <w:rsid w:val="0073515C"/>
    <w:rsid w:val="00745CF4"/>
    <w:rsid w:val="00746C05"/>
    <w:rsid w:val="0075304D"/>
    <w:rsid w:val="007719B6"/>
    <w:rsid w:val="00771DEC"/>
    <w:rsid w:val="00792280"/>
    <w:rsid w:val="007A63C0"/>
    <w:rsid w:val="007E1006"/>
    <w:rsid w:val="007E7C66"/>
    <w:rsid w:val="007F2E06"/>
    <w:rsid w:val="00801079"/>
    <w:rsid w:val="00822B5C"/>
    <w:rsid w:val="00835989"/>
    <w:rsid w:val="00840187"/>
    <w:rsid w:val="00857933"/>
    <w:rsid w:val="0086073D"/>
    <w:rsid w:val="008760C5"/>
    <w:rsid w:val="008A0CAE"/>
    <w:rsid w:val="008C3DDF"/>
    <w:rsid w:val="008C5D30"/>
    <w:rsid w:val="008C65A9"/>
    <w:rsid w:val="008E3768"/>
    <w:rsid w:val="008F5D3B"/>
    <w:rsid w:val="00916859"/>
    <w:rsid w:val="00943564"/>
    <w:rsid w:val="00951960"/>
    <w:rsid w:val="00956BCA"/>
    <w:rsid w:val="00956F9F"/>
    <w:rsid w:val="0096102A"/>
    <w:rsid w:val="0097119D"/>
    <w:rsid w:val="009924FF"/>
    <w:rsid w:val="009A32FC"/>
    <w:rsid w:val="009B2129"/>
    <w:rsid w:val="009E452F"/>
    <w:rsid w:val="009E73FE"/>
    <w:rsid w:val="00A15132"/>
    <w:rsid w:val="00A44C13"/>
    <w:rsid w:val="00AD6507"/>
    <w:rsid w:val="00AD77D6"/>
    <w:rsid w:val="00AE70B5"/>
    <w:rsid w:val="00B077F2"/>
    <w:rsid w:val="00B268A8"/>
    <w:rsid w:val="00B5742C"/>
    <w:rsid w:val="00B6110B"/>
    <w:rsid w:val="00B61DAC"/>
    <w:rsid w:val="00B66326"/>
    <w:rsid w:val="00B67C1A"/>
    <w:rsid w:val="00B8383D"/>
    <w:rsid w:val="00BB34CA"/>
    <w:rsid w:val="00BB5901"/>
    <w:rsid w:val="00BD2C4F"/>
    <w:rsid w:val="00C606A9"/>
    <w:rsid w:val="00CC225E"/>
    <w:rsid w:val="00D52904"/>
    <w:rsid w:val="00D563C5"/>
    <w:rsid w:val="00D92C14"/>
    <w:rsid w:val="00DD1D72"/>
    <w:rsid w:val="00DD6010"/>
    <w:rsid w:val="00DE6BF8"/>
    <w:rsid w:val="00E11485"/>
    <w:rsid w:val="00E26679"/>
    <w:rsid w:val="00E36757"/>
    <w:rsid w:val="00E55E0A"/>
    <w:rsid w:val="00E87684"/>
    <w:rsid w:val="00E911C2"/>
    <w:rsid w:val="00E96E43"/>
    <w:rsid w:val="00EC4B78"/>
    <w:rsid w:val="00F0397D"/>
    <w:rsid w:val="00F47A18"/>
    <w:rsid w:val="00F55F6D"/>
    <w:rsid w:val="00F56FAB"/>
    <w:rsid w:val="00F73C34"/>
    <w:rsid w:val="00F8688C"/>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9E452F"/>
    <w:pPr>
      <w:numPr>
        <w:numId w:val="21"/>
      </w:numPr>
      <w:jc w:val="both"/>
      <w:outlineLvl w:val="1"/>
    </w:pPr>
    <w:rPr>
      <w:rFonts w:cs="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452F"/>
    <w:rPr>
      <w:rFonts w:ascii="Open Sans" w:hAnsi="Open Sans" w:cs="Open Sans"/>
      <w:b/>
      <w:bCs/>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10</TotalTime>
  <Pages>4</Pages>
  <Words>1061</Words>
  <Characters>5796</Characters>
  <Application>Microsoft Office Word</Application>
  <DocSecurity>8</DocSecurity>
  <Lines>131</Lines>
  <Paragraphs>77</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4</cp:revision>
  <dcterms:created xsi:type="dcterms:W3CDTF">2026-04-07T21:06:00Z</dcterms:created>
  <dcterms:modified xsi:type="dcterms:W3CDTF">2026-04-15T17:44:00Z</dcterms:modified>
</cp:coreProperties>
</file>