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9B0B" w14:textId="57B31D66" w:rsidR="00DE6BF8" w:rsidRPr="00295CE6" w:rsidRDefault="00295159" w:rsidP="00DE6BF8">
      <w:pPr>
        <w:pStyle w:val="Heading1"/>
        <w:ind w:left="1440"/>
        <w:rPr>
          <w:rFonts w:cs="Open Sans"/>
        </w:rPr>
      </w:pPr>
      <w:r w:rsidRPr="00295CE6">
        <w:rPr>
          <w:rFonts w:cs="Open Sans"/>
        </w:rPr>
        <w:t>Subject:</w:t>
      </w:r>
      <w:r w:rsidR="00AE70B5" w:rsidRPr="00295CE6">
        <w:rPr>
          <w:rFonts w:cs="Open Sans"/>
        </w:rPr>
        <w:t xml:space="preserve"> </w:t>
      </w:r>
      <w:r w:rsidR="00372A60" w:rsidRPr="00295CE6">
        <w:rPr>
          <w:rFonts w:cs="Open Sans"/>
        </w:rPr>
        <w:t xml:space="preserve">OAC </w:t>
      </w:r>
      <w:r w:rsidR="003D0BC7" w:rsidRPr="00295CE6">
        <w:rPr>
          <w:rFonts w:cs="Open Sans"/>
        </w:rPr>
        <w:t xml:space="preserve">Office Responsibilities </w:t>
      </w:r>
      <w:r w:rsidR="00372A60" w:rsidRPr="00295CE6">
        <w:rPr>
          <w:rFonts w:cs="Open Sans"/>
        </w:rPr>
        <w:t xml:space="preserve"> </w:t>
      </w:r>
    </w:p>
    <w:p w14:paraId="6D907FB4" w14:textId="263D08B3" w:rsidR="00295159" w:rsidRPr="00295CE6" w:rsidRDefault="00295159" w:rsidP="00E87684">
      <w:pPr>
        <w:ind w:left="1440"/>
        <w:jc w:val="both"/>
        <w:rPr>
          <w:rFonts w:cs="Open Sans"/>
        </w:rPr>
      </w:pPr>
      <w:r w:rsidRPr="00295CE6">
        <w:rPr>
          <w:rFonts w:cs="Open Sans"/>
        </w:rPr>
        <w:t>Policy Number:</w:t>
      </w:r>
      <w:r w:rsidR="00AE70B5" w:rsidRPr="00295CE6">
        <w:rPr>
          <w:rFonts w:cs="Open Sans"/>
        </w:rPr>
        <w:t xml:space="preserve"> </w:t>
      </w:r>
      <w:r w:rsidR="003D0BC7" w:rsidRPr="00295CE6">
        <w:rPr>
          <w:rFonts w:cs="Open Sans"/>
        </w:rPr>
        <w:t>OFF-25-003</w:t>
      </w:r>
    </w:p>
    <w:p w14:paraId="5C31EC69" w14:textId="598B7522" w:rsidR="00295159" w:rsidRPr="00295CE6" w:rsidRDefault="00295159" w:rsidP="00E87684">
      <w:pPr>
        <w:ind w:left="1440"/>
        <w:jc w:val="both"/>
        <w:rPr>
          <w:rFonts w:cs="Open Sans"/>
        </w:rPr>
      </w:pPr>
      <w:r w:rsidRPr="00295CE6">
        <w:rPr>
          <w:rFonts w:cs="Open Sans"/>
        </w:rPr>
        <w:t>Effective Date:</w:t>
      </w:r>
      <w:r w:rsidR="00AE70B5" w:rsidRPr="00295CE6">
        <w:rPr>
          <w:rFonts w:cs="Open Sans"/>
        </w:rPr>
        <w:t xml:space="preserve"> </w:t>
      </w:r>
      <w:r w:rsidR="003D0BC7" w:rsidRPr="00295CE6">
        <w:rPr>
          <w:rFonts w:cs="Open Sans"/>
        </w:rPr>
        <w:t>3/3/2025</w:t>
      </w:r>
    </w:p>
    <w:p w14:paraId="02476432" w14:textId="4BB3B9E7" w:rsidR="00295159" w:rsidRPr="00295CE6" w:rsidRDefault="00AE70B5" w:rsidP="00E87684">
      <w:pPr>
        <w:ind w:left="1440"/>
        <w:jc w:val="both"/>
        <w:rPr>
          <w:rFonts w:cs="Open Sans"/>
        </w:rPr>
      </w:pPr>
      <w:r w:rsidRPr="00295CE6">
        <w:rPr>
          <w:rFonts w:cs="Open Sans"/>
        </w:rPr>
        <w:t xml:space="preserve">Entity Responsible: </w:t>
      </w:r>
      <w:r w:rsidR="00DE6BF8" w:rsidRPr="00295CE6">
        <w:rPr>
          <w:rFonts w:cs="Open Sans"/>
        </w:rPr>
        <w:t xml:space="preserve">Opioid Abatement </w:t>
      </w:r>
      <w:r w:rsidR="00E911C2" w:rsidRPr="00295CE6">
        <w:rPr>
          <w:rFonts w:cs="Open Sans"/>
        </w:rPr>
        <w:t>Council</w:t>
      </w:r>
      <w:r w:rsidR="00DE6BF8" w:rsidRPr="00295CE6">
        <w:rPr>
          <w:rFonts w:cs="Open Sans"/>
        </w:rPr>
        <w:t xml:space="preserve"> </w:t>
      </w:r>
      <w:r w:rsidRPr="00295CE6">
        <w:rPr>
          <w:rFonts w:cs="Open Sans"/>
        </w:rPr>
        <w:t xml:space="preserve"> </w:t>
      </w:r>
    </w:p>
    <w:p w14:paraId="0B357B2C" w14:textId="5265FBD3" w:rsidR="00295159" w:rsidRPr="00295CE6" w:rsidRDefault="00295159" w:rsidP="00E87684">
      <w:pPr>
        <w:ind w:left="1440"/>
        <w:jc w:val="both"/>
        <w:rPr>
          <w:rFonts w:cs="Open Sans"/>
        </w:rPr>
      </w:pPr>
      <w:r w:rsidRPr="00295CE6">
        <w:rPr>
          <w:rFonts w:cs="Open Sans"/>
        </w:rPr>
        <w:t>Last Review or Revision:</w:t>
      </w:r>
      <w:r w:rsidR="007265A5" w:rsidRPr="00295CE6">
        <w:rPr>
          <w:rFonts w:cs="Open Sans"/>
        </w:rPr>
        <w:t xml:space="preserve"> </w:t>
      </w:r>
      <w:r w:rsidR="003D0BC7" w:rsidRPr="00295CE6">
        <w:rPr>
          <w:rFonts w:cs="Open Sans"/>
          <w:kern w:val="0"/>
          <w14:ligatures w14:val="none"/>
        </w:rPr>
        <w:t>3/3/2025</w:t>
      </w:r>
    </w:p>
    <w:p w14:paraId="5A292C69" w14:textId="1E8FF23F" w:rsidR="00295159" w:rsidRPr="00295CE6" w:rsidRDefault="00295159" w:rsidP="000B4639">
      <w:pPr>
        <w:ind w:left="1440"/>
        <w:jc w:val="both"/>
        <w:rPr>
          <w:rFonts w:cs="Open Sans"/>
        </w:rPr>
      </w:pPr>
      <w:r w:rsidRPr="00295CE6">
        <w:rPr>
          <w:rFonts w:cs="Open Sans"/>
        </w:rPr>
        <w:t>Approved by:</w:t>
      </w:r>
      <w:r w:rsidR="007265A5" w:rsidRPr="00295CE6">
        <w:rPr>
          <w:rFonts w:cs="Open Sans"/>
        </w:rPr>
        <w:t xml:space="preserve"> </w:t>
      </w:r>
      <w:r w:rsidR="00DE6BF8" w:rsidRPr="00295CE6">
        <w:rPr>
          <w:rFonts w:cs="Open Sans"/>
        </w:rPr>
        <w:t>Mary Shelton and Dr. Stephen Lloyd</w:t>
      </w:r>
    </w:p>
    <w:p w14:paraId="242B12BA" w14:textId="77777777" w:rsidR="00E911C2" w:rsidRPr="00295CE6" w:rsidRDefault="00E911C2" w:rsidP="009E452F">
      <w:pPr>
        <w:pStyle w:val="Heading2"/>
      </w:pPr>
      <w:r w:rsidRPr="00295CE6">
        <w:t xml:space="preserve">Purpose  </w:t>
      </w:r>
    </w:p>
    <w:p w14:paraId="549E24E6" w14:textId="77777777" w:rsidR="003D0BC7" w:rsidRPr="00295CE6" w:rsidRDefault="003D0BC7" w:rsidP="003D0BC7">
      <w:pPr>
        <w:ind w:left="720"/>
        <w:rPr>
          <w:rFonts w:cs="Open Sans"/>
        </w:rPr>
      </w:pPr>
      <w:r w:rsidRPr="00295CE6">
        <w:rPr>
          <w:rFonts w:cs="Open Sans"/>
        </w:rPr>
        <w:t xml:space="preserve">The purpose of this policy is to provide guidance to the Tennessee Opioid Abatement Council Office on administering the Opioid Abatement Council. </w:t>
      </w:r>
    </w:p>
    <w:p w14:paraId="1F3B7802" w14:textId="2DBD5CCE" w:rsidR="00E911C2" w:rsidRPr="00295CE6" w:rsidRDefault="00E911C2" w:rsidP="003D0BC7">
      <w:pPr>
        <w:pStyle w:val="Heading2"/>
      </w:pPr>
      <w:r w:rsidRPr="00295CE6">
        <w:t>Policy</w:t>
      </w:r>
    </w:p>
    <w:p w14:paraId="572976AF" w14:textId="77777777" w:rsidR="003D0BC7" w:rsidRPr="00295CE6" w:rsidRDefault="003D0BC7" w:rsidP="003D0BC7">
      <w:pPr>
        <w:ind w:left="720"/>
        <w:rPr>
          <w:rFonts w:cs="Open Sans"/>
          <w:b/>
          <w:bCs/>
          <w:sz w:val="24"/>
          <w:szCs w:val="24"/>
        </w:rPr>
      </w:pPr>
      <w:r w:rsidRPr="00295CE6">
        <w:rPr>
          <w:rFonts w:cs="Open Sans"/>
        </w:rPr>
        <w:t>It is the policy of the OAC Office to complete the administrative tasks and responsibilities required as administrators.</w:t>
      </w:r>
    </w:p>
    <w:p w14:paraId="031A0F06" w14:textId="003D9FD6" w:rsidR="00E911C2" w:rsidRPr="00295CE6" w:rsidRDefault="00E911C2" w:rsidP="009E452F">
      <w:pPr>
        <w:pStyle w:val="Heading2"/>
      </w:pPr>
      <w:r w:rsidRPr="00295CE6">
        <w:t>Definitions</w:t>
      </w:r>
    </w:p>
    <w:p w14:paraId="5ED2B494" w14:textId="77777777" w:rsidR="003D0BC7" w:rsidRPr="00295CE6" w:rsidRDefault="003D0BC7" w:rsidP="003D0BC7">
      <w:pPr>
        <w:pStyle w:val="ListParagraph"/>
        <w:ind w:left="1440" w:hanging="720"/>
        <w:rPr>
          <w:rFonts w:cs="Open Sans"/>
        </w:rPr>
      </w:pPr>
      <w:r w:rsidRPr="00295CE6">
        <w:rPr>
          <w:rFonts w:cs="Open Sans"/>
        </w:rPr>
        <w:t>3.1</w:t>
      </w:r>
      <w:r w:rsidRPr="00295CE6">
        <w:rPr>
          <w:rFonts w:cs="Open Sans"/>
        </w:rPr>
        <w:tab/>
        <w:t>Opioid Abatement Law (the Law)- Refers to Tennessee Code Annotated, Title 33, Chapter 11, Part 1.</w:t>
      </w:r>
    </w:p>
    <w:p w14:paraId="5466762B" w14:textId="77777777" w:rsidR="003D0BC7" w:rsidRPr="00295CE6" w:rsidRDefault="003D0BC7" w:rsidP="003D0BC7">
      <w:pPr>
        <w:pStyle w:val="ListParagraph"/>
        <w:ind w:left="1440" w:hanging="720"/>
        <w:rPr>
          <w:rFonts w:cs="Open Sans"/>
        </w:rPr>
      </w:pPr>
      <w:r w:rsidRPr="00295CE6">
        <w:rPr>
          <w:rFonts w:cs="Open Sans"/>
        </w:rPr>
        <w:t>3.2</w:t>
      </w:r>
      <w:r w:rsidRPr="00295CE6">
        <w:rPr>
          <w:rFonts w:cs="Open Sans"/>
        </w:rPr>
        <w:tab/>
        <w:t>Council (the Council)- Refers to the council (OAC). established by the Tennessee General Assembly pursuant to Public Chapter 491 responsible for disbursing to decide how to best spend settlement dollars received from lawsuits related to the opioid crisis.</w:t>
      </w:r>
    </w:p>
    <w:p w14:paraId="79D038BE" w14:textId="77777777" w:rsidR="003D0BC7" w:rsidRPr="00295CE6" w:rsidRDefault="003D0BC7" w:rsidP="003D0BC7">
      <w:pPr>
        <w:pStyle w:val="ListParagraph"/>
        <w:ind w:firstLine="720"/>
        <w:rPr>
          <w:rFonts w:cs="Open Sans"/>
        </w:rPr>
      </w:pPr>
      <w:r w:rsidRPr="00295CE6">
        <w:rPr>
          <w:rFonts w:cs="Open Sans"/>
        </w:rPr>
        <w:t>3.3</w:t>
      </w:r>
      <w:r w:rsidRPr="00295CE6">
        <w:rPr>
          <w:rFonts w:cs="Open Sans"/>
        </w:rPr>
        <w:tab/>
        <w:t>OAC Office- Refers to the staff of the Opioid Abatement Council that administers the Council.</w:t>
      </w:r>
    </w:p>
    <w:p w14:paraId="441DCB28" w14:textId="77777777" w:rsidR="003D0BC7" w:rsidRPr="00295CE6" w:rsidRDefault="003D0BC7" w:rsidP="003D0BC7">
      <w:pPr>
        <w:pStyle w:val="ListParagraph"/>
        <w:ind w:left="1440" w:hanging="720"/>
        <w:rPr>
          <w:rFonts w:cs="Open Sans"/>
        </w:rPr>
      </w:pPr>
      <w:r w:rsidRPr="00295CE6">
        <w:rPr>
          <w:rFonts w:cs="Open Sans"/>
        </w:rPr>
        <w:t>3.4</w:t>
      </w:r>
      <w:r w:rsidRPr="00295CE6">
        <w:rPr>
          <w:rFonts w:cs="Open Sans"/>
        </w:rPr>
        <w:tab/>
        <w:t xml:space="preserve">OAC Executor Director- </w:t>
      </w:r>
      <w:proofErr w:type="gramStart"/>
      <w:r w:rsidRPr="00295CE6">
        <w:rPr>
          <w:rFonts w:cs="Open Sans"/>
        </w:rPr>
        <w:t>Refers</w:t>
      </w:r>
      <w:proofErr w:type="gramEnd"/>
      <w:r w:rsidRPr="00295CE6">
        <w:rPr>
          <w:rFonts w:cs="Open Sans"/>
        </w:rPr>
        <w:t xml:space="preserve"> the Executive Director of the Opioid Abatement Council confirmed by the Council.</w:t>
      </w:r>
    </w:p>
    <w:p w14:paraId="46079A5E" w14:textId="77777777" w:rsidR="003D0BC7" w:rsidRPr="00295CE6" w:rsidRDefault="003D0BC7" w:rsidP="003D0BC7">
      <w:pPr>
        <w:pStyle w:val="ListParagraph"/>
        <w:ind w:firstLine="720"/>
        <w:rPr>
          <w:rFonts w:cs="Open Sans"/>
        </w:rPr>
      </w:pPr>
      <w:r w:rsidRPr="00295CE6">
        <w:rPr>
          <w:rFonts w:cs="Open Sans"/>
        </w:rPr>
        <w:t>3.5</w:t>
      </w:r>
      <w:r w:rsidRPr="00295CE6">
        <w:rPr>
          <w:rFonts w:cs="Open Sans"/>
        </w:rPr>
        <w:tab/>
        <w:t xml:space="preserve">OAC Deputy Director- Refers to the Deputy Director of the Opioid Abatement Council. </w:t>
      </w:r>
    </w:p>
    <w:p w14:paraId="2CB9E403" w14:textId="77777777" w:rsidR="003D0BC7" w:rsidRPr="00295CE6" w:rsidRDefault="003D0BC7" w:rsidP="003D0BC7">
      <w:pPr>
        <w:pStyle w:val="ListParagraph"/>
        <w:ind w:left="1440" w:hanging="720"/>
        <w:rPr>
          <w:rFonts w:cs="Open Sans"/>
        </w:rPr>
      </w:pPr>
      <w:r w:rsidRPr="00295CE6">
        <w:rPr>
          <w:rFonts w:cs="Open Sans"/>
        </w:rPr>
        <w:t>3.6</w:t>
      </w:r>
      <w:r w:rsidRPr="00295CE6">
        <w:rPr>
          <w:rFonts w:cs="Open Sans"/>
        </w:rPr>
        <w:tab/>
        <w:t xml:space="preserve">County Funding- Refers to the sixty-five percent </w:t>
      </w:r>
      <w:proofErr w:type="gramStart"/>
      <w:r w:rsidRPr="00295CE6">
        <w:rPr>
          <w:rFonts w:cs="Open Sans"/>
        </w:rPr>
        <w:t>( 65</w:t>
      </w:r>
      <w:proofErr w:type="gramEnd"/>
      <w:r w:rsidRPr="00295CE6">
        <w:rPr>
          <w:rFonts w:cs="Open Sans"/>
        </w:rPr>
        <w:t>%) from the opioid abatement fund required by law to be disbursed for statewide, regional, or local opioid abatement and remediation purposes pursuant to T.C.A. §33-11-105.</w:t>
      </w:r>
    </w:p>
    <w:p w14:paraId="68FE68E3" w14:textId="726D1516" w:rsidR="00745CF4" w:rsidRDefault="003D0BC7" w:rsidP="003D0BC7">
      <w:pPr>
        <w:pStyle w:val="ListParagraph"/>
        <w:ind w:left="1440" w:hanging="720"/>
        <w:rPr>
          <w:rFonts w:cs="Open Sans"/>
        </w:rPr>
      </w:pPr>
      <w:r w:rsidRPr="00295CE6">
        <w:rPr>
          <w:rFonts w:cs="Open Sans"/>
        </w:rPr>
        <w:t>3.7</w:t>
      </w:r>
      <w:r w:rsidRPr="00295CE6">
        <w:rPr>
          <w:rFonts w:cs="Open Sans"/>
        </w:rPr>
        <w:tab/>
        <w:t>Community Funding- Refers to the thirty-five percent (35%) from the opioid abatement fund required by law to be disbursed to counties that join the settlement pursuant to T.C.A. § 33-11-103.</w:t>
      </w:r>
    </w:p>
    <w:p w14:paraId="5D119E19" w14:textId="77777777" w:rsidR="00B27DEC" w:rsidRPr="00295CE6" w:rsidRDefault="00B27DEC" w:rsidP="003D0BC7">
      <w:pPr>
        <w:pStyle w:val="ListParagraph"/>
        <w:ind w:left="1440" w:hanging="720"/>
        <w:rPr>
          <w:rFonts w:cs="Open Sans"/>
        </w:rPr>
      </w:pPr>
    </w:p>
    <w:p w14:paraId="5CCF1690" w14:textId="7F655149" w:rsidR="003D0BC7" w:rsidRPr="00295CE6" w:rsidRDefault="003D0BC7" w:rsidP="003D0BC7">
      <w:pPr>
        <w:pStyle w:val="Heading2"/>
      </w:pPr>
      <w:r w:rsidRPr="00295CE6">
        <w:t>Procedures</w:t>
      </w:r>
    </w:p>
    <w:p w14:paraId="0FA183AF" w14:textId="77777777" w:rsidR="003D0BC7" w:rsidRPr="00295CE6" w:rsidRDefault="003D0BC7" w:rsidP="003D0BC7">
      <w:pPr>
        <w:pStyle w:val="ListParagraph"/>
        <w:ind w:firstLine="720"/>
        <w:rPr>
          <w:rFonts w:cs="Open Sans"/>
        </w:rPr>
      </w:pPr>
      <w:r w:rsidRPr="00295CE6">
        <w:rPr>
          <w:rFonts w:cs="Open Sans"/>
        </w:rPr>
        <w:t>4.1</w:t>
      </w:r>
      <w:r w:rsidRPr="00295CE6">
        <w:rPr>
          <w:rFonts w:cs="Open Sans"/>
        </w:rPr>
        <w:tab/>
        <w:t xml:space="preserve">Records Keeping </w:t>
      </w:r>
    </w:p>
    <w:p w14:paraId="42457D3B" w14:textId="024ADEFC" w:rsidR="003D0BC7" w:rsidRPr="00295CE6" w:rsidRDefault="003D0BC7" w:rsidP="003D0BC7">
      <w:pPr>
        <w:pStyle w:val="ListParagraph"/>
        <w:ind w:left="2160" w:hanging="720"/>
        <w:rPr>
          <w:rFonts w:cs="Open Sans"/>
        </w:rPr>
      </w:pPr>
      <w:r w:rsidRPr="00295CE6">
        <w:rPr>
          <w:rFonts w:cs="Open Sans"/>
        </w:rPr>
        <w:t>4.1.1</w:t>
      </w:r>
      <w:r w:rsidRPr="00295CE6">
        <w:rPr>
          <w:rFonts w:cs="Open Sans"/>
        </w:rPr>
        <w:tab/>
      </w:r>
      <w:r w:rsidR="002D271C" w:rsidRPr="00295CE6">
        <w:rPr>
          <w:rFonts w:cs="Open Sans"/>
        </w:rPr>
        <w:t>The records</w:t>
      </w:r>
      <w:r w:rsidRPr="00295CE6">
        <w:rPr>
          <w:rFonts w:cs="Open Sans"/>
        </w:rPr>
        <w:t xml:space="preserve"> of the OAC Council are deemed to be public records subject to confidentiality provisions in the law. The OAC Office is the keeper of these records.</w:t>
      </w:r>
    </w:p>
    <w:p w14:paraId="7EE22429" w14:textId="77777777" w:rsidR="003D0BC7" w:rsidRPr="00295CE6" w:rsidRDefault="003D0BC7" w:rsidP="003D0BC7">
      <w:pPr>
        <w:pStyle w:val="ListParagraph"/>
        <w:ind w:left="2160" w:hanging="720"/>
        <w:rPr>
          <w:rFonts w:cs="Open Sans"/>
        </w:rPr>
      </w:pPr>
      <w:r w:rsidRPr="00295CE6">
        <w:rPr>
          <w:rFonts w:cs="Open Sans"/>
        </w:rPr>
        <w:t>4.1.2</w:t>
      </w:r>
      <w:r w:rsidRPr="00295CE6">
        <w:rPr>
          <w:rFonts w:cs="Open Sans"/>
        </w:rPr>
        <w:tab/>
        <w:t>The annual report, financial statements, all books, accounts, and financial records of the OAC Council are subject to annual audit by the Comptroller of the Treasury.</w:t>
      </w:r>
    </w:p>
    <w:p w14:paraId="44923008" w14:textId="77777777" w:rsidR="003D0BC7" w:rsidRPr="00295CE6" w:rsidRDefault="003D0BC7" w:rsidP="003D0BC7">
      <w:pPr>
        <w:pStyle w:val="ListParagraph"/>
        <w:ind w:left="2160" w:hanging="720"/>
        <w:rPr>
          <w:rFonts w:cs="Open Sans"/>
        </w:rPr>
      </w:pPr>
      <w:r w:rsidRPr="00295CE6">
        <w:rPr>
          <w:rFonts w:cs="Open Sans"/>
        </w:rPr>
        <w:lastRenderedPageBreak/>
        <w:t>4.1.3</w:t>
      </w:r>
      <w:r w:rsidRPr="00295CE6">
        <w:rPr>
          <w:rFonts w:cs="Open Sans"/>
        </w:rPr>
        <w:tab/>
        <w:t>The Office has record of any monies distributed to local governments from the fund. These records are subject to audit by the Comptroller of the Treasury.</w:t>
      </w:r>
    </w:p>
    <w:p w14:paraId="3749758E" w14:textId="77777777" w:rsidR="003D0BC7" w:rsidRPr="00295CE6" w:rsidRDefault="003D0BC7" w:rsidP="003D0BC7">
      <w:pPr>
        <w:pStyle w:val="ListParagraph"/>
        <w:ind w:left="2160" w:hanging="720"/>
        <w:rPr>
          <w:rFonts w:cs="Open Sans"/>
        </w:rPr>
      </w:pPr>
      <w:r w:rsidRPr="00295CE6">
        <w:rPr>
          <w:rFonts w:cs="Open Sans"/>
        </w:rPr>
        <w:t>4.1.4</w:t>
      </w:r>
      <w:r w:rsidRPr="00295CE6">
        <w:rPr>
          <w:rFonts w:cs="Open Sans"/>
        </w:rPr>
        <w:tab/>
        <w:t>The OAC Executive Director or designee will prepare written minutes covering all meetings and actions of the Council.</w:t>
      </w:r>
    </w:p>
    <w:p w14:paraId="201C010C" w14:textId="77777777" w:rsidR="003D0BC7" w:rsidRDefault="003D0BC7" w:rsidP="003D0BC7">
      <w:pPr>
        <w:pStyle w:val="ListParagraph"/>
        <w:numPr>
          <w:ilvl w:val="2"/>
          <w:numId w:val="33"/>
        </w:numPr>
        <w:rPr>
          <w:rFonts w:cs="Open Sans"/>
        </w:rPr>
      </w:pPr>
      <w:r w:rsidRPr="00295CE6">
        <w:rPr>
          <w:rFonts w:cs="Open Sans"/>
        </w:rPr>
        <w:t>The meeting minutes are maintained by the OAC Office and are posted according to the OAC Transparency Policy.</w:t>
      </w:r>
    </w:p>
    <w:p w14:paraId="611C690C" w14:textId="77777777" w:rsidR="00B27DEC" w:rsidRPr="00295CE6" w:rsidRDefault="00B27DEC" w:rsidP="00B27DEC">
      <w:pPr>
        <w:pStyle w:val="ListParagraph"/>
        <w:ind w:left="2160"/>
        <w:rPr>
          <w:rFonts w:cs="Open Sans"/>
        </w:rPr>
      </w:pPr>
    </w:p>
    <w:p w14:paraId="3E395381" w14:textId="77777777" w:rsidR="003D0BC7" w:rsidRPr="00295CE6" w:rsidRDefault="003D0BC7" w:rsidP="003D0BC7">
      <w:pPr>
        <w:pStyle w:val="ListParagraph"/>
        <w:numPr>
          <w:ilvl w:val="1"/>
          <w:numId w:val="33"/>
        </w:numPr>
        <w:rPr>
          <w:rFonts w:cs="Open Sans"/>
          <w:bCs/>
        </w:rPr>
      </w:pPr>
      <w:r w:rsidRPr="00295CE6">
        <w:rPr>
          <w:rFonts w:eastAsia="Times New Roman" w:cs="Open Sans"/>
          <w:bCs/>
        </w:rPr>
        <w:t>Minutes</w:t>
      </w:r>
    </w:p>
    <w:p w14:paraId="6F990AD8" w14:textId="77777777" w:rsidR="003D0BC7" w:rsidRPr="00295CE6" w:rsidRDefault="003D0BC7" w:rsidP="003D0BC7">
      <w:pPr>
        <w:pStyle w:val="ListParagraph"/>
        <w:numPr>
          <w:ilvl w:val="2"/>
          <w:numId w:val="34"/>
        </w:numPr>
        <w:rPr>
          <w:rFonts w:cs="Open Sans"/>
        </w:rPr>
      </w:pPr>
      <w:r w:rsidRPr="00295CE6">
        <w:rPr>
          <w:rFonts w:eastAsia="Times New Roman" w:cs="Open Sans"/>
          <w:bCs/>
        </w:rPr>
        <w:t xml:space="preserve">Written minutes covering all meetings and actions of the Council shall be prepared by the </w:t>
      </w:r>
      <w:r w:rsidRPr="00295CE6">
        <w:rPr>
          <w:rFonts w:cs="Open Sans"/>
          <w:bCs/>
        </w:rPr>
        <w:t>Executive Director</w:t>
      </w:r>
      <w:r w:rsidRPr="00295CE6">
        <w:rPr>
          <w:rFonts w:eastAsia="Times New Roman" w:cs="Open Sans"/>
          <w:bCs/>
        </w:rPr>
        <w:t xml:space="preserve"> or </w:t>
      </w:r>
      <w:proofErr w:type="gramStart"/>
      <w:r w:rsidRPr="00295CE6">
        <w:rPr>
          <w:rFonts w:eastAsia="Times New Roman" w:cs="Open Sans"/>
          <w:bCs/>
        </w:rPr>
        <w:t>designee</w:t>
      </w:r>
      <w:proofErr w:type="gramEnd"/>
      <w:r w:rsidRPr="00295CE6">
        <w:rPr>
          <w:rFonts w:eastAsia="Times New Roman" w:cs="Open Sans"/>
          <w:bCs/>
        </w:rPr>
        <w:t xml:space="preserve"> and shall be maintained by the OAC Office and open to public inspection.</w:t>
      </w:r>
    </w:p>
    <w:p w14:paraId="2E0FDA27" w14:textId="77777777" w:rsidR="003D0BC7" w:rsidRPr="00295CE6" w:rsidRDefault="003D0BC7" w:rsidP="003D0BC7">
      <w:pPr>
        <w:pStyle w:val="ListParagraph"/>
        <w:numPr>
          <w:ilvl w:val="2"/>
          <w:numId w:val="34"/>
        </w:numPr>
        <w:rPr>
          <w:rFonts w:cs="Open Sans"/>
        </w:rPr>
      </w:pPr>
      <w:r w:rsidRPr="00295CE6">
        <w:rPr>
          <w:rFonts w:eastAsia="Times New Roman" w:cs="Open Sans"/>
          <w:bCs/>
        </w:rPr>
        <w:t>Minutes should be kept accurately and be detailed.</w:t>
      </w:r>
    </w:p>
    <w:p w14:paraId="691B58DF" w14:textId="77777777" w:rsidR="003D0BC7" w:rsidRPr="00B27DEC" w:rsidRDefault="003D0BC7" w:rsidP="003D0BC7">
      <w:pPr>
        <w:pStyle w:val="ListParagraph"/>
        <w:numPr>
          <w:ilvl w:val="2"/>
          <w:numId w:val="34"/>
        </w:numPr>
        <w:rPr>
          <w:rFonts w:cs="Open Sans"/>
        </w:rPr>
      </w:pPr>
      <w:r w:rsidRPr="00295CE6">
        <w:rPr>
          <w:rFonts w:eastAsia="Times New Roman" w:cs="Open Sans"/>
          <w:bCs/>
        </w:rPr>
        <w:t>Minutes should include, but are not limited to, date, time, and place of the meeting; members and ad hoc members present and absent; topics discussed; actions taken, and votes cast; and a record of individual votes in the event of a roll call vote.</w:t>
      </w:r>
    </w:p>
    <w:p w14:paraId="2CB00BC3" w14:textId="77777777" w:rsidR="00B27DEC" w:rsidRPr="00295CE6" w:rsidRDefault="00B27DEC" w:rsidP="00B27DEC">
      <w:pPr>
        <w:pStyle w:val="ListParagraph"/>
        <w:ind w:left="2160"/>
        <w:rPr>
          <w:rFonts w:cs="Open Sans"/>
        </w:rPr>
      </w:pPr>
    </w:p>
    <w:p w14:paraId="61F8F710" w14:textId="77777777" w:rsidR="003D0BC7" w:rsidRPr="00295CE6" w:rsidRDefault="003D0BC7" w:rsidP="003D0BC7">
      <w:pPr>
        <w:pStyle w:val="ListParagraph"/>
        <w:numPr>
          <w:ilvl w:val="1"/>
          <w:numId w:val="34"/>
        </w:numPr>
        <w:rPr>
          <w:rFonts w:cs="Open Sans"/>
        </w:rPr>
      </w:pPr>
      <w:r w:rsidRPr="00295CE6">
        <w:rPr>
          <w:rFonts w:eastAsia="Times New Roman" w:cs="Open Sans"/>
          <w:bCs/>
        </w:rPr>
        <w:t>Scheduling OAC Meetings</w:t>
      </w:r>
    </w:p>
    <w:p w14:paraId="44FA228E" w14:textId="77777777" w:rsidR="003D0BC7" w:rsidRPr="00295CE6" w:rsidRDefault="003D0BC7" w:rsidP="003D0BC7">
      <w:pPr>
        <w:pStyle w:val="ListParagraph"/>
        <w:numPr>
          <w:ilvl w:val="2"/>
          <w:numId w:val="34"/>
        </w:numPr>
        <w:rPr>
          <w:rFonts w:cs="Open Sans"/>
        </w:rPr>
      </w:pPr>
      <w:r w:rsidRPr="00295CE6">
        <w:rPr>
          <w:rFonts w:eastAsia="Times New Roman" w:cs="Open Sans"/>
          <w:bCs/>
        </w:rPr>
        <w:t>The Office will coordinate with the Council Chair to schedule the quarterly in-person Opioid Abatement Council meetings in accordance with the Open Meetings Act.</w:t>
      </w:r>
    </w:p>
    <w:p w14:paraId="5C8A5505" w14:textId="77777777" w:rsidR="003D0BC7" w:rsidRPr="00295CE6" w:rsidRDefault="003D0BC7" w:rsidP="003D0BC7">
      <w:pPr>
        <w:pStyle w:val="ListParagraph"/>
        <w:numPr>
          <w:ilvl w:val="2"/>
          <w:numId w:val="34"/>
        </w:numPr>
        <w:rPr>
          <w:rFonts w:cs="Open Sans"/>
        </w:rPr>
      </w:pPr>
      <w:r w:rsidRPr="00295CE6">
        <w:rPr>
          <w:rFonts w:eastAsia="Times New Roman" w:cs="Open Sans"/>
          <w:bCs/>
        </w:rPr>
        <w:t xml:space="preserve">The Office will coordinate with the Council Chair to schedule any emergency Opioid Abatement Council meetings.  For the purposes of this policy, “emergency Opioid Abatement Council meetings,” means those meetings which are not quarterly in-person meetings but are held in accordance with state law. </w:t>
      </w:r>
    </w:p>
    <w:p w14:paraId="4E3F98CE" w14:textId="1885B556" w:rsidR="003D0BC7" w:rsidRPr="00B27DEC" w:rsidRDefault="003D0BC7" w:rsidP="003D0BC7">
      <w:pPr>
        <w:pStyle w:val="ListParagraph"/>
        <w:numPr>
          <w:ilvl w:val="2"/>
          <w:numId w:val="34"/>
        </w:numPr>
        <w:rPr>
          <w:rFonts w:cs="Open Sans"/>
        </w:rPr>
      </w:pPr>
      <w:r w:rsidRPr="00295CE6">
        <w:rPr>
          <w:rFonts w:eastAsia="Times New Roman" w:cs="Open Sans"/>
          <w:bCs/>
        </w:rPr>
        <w:t xml:space="preserve">The Office will coordinate with the Council Chair to schedule any Executive Sessions.  For purposes of this policy, “Executive Sessions” refers to when the council meets in a closed session for the purpose of obtaining advice from </w:t>
      </w:r>
      <w:proofErr w:type="spellStart"/>
      <w:r w:rsidRPr="00295CE6">
        <w:rPr>
          <w:rFonts w:eastAsia="Times New Roman" w:cs="Open Sans"/>
          <w:bCs/>
        </w:rPr>
        <w:t>counsel or</w:t>
      </w:r>
      <w:proofErr w:type="spellEnd"/>
      <w:r w:rsidRPr="00295CE6">
        <w:rPr>
          <w:rFonts w:eastAsia="Times New Roman" w:cs="Open Sans"/>
          <w:bCs/>
        </w:rPr>
        <w:t xml:space="preserve"> to handle personnel related issues as allowed by title 8, chapter 44.  </w:t>
      </w:r>
    </w:p>
    <w:p w14:paraId="768AEA65" w14:textId="77777777" w:rsidR="00B27DEC" w:rsidRPr="00295CE6" w:rsidRDefault="00B27DEC" w:rsidP="00B27DEC">
      <w:pPr>
        <w:pStyle w:val="ListParagraph"/>
        <w:ind w:left="2160"/>
        <w:rPr>
          <w:rFonts w:cs="Open Sans"/>
        </w:rPr>
      </w:pPr>
    </w:p>
    <w:p w14:paraId="25C8EC88" w14:textId="77777777" w:rsidR="00295CE6" w:rsidRPr="00295CE6" w:rsidRDefault="00295CE6" w:rsidP="00295CE6">
      <w:pPr>
        <w:pStyle w:val="ListParagraph"/>
        <w:numPr>
          <w:ilvl w:val="1"/>
          <w:numId w:val="34"/>
        </w:numPr>
        <w:rPr>
          <w:rFonts w:cs="Open Sans"/>
        </w:rPr>
      </w:pPr>
      <w:r w:rsidRPr="00295CE6">
        <w:rPr>
          <w:rFonts w:cs="Open Sans"/>
        </w:rPr>
        <w:t>Communication</w:t>
      </w:r>
    </w:p>
    <w:p w14:paraId="2826DC0C" w14:textId="77777777" w:rsidR="00295CE6" w:rsidRPr="00295CE6" w:rsidRDefault="00295CE6" w:rsidP="00295CE6">
      <w:pPr>
        <w:pStyle w:val="ListParagraph"/>
        <w:numPr>
          <w:ilvl w:val="2"/>
          <w:numId w:val="34"/>
        </w:numPr>
        <w:rPr>
          <w:rFonts w:cs="Open Sans"/>
        </w:rPr>
      </w:pPr>
      <w:r w:rsidRPr="00295CE6">
        <w:rPr>
          <w:rFonts w:cs="Open Sans"/>
        </w:rPr>
        <w:t>The Office will communicate with OAC members and the public through at least monthly newsletters.</w:t>
      </w:r>
    </w:p>
    <w:p w14:paraId="75D48C80" w14:textId="77777777" w:rsidR="00295CE6" w:rsidRDefault="00295CE6" w:rsidP="00295CE6">
      <w:pPr>
        <w:pStyle w:val="ListParagraph"/>
        <w:numPr>
          <w:ilvl w:val="2"/>
          <w:numId w:val="34"/>
        </w:numPr>
        <w:rPr>
          <w:rFonts w:cs="Open Sans"/>
        </w:rPr>
      </w:pPr>
      <w:r w:rsidRPr="00295CE6">
        <w:rPr>
          <w:rFonts w:cs="Open Sans"/>
        </w:rPr>
        <w:t xml:space="preserve">The Office will update the OAC website according to the website management procedures in the OAC Transparency Policy. </w:t>
      </w:r>
    </w:p>
    <w:p w14:paraId="58E57B56" w14:textId="77777777" w:rsidR="00B27DEC" w:rsidRPr="00295CE6" w:rsidRDefault="00B27DEC" w:rsidP="00B27DEC">
      <w:pPr>
        <w:pStyle w:val="ListParagraph"/>
        <w:ind w:left="2160"/>
        <w:rPr>
          <w:rFonts w:cs="Open Sans"/>
        </w:rPr>
      </w:pPr>
    </w:p>
    <w:p w14:paraId="1FD08E61" w14:textId="77777777" w:rsidR="00295CE6" w:rsidRPr="00295CE6" w:rsidRDefault="00295CE6" w:rsidP="00295CE6">
      <w:pPr>
        <w:pStyle w:val="ListParagraph"/>
        <w:numPr>
          <w:ilvl w:val="1"/>
          <w:numId w:val="34"/>
        </w:numPr>
        <w:rPr>
          <w:rFonts w:cs="Open Sans"/>
        </w:rPr>
      </w:pPr>
      <w:r w:rsidRPr="00295CE6">
        <w:rPr>
          <w:rFonts w:cs="Open Sans"/>
        </w:rPr>
        <w:t xml:space="preserve">Staffing </w:t>
      </w:r>
    </w:p>
    <w:p w14:paraId="1EF2DF01" w14:textId="77777777" w:rsidR="00295CE6" w:rsidRDefault="00295CE6" w:rsidP="00295CE6">
      <w:pPr>
        <w:pStyle w:val="ListParagraph"/>
        <w:numPr>
          <w:ilvl w:val="2"/>
          <w:numId w:val="34"/>
        </w:numPr>
        <w:rPr>
          <w:rFonts w:cs="Open Sans"/>
        </w:rPr>
      </w:pPr>
      <w:r w:rsidRPr="00295CE6">
        <w:rPr>
          <w:rFonts w:cs="Open Sans"/>
        </w:rPr>
        <w:t>The Office will ensure there is adequate staffing to accomplish the activities and tasks requested by the Opioid Abatement Council.</w:t>
      </w:r>
    </w:p>
    <w:p w14:paraId="416E9F12" w14:textId="77777777" w:rsidR="00B27DEC" w:rsidRPr="00295CE6" w:rsidRDefault="00B27DEC" w:rsidP="00B27DEC">
      <w:pPr>
        <w:pStyle w:val="ListParagraph"/>
        <w:ind w:left="2160"/>
        <w:rPr>
          <w:rFonts w:cs="Open Sans"/>
        </w:rPr>
      </w:pPr>
    </w:p>
    <w:p w14:paraId="502A92F1" w14:textId="77777777" w:rsidR="00295CE6" w:rsidRPr="00295CE6" w:rsidRDefault="00295CE6" w:rsidP="00295CE6">
      <w:pPr>
        <w:pStyle w:val="ListParagraph"/>
        <w:numPr>
          <w:ilvl w:val="1"/>
          <w:numId w:val="34"/>
        </w:numPr>
        <w:rPr>
          <w:rFonts w:cs="Open Sans"/>
        </w:rPr>
      </w:pPr>
      <w:r w:rsidRPr="00295CE6">
        <w:rPr>
          <w:rFonts w:cs="Open Sans"/>
        </w:rPr>
        <w:t>Policies and Procedures</w:t>
      </w:r>
    </w:p>
    <w:p w14:paraId="0342B26F" w14:textId="03DCFEE0" w:rsidR="00295CE6" w:rsidRDefault="00295CE6" w:rsidP="00295CE6">
      <w:pPr>
        <w:pStyle w:val="ListParagraph"/>
        <w:numPr>
          <w:ilvl w:val="2"/>
          <w:numId w:val="34"/>
        </w:numPr>
        <w:rPr>
          <w:rFonts w:cs="Open Sans"/>
        </w:rPr>
      </w:pPr>
      <w:r w:rsidRPr="00295CE6">
        <w:rPr>
          <w:rFonts w:cs="Open Sans"/>
        </w:rPr>
        <w:t>The Office will develop policies and procedures following the OAC Policy Management Policy.</w:t>
      </w:r>
    </w:p>
    <w:p w14:paraId="696E1D6D" w14:textId="77777777" w:rsidR="00B27DEC" w:rsidRPr="00295CE6" w:rsidRDefault="00B27DEC" w:rsidP="00B27DEC">
      <w:pPr>
        <w:pStyle w:val="ListParagraph"/>
        <w:ind w:left="2160"/>
        <w:rPr>
          <w:rFonts w:cs="Open Sans"/>
        </w:rPr>
      </w:pPr>
    </w:p>
    <w:p w14:paraId="67CC4914" w14:textId="77777777" w:rsidR="00295CE6" w:rsidRPr="00295CE6" w:rsidRDefault="00295CE6" w:rsidP="00295CE6">
      <w:pPr>
        <w:pStyle w:val="ListParagraph"/>
        <w:numPr>
          <w:ilvl w:val="1"/>
          <w:numId w:val="34"/>
        </w:numPr>
        <w:rPr>
          <w:rFonts w:cs="Open Sans"/>
        </w:rPr>
      </w:pPr>
      <w:r w:rsidRPr="00295CE6">
        <w:rPr>
          <w:rFonts w:cs="Open Sans"/>
        </w:rPr>
        <w:t>Reporting</w:t>
      </w:r>
    </w:p>
    <w:p w14:paraId="231C7C74" w14:textId="77777777" w:rsidR="00295CE6" w:rsidRPr="00295CE6" w:rsidRDefault="00295CE6" w:rsidP="00295CE6">
      <w:pPr>
        <w:pStyle w:val="ListParagraph"/>
        <w:numPr>
          <w:ilvl w:val="2"/>
          <w:numId w:val="34"/>
        </w:numPr>
        <w:rPr>
          <w:rFonts w:cs="Open Sans"/>
        </w:rPr>
      </w:pPr>
      <w:r w:rsidRPr="00295CE6">
        <w:rPr>
          <w:rFonts w:cs="Open Sans"/>
        </w:rPr>
        <w:t xml:space="preserve">On or before September 30 of each year the Council will create and the OAC Executive </w:t>
      </w:r>
      <w:r w:rsidRPr="00295CE6">
        <w:rPr>
          <w:rFonts w:cs="Open Sans"/>
        </w:rPr>
        <w:lastRenderedPageBreak/>
        <w:t>Director will deliver an annual report for the prior fiscal year.</w:t>
      </w:r>
    </w:p>
    <w:p w14:paraId="16DF2F1B" w14:textId="686E852E" w:rsidR="00295CE6" w:rsidRDefault="00295CE6" w:rsidP="00295CE6">
      <w:pPr>
        <w:pStyle w:val="ListParagraph"/>
        <w:numPr>
          <w:ilvl w:val="2"/>
          <w:numId w:val="34"/>
        </w:numPr>
        <w:rPr>
          <w:rFonts w:cs="Open Sans"/>
        </w:rPr>
      </w:pPr>
      <w:r w:rsidRPr="00295CE6">
        <w:rPr>
          <w:rFonts w:cs="Open Sans"/>
        </w:rPr>
        <w:t xml:space="preserve">The OAC Executive Director will report the details of the total funds deposited into the opioid abatement fund, the abatement strategies funded, and any </w:t>
      </w:r>
      <w:r w:rsidR="00FC1582" w:rsidRPr="00295CE6">
        <w:rPr>
          <w:rFonts w:cs="Open Sans"/>
        </w:rPr>
        <w:t>disbursement or</w:t>
      </w:r>
      <w:r w:rsidRPr="00295CE6">
        <w:rPr>
          <w:rFonts w:cs="Open Sans"/>
        </w:rPr>
        <w:t xml:space="preserve"> expenses paid from the opioid abatement fund.</w:t>
      </w:r>
    </w:p>
    <w:p w14:paraId="049CF82B" w14:textId="77777777" w:rsidR="00B27DEC" w:rsidRPr="00295CE6" w:rsidRDefault="00B27DEC" w:rsidP="00B27DEC">
      <w:pPr>
        <w:pStyle w:val="ListParagraph"/>
        <w:ind w:left="2160"/>
        <w:rPr>
          <w:rFonts w:cs="Open Sans"/>
        </w:rPr>
      </w:pPr>
    </w:p>
    <w:p w14:paraId="43441DBB" w14:textId="77777777" w:rsidR="00295CE6" w:rsidRPr="00295CE6" w:rsidRDefault="00295CE6" w:rsidP="00295CE6">
      <w:pPr>
        <w:pStyle w:val="ListParagraph"/>
        <w:numPr>
          <w:ilvl w:val="1"/>
          <w:numId w:val="34"/>
        </w:numPr>
        <w:rPr>
          <w:rFonts w:cs="Open Sans"/>
        </w:rPr>
      </w:pPr>
      <w:r w:rsidRPr="00295CE6">
        <w:rPr>
          <w:rFonts w:cs="Open Sans"/>
        </w:rPr>
        <w:t>Grant Management</w:t>
      </w:r>
    </w:p>
    <w:p w14:paraId="53A39BF7" w14:textId="77777777" w:rsidR="00295CE6" w:rsidRPr="00295CE6" w:rsidRDefault="00295CE6" w:rsidP="00295CE6">
      <w:pPr>
        <w:pStyle w:val="ListParagraph"/>
        <w:numPr>
          <w:ilvl w:val="2"/>
          <w:numId w:val="34"/>
        </w:numPr>
        <w:rPr>
          <w:rFonts w:cs="Open Sans"/>
        </w:rPr>
      </w:pPr>
      <w:r w:rsidRPr="00295CE6">
        <w:rPr>
          <w:rFonts w:cs="Open Sans"/>
        </w:rPr>
        <w:t>The Office will manage and oversee all activities related to OAC Community Grants including but not limited to reviewing and evaluating community grant applications, contracting and invoicing, fiscal and program monitoring, report analysis, and grantee technical assistance, education and training.</w:t>
      </w:r>
    </w:p>
    <w:p w14:paraId="0EDCC11D" w14:textId="3198F2B3" w:rsidR="00295CE6" w:rsidRDefault="00295CE6" w:rsidP="00295CE6">
      <w:pPr>
        <w:pStyle w:val="ListParagraph"/>
        <w:numPr>
          <w:ilvl w:val="2"/>
          <w:numId w:val="34"/>
        </w:numPr>
        <w:rPr>
          <w:rFonts w:cs="Open Sans"/>
        </w:rPr>
      </w:pPr>
      <w:r w:rsidRPr="00295CE6">
        <w:rPr>
          <w:rFonts w:cs="Open Sans"/>
        </w:rPr>
        <w:t>The OAC Deputy Director will be responsible for supervising the development and implementation of Standard Operating Procedures (SOPs) to ensure consistency and effectiveness in executing routine staff work assignments.</w:t>
      </w:r>
    </w:p>
    <w:p w14:paraId="50D45108" w14:textId="77777777" w:rsidR="00B27DEC" w:rsidRPr="00295CE6" w:rsidRDefault="00B27DEC" w:rsidP="00B27DEC">
      <w:pPr>
        <w:pStyle w:val="ListParagraph"/>
        <w:ind w:left="2160"/>
        <w:rPr>
          <w:rFonts w:cs="Open Sans"/>
        </w:rPr>
      </w:pPr>
    </w:p>
    <w:p w14:paraId="577B98E6" w14:textId="77777777" w:rsidR="00295CE6" w:rsidRPr="00295CE6" w:rsidRDefault="00295CE6" w:rsidP="00295CE6">
      <w:pPr>
        <w:pStyle w:val="ListParagraph"/>
        <w:numPr>
          <w:ilvl w:val="1"/>
          <w:numId w:val="34"/>
        </w:numPr>
        <w:rPr>
          <w:rFonts w:cs="Open Sans"/>
        </w:rPr>
      </w:pPr>
      <w:r w:rsidRPr="00295CE6">
        <w:rPr>
          <w:rFonts w:cs="Open Sans"/>
        </w:rPr>
        <w:t>County Funding</w:t>
      </w:r>
    </w:p>
    <w:p w14:paraId="6F2A9776" w14:textId="77777777" w:rsidR="002D271C" w:rsidRDefault="00295CE6" w:rsidP="002D271C">
      <w:pPr>
        <w:pStyle w:val="ListParagraph"/>
        <w:numPr>
          <w:ilvl w:val="2"/>
          <w:numId w:val="34"/>
        </w:numPr>
        <w:rPr>
          <w:rFonts w:cs="Open Sans"/>
        </w:rPr>
      </w:pPr>
      <w:r w:rsidRPr="00295CE6">
        <w:rPr>
          <w:rFonts w:cs="Open Sans"/>
        </w:rPr>
        <w:t>The OAC Office will follow the County Funding Policy.</w:t>
      </w:r>
    </w:p>
    <w:p w14:paraId="2C699098" w14:textId="77777777" w:rsidR="00B27DEC" w:rsidRDefault="00B27DEC" w:rsidP="00B27DEC">
      <w:pPr>
        <w:pStyle w:val="ListParagraph"/>
        <w:ind w:left="2160"/>
        <w:rPr>
          <w:rFonts w:cs="Open Sans"/>
        </w:rPr>
      </w:pPr>
    </w:p>
    <w:p w14:paraId="0A8A0919" w14:textId="493AC87F" w:rsidR="002D271C" w:rsidRPr="002D271C" w:rsidRDefault="002D271C" w:rsidP="002D271C">
      <w:pPr>
        <w:pStyle w:val="Heading2"/>
      </w:pPr>
      <w:r w:rsidRPr="002D271C">
        <w:t>Authority</w:t>
      </w:r>
    </w:p>
    <w:p w14:paraId="61CFE5CB" w14:textId="77777777" w:rsidR="002D271C" w:rsidRPr="002D271C" w:rsidRDefault="002D271C" w:rsidP="002D271C">
      <w:pPr>
        <w:pStyle w:val="ListParagraph"/>
        <w:tabs>
          <w:tab w:val="left" w:pos="576"/>
        </w:tabs>
        <w:ind w:left="444"/>
        <w:rPr>
          <w:rFonts w:cs="Open Sans"/>
          <w:bCs/>
          <w:i/>
          <w:iCs/>
        </w:rPr>
      </w:pPr>
      <w:r w:rsidRPr="002D271C">
        <w:rPr>
          <w:rFonts w:cs="Open Sans"/>
          <w:bCs/>
        </w:rPr>
        <w:t xml:space="preserve">Tenn Code Ann </w:t>
      </w:r>
      <w:r w:rsidRPr="002D271C">
        <w:rPr>
          <w:rFonts w:eastAsia="Times New Roman" w:cs="Open Sans"/>
          <w:bCs/>
        </w:rPr>
        <w:t>§</w:t>
      </w:r>
      <w:r w:rsidRPr="002D271C">
        <w:rPr>
          <w:rFonts w:cs="Open Sans"/>
          <w:bCs/>
        </w:rPr>
        <w:t xml:space="preserve"> 33-11-101 </w:t>
      </w:r>
      <w:r w:rsidRPr="002D271C">
        <w:rPr>
          <w:rFonts w:cs="Open Sans"/>
          <w:bCs/>
          <w:i/>
          <w:iCs/>
        </w:rPr>
        <w:t>et seq</w:t>
      </w:r>
    </w:p>
    <w:p w14:paraId="044351EA" w14:textId="77777777" w:rsidR="002D271C" w:rsidRPr="002D271C" w:rsidRDefault="002D271C" w:rsidP="002D271C">
      <w:pPr>
        <w:pStyle w:val="ListParagraph"/>
        <w:tabs>
          <w:tab w:val="left" w:pos="576"/>
        </w:tabs>
        <w:ind w:left="444"/>
        <w:rPr>
          <w:rFonts w:eastAsia="Times New Roman" w:cs="Open Sans"/>
          <w:bCs/>
        </w:rPr>
      </w:pPr>
      <w:r w:rsidRPr="002D271C">
        <w:rPr>
          <w:rFonts w:eastAsia="Times New Roman" w:cs="Open Sans"/>
          <w:bCs/>
        </w:rPr>
        <w:t>Tennessee Open Meetings Act, codified under Tennessee Code Annotated, Title 8 Chapter 44, Part 1</w:t>
      </w:r>
    </w:p>
    <w:p w14:paraId="13900E7B" w14:textId="77777777" w:rsidR="002D271C" w:rsidRPr="002D271C" w:rsidRDefault="002D271C" w:rsidP="002D271C">
      <w:pPr>
        <w:pStyle w:val="ListParagraph"/>
        <w:tabs>
          <w:tab w:val="left" w:pos="576"/>
        </w:tabs>
        <w:ind w:left="444"/>
        <w:rPr>
          <w:rFonts w:eastAsia="Times New Roman" w:cs="Open Sans"/>
          <w:bCs/>
          <w:i/>
          <w:iCs/>
        </w:rPr>
      </w:pPr>
      <w:r w:rsidRPr="002D271C">
        <w:rPr>
          <w:rFonts w:eastAsia="Times New Roman" w:cs="Open Sans"/>
          <w:bCs/>
        </w:rPr>
        <w:t xml:space="preserve">Tennessee Open Records Law </w:t>
      </w:r>
      <w:bookmarkStart w:id="0" w:name="_Hlk181872936"/>
      <w:r w:rsidRPr="002D271C">
        <w:rPr>
          <w:rFonts w:eastAsia="Times New Roman" w:cs="Open Sans"/>
          <w:bCs/>
        </w:rPr>
        <w:t>§</w:t>
      </w:r>
      <w:bookmarkEnd w:id="0"/>
      <w:r w:rsidRPr="002D271C">
        <w:rPr>
          <w:rFonts w:cs="Open Sans"/>
        </w:rPr>
        <w:t> </w:t>
      </w:r>
      <w:r w:rsidRPr="002D271C">
        <w:rPr>
          <w:rFonts w:eastAsia="Times New Roman" w:cs="Open Sans"/>
          <w:bCs/>
        </w:rPr>
        <w:t xml:space="preserve">10-7-501 </w:t>
      </w:r>
      <w:r w:rsidRPr="002D271C">
        <w:rPr>
          <w:rFonts w:eastAsia="Times New Roman" w:cs="Open Sans"/>
          <w:bCs/>
          <w:i/>
          <w:iCs/>
        </w:rPr>
        <w:t>et seq</w:t>
      </w:r>
    </w:p>
    <w:p w14:paraId="0BF24812" w14:textId="5CE12E12" w:rsidR="002D271C" w:rsidRPr="002D271C" w:rsidRDefault="002D271C" w:rsidP="002D271C">
      <w:pPr>
        <w:pStyle w:val="ListParagraph"/>
        <w:tabs>
          <w:tab w:val="left" w:pos="576"/>
        </w:tabs>
        <w:ind w:left="444"/>
        <w:rPr>
          <w:rFonts w:eastAsia="Times New Roman" w:cs="Open Sans"/>
          <w:b/>
          <w:u w:val="single"/>
        </w:rPr>
      </w:pPr>
      <w:r w:rsidRPr="002D271C">
        <w:rPr>
          <w:rFonts w:eastAsia="Times New Roman" w:cs="Open Sans"/>
          <w:bCs/>
        </w:rPr>
        <w:t xml:space="preserve"> County Funding Policy</w:t>
      </w:r>
    </w:p>
    <w:p w14:paraId="2C218CA9" w14:textId="7FF0DCF3" w:rsidR="002D271C" w:rsidRDefault="002D271C" w:rsidP="002D271C">
      <w:pPr>
        <w:rPr>
          <w:rFonts w:cs="Open Sans"/>
        </w:rPr>
      </w:pPr>
      <w:r w:rsidRPr="00195527">
        <w:rPr>
          <w:noProof/>
        </w:rPr>
        <w:drawing>
          <wp:anchor distT="0" distB="0" distL="114300" distR="114300" simplePos="0" relativeHeight="251658240" behindDoc="1" locked="0" layoutInCell="1" allowOverlap="1" wp14:anchorId="4FA849C4" wp14:editId="527937FD">
            <wp:simplePos x="0" y="0"/>
            <wp:positionH relativeFrom="column">
              <wp:posOffset>396240</wp:posOffset>
            </wp:positionH>
            <wp:positionV relativeFrom="paragraph">
              <wp:posOffset>210820</wp:posOffset>
            </wp:positionV>
            <wp:extent cx="3095625" cy="2073486"/>
            <wp:effectExtent l="0" t="0" r="0" b="3175"/>
            <wp:wrapTight wrapText="bothSides">
              <wp:wrapPolygon edited="0">
                <wp:start x="0" y="0"/>
                <wp:lineTo x="0" y="21435"/>
                <wp:lineTo x="21401" y="21435"/>
                <wp:lineTo x="21401" y="0"/>
                <wp:lineTo x="0" y="0"/>
              </wp:wrapPolygon>
            </wp:wrapTight>
            <wp:docPr id="2081381926" name="Picture 1" descr="Photo showing approval date of March 3, 2025 with the approval signatures of OAC Executive Director Mary Shelton and Council Chair Dr. Stephen Llo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81926" name="Picture 1" descr="Photo showing approval date of March 3, 2025 with the approval signatures of OAC Executive Director Mary Shelton and Council Chair Dr. Stephen Lloyd"/>
                    <pic:cNvPicPr/>
                  </pic:nvPicPr>
                  <pic:blipFill>
                    <a:blip r:embed="rId8">
                      <a:extLst>
                        <a:ext uri="{28A0092B-C50C-407E-A947-70E740481C1C}">
                          <a14:useLocalDpi xmlns:a14="http://schemas.microsoft.com/office/drawing/2010/main" val="0"/>
                        </a:ext>
                      </a:extLst>
                    </a:blip>
                    <a:stretch>
                      <a:fillRect/>
                    </a:stretch>
                  </pic:blipFill>
                  <pic:spPr>
                    <a:xfrm>
                      <a:off x="0" y="0"/>
                      <a:ext cx="3095625" cy="2073486"/>
                    </a:xfrm>
                    <a:prstGeom prst="rect">
                      <a:avLst/>
                    </a:prstGeom>
                  </pic:spPr>
                </pic:pic>
              </a:graphicData>
            </a:graphic>
            <wp14:sizeRelH relativeFrom="page">
              <wp14:pctWidth>0</wp14:pctWidth>
            </wp14:sizeRelH>
            <wp14:sizeRelV relativeFrom="page">
              <wp14:pctHeight>0</wp14:pctHeight>
            </wp14:sizeRelV>
          </wp:anchor>
        </w:drawing>
      </w:r>
    </w:p>
    <w:p w14:paraId="6C7AAE69" w14:textId="77777777" w:rsidR="002D271C" w:rsidRDefault="002D271C" w:rsidP="002D271C">
      <w:pPr>
        <w:rPr>
          <w:rFonts w:cs="Open Sans"/>
        </w:rPr>
      </w:pPr>
    </w:p>
    <w:p w14:paraId="22330215" w14:textId="5F594D21" w:rsidR="002D271C" w:rsidRPr="002D271C" w:rsidRDefault="002D271C" w:rsidP="002D271C">
      <w:pPr>
        <w:rPr>
          <w:rFonts w:cs="Open Sans"/>
        </w:rPr>
      </w:pPr>
    </w:p>
    <w:p w14:paraId="083F2671" w14:textId="77777777" w:rsidR="00295CE6" w:rsidRPr="00295CE6" w:rsidRDefault="00295CE6" w:rsidP="00295CE6">
      <w:pPr>
        <w:pStyle w:val="ListParagraph"/>
        <w:ind w:left="1164"/>
        <w:rPr>
          <w:rFonts w:cs="Open Sans"/>
        </w:rPr>
      </w:pPr>
    </w:p>
    <w:p w14:paraId="713E38A3" w14:textId="77777777" w:rsidR="003D0BC7" w:rsidRPr="00295CE6" w:rsidRDefault="003D0BC7" w:rsidP="003D0BC7">
      <w:pPr>
        <w:rPr>
          <w:rFonts w:cs="Open Sans"/>
        </w:rPr>
      </w:pPr>
    </w:p>
    <w:sectPr w:rsidR="003D0BC7" w:rsidRPr="00295CE6"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F67A" w14:textId="77777777" w:rsidR="001C69C2" w:rsidRDefault="001C69C2" w:rsidP="00801079">
      <w:r>
        <w:separator/>
      </w:r>
    </w:p>
  </w:endnote>
  <w:endnote w:type="continuationSeparator" w:id="0">
    <w:p w14:paraId="25100F2E" w14:textId="77777777" w:rsidR="001C69C2" w:rsidRDefault="001C69C2"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1D528C8D"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w:t>
    </w:r>
    <w:r w:rsidR="003F7D12">
      <w:rPr>
        <w:rFonts w:cs="Open Sans"/>
        <w:sz w:val="20"/>
        <w:szCs w:val="20"/>
      </w:rPr>
      <w:t>OFF-25-00</w:t>
    </w:r>
    <w:r w:rsidR="00FC1582">
      <w:rPr>
        <w:rFonts w:cs="Open Sans"/>
        <w:sz w:val="20"/>
        <w:szCs w:val="20"/>
      </w:rPr>
      <w:t>3</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FC1582">
      <w:rPr>
        <w:rFonts w:cs="Open Sans"/>
        <w:sz w:val="20"/>
        <w:szCs w:val="20"/>
      </w:rPr>
      <w:t>Office Responsibilities</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FC1582">
      <w:rPr>
        <w:rFonts w:cs="Open Sans"/>
        <w:sz w:val="20"/>
        <w:szCs w:val="20"/>
      </w:rPr>
      <w:t>March 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CCB2" w14:textId="77777777" w:rsidR="001C69C2" w:rsidRDefault="001C69C2" w:rsidP="00801079">
      <w:r>
        <w:separator/>
      </w:r>
    </w:p>
  </w:footnote>
  <w:footnote w:type="continuationSeparator" w:id="0">
    <w:p w14:paraId="221463EB" w14:textId="77777777" w:rsidR="001C69C2" w:rsidRDefault="001C69C2"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3769" w14:textId="27F56D6B" w:rsidR="0086073D"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B27DEC">
      <w:rPr>
        <w:rFonts w:ascii="Open Sans Semibold" w:hAnsi="Open Sans Semibold" w:cs="Open Sans Semibold"/>
        <w:sz w:val="36"/>
        <w:szCs w:val="36"/>
      </w:rPr>
      <w:t>Tennessee Opioid Abatement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7CE"/>
    <w:multiLevelType w:val="multilevel"/>
    <w:tmpl w:val="6A1E9CB6"/>
    <w:lvl w:ilvl="0">
      <w:start w:val="1"/>
      <w:numFmt w:val="decimal"/>
      <w:lvlText w:val="%1."/>
      <w:lvlJc w:val="left"/>
      <w:pPr>
        <w:tabs>
          <w:tab w:val="num" w:pos="360"/>
        </w:tabs>
        <w:ind w:left="360" w:hanging="360"/>
      </w:pPr>
      <w:rPr>
        <w:rFonts w:ascii="Open Sans" w:hAnsi="Open Sans" w:cs="Open Sans" w:hint="default"/>
        <w:b w:val="0"/>
        <w:bCs w:val="0"/>
      </w:rPr>
    </w:lvl>
    <w:lvl w:ilvl="1">
      <w:start w:val="3"/>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 w15:restartNumberingAfterBreak="0">
    <w:nsid w:val="0E66245B"/>
    <w:multiLevelType w:val="multilevel"/>
    <w:tmpl w:val="F388585A"/>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606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8198B"/>
    <w:multiLevelType w:val="multilevel"/>
    <w:tmpl w:val="4D7E6D6E"/>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15901C6"/>
    <w:multiLevelType w:val="multilevel"/>
    <w:tmpl w:val="0E8C7220"/>
    <w:lvl w:ilvl="0">
      <w:start w:val="4"/>
      <w:numFmt w:val="decimal"/>
      <w:lvlText w:val="%1"/>
      <w:lvlJc w:val="left"/>
      <w:pPr>
        <w:ind w:left="444" w:hanging="444"/>
      </w:pPr>
      <w:rPr>
        <w:rFonts w:ascii="PermianSlabSerifTypeface" w:eastAsia="Times New Roman" w:hAnsi="PermianSlabSerifTypeface" w:cs="Times New Roman" w:hint="default"/>
      </w:rPr>
    </w:lvl>
    <w:lvl w:ilvl="1">
      <w:start w:val="2"/>
      <w:numFmt w:val="decimal"/>
      <w:lvlText w:val="%1.%2"/>
      <w:lvlJc w:val="left"/>
      <w:pPr>
        <w:ind w:left="1164" w:hanging="444"/>
      </w:pPr>
      <w:rPr>
        <w:rFonts w:ascii="PermianSlabSerifTypeface" w:eastAsia="Times New Roman" w:hAnsi="PermianSlabSerifTypeface" w:cs="Times New Roman" w:hint="default"/>
      </w:rPr>
    </w:lvl>
    <w:lvl w:ilvl="2">
      <w:start w:val="1"/>
      <w:numFmt w:val="decimal"/>
      <w:lvlText w:val="%1.%2.%3"/>
      <w:lvlJc w:val="left"/>
      <w:pPr>
        <w:ind w:left="2160" w:hanging="720"/>
      </w:pPr>
      <w:rPr>
        <w:rFonts w:ascii="Open Sans" w:eastAsia="Times New Roman" w:hAnsi="Open Sans" w:cs="Open Sans" w:hint="default"/>
      </w:rPr>
    </w:lvl>
    <w:lvl w:ilvl="3">
      <w:start w:val="1"/>
      <w:numFmt w:val="decimal"/>
      <w:lvlText w:val="%1.%2.%3.%4"/>
      <w:lvlJc w:val="left"/>
      <w:pPr>
        <w:ind w:left="3240" w:hanging="1080"/>
      </w:pPr>
      <w:rPr>
        <w:rFonts w:ascii="PermianSlabSerifTypeface" w:eastAsia="Times New Roman" w:hAnsi="PermianSlabSerifTypeface" w:cs="Times New Roman" w:hint="default"/>
      </w:rPr>
    </w:lvl>
    <w:lvl w:ilvl="4">
      <w:start w:val="1"/>
      <w:numFmt w:val="decimal"/>
      <w:lvlText w:val="%1.%2.%3.%4.%5"/>
      <w:lvlJc w:val="left"/>
      <w:pPr>
        <w:ind w:left="3960" w:hanging="1080"/>
      </w:pPr>
      <w:rPr>
        <w:rFonts w:ascii="PermianSlabSerifTypeface" w:eastAsia="Times New Roman" w:hAnsi="PermianSlabSerifTypeface" w:cs="Times New Roman" w:hint="default"/>
      </w:rPr>
    </w:lvl>
    <w:lvl w:ilvl="5">
      <w:start w:val="1"/>
      <w:numFmt w:val="decimal"/>
      <w:lvlText w:val="%1.%2.%3.%4.%5.%6"/>
      <w:lvlJc w:val="left"/>
      <w:pPr>
        <w:ind w:left="5040" w:hanging="1440"/>
      </w:pPr>
      <w:rPr>
        <w:rFonts w:ascii="PermianSlabSerifTypeface" w:eastAsia="Times New Roman" w:hAnsi="PermianSlabSerifTypeface" w:cs="Times New Roman" w:hint="default"/>
      </w:rPr>
    </w:lvl>
    <w:lvl w:ilvl="6">
      <w:start w:val="1"/>
      <w:numFmt w:val="decimal"/>
      <w:lvlText w:val="%1.%2.%3.%4.%5.%6.%7"/>
      <w:lvlJc w:val="left"/>
      <w:pPr>
        <w:ind w:left="5760" w:hanging="1440"/>
      </w:pPr>
      <w:rPr>
        <w:rFonts w:ascii="PermianSlabSerifTypeface" w:eastAsia="Times New Roman" w:hAnsi="PermianSlabSerifTypeface" w:cs="Times New Roman" w:hint="default"/>
      </w:rPr>
    </w:lvl>
    <w:lvl w:ilvl="7">
      <w:start w:val="1"/>
      <w:numFmt w:val="decimal"/>
      <w:lvlText w:val="%1.%2.%3.%4.%5.%6.%7.%8"/>
      <w:lvlJc w:val="left"/>
      <w:pPr>
        <w:ind w:left="6840" w:hanging="1800"/>
      </w:pPr>
      <w:rPr>
        <w:rFonts w:ascii="PermianSlabSerifTypeface" w:eastAsia="Times New Roman" w:hAnsi="PermianSlabSerifTypeface" w:cs="Times New Roman" w:hint="default"/>
      </w:rPr>
    </w:lvl>
    <w:lvl w:ilvl="8">
      <w:start w:val="1"/>
      <w:numFmt w:val="decimal"/>
      <w:lvlText w:val="%1.%2.%3.%4.%5.%6.%7.%8.%9"/>
      <w:lvlJc w:val="left"/>
      <w:pPr>
        <w:ind w:left="7560" w:hanging="1800"/>
      </w:pPr>
      <w:rPr>
        <w:rFonts w:ascii="PermianSlabSerifTypeface" w:eastAsia="Times New Roman" w:hAnsi="PermianSlabSerifTypeface" w:cs="Times New Roman" w:hint="default"/>
      </w:rPr>
    </w:lvl>
  </w:abstractNum>
  <w:abstractNum w:abstractNumId="8"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566190"/>
    <w:multiLevelType w:val="multilevel"/>
    <w:tmpl w:val="2F96DCD4"/>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2764D8"/>
    <w:multiLevelType w:val="multilevel"/>
    <w:tmpl w:val="9D6237FA"/>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A017F5F"/>
    <w:multiLevelType w:val="multilevel"/>
    <w:tmpl w:val="53E6F900"/>
    <w:lvl w:ilvl="0">
      <w:start w:val="3"/>
      <w:numFmt w:val="decimal"/>
      <w:lvlText w:val="%1."/>
      <w:lvlJc w:val="left"/>
      <w:pPr>
        <w:tabs>
          <w:tab w:val="num" w:pos="360"/>
        </w:tabs>
        <w:ind w:left="360" w:hanging="360"/>
      </w:pPr>
      <w:rPr>
        <w:rFonts w:ascii="Open Sans" w:hAnsi="Open Sans" w:cs="Open Sans" w:hint="default"/>
        <w:b w:val="0"/>
        <w:bCs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4"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1644CE5"/>
    <w:multiLevelType w:val="multilevel"/>
    <w:tmpl w:val="4DB206A8"/>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FE7416"/>
    <w:multiLevelType w:val="multilevel"/>
    <w:tmpl w:val="A5B0F5D8"/>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5F6052"/>
    <w:multiLevelType w:val="hybridMultilevel"/>
    <w:tmpl w:val="6154667C"/>
    <w:lvl w:ilvl="0" w:tplc="014E6DD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A3C0B"/>
    <w:multiLevelType w:val="multilevel"/>
    <w:tmpl w:val="57AA8A08"/>
    <w:lvl w:ilvl="0">
      <w:start w:val="3"/>
      <w:numFmt w:val="decimal"/>
      <w:lvlText w:val="%1"/>
      <w:lvlJc w:val="left"/>
      <w:pPr>
        <w:ind w:left="408" w:hanging="408"/>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3"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741170EF"/>
    <w:multiLevelType w:val="multilevel"/>
    <w:tmpl w:val="9880D854"/>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9"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26"/>
  </w:num>
  <w:num w:numId="2" w16cid:durableId="783118593">
    <w:abstractNumId w:val="29"/>
  </w:num>
  <w:num w:numId="3" w16cid:durableId="1505390476">
    <w:abstractNumId w:val="8"/>
  </w:num>
  <w:num w:numId="4" w16cid:durableId="1274096518">
    <w:abstractNumId w:val="25"/>
  </w:num>
  <w:num w:numId="5" w16cid:durableId="855191819">
    <w:abstractNumId w:val="12"/>
  </w:num>
  <w:num w:numId="6" w16cid:durableId="1329669013">
    <w:abstractNumId w:val="30"/>
  </w:num>
  <w:num w:numId="7" w16cid:durableId="1721434853">
    <w:abstractNumId w:val="31"/>
  </w:num>
  <w:num w:numId="8" w16cid:durableId="1150367029">
    <w:abstractNumId w:val="14"/>
  </w:num>
  <w:num w:numId="9" w16cid:durableId="2028869913">
    <w:abstractNumId w:val="5"/>
  </w:num>
  <w:num w:numId="10" w16cid:durableId="1115558235">
    <w:abstractNumId w:val="24"/>
  </w:num>
  <w:num w:numId="11" w16cid:durableId="1375544509">
    <w:abstractNumId w:val="28"/>
  </w:num>
  <w:num w:numId="12" w16cid:durableId="463891535">
    <w:abstractNumId w:val="17"/>
  </w:num>
  <w:num w:numId="13" w16cid:durableId="687878566">
    <w:abstractNumId w:val="22"/>
  </w:num>
  <w:num w:numId="14" w16cid:durableId="476453308">
    <w:abstractNumId w:val="2"/>
  </w:num>
  <w:num w:numId="15" w16cid:durableId="1974822128">
    <w:abstractNumId w:val="16"/>
  </w:num>
  <w:num w:numId="16" w16cid:durableId="525289569">
    <w:abstractNumId w:val="32"/>
  </w:num>
  <w:num w:numId="17" w16cid:durableId="1799374499">
    <w:abstractNumId w:val="23"/>
  </w:num>
  <w:num w:numId="18" w16cid:durableId="1959069171">
    <w:abstractNumId w:val="6"/>
  </w:num>
  <w:num w:numId="19" w16cid:durableId="678969389">
    <w:abstractNumId w:val="21"/>
  </w:num>
  <w:num w:numId="20" w16cid:durableId="1540127759">
    <w:abstractNumId w:val="11"/>
  </w:num>
  <w:num w:numId="21" w16cid:durableId="1769307720">
    <w:abstractNumId w:val="19"/>
  </w:num>
  <w:num w:numId="22" w16cid:durableId="1312633749">
    <w:abstractNumId w:val="0"/>
  </w:num>
  <w:num w:numId="23" w16cid:durableId="439568532">
    <w:abstractNumId w:val="3"/>
  </w:num>
  <w:num w:numId="24" w16cid:durableId="1811558984">
    <w:abstractNumId w:val="13"/>
  </w:num>
  <w:num w:numId="25" w16cid:durableId="110522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9236591">
    <w:abstractNumId w:val="9"/>
  </w:num>
  <w:num w:numId="27" w16cid:durableId="217864941">
    <w:abstractNumId w:val="18"/>
  </w:num>
  <w:num w:numId="28" w16cid:durableId="994379821">
    <w:abstractNumId w:val="4"/>
  </w:num>
  <w:num w:numId="29" w16cid:durableId="1727608387">
    <w:abstractNumId w:val="20"/>
  </w:num>
  <w:num w:numId="30" w16cid:durableId="1958755477">
    <w:abstractNumId w:val="1"/>
  </w:num>
  <w:num w:numId="31" w16cid:durableId="731389313">
    <w:abstractNumId w:val="10"/>
  </w:num>
  <w:num w:numId="32" w16cid:durableId="1281574311">
    <w:abstractNumId w:val="15"/>
  </w:num>
  <w:num w:numId="33" w16cid:durableId="1247114868">
    <w:abstractNumId w:val="27"/>
  </w:num>
  <w:num w:numId="34" w16cid:durableId="1417745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hYITy6smJ2Z88MjUvoWxwbrJeQs9NdPATkuT04Vx8w69erkT5T7+kpFheW2HYqDA5XHCt7PrqbuheAiZKoSdw==" w:salt="41JtlD1igvzPPXqJ7Fl6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07F4F"/>
    <w:rsid w:val="000225E4"/>
    <w:rsid w:val="00050935"/>
    <w:rsid w:val="000B4639"/>
    <w:rsid w:val="00154412"/>
    <w:rsid w:val="00160A0D"/>
    <w:rsid w:val="0019173E"/>
    <w:rsid w:val="001A7846"/>
    <w:rsid w:val="001C69C2"/>
    <w:rsid w:val="001F783E"/>
    <w:rsid w:val="002126F5"/>
    <w:rsid w:val="00295159"/>
    <w:rsid w:val="00295CE6"/>
    <w:rsid w:val="002D271C"/>
    <w:rsid w:val="002D38EF"/>
    <w:rsid w:val="0031236F"/>
    <w:rsid w:val="00336210"/>
    <w:rsid w:val="00350200"/>
    <w:rsid w:val="00372A60"/>
    <w:rsid w:val="0039259F"/>
    <w:rsid w:val="00392FF6"/>
    <w:rsid w:val="00397BBD"/>
    <w:rsid w:val="003D0BC7"/>
    <w:rsid w:val="003D5611"/>
    <w:rsid w:val="003F7D12"/>
    <w:rsid w:val="00415024"/>
    <w:rsid w:val="004F72CC"/>
    <w:rsid w:val="0051764F"/>
    <w:rsid w:val="00524802"/>
    <w:rsid w:val="00532C95"/>
    <w:rsid w:val="00560396"/>
    <w:rsid w:val="005B23CE"/>
    <w:rsid w:val="005D6AB0"/>
    <w:rsid w:val="00601970"/>
    <w:rsid w:val="006D1142"/>
    <w:rsid w:val="006D2DD7"/>
    <w:rsid w:val="006F4334"/>
    <w:rsid w:val="00703739"/>
    <w:rsid w:val="007265A5"/>
    <w:rsid w:val="0073515C"/>
    <w:rsid w:val="00745CF4"/>
    <w:rsid w:val="00746C05"/>
    <w:rsid w:val="0075304D"/>
    <w:rsid w:val="007719B6"/>
    <w:rsid w:val="00771DEC"/>
    <w:rsid w:val="00792280"/>
    <w:rsid w:val="007A63C0"/>
    <w:rsid w:val="007E1006"/>
    <w:rsid w:val="007E7C66"/>
    <w:rsid w:val="007F2E06"/>
    <w:rsid w:val="00801079"/>
    <w:rsid w:val="00822B5C"/>
    <w:rsid w:val="00835989"/>
    <w:rsid w:val="00840187"/>
    <w:rsid w:val="00857933"/>
    <w:rsid w:val="0086073D"/>
    <w:rsid w:val="00874F68"/>
    <w:rsid w:val="008760C5"/>
    <w:rsid w:val="008C3DDF"/>
    <w:rsid w:val="008C5D30"/>
    <w:rsid w:val="008C65A9"/>
    <w:rsid w:val="008E3768"/>
    <w:rsid w:val="008F5D3B"/>
    <w:rsid w:val="00916859"/>
    <w:rsid w:val="009177CA"/>
    <w:rsid w:val="00943564"/>
    <w:rsid w:val="00951960"/>
    <w:rsid w:val="00956BCA"/>
    <w:rsid w:val="00956F9F"/>
    <w:rsid w:val="0096102A"/>
    <w:rsid w:val="0097119D"/>
    <w:rsid w:val="009924FF"/>
    <w:rsid w:val="009A32FC"/>
    <w:rsid w:val="009B2129"/>
    <w:rsid w:val="009E452F"/>
    <w:rsid w:val="009E73FE"/>
    <w:rsid w:val="009F5D93"/>
    <w:rsid w:val="00A15132"/>
    <w:rsid w:val="00A44C13"/>
    <w:rsid w:val="00AD77D6"/>
    <w:rsid w:val="00AE70B5"/>
    <w:rsid w:val="00B077F2"/>
    <w:rsid w:val="00B268A8"/>
    <w:rsid w:val="00B27DEC"/>
    <w:rsid w:val="00B5742C"/>
    <w:rsid w:val="00B6110B"/>
    <w:rsid w:val="00B61DAC"/>
    <w:rsid w:val="00B67C1A"/>
    <w:rsid w:val="00BB34CA"/>
    <w:rsid w:val="00BB5901"/>
    <w:rsid w:val="00BD2C4F"/>
    <w:rsid w:val="00C111C5"/>
    <w:rsid w:val="00C606A9"/>
    <w:rsid w:val="00CC225E"/>
    <w:rsid w:val="00D52904"/>
    <w:rsid w:val="00D563C5"/>
    <w:rsid w:val="00D92C14"/>
    <w:rsid w:val="00DD6010"/>
    <w:rsid w:val="00DE6BF8"/>
    <w:rsid w:val="00E11485"/>
    <w:rsid w:val="00E26679"/>
    <w:rsid w:val="00E36757"/>
    <w:rsid w:val="00E55E0A"/>
    <w:rsid w:val="00E87684"/>
    <w:rsid w:val="00E911C2"/>
    <w:rsid w:val="00E96E43"/>
    <w:rsid w:val="00EC4B78"/>
    <w:rsid w:val="00F0397D"/>
    <w:rsid w:val="00F47A18"/>
    <w:rsid w:val="00F56FAB"/>
    <w:rsid w:val="00F73C34"/>
    <w:rsid w:val="00F922AF"/>
    <w:rsid w:val="00F975F7"/>
    <w:rsid w:val="00FC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9E452F"/>
    <w:pPr>
      <w:numPr>
        <w:numId w:val="21"/>
      </w:numPr>
      <w:jc w:val="both"/>
      <w:outlineLvl w:val="1"/>
    </w:pPr>
    <w:rPr>
      <w:rFonts w:cs="Open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452F"/>
    <w:rPr>
      <w:rFonts w:ascii="Open Sans" w:hAnsi="Open Sans" w:cs="Open Sans"/>
      <w:b/>
      <w:bCs/>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7</TotalTime>
  <Pages>3</Pages>
  <Words>847</Words>
  <Characters>4630</Characters>
  <Application>Microsoft Office Word</Application>
  <DocSecurity>8</DocSecurity>
  <Lines>105</Lines>
  <Paragraphs>53</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6</cp:revision>
  <dcterms:created xsi:type="dcterms:W3CDTF">2026-04-07T20:23:00Z</dcterms:created>
  <dcterms:modified xsi:type="dcterms:W3CDTF">2026-04-15T17:44:00Z</dcterms:modified>
</cp:coreProperties>
</file>