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5402" w14:textId="52D85CA7" w:rsidR="00295159" w:rsidRPr="00034669" w:rsidRDefault="00295159" w:rsidP="00E50E35">
      <w:pPr>
        <w:pStyle w:val="Heading1"/>
        <w:ind w:left="720" w:firstLine="720"/>
      </w:pPr>
      <w:r w:rsidRPr="00034669">
        <w:t>Subject:</w:t>
      </w:r>
      <w:r w:rsidR="00AE70B5" w:rsidRPr="00034669">
        <w:t xml:space="preserve"> </w:t>
      </w:r>
      <w:r w:rsidR="00034669" w:rsidRPr="00034669">
        <w:t>Data Backup and Contingency Planning</w:t>
      </w:r>
    </w:p>
    <w:p w14:paraId="6D907FB4" w14:textId="060E04F3" w:rsidR="00295159" w:rsidRPr="00034669" w:rsidRDefault="00295159" w:rsidP="00E87684">
      <w:pPr>
        <w:ind w:left="1440"/>
        <w:jc w:val="both"/>
        <w:rPr>
          <w:rFonts w:cs="Open Sans"/>
        </w:rPr>
      </w:pPr>
      <w:r w:rsidRPr="00034669">
        <w:rPr>
          <w:rFonts w:cs="Open Sans"/>
        </w:rPr>
        <w:t>Policy Number:</w:t>
      </w:r>
      <w:r w:rsidR="00AE70B5" w:rsidRPr="00034669">
        <w:rPr>
          <w:rFonts w:cs="Open Sans"/>
        </w:rPr>
        <w:t xml:space="preserve"> HIPAA </w:t>
      </w:r>
      <w:r w:rsidR="00613DC3" w:rsidRPr="00034669">
        <w:rPr>
          <w:rFonts w:cs="Open Sans"/>
        </w:rPr>
        <w:t>5.</w:t>
      </w:r>
      <w:r w:rsidR="00034669" w:rsidRPr="00034669">
        <w:rPr>
          <w:rFonts w:cs="Open Sans"/>
        </w:rPr>
        <w:t>7</w:t>
      </w:r>
    </w:p>
    <w:p w14:paraId="5C31EC69" w14:textId="17A3B16E" w:rsidR="00295159" w:rsidRPr="00034669" w:rsidRDefault="00295159" w:rsidP="00E87684">
      <w:pPr>
        <w:ind w:left="1440"/>
        <w:jc w:val="both"/>
        <w:rPr>
          <w:rFonts w:cs="Open Sans"/>
        </w:rPr>
      </w:pPr>
      <w:r w:rsidRPr="00034669">
        <w:rPr>
          <w:rFonts w:cs="Open Sans"/>
        </w:rPr>
        <w:t>Effective Date:</w:t>
      </w:r>
      <w:r w:rsidR="00AE70B5" w:rsidRPr="00034669">
        <w:rPr>
          <w:rFonts w:cs="Open Sans"/>
        </w:rPr>
        <w:t xml:space="preserve"> </w:t>
      </w:r>
      <w:r w:rsidR="00D46E74" w:rsidRPr="00034669">
        <w:rPr>
          <w:rFonts w:cs="Open Sans"/>
        </w:rPr>
        <w:t>10/13/05</w:t>
      </w:r>
    </w:p>
    <w:p w14:paraId="02476432" w14:textId="455A1852" w:rsidR="00295159" w:rsidRPr="00034669" w:rsidRDefault="00AE70B5" w:rsidP="00E87684">
      <w:pPr>
        <w:ind w:left="1440"/>
        <w:jc w:val="both"/>
        <w:rPr>
          <w:rFonts w:cs="Open Sans"/>
        </w:rPr>
      </w:pPr>
      <w:r w:rsidRPr="00034669">
        <w:rPr>
          <w:rFonts w:cs="Open Sans"/>
        </w:rPr>
        <w:t xml:space="preserve">Entity Responsible: Division of General Counsel </w:t>
      </w:r>
    </w:p>
    <w:p w14:paraId="0B357B2C" w14:textId="5F48B242" w:rsidR="00295159" w:rsidRPr="00034669" w:rsidRDefault="00295159" w:rsidP="00E87684">
      <w:pPr>
        <w:ind w:left="1440"/>
        <w:jc w:val="both"/>
        <w:rPr>
          <w:rFonts w:cs="Open Sans"/>
        </w:rPr>
      </w:pPr>
      <w:r w:rsidRPr="00034669">
        <w:rPr>
          <w:rFonts w:cs="Open Sans"/>
        </w:rPr>
        <w:t>Last Review or Revision:</w:t>
      </w:r>
      <w:r w:rsidR="007265A5" w:rsidRPr="00034669">
        <w:rPr>
          <w:rFonts w:cs="Open Sans"/>
        </w:rPr>
        <w:t xml:space="preserve"> </w:t>
      </w:r>
      <w:r w:rsidR="0049025A">
        <w:rPr>
          <w:rFonts w:cs="Open Sans"/>
          <w:kern w:val="0"/>
          <w14:ligatures w14:val="none"/>
        </w:rPr>
        <w:t>1/18/23</w:t>
      </w:r>
    </w:p>
    <w:p w14:paraId="5A292C69" w14:textId="6E8C1BF3" w:rsidR="00295159" w:rsidRPr="00034669" w:rsidRDefault="00295159" w:rsidP="00E50E35">
      <w:pPr>
        <w:ind w:left="1440"/>
        <w:jc w:val="both"/>
        <w:rPr>
          <w:rFonts w:cs="Open Sans"/>
        </w:rPr>
      </w:pPr>
      <w:r w:rsidRPr="00034669">
        <w:rPr>
          <w:rFonts w:cs="Open Sans"/>
        </w:rPr>
        <w:t>Approved by:</w:t>
      </w:r>
      <w:r w:rsidR="007265A5" w:rsidRPr="00034669">
        <w:rPr>
          <w:rFonts w:cs="Open Sans"/>
        </w:rPr>
        <w:t xml:space="preserve"> Commissioner Marie Williams</w:t>
      </w:r>
    </w:p>
    <w:p w14:paraId="2839818D" w14:textId="10192D45" w:rsidR="00034669" w:rsidRPr="00034669" w:rsidRDefault="00034669" w:rsidP="00E50E35">
      <w:pPr>
        <w:pStyle w:val="Heading2"/>
      </w:pPr>
      <w:r w:rsidRPr="00034669">
        <w:t>Purpose:</w:t>
      </w:r>
    </w:p>
    <w:p w14:paraId="412BD25E" w14:textId="77777777" w:rsidR="00034669" w:rsidRPr="00034669" w:rsidRDefault="00034669" w:rsidP="00034669">
      <w:pPr>
        <w:ind w:left="720"/>
        <w:jc w:val="both"/>
        <w:rPr>
          <w:rFonts w:cs="Open Sans"/>
          <w:sz w:val="24"/>
          <w:szCs w:val="24"/>
        </w:rPr>
      </w:pPr>
      <w:r w:rsidRPr="00034669">
        <w:rPr>
          <w:rFonts w:cs="Open Sans"/>
          <w:sz w:val="24"/>
          <w:szCs w:val="24"/>
        </w:rPr>
        <w:t xml:space="preserve">This policy provides standards to ensure that the Tennessee Department of Mental Health and Substance Abuse Services (TDMHSAS) and the Regional Mental Health Institutes (RMHIs) function effectively in the event of </w:t>
      </w:r>
      <w:proofErr w:type="gramStart"/>
      <w:r w:rsidRPr="00034669">
        <w:rPr>
          <w:rFonts w:cs="Open Sans"/>
          <w:sz w:val="24"/>
          <w:szCs w:val="24"/>
        </w:rPr>
        <w:t>a severe</w:t>
      </w:r>
      <w:proofErr w:type="gramEnd"/>
      <w:r w:rsidRPr="00034669">
        <w:rPr>
          <w:rFonts w:cs="Open Sans"/>
          <w:sz w:val="24"/>
          <w:szCs w:val="24"/>
        </w:rPr>
        <w:t xml:space="preserve"> disruption of computer services. Severe disruptions can arise from various sources including, but not limited to natural disasters (tornadoes, fire, flood, etc.), equipment failures, process failures, mistakes or errors in judgement, or malicious acts (such as </w:t>
      </w:r>
      <w:proofErr w:type="gramStart"/>
      <w:r w:rsidRPr="00034669">
        <w:rPr>
          <w:rFonts w:cs="Open Sans"/>
          <w:sz w:val="24"/>
          <w:szCs w:val="24"/>
        </w:rPr>
        <w:t>denial of service</w:t>
      </w:r>
      <w:proofErr w:type="gramEnd"/>
      <w:r w:rsidRPr="00034669">
        <w:rPr>
          <w:rFonts w:cs="Open Sans"/>
          <w:sz w:val="24"/>
          <w:szCs w:val="24"/>
        </w:rPr>
        <w:t xml:space="preserve"> attacks, hacking, viruses, and arson). </w:t>
      </w:r>
    </w:p>
    <w:p w14:paraId="49323950" w14:textId="406F3450" w:rsidR="00034669" w:rsidRPr="00034669" w:rsidRDefault="00034669" w:rsidP="00E50E35">
      <w:pPr>
        <w:pStyle w:val="Heading2"/>
      </w:pPr>
      <w:r w:rsidRPr="00034669">
        <w:t>Policy:</w:t>
      </w:r>
    </w:p>
    <w:p w14:paraId="26CD91BF" w14:textId="77777777" w:rsidR="00034669" w:rsidRPr="00034669" w:rsidRDefault="00034669" w:rsidP="00034669">
      <w:pPr>
        <w:ind w:left="1440" w:hanging="720"/>
        <w:jc w:val="both"/>
        <w:rPr>
          <w:rFonts w:cs="Open Sans"/>
          <w:sz w:val="24"/>
          <w:szCs w:val="24"/>
        </w:rPr>
      </w:pPr>
      <w:r w:rsidRPr="00034669">
        <w:rPr>
          <w:rFonts w:cs="Open Sans"/>
          <w:sz w:val="24"/>
          <w:szCs w:val="24"/>
        </w:rPr>
        <w:t>2.1</w:t>
      </w:r>
      <w:proofErr w:type="gramStart"/>
      <w:r w:rsidRPr="00034669">
        <w:rPr>
          <w:rFonts w:cs="Open Sans"/>
          <w:sz w:val="24"/>
          <w:szCs w:val="24"/>
        </w:rPr>
        <w:t xml:space="preserve">: </w:t>
      </w:r>
      <w:r w:rsidRPr="00034669">
        <w:rPr>
          <w:rFonts w:cs="Open Sans"/>
          <w:sz w:val="24"/>
          <w:szCs w:val="24"/>
        </w:rPr>
        <w:tab/>
        <w:t>TDMHSAS</w:t>
      </w:r>
      <w:proofErr w:type="gramEnd"/>
      <w:r w:rsidRPr="00034669">
        <w:rPr>
          <w:rFonts w:cs="Open Sans"/>
          <w:sz w:val="24"/>
          <w:szCs w:val="24"/>
        </w:rPr>
        <w:t xml:space="preserve"> must develop procedures for implementation in the event of an emergency, disaster, or occurrence (i.e., fire, vandalism, system failure, and natural disaster) where any system that contains electronic protected health information (PHI) is affected. Such procedures must minimize data loss, protect data from unauthorized access or manipulation, ensure continuity of critical business functions, and provide for restoration of services. Procedures must include the following: </w:t>
      </w:r>
    </w:p>
    <w:p w14:paraId="375D2481" w14:textId="77777777" w:rsidR="00034669" w:rsidRPr="00034669" w:rsidRDefault="00034669" w:rsidP="00034669">
      <w:pPr>
        <w:ind w:left="1440" w:hanging="720"/>
        <w:jc w:val="both"/>
        <w:rPr>
          <w:rFonts w:cs="Open Sans"/>
          <w:sz w:val="24"/>
          <w:szCs w:val="24"/>
        </w:rPr>
      </w:pPr>
      <w:r w:rsidRPr="00034669">
        <w:rPr>
          <w:rFonts w:cs="Open Sans"/>
          <w:sz w:val="24"/>
          <w:szCs w:val="24"/>
        </w:rPr>
        <w:tab/>
        <w:t>2.1.1</w:t>
      </w:r>
      <w:proofErr w:type="gramStart"/>
      <w:r w:rsidRPr="00034669">
        <w:rPr>
          <w:rFonts w:cs="Open Sans"/>
          <w:sz w:val="24"/>
          <w:szCs w:val="24"/>
        </w:rPr>
        <w:t xml:space="preserve">: </w:t>
      </w:r>
      <w:r w:rsidRPr="00034669">
        <w:rPr>
          <w:rFonts w:cs="Open Sans"/>
          <w:sz w:val="24"/>
          <w:szCs w:val="24"/>
        </w:rPr>
        <w:tab/>
        <w:t>Applications</w:t>
      </w:r>
      <w:proofErr w:type="gramEnd"/>
      <w:r w:rsidRPr="00034669">
        <w:rPr>
          <w:rFonts w:cs="Open Sans"/>
          <w:sz w:val="24"/>
          <w:szCs w:val="24"/>
        </w:rPr>
        <w:t xml:space="preserve"> and data criticality analysis, known as a Business Impact Analysis, is reviewed </w:t>
      </w:r>
      <w:proofErr w:type="gramStart"/>
      <w:r w:rsidRPr="00034669">
        <w:rPr>
          <w:rFonts w:cs="Open Sans"/>
          <w:sz w:val="24"/>
          <w:szCs w:val="24"/>
        </w:rPr>
        <w:t>annually;</w:t>
      </w:r>
      <w:proofErr w:type="gramEnd"/>
      <w:r w:rsidRPr="00034669">
        <w:rPr>
          <w:rFonts w:cs="Open Sans"/>
          <w:sz w:val="24"/>
          <w:szCs w:val="24"/>
        </w:rPr>
        <w:t xml:space="preserve"> </w:t>
      </w:r>
    </w:p>
    <w:p w14:paraId="0B4E33B8" w14:textId="77777777" w:rsidR="00034669" w:rsidRPr="00034669" w:rsidRDefault="00034669" w:rsidP="00034669">
      <w:pPr>
        <w:ind w:left="1440" w:hanging="720"/>
        <w:jc w:val="both"/>
        <w:rPr>
          <w:rFonts w:cs="Open Sans"/>
          <w:sz w:val="24"/>
          <w:szCs w:val="24"/>
        </w:rPr>
      </w:pPr>
      <w:r w:rsidRPr="00034669">
        <w:rPr>
          <w:rFonts w:cs="Open Sans"/>
          <w:sz w:val="24"/>
          <w:szCs w:val="24"/>
        </w:rPr>
        <w:tab/>
        <w:t>2.1.2</w:t>
      </w:r>
      <w:proofErr w:type="gramStart"/>
      <w:r w:rsidRPr="00034669">
        <w:rPr>
          <w:rFonts w:cs="Open Sans"/>
          <w:sz w:val="24"/>
          <w:szCs w:val="24"/>
        </w:rPr>
        <w:t xml:space="preserve">: </w:t>
      </w:r>
      <w:r w:rsidRPr="00034669">
        <w:rPr>
          <w:rFonts w:cs="Open Sans"/>
          <w:sz w:val="24"/>
          <w:szCs w:val="24"/>
        </w:rPr>
        <w:tab/>
        <w:t>Data</w:t>
      </w:r>
      <w:proofErr w:type="gramEnd"/>
      <w:r w:rsidRPr="00034669">
        <w:rPr>
          <w:rFonts w:cs="Open Sans"/>
          <w:sz w:val="24"/>
          <w:szCs w:val="24"/>
        </w:rPr>
        <w:t xml:space="preserve"> backup </w:t>
      </w:r>
      <w:proofErr w:type="gramStart"/>
      <w:r w:rsidRPr="00034669">
        <w:rPr>
          <w:rFonts w:cs="Open Sans"/>
          <w:sz w:val="24"/>
          <w:szCs w:val="24"/>
        </w:rPr>
        <w:t>plan;</w:t>
      </w:r>
      <w:proofErr w:type="gramEnd"/>
    </w:p>
    <w:p w14:paraId="5222DEED" w14:textId="77777777" w:rsidR="00034669" w:rsidRPr="00034669" w:rsidRDefault="00034669" w:rsidP="00034669">
      <w:pPr>
        <w:ind w:left="1440" w:hanging="720"/>
        <w:jc w:val="both"/>
        <w:rPr>
          <w:rFonts w:cs="Open Sans"/>
          <w:sz w:val="24"/>
          <w:szCs w:val="24"/>
        </w:rPr>
      </w:pPr>
      <w:r w:rsidRPr="00034669">
        <w:rPr>
          <w:rFonts w:cs="Open Sans"/>
          <w:sz w:val="24"/>
          <w:szCs w:val="24"/>
        </w:rPr>
        <w:tab/>
        <w:t>2.1.3</w:t>
      </w:r>
      <w:proofErr w:type="gramStart"/>
      <w:r w:rsidRPr="00034669">
        <w:rPr>
          <w:rFonts w:cs="Open Sans"/>
          <w:sz w:val="24"/>
          <w:szCs w:val="24"/>
        </w:rPr>
        <w:t xml:space="preserve">: </w:t>
      </w:r>
      <w:r w:rsidRPr="00034669">
        <w:rPr>
          <w:rFonts w:cs="Open Sans"/>
          <w:sz w:val="24"/>
          <w:szCs w:val="24"/>
        </w:rPr>
        <w:tab/>
        <w:t>Disaster</w:t>
      </w:r>
      <w:proofErr w:type="gramEnd"/>
      <w:r w:rsidRPr="00034669">
        <w:rPr>
          <w:rFonts w:cs="Open Sans"/>
          <w:sz w:val="24"/>
          <w:szCs w:val="24"/>
        </w:rPr>
        <w:t xml:space="preserve"> recovery </w:t>
      </w:r>
      <w:proofErr w:type="gramStart"/>
      <w:r w:rsidRPr="00034669">
        <w:rPr>
          <w:rFonts w:cs="Open Sans"/>
          <w:sz w:val="24"/>
          <w:szCs w:val="24"/>
        </w:rPr>
        <w:t>plan;</w:t>
      </w:r>
      <w:proofErr w:type="gramEnd"/>
      <w:r w:rsidRPr="00034669">
        <w:rPr>
          <w:rFonts w:cs="Open Sans"/>
          <w:sz w:val="24"/>
          <w:szCs w:val="24"/>
        </w:rPr>
        <w:t xml:space="preserve"> </w:t>
      </w:r>
    </w:p>
    <w:p w14:paraId="1ECF1612" w14:textId="77777777" w:rsidR="00034669" w:rsidRPr="00034669" w:rsidRDefault="00034669" w:rsidP="00034669">
      <w:pPr>
        <w:ind w:left="1440" w:hanging="720"/>
        <w:jc w:val="both"/>
        <w:rPr>
          <w:rFonts w:cs="Open Sans"/>
          <w:sz w:val="24"/>
          <w:szCs w:val="24"/>
        </w:rPr>
      </w:pPr>
      <w:r w:rsidRPr="00034669">
        <w:rPr>
          <w:rFonts w:cs="Open Sans"/>
          <w:sz w:val="24"/>
          <w:szCs w:val="24"/>
        </w:rPr>
        <w:tab/>
        <w:t>2.1.4</w:t>
      </w:r>
      <w:proofErr w:type="gramStart"/>
      <w:r w:rsidRPr="00034669">
        <w:rPr>
          <w:rFonts w:cs="Open Sans"/>
          <w:sz w:val="24"/>
          <w:szCs w:val="24"/>
        </w:rPr>
        <w:t xml:space="preserve">: </w:t>
      </w:r>
      <w:r w:rsidRPr="00034669">
        <w:rPr>
          <w:rFonts w:cs="Open Sans"/>
          <w:sz w:val="24"/>
          <w:szCs w:val="24"/>
        </w:rPr>
        <w:tab/>
        <w:t>Emergency</w:t>
      </w:r>
      <w:proofErr w:type="gramEnd"/>
      <w:r w:rsidRPr="00034669">
        <w:rPr>
          <w:rFonts w:cs="Open Sans"/>
          <w:sz w:val="24"/>
          <w:szCs w:val="24"/>
        </w:rPr>
        <w:t xml:space="preserve"> mode operation plan (Business Continuity Plan). </w:t>
      </w:r>
    </w:p>
    <w:p w14:paraId="098E8091" w14:textId="77777777" w:rsidR="00034669" w:rsidRPr="00034669" w:rsidRDefault="00034669" w:rsidP="00034669">
      <w:pPr>
        <w:ind w:left="1440" w:hanging="720"/>
        <w:jc w:val="both"/>
        <w:rPr>
          <w:rFonts w:cs="Open Sans"/>
          <w:sz w:val="24"/>
          <w:szCs w:val="24"/>
        </w:rPr>
      </w:pPr>
      <w:r w:rsidRPr="00034669">
        <w:rPr>
          <w:rFonts w:cs="Open Sans"/>
          <w:sz w:val="24"/>
          <w:szCs w:val="24"/>
        </w:rPr>
        <w:tab/>
        <w:t>2.1.5</w:t>
      </w:r>
      <w:proofErr w:type="gramStart"/>
      <w:r w:rsidRPr="00034669">
        <w:rPr>
          <w:rFonts w:cs="Open Sans"/>
          <w:sz w:val="24"/>
          <w:szCs w:val="24"/>
        </w:rPr>
        <w:t xml:space="preserve">: </w:t>
      </w:r>
      <w:r w:rsidRPr="00034669">
        <w:rPr>
          <w:rFonts w:cs="Open Sans"/>
          <w:sz w:val="24"/>
          <w:szCs w:val="24"/>
        </w:rPr>
        <w:tab/>
        <w:t>Information</w:t>
      </w:r>
      <w:proofErr w:type="gramEnd"/>
      <w:r w:rsidRPr="00034669">
        <w:rPr>
          <w:rFonts w:cs="Open Sans"/>
          <w:sz w:val="24"/>
          <w:szCs w:val="24"/>
        </w:rPr>
        <w:t xml:space="preserve"> System Continuity Plans for each system that is agency </w:t>
      </w:r>
      <w:r w:rsidRPr="00034669">
        <w:rPr>
          <w:rFonts w:cs="Open Sans"/>
          <w:sz w:val="24"/>
          <w:szCs w:val="24"/>
        </w:rPr>
        <w:tab/>
        <w:t>owned; and</w:t>
      </w:r>
    </w:p>
    <w:p w14:paraId="3AE6EDDA" w14:textId="77777777" w:rsidR="00034669" w:rsidRPr="00034669" w:rsidRDefault="00034669" w:rsidP="00034669">
      <w:pPr>
        <w:ind w:left="1440" w:hanging="720"/>
        <w:jc w:val="both"/>
        <w:rPr>
          <w:rFonts w:cs="Open Sans"/>
          <w:sz w:val="24"/>
          <w:szCs w:val="24"/>
        </w:rPr>
      </w:pPr>
      <w:r w:rsidRPr="00034669">
        <w:rPr>
          <w:rFonts w:cs="Open Sans"/>
          <w:sz w:val="24"/>
          <w:szCs w:val="24"/>
        </w:rPr>
        <w:tab/>
        <w:t>2.1.6</w:t>
      </w:r>
      <w:proofErr w:type="gramStart"/>
      <w:r w:rsidRPr="00034669">
        <w:rPr>
          <w:rFonts w:cs="Open Sans"/>
          <w:sz w:val="24"/>
          <w:szCs w:val="24"/>
        </w:rPr>
        <w:t xml:space="preserve">: </w:t>
      </w:r>
      <w:r w:rsidRPr="00034669">
        <w:rPr>
          <w:rFonts w:cs="Open Sans"/>
          <w:sz w:val="24"/>
          <w:szCs w:val="24"/>
        </w:rPr>
        <w:tab/>
        <w:t>A</w:t>
      </w:r>
      <w:proofErr w:type="gramEnd"/>
      <w:r w:rsidRPr="00034669">
        <w:rPr>
          <w:rFonts w:cs="Open Sans"/>
          <w:sz w:val="24"/>
          <w:szCs w:val="24"/>
        </w:rPr>
        <w:t xml:space="preserve"> Cyber Incident Response Plan, reviewed annually </w:t>
      </w:r>
    </w:p>
    <w:p w14:paraId="483FA05B" w14:textId="33D14D28" w:rsidR="00034669" w:rsidRPr="00034669" w:rsidRDefault="00034669" w:rsidP="00E50E35">
      <w:pPr>
        <w:pStyle w:val="Heading2"/>
      </w:pPr>
      <w:r w:rsidRPr="00034669">
        <w:t xml:space="preserve">Procedure/ Responsibility: </w:t>
      </w:r>
    </w:p>
    <w:p w14:paraId="4BF7ACEF" w14:textId="77777777" w:rsidR="00034669" w:rsidRPr="00034669" w:rsidRDefault="00034669" w:rsidP="00034669">
      <w:pPr>
        <w:ind w:left="1440" w:hanging="720"/>
        <w:jc w:val="both"/>
        <w:rPr>
          <w:rFonts w:cs="Open Sans"/>
          <w:sz w:val="24"/>
          <w:szCs w:val="24"/>
        </w:rPr>
      </w:pPr>
      <w:r w:rsidRPr="00034669">
        <w:rPr>
          <w:rFonts w:cs="Open Sans"/>
          <w:sz w:val="24"/>
          <w:szCs w:val="24"/>
        </w:rPr>
        <w:lastRenderedPageBreak/>
        <w:t>3.1</w:t>
      </w:r>
      <w:proofErr w:type="gramStart"/>
      <w:r w:rsidRPr="00034669">
        <w:rPr>
          <w:rFonts w:cs="Open Sans"/>
          <w:sz w:val="24"/>
          <w:szCs w:val="24"/>
        </w:rPr>
        <w:t xml:space="preserve">: </w:t>
      </w:r>
      <w:r w:rsidRPr="00034669">
        <w:rPr>
          <w:rFonts w:cs="Open Sans"/>
          <w:sz w:val="24"/>
          <w:szCs w:val="24"/>
        </w:rPr>
        <w:tab/>
        <w:t>Each</w:t>
      </w:r>
      <w:proofErr w:type="gramEnd"/>
      <w:r w:rsidRPr="00034669">
        <w:rPr>
          <w:rFonts w:cs="Open Sans"/>
          <w:sz w:val="24"/>
          <w:szCs w:val="24"/>
        </w:rPr>
        <w:t xml:space="preserve"> RMHI CEO must designate a person responsible for the development and maintenance of the plans required by this policy. The designations must be reported to the TDMHSAS Director of IT and the TDMHSAS Security Officer. </w:t>
      </w:r>
    </w:p>
    <w:p w14:paraId="77B2198C" w14:textId="77777777" w:rsidR="00034669" w:rsidRPr="00034669" w:rsidRDefault="00034669" w:rsidP="00034669">
      <w:pPr>
        <w:ind w:left="1440" w:hanging="720"/>
        <w:jc w:val="both"/>
        <w:rPr>
          <w:rFonts w:cs="Open Sans"/>
          <w:sz w:val="24"/>
          <w:szCs w:val="24"/>
        </w:rPr>
      </w:pPr>
      <w:r w:rsidRPr="00034669">
        <w:rPr>
          <w:rFonts w:cs="Open Sans"/>
          <w:sz w:val="24"/>
          <w:szCs w:val="24"/>
        </w:rPr>
        <w:t>3.2</w:t>
      </w:r>
      <w:proofErr w:type="gramStart"/>
      <w:r w:rsidRPr="00034669">
        <w:rPr>
          <w:rFonts w:cs="Open Sans"/>
          <w:sz w:val="24"/>
          <w:szCs w:val="24"/>
        </w:rPr>
        <w:t xml:space="preserve">: </w:t>
      </w:r>
      <w:r w:rsidRPr="00034669">
        <w:rPr>
          <w:rFonts w:cs="Open Sans"/>
          <w:sz w:val="24"/>
          <w:szCs w:val="24"/>
        </w:rPr>
        <w:tab/>
        <w:t>Applications</w:t>
      </w:r>
      <w:proofErr w:type="gramEnd"/>
      <w:r w:rsidRPr="00034669">
        <w:rPr>
          <w:rFonts w:cs="Open Sans"/>
          <w:sz w:val="24"/>
          <w:szCs w:val="24"/>
        </w:rPr>
        <w:t xml:space="preserve"> and Data Criticality Analysis</w:t>
      </w:r>
    </w:p>
    <w:p w14:paraId="068B1011" w14:textId="77777777" w:rsidR="00034669" w:rsidRPr="00034669" w:rsidRDefault="00034669" w:rsidP="00034669">
      <w:pPr>
        <w:ind w:left="2160" w:hanging="720"/>
        <w:jc w:val="both"/>
        <w:rPr>
          <w:rFonts w:cs="Open Sans"/>
          <w:sz w:val="24"/>
          <w:szCs w:val="24"/>
        </w:rPr>
      </w:pPr>
      <w:r w:rsidRPr="00034669">
        <w:rPr>
          <w:rFonts w:cs="Open Sans"/>
          <w:sz w:val="24"/>
          <w:szCs w:val="24"/>
        </w:rPr>
        <w:t>3.2.1</w:t>
      </w:r>
      <w:proofErr w:type="gramStart"/>
      <w:r w:rsidRPr="00034669">
        <w:rPr>
          <w:rFonts w:cs="Open Sans"/>
          <w:sz w:val="24"/>
          <w:szCs w:val="24"/>
        </w:rPr>
        <w:t xml:space="preserve">: </w:t>
      </w:r>
      <w:r w:rsidRPr="00034669">
        <w:rPr>
          <w:rFonts w:cs="Open Sans"/>
          <w:sz w:val="24"/>
          <w:szCs w:val="24"/>
        </w:rPr>
        <w:tab/>
        <w:t>Each</w:t>
      </w:r>
      <w:proofErr w:type="gramEnd"/>
      <w:r w:rsidRPr="00034669">
        <w:rPr>
          <w:rFonts w:cs="Open Sans"/>
          <w:sz w:val="24"/>
          <w:szCs w:val="24"/>
        </w:rPr>
        <w:t xml:space="preserve"> RMHI and the TDMHSAS must assess the relative criticality of specific applications and data to develop their Data backup plan, Disaster recovery plan, and Emergency Mode Operation (Business Continuity) Plan. </w:t>
      </w:r>
    </w:p>
    <w:p w14:paraId="1FF40790" w14:textId="77777777" w:rsidR="00034669" w:rsidRPr="00034669" w:rsidRDefault="00034669" w:rsidP="00034669">
      <w:pPr>
        <w:ind w:left="2160" w:hanging="720"/>
        <w:jc w:val="both"/>
        <w:rPr>
          <w:rFonts w:cs="Open Sans"/>
          <w:sz w:val="24"/>
          <w:szCs w:val="24"/>
        </w:rPr>
      </w:pPr>
      <w:r w:rsidRPr="00034669">
        <w:rPr>
          <w:rFonts w:cs="Open Sans"/>
          <w:sz w:val="24"/>
          <w:szCs w:val="24"/>
        </w:rPr>
        <w:t>3.2.2</w:t>
      </w:r>
      <w:proofErr w:type="gramStart"/>
      <w:r w:rsidRPr="00034669">
        <w:rPr>
          <w:rFonts w:cs="Open Sans"/>
          <w:sz w:val="24"/>
          <w:szCs w:val="24"/>
        </w:rPr>
        <w:t xml:space="preserve">: </w:t>
      </w:r>
      <w:r w:rsidRPr="00034669">
        <w:rPr>
          <w:rFonts w:cs="Open Sans"/>
          <w:sz w:val="24"/>
          <w:szCs w:val="24"/>
        </w:rPr>
        <w:tab/>
        <w:t>The</w:t>
      </w:r>
      <w:proofErr w:type="gramEnd"/>
      <w:r w:rsidRPr="00034669">
        <w:rPr>
          <w:rFonts w:cs="Open Sans"/>
          <w:sz w:val="24"/>
          <w:szCs w:val="24"/>
        </w:rPr>
        <w:t xml:space="preserve"> assessment of data and application criticality must be done at least annually to ensure that appropriate procedures are in place. </w:t>
      </w:r>
    </w:p>
    <w:p w14:paraId="6FD2D94E" w14:textId="77777777" w:rsidR="00034669" w:rsidRPr="00034669" w:rsidRDefault="00034669" w:rsidP="00034669">
      <w:pPr>
        <w:ind w:left="2160" w:hanging="720"/>
        <w:jc w:val="both"/>
        <w:rPr>
          <w:rFonts w:cs="Open Sans"/>
          <w:sz w:val="24"/>
          <w:szCs w:val="24"/>
        </w:rPr>
      </w:pPr>
      <w:r w:rsidRPr="00034669">
        <w:rPr>
          <w:rFonts w:cs="Open Sans"/>
          <w:sz w:val="24"/>
          <w:szCs w:val="24"/>
        </w:rPr>
        <w:t>3.2.3:</w:t>
      </w:r>
      <w:r w:rsidRPr="00034669">
        <w:rPr>
          <w:rFonts w:cs="Open Sans"/>
          <w:sz w:val="24"/>
          <w:szCs w:val="24"/>
        </w:rPr>
        <w:tab/>
        <w:t xml:space="preserve">Each identified PHI information system must be analyzed for potential vulnerability to the integrity, confidentiality, and availability of its PHI. The following two-dimensional model can be used to assign a risk level to each PHI repository. </w:t>
      </w:r>
    </w:p>
    <w:p w14:paraId="06E775CF" w14:textId="77777777" w:rsidR="00034669" w:rsidRPr="00034669" w:rsidRDefault="00034669" w:rsidP="00034669">
      <w:pPr>
        <w:ind w:left="2160" w:hanging="720"/>
        <w:jc w:val="both"/>
        <w:rPr>
          <w:rFonts w:cs="Open Sans"/>
          <w:sz w:val="24"/>
          <w:szCs w:val="24"/>
        </w:rPr>
      </w:pPr>
      <w:r w:rsidRPr="00034669">
        <w:rPr>
          <w:rFonts w:cs="Open Sans"/>
          <w:sz w:val="24"/>
          <w:szCs w:val="24"/>
        </w:rPr>
        <w:tab/>
        <w:t xml:space="preserve">High Risk—Repositories with </w:t>
      </w:r>
      <w:proofErr w:type="gramStart"/>
      <w:r w:rsidRPr="00034669">
        <w:rPr>
          <w:rFonts w:cs="Open Sans"/>
          <w:sz w:val="24"/>
          <w:szCs w:val="24"/>
        </w:rPr>
        <w:t>a large number of</w:t>
      </w:r>
      <w:proofErr w:type="gramEnd"/>
      <w:r w:rsidRPr="00034669">
        <w:rPr>
          <w:rFonts w:cs="Open Sans"/>
          <w:sz w:val="24"/>
          <w:szCs w:val="24"/>
        </w:rPr>
        <w:t xml:space="preserve"> records accessed by </w:t>
      </w:r>
      <w:proofErr w:type="gramStart"/>
      <w:r w:rsidRPr="00034669">
        <w:rPr>
          <w:rFonts w:cs="Open Sans"/>
          <w:sz w:val="24"/>
          <w:szCs w:val="24"/>
        </w:rPr>
        <w:t>a large number of</w:t>
      </w:r>
      <w:proofErr w:type="gramEnd"/>
      <w:r w:rsidRPr="00034669">
        <w:rPr>
          <w:rFonts w:cs="Open Sans"/>
          <w:sz w:val="24"/>
          <w:szCs w:val="24"/>
        </w:rPr>
        <w:t xml:space="preserve"> users or any repository of PHI necessary for critical business </w:t>
      </w:r>
      <w:proofErr w:type="gramStart"/>
      <w:r w:rsidRPr="00034669">
        <w:rPr>
          <w:rFonts w:cs="Open Sans"/>
          <w:sz w:val="24"/>
          <w:szCs w:val="24"/>
        </w:rPr>
        <w:t>operations;</w:t>
      </w:r>
      <w:proofErr w:type="gramEnd"/>
      <w:r w:rsidRPr="00034669">
        <w:rPr>
          <w:rFonts w:cs="Open Sans"/>
          <w:sz w:val="24"/>
          <w:szCs w:val="24"/>
        </w:rPr>
        <w:t xml:space="preserve">  </w:t>
      </w:r>
    </w:p>
    <w:p w14:paraId="789F2C09" w14:textId="77777777" w:rsidR="00034669" w:rsidRPr="00034669" w:rsidRDefault="00034669" w:rsidP="00034669">
      <w:pPr>
        <w:ind w:left="2160" w:hanging="720"/>
        <w:jc w:val="both"/>
        <w:rPr>
          <w:rFonts w:cs="Open Sans"/>
          <w:sz w:val="24"/>
          <w:szCs w:val="24"/>
        </w:rPr>
      </w:pPr>
      <w:r w:rsidRPr="00034669">
        <w:rPr>
          <w:rFonts w:cs="Open Sans"/>
          <w:sz w:val="24"/>
          <w:szCs w:val="24"/>
        </w:rPr>
        <w:tab/>
        <w:t xml:space="preserve">Medium Risk—Repositories with either </w:t>
      </w:r>
      <w:proofErr w:type="gramStart"/>
      <w:r w:rsidRPr="00034669">
        <w:rPr>
          <w:rFonts w:cs="Open Sans"/>
          <w:sz w:val="24"/>
          <w:szCs w:val="24"/>
        </w:rPr>
        <w:t>a large number of</w:t>
      </w:r>
      <w:proofErr w:type="gramEnd"/>
      <w:r w:rsidRPr="00034669">
        <w:rPr>
          <w:rFonts w:cs="Open Sans"/>
          <w:sz w:val="24"/>
          <w:szCs w:val="24"/>
        </w:rPr>
        <w:t xml:space="preserve"> records and a small number of users or a small number of records and </w:t>
      </w:r>
      <w:proofErr w:type="gramStart"/>
      <w:r w:rsidRPr="00034669">
        <w:rPr>
          <w:rFonts w:cs="Open Sans"/>
          <w:sz w:val="24"/>
          <w:szCs w:val="24"/>
        </w:rPr>
        <w:t>a large number of</w:t>
      </w:r>
      <w:proofErr w:type="gramEnd"/>
      <w:r w:rsidRPr="00034669">
        <w:rPr>
          <w:rFonts w:cs="Open Sans"/>
          <w:sz w:val="24"/>
          <w:szCs w:val="24"/>
        </w:rPr>
        <w:t xml:space="preserve"> </w:t>
      </w:r>
      <w:proofErr w:type="gramStart"/>
      <w:r w:rsidRPr="00034669">
        <w:rPr>
          <w:rFonts w:cs="Open Sans"/>
          <w:sz w:val="24"/>
          <w:szCs w:val="24"/>
        </w:rPr>
        <w:t>users;</w:t>
      </w:r>
      <w:proofErr w:type="gramEnd"/>
      <w:r w:rsidRPr="00034669">
        <w:rPr>
          <w:rFonts w:cs="Open Sans"/>
          <w:sz w:val="24"/>
          <w:szCs w:val="24"/>
        </w:rPr>
        <w:t xml:space="preserve"> </w:t>
      </w:r>
    </w:p>
    <w:p w14:paraId="0D694B0F" w14:textId="77777777" w:rsidR="00034669" w:rsidRPr="00034669" w:rsidRDefault="00034669" w:rsidP="00034669">
      <w:pPr>
        <w:ind w:left="2160" w:hanging="720"/>
        <w:jc w:val="both"/>
        <w:rPr>
          <w:rFonts w:cs="Open Sans"/>
          <w:sz w:val="24"/>
          <w:szCs w:val="24"/>
        </w:rPr>
      </w:pPr>
      <w:r w:rsidRPr="00034669">
        <w:rPr>
          <w:rFonts w:cs="Open Sans"/>
          <w:sz w:val="24"/>
          <w:szCs w:val="24"/>
        </w:rPr>
        <w:tab/>
        <w:t xml:space="preserve">Low Risk—Repositories with a small number of records accessed by a small number of users (i.e. personal patient lists and notes, etc.). </w:t>
      </w:r>
    </w:p>
    <w:tbl>
      <w:tblPr>
        <w:tblStyle w:val="TableGrid"/>
        <w:tblW w:w="0" w:type="auto"/>
        <w:tblInd w:w="4885" w:type="dxa"/>
        <w:tblLook w:val="04A0" w:firstRow="1" w:lastRow="0" w:firstColumn="1" w:lastColumn="0" w:noHBand="0" w:noVBand="1"/>
      </w:tblPr>
      <w:tblGrid>
        <w:gridCol w:w="1746"/>
        <w:gridCol w:w="1738"/>
      </w:tblGrid>
      <w:tr w:rsidR="00034669" w:rsidRPr="00034669" w14:paraId="04E7E2AE" w14:textId="77777777" w:rsidTr="00ED73D1">
        <w:trPr>
          <w:trHeight w:val="1990"/>
        </w:trPr>
        <w:tc>
          <w:tcPr>
            <w:tcW w:w="1746" w:type="dxa"/>
          </w:tcPr>
          <w:p w14:paraId="1B71469C" w14:textId="77777777" w:rsidR="00034669" w:rsidRPr="00034669" w:rsidRDefault="00034669" w:rsidP="00ED73D1">
            <w:pPr>
              <w:jc w:val="both"/>
              <w:rPr>
                <w:rFonts w:cs="Open Sans"/>
                <w:sz w:val="16"/>
                <w:szCs w:val="16"/>
              </w:rPr>
            </w:pPr>
          </w:p>
          <w:p w14:paraId="63AE7F13" w14:textId="77777777" w:rsidR="00034669" w:rsidRPr="00034669" w:rsidRDefault="00034669" w:rsidP="00ED73D1">
            <w:pPr>
              <w:jc w:val="both"/>
              <w:rPr>
                <w:rFonts w:cs="Open Sans"/>
                <w:sz w:val="16"/>
                <w:szCs w:val="16"/>
              </w:rPr>
            </w:pPr>
            <w:r w:rsidRPr="00034669">
              <w:rPr>
                <w:rFonts w:cs="Open Sans"/>
                <w:noProof/>
                <w:sz w:val="16"/>
                <w:szCs w:val="16"/>
              </w:rPr>
              <mc:AlternateContent>
                <mc:Choice Requires="wps">
                  <w:drawing>
                    <wp:anchor distT="0" distB="0" distL="114300" distR="114300" simplePos="0" relativeHeight="251661312" behindDoc="0" locked="0" layoutInCell="1" allowOverlap="1" wp14:anchorId="6A767B82" wp14:editId="5E6D08A2">
                      <wp:simplePos x="0" y="0"/>
                      <wp:positionH relativeFrom="column">
                        <wp:posOffset>-2443480</wp:posOffset>
                      </wp:positionH>
                      <wp:positionV relativeFrom="paragraph">
                        <wp:posOffset>617220</wp:posOffset>
                      </wp:positionV>
                      <wp:extent cx="1562100" cy="276045"/>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76045"/>
                              </a:xfrm>
                              <a:prstGeom prst="rect">
                                <a:avLst/>
                              </a:prstGeom>
                              <a:solidFill>
                                <a:srgbClr val="FFFFFF"/>
                              </a:solidFill>
                              <a:ln w="9525">
                                <a:solidFill>
                                  <a:schemeClr val="bg1"/>
                                </a:solidFill>
                                <a:miter lim="800000"/>
                                <a:headEnd/>
                                <a:tailEnd/>
                              </a:ln>
                            </wps:spPr>
                            <wps:txbx>
                              <w:txbxContent>
                                <w:p w14:paraId="7E8A4536" w14:textId="77777777" w:rsidR="00034669" w:rsidRPr="000D4A2E" w:rsidRDefault="00034669" w:rsidP="00034669">
                                  <w:pPr>
                                    <w:jc w:val="center"/>
                                    <w:rPr>
                                      <w:rFonts w:ascii="Times New Roman" w:hAnsi="Times New Roman" w:cs="Times New Roman"/>
                                      <w:sz w:val="16"/>
                                      <w:szCs w:val="16"/>
                                    </w:rPr>
                                  </w:pPr>
                                  <w:r w:rsidRPr="000D4A2E">
                                    <w:rPr>
                                      <w:rFonts w:ascii="Times New Roman" w:hAnsi="Times New Roman" w:cs="Times New Roman"/>
                                      <w:sz w:val="16"/>
                                      <w:szCs w:val="16"/>
                                    </w:rPr>
                                    <w:t># of users that access PHI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767B82" id="_x0000_t202" coordsize="21600,21600" o:spt="202" path="m,l,21600r21600,l21600,xe">
                      <v:stroke joinstyle="miter"/>
                      <v:path gradientshapeok="t" o:connecttype="rect"/>
                    </v:shapetype>
                    <v:shape id="Text Box 2" o:spid="_x0000_s1026" type="#_x0000_t202" style="position:absolute;left:0;text-align:left;margin-left:-192.4pt;margin-top:48.6pt;width:123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" strokecolor="white [3212]">
                      <v:textbox>
                        <w:txbxContent>
                          <w:p w14:paraId="7E8A4536" w14:textId="77777777" w:rsidR="00034669" w:rsidRPr="000D4A2E" w:rsidRDefault="00034669" w:rsidP="00034669">
                            <w:pPr>
                              <w:jc w:val="center"/>
                              <w:rPr>
                                <w:rFonts w:ascii="Times New Roman" w:hAnsi="Times New Roman" w:cs="Times New Roman"/>
                                <w:sz w:val="16"/>
                                <w:szCs w:val="16"/>
                              </w:rPr>
                            </w:pPr>
                            <w:r w:rsidRPr="000D4A2E">
                              <w:rPr>
                                <w:rFonts w:ascii="Times New Roman" w:hAnsi="Times New Roman" w:cs="Times New Roman"/>
                                <w:sz w:val="16"/>
                                <w:szCs w:val="16"/>
                              </w:rPr>
                              <w:t># of users that access PHI</w:t>
                            </w:r>
                          </w:p>
                        </w:txbxContent>
                      </v:textbox>
                    </v:shape>
                  </w:pict>
                </mc:Fallback>
              </mc:AlternateContent>
            </w:r>
            <w:r w:rsidRPr="00034669">
              <w:rPr>
                <w:rFonts w:cs="Open Sans"/>
                <w:sz w:val="16"/>
                <w:szCs w:val="16"/>
              </w:rPr>
              <w:t>Small amount of PHI, Access by large number of users (medium risk)</w:t>
            </w:r>
          </w:p>
        </w:tc>
        <w:tc>
          <w:tcPr>
            <w:tcW w:w="1738" w:type="dxa"/>
          </w:tcPr>
          <w:p w14:paraId="384DE2C8" w14:textId="77777777" w:rsidR="00034669" w:rsidRPr="00034669" w:rsidRDefault="00034669" w:rsidP="00ED73D1">
            <w:pPr>
              <w:jc w:val="both"/>
              <w:rPr>
                <w:rFonts w:cs="Open Sans"/>
                <w:sz w:val="16"/>
                <w:szCs w:val="16"/>
              </w:rPr>
            </w:pPr>
          </w:p>
          <w:p w14:paraId="1F01D532" w14:textId="77777777" w:rsidR="00034669" w:rsidRPr="00034669" w:rsidRDefault="00034669" w:rsidP="00ED73D1">
            <w:pPr>
              <w:jc w:val="both"/>
              <w:rPr>
                <w:rFonts w:cs="Open Sans"/>
                <w:sz w:val="16"/>
                <w:szCs w:val="16"/>
              </w:rPr>
            </w:pPr>
            <w:r w:rsidRPr="00034669">
              <w:rPr>
                <w:rFonts w:cs="Open Sans"/>
                <w:sz w:val="16"/>
                <w:szCs w:val="16"/>
              </w:rPr>
              <w:t>Large amount of PHI, Access by large numbers of users</w:t>
            </w:r>
          </w:p>
          <w:p w14:paraId="245C9E08" w14:textId="77777777" w:rsidR="00034669" w:rsidRPr="00034669" w:rsidRDefault="00034669" w:rsidP="00ED73D1">
            <w:pPr>
              <w:jc w:val="both"/>
              <w:rPr>
                <w:rFonts w:cs="Open Sans"/>
                <w:sz w:val="16"/>
                <w:szCs w:val="16"/>
              </w:rPr>
            </w:pPr>
            <w:r w:rsidRPr="00034669">
              <w:rPr>
                <w:rFonts w:cs="Open Sans"/>
                <w:sz w:val="16"/>
                <w:szCs w:val="16"/>
              </w:rPr>
              <w:t>OR</w:t>
            </w:r>
          </w:p>
          <w:p w14:paraId="10275B98" w14:textId="77777777" w:rsidR="00034669" w:rsidRPr="00034669" w:rsidRDefault="00034669" w:rsidP="00ED73D1">
            <w:pPr>
              <w:jc w:val="both"/>
              <w:rPr>
                <w:rFonts w:cs="Open Sans"/>
                <w:sz w:val="16"/>
                <w:szCs w:val="16"/>
              </w:rPr>
            </w:pPr>
            <w:r w:rsidRPr="00034669">
              <w:rPr>
                <w:rFonts w:cs="Open Sans"/>
                <w:sz w:val="16"/>
                <w:szCs w:val="16"/>
              </w:rPr>
              <w:t>PHI necessary for critical business operations</w:t>
            </w:r>
          </w:p>
          <w:p w14:paraId="50F1A305" w14:textId="77777777" w:rsidR="00034669" w:rsidRPr="00034669" w:rsidRDefault="00034669" w:rsidP="00ED73D1">
            <w:pPr>
              <w:jc w:val="both"/>
              <w:rPr>
                <w:rFonts w:cs="Open Sans"/>
                <w:sz w:val="16"/>
                <w:szCs w:val="16"/>
              </w:rPr>
            </w:pPr>
            <w:r w:rsidRPr="00034669">
              <w:rPr>
                <w:rFonts w:cs="Open Sans"/>
                <w:sz w:val="16"/>
                <w:szCs w:val="16"/>
              </w:rPr>
              <w:t xml:space="preserve">             (high risk)</w:t>
            </w:r>
          </w:p>
          <w:p w14:paraId="6107D79F" w14:textId="77777777" w:rsidR="00034669" w:rsidRPr="00034669" w:rsidRDefault="00034669" w:rsidP="00ED73D1">
            <w:pPr>
              <w:jc w:val="both"/>
              <w:rPr>
                <w:rFonts w:cs="Open Sans"/>
                <w:sz w:val="16"/>
                <w:szCs w:val="16"/>
              </w:rPr>
            </w:pPr>
          </w:p>
        </w:tc>
      </w:tr>
      <w:tr w:rsidR="00034669" w:rsidRPr="00034669" w14:paraId="7CF0B703" w14:textId="77777777" w:rsidTr="00ED73D1">
        <w:trPr>
          <w:trHeight w:val="1583"/>
        </w:trPr>
        <w:tc>
          <w:tcPr>
            <w:tcW w:w="1746" w:type="dxa"/>
          </w:tcPr>
          <w:p w14:paraId="4EEFE09C" w14:textId="77777777" w:rsidR="00034669" w:rsidRPr="00034669" w:rsidRDefault="00034669" w:rsidP="00ED73D1">
            <w:pPr>
              <w:jc w:val="both"/>
              <w:rPr>
                <w:rFonts w:cs="Open Sans"/>
                <w:sz w:val="16"/>
                <w:szCs w:val="16"/>
              </w:rPr>
            </w:pPr>
          </w:p>
          <w:p w14:paraId="6388B1BD" w14:textId="77777777" w:rsidR="00034669" w:rsidRPr="00034669" w:rsidRDefault="00034669" w:rsidP="00ED73D1">
            <w:pPr>
              <w:jc w:val="both"/>
              <w:rPr>
                <w:rFonts w:cs="Open Sans"/>
                <w:sz w:val="16"/>
                <w:szCs w:val="16"/>
              </w:rPr>
            </w:pPr>
            <w:r w:rsidRPr="00034669">
              <w:rPr>
                <w:rFonts w:cs="Open Sans"/>
                <w:noProof/>
                <w:sz w:val="16"/>
                <w:szCs w:val="16"/>
              </w:rPr>
              <mc:AlternateContent>
                <mc:Choice Requires="wps">
                  <w:drawing>
                    <wp:anchor distT="0" distB="0" distL="114300" distR="114300" simplePos="0" relativeHeight="251662336" behindDoc="0" locked="0" layoutInCell="1" allowOverlap="1" wp14:anchorId="17F129F6" wp14:editId="19E3868E">
                      <wp:simplePos x="0" y="0"/>
                      <wp:positionH relativeFrom="column">
                        <wp:posOffset>135890</wp:posOffset>
                      </wp:positionH>
                      <wp:positionV relativeFrom="paragraph">
                        <wp:posOffset>1168400</wp:posOffset>
                      </wp:positionV>
                      <wp:extent cx="1906270" cy="275590"/>
                      <wp:effectExtent l="0" t="0" r="17780" b="1016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275590"/>
                              </a:xfrm>
                              <a:prstGeom prst="rect">
                                <a:avLst/>
                              </a:prstGeom>
                              <a:solidFill>
                                <a:srgbClr val="FFFFFF"/>
                              </a:solidFill>
                              <a:ln w="9525">
                                <a:solidFill>
                                  <a:schemeClr val="bg1"/>
                                </a:solidFill>
                                <a:miter lim="800000"/>
                                <a:headEnd/>
                                <a:tailEnd/>
                              </a:ln>
                            </wps:spPr>
                            <wps:txbx>
                              <w:txbxContent>
                                <w:p w14:paraId="7FDA59EC" w14:textId="77777777" w:rsidR="00034669" w:rsidRPr="000D4A2E" w:rsidRDefault="00034669" w:rsidP="00034669">
                                  <w:pPr>
                                    <w:jc w:val="center"/>
                                    <w:rPr>
                                      <w:rFonts w:ascii="Times New Roman" w:hAnsi="Times New Roman" w:cs="Times New Roman"/>
                                      <w:sz w:val="16"/>
                                      <w:szCs w:val="16"/>
                                    </w:rPr>
                                  </w:pPr>
                                  <w:r w:rsidRPr="000D4A2E">
                                    <w:rPr>
                                      <w:rFonts w:ascii="Times New Roman" w:hAnsi="Times New Roman" w:cs="Times New Roman"/>
                                      <w:sz w:val="16"/>
                                      <w:szCs w:val="16"/>
                                    </w:rPr>
                                    <w:t># of patient records (amount of Phi)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129F6" id="_x0000_s1027" type="#_x0000_t202" style="position:absolute;left:0;text-align:left;margin-left:10.7pt;margin-top:92pt;width:150.1pt;height:2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" strokecolor="white [3212]">
                      <v:textbox>
                        <w:txbxContent>
                          <w:p w14:paraId="7FDA59EC" w14:textId="77777777" w:rsidR="00034669" w:rsidRPr="000D4A2E" w:rsidRDefault="00034669" w:rsidP="00034669">
                            <w:pPr>
                              <w:jc w:val="center"/>
                              <w:rPr>
                                <w:rFonts w:ascii="Times New Roman" w:hAnsi="Times New Roman" w:cs="Times New Roman"/>
                                <w:sz w:val="16"/>
                                <w:szCs w:val="16"/>
                              </w:rPr>
                            </w:pPr>
                            <w:r w:rsidRPr="000D4A2E">
                              <w:rPr>
                                <w:rFonts w:ascii="Times New Roman" w:hAnsi="Times New Roman" w:cs="Times New Roman"/>
                                <w:sz w:val="16"/>
                                <w:szCs w:val="16"/>
                              </w:rPr>
                              <w:t># of patient records (amount of Phi)</w:t>
                            </w:r>
                          </w:p>
                        </w:txbxContent>
                      </v:textbox>
                    </v:shape>
                  </w:pict>
                </mc:Fallback>
              </mc:AlternateContent>
            </w:r>
            <w:r w:rsidRPr="00034669">
              <w:rPr>
                <w:rFonts w:cs="Open Sans"/>
                <w:noProof/>
                <w:sz w:val="16"/>
                <w:szCs w:val="16"/>
              </w:rPr>
              <mc:AlternateContent>
                <mc:Choice Requires="wps">
                  <w:drawing>
                    <wp:anchor distT="0" distB="0" distL="114300" distR="114300" simplePos="0" relativeHeight="251660288" behindDoc="0" locked="0" layoutInCell="1" allowOverlap="1" wp14:anchorId="48ADB44D" wp14:editId="4AEAC916">
                      <wp:simplePos x="0" y="0"/>
                      <wp:positionH relativeFrom="column">
                        <wp:posOffset>59857</wp:posOffset>
                      </wp:positionH>
                      <wp:positionV relativeFrom="paragraph">
                        <wp:posOffset>1042335</wp:posOffset>
                      </wp:positionV>
                      <wp:extent cx="2113471" cy="8626"/>
                      <wp:effectExtent l="0" t="76200" r="20320" b="106045"/>
                      <wp:wrapNone/>
                      <wp:docPr id="6" name="Straight Arrow Connector 6"/>
                      <wp:cNvGraphicFramePr/>
                      <a:graphic xmlns:a="http://schemas.openxmlformats.org/drawingml/2006/main">
                        <a:graphicData uri="http://schemas.microsoft.com/office/word/2010/wordprocessingShape">
                          <wps:wsp>
                            <wps:cNvCnPr/>
                            <wps:spPr>
                              <a:xfrm flipV="1">
                                <a:off x="0" y="0"/>
                                <a:ext cx="2113471" cy="862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C3AAA6A" id="_x0000_t32" coordsize="21600,21600" o:spt="32" o:oned="t" path="m,l21600,21600e" filled="f">
                      <v:path arrowok="t" fillok="f" o:connecttype="none"/>
                      <o:lock v:ext="edit" shapetype="t"/>
                    </v:shapetype>
                    <v:shape id="Straight Arrow Connector 6" o:spid="_x0000_s1026" type="#_x0000_t32" style="position:absolute;margin-left:4.7pt;margin-top:82.05pt;width:166.4pt;height:.7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" strokecolor="#4472c4 [3204]" strokeweight=".5pt">
                      <v:stroke endarrow="open" joinstyle="miter"/>
                    </v:shape>
                  </w:pict>
                </mc:Fallback>
              </mc:AlternateContent>
            </w:r>
            <w:r w:rsidRPr="00034669">
              <w:rPr>
                <w:rFonts w:cs="Open Sans"/>
                <w:sz w:val="16"/>
                <w:szCs w:val="16"/>
              </w:rPr>
              <w:t>PHI access by a single user (low risk)</w:t>
            </w:r>
          </w:p>
        </w:tc>
        <w:tc>
          <w:tcPr>
            <w:tcW w:w="1738" w:type="dxa"/>
          </w:tcPr>
          <w:p w14:paraId="0E177D2D" w14:textId="77777777" w:rsidR="00034669" w:rsidRPr="00034669" w:rsidRDefault="00034669" w:rsidP="00ED73D1">
            <w:pPr>
              <w:jc w:val="both"/>
              <w:rPr>
                <w:rFonts w:cs="Open Sans"/>
                <w:sz w:val="16"/>
                <w:szCs w:val="16"/>
              </w:rPr>
            </w:pPr>
          </w:p>
          <w:p w14:paraId="3629CED6" w14:textId="77777777" w:rsidR="00034669" w:rsidRPr="00034669" w:rsidRDefault="00034669" w:rsidP="00ED73D1">
            <w:pPr>
              <w:jc w:val="both"/>
              <w:rPr>
                <w:rFonts w:cs="Open Sans"/>
                <w:sz w:val="16"/>
                <w:szCs w:val="16"/>
              </w:rPr>
            </w:pPr>
            <w:r w:rsidRPr="00034669">
              <w:rPr>
                <w:rFonts w:cs="Open Sans"/>
                <w:sz w:val="16"/>
                <w:szCs w:val="16"/>
              </w:rPr>
              <w:t xml:space="preserve">Large amount of </w:t>
            </w:r>
            <w:proofErr w:type="gramStart"/>
            <w:r w:rsidRPr="00034669">
              <w:rPr>
                <w:rFonts w:cs="Open Sans"/>
                <w:sz w:val="16"/>
                <w:szCs w:val="16"/>
              </w:rPr>
              <w:t>PHI,  Access</w:t>
            </w:r>
            <w:proofErr w:type="gramEnd"/>
            <w:r w:rsidRPr="00034669">
              <w:rPr>
                <w:rFonts w:cs="Open Sans"/>
                <w:sz w:val="16"/>
                <w:szCs w:val="16"/>
              </w:rPr>
              <w:t xml:space="preserve"> by small number of users (medium risk)</w:t>
            </w:r>
          </w:p>
        </w:tc>
      </w:tr>
    </w:tbl>
    <w:p w14:paraId="39A9F509" w14:textId="77777777" w:rsidR="00034669" w:rsidRPr="00034669" w:rsidRDefault="00034669" w:rsidP="00034669">
      <w:pPr>
        <w:ind w:left="2160" w:hanging="720"/>
        <w:jc w:val="both"/>
        <w:rPr>
          <w:rFonts w:cs="Open Sans"/>
          <w:sz w:val="24"/>
          <w:szCs w:val="24"/>
        </w:rPr>
      </w:pPr>
      <w:r w:rsidRPr="00034669">
        <w:rPr>
          <w:rFonts w:cs="Open Sans"/>
          <w:noProof/>
          <w:sz w:val="16"/>
          <w:szCs w:val="16"/>
        </w:rPr>
        <mc:AlternateContent>
          <mc:Choice Requires="wps">
            <w:drawing>
              <wp:anchor distT="0" distB="0" distL="114300" distR="114300" simplePos="0" relativeHeight="251659264" behindDoc="0" locked="0" layoutInCell="1" allowOverlap="1" wp14:anchorId="2C31260A" wp14:editId="748D0753">
                <wp:simplePos x="0" y="0"/>
                <wp:positionH relativeFrom="column">
                  <wp:posOffset>2727325</wp:posOffset>
                </wp:positionH>
                <wp:positionV relativeFrom="paragraph">
                  <wp:posOffset>-1789430</wp:posOffset>
                </wp:positionV>
                <wp:extent cx="0" cy="1483360"/>
                <wp:effectExtent l="95250" t="38100" r="57150" b="21590"/>
                <wp:wrapNone/>
                <wp:docPr id="3" name="Straight Arrow Connector 3"/>
                <wp:cNvGraphicFramePr/>
                <a:graphic xmlns:a="http://schemas.openxmlformats.org/drawingml/2006/main">
                  <a:graphicData uri="http://schemas.microsoft.com/office/word/2010/wordprocessingShape">
                    <wps:wsp>
                      <wps:cNvCnPr/>
                      <wps:spPr>
                        <a:xfrm flipV="1">
                          <a:off x="0" y="0"/>
                          <a:ext cx="0" cy="14833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2F045B2" id="Straight Arrow Connector 3" o:spid="_x0000_s1026" type="#_x0000_t32" style="position:absolute;margin-left:214.75pt;margin-top:-140.9pt;width:0;height:116.8pt;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" strokecolor="#4472c4 [3204]" strokeweight=".5pt">
                <v:stroke endarrow="open" joinstyle="miter"/>
              </v:shape>
            </w:pict>
          </mc:Fallback>
        </mc:AlternateContent>
      </w:r>
    </w:p>
    <w:p w14:paraId="482A395A" w14:textId="77777777" w:rsidR="00034669" w:rsidRPr="00034669" w:rsidRDefault="00034669" w:rsidP="00034669">
      <w:pPr>
        <w:ind w:left="2160" w:hanging="720"/>
        <w:jc w:val="both"/>
        <w:rPr>
          <w:rFonts w:cs="Open Sans"/>
          <w:sz w:val="24"/>
          <w:szCs w:val="24"/>
        </w:rPr>
      </w:pPr>
      <w:r w:rsidRPr="00034669">
        <w:rPr>
          <w:rFonts w:cs="Open Sans"/>
          <w:sz w:val="24"/>
          <w:szCs w:val="24"/>
        </w:rPr>
        <w:tab/>
      </w:r>
    </w:p>
    <w:p w14:paraId="16E71ECB" w14:textId="77777777" w:rsidR="00034669" w:rsidRPr="00034669" w:rsidRDefault="00034669" w:rsidP="00034669">
      <w:pPr>
        <w:ind w:left="2160" w:hanging="720"/>
        <w:jc w:val="both"/>
        <w:rPr>
          <w:rFonts w:cs="Open Sans"/>
          <w:sz w:val="24"/>
          <w:szCs w:val="24"/>
        </w:rPr>
      </w:pPr>
      <w:r w:rsidRPr="00034669">
        <w:rPr>
          <w:rFonts w:cs="Open Sans"/>
          <w:sz w:val="24"/>
          <w:szCs w:val="24"/>
        </w:rPr>
        <w:lastRenderedPageBreak/>
        <w:tab/>
        <w:t xml:space="preserve">PHI repositories that fall </w:t>
      </w:r>
      <w:proofErr w:type="gramStart"/>
      <w:r w:rsidRPr="00034669">
        <w:rPr>
          <w:rFonts w:cs="Open Sans"/>
          <w:sz w:val="24"/>
          <w:szCs w:val="24"/>
        </w:rPr>
        <w:t>in</w:t>
      </w:r>
      <w:proofErr w:type="gramEnd"/>
      <w:r w:rsidRPr="00034669">
        <w:rPr>
          <w:rFonts w:cs="Open Sans"/>
          <w:sz w:val="24"/>
          <w:szCs w:val="24"/>
        </w:rPr>
        <w:t xml:space="preserve"> the low or medium risk categories may be classified as high risk if the sensitivity or criticality of that information makes it appropriate to do so in the reasonable judgment of the entity charged with determining the level of risk. </w:t>
      </w:r>
    </w:p>
    <w:p w14:paraId="3B951735" w14:textId="77777777" w:rsidR="00034669" w:rsidRPr="00034669" w:rsidRDefault="00034669" w:rsidP="00034669">
      <w:pPr>
        <w:ind w:left="1440" w:hanging="720"/>
        <w:jc w:val="both"/>
        <w:rPr>
          <w:rFonts w:cs="Open Sans"/>
          <w:sz w:val="24"/>
          <w:szCs w:val="24"/>
        </w:rPr>
      </w:pPr>
      <w:r w:rsidRPr="00034669">
        <w:rPr>
          <w:rFonts w:cs="Open Sans"/>
          <w:sz w:val="24"/>
          <w:szCs w:val="24"/>
        </w:rPr>
        <w:t>3.3</w:t>
      </w:r>
      <w:proofErr w:type="gramStart"/>
      <w:r w:rsidRPr="00034669">
        <w:rPr>
          <w:rFonts w:cs="Open Sans"/>
          <w:sz w:val="24"/>
          <w:szCs w:val="24"/>
        </w:rPr>
        <w:t xml:space="preserve">: </w:t>
      </w:r>
      <w:r w:rsidRPr="00034669">
        <w:rPr>
          <w:rFonts w:cs="Open Sans"/>
          <w:sz w:val="24"/>
          <w:szCs w:val="24"/>
        </w:rPr>
        <w:tab/>
        <w:t>Data</w:t>
      </w:r>
      <w:proofErr w:type="gramEnd"/>
      <w:r w:rsidRPr="00034669">
        <w:rPr>
          <w:rFonts w:cs="Open Sans"/>
          <w:sz w:val="24"/>
          <w:szCs w:val="24"/>
        </w:rPr>
        <w:t xml:space="preserve"> Backup Plan</w:t>
      </w:r>
    </w:p>
    <w:p w14:paraId="61A80E57" w14:textId="77777777" w:rsidR="00034669" w:rsidRPr="00034669" w:rsidRDefault="00034669" w:rsidP="00034669">
      <w:pPr>
        <w:ind w:left="2160" w:hanging="720"/>
        <w:jc w:val="both"/>
        <w:rPr>
          <w:rFonts w:cs="Open Sans"/>
          <w:sz w:val="24"/>
          <w:szCs w:val="24"/>
        </w:rPr>
      </w:pPr>
      <w:r w:rsidRPr="00034669">
        <w:rPr>
          <w:rFonts w:cs="Open Sans"/>
          <w:sz w:val="24"/>
          <w:szCs w:val="24"/>
        </w:rPr>
        <w:t>3.3.1</w:t>
      </w:r>
      <w:proofErr w:type="gramStart"/>
      <w:r w:rsidRPr="00034669">
        <w:rPr>
          <w:rFonts w:cs="Open Sans"/>
          <w:sz w:val="24"/>
          <w:szCs w:val="24"/>
        </w:rPr>
        <w:t xml:space="preserve">: </w:t>
      </w:r>
      <w:r w:rsidRPr="00034669">
        <w:rPr>
          <w:rFonts w:cs="Open Sans"/>
          <w:sz w:val="24"/>
          <w:szCs w:val="24"/>
        </w:rPr>
        <w:tab/>
        <w:t>Some</w:t>
      </w:r>
      <w:proofErr w:type="gramEnd"/>
      <w:r w:rsidRPr="00034669">
        <w:rPr>
          <w:rFonts w:cs="Open Sans"/>
          <w:sz w:val="24"/>
          <w:szCs w:val="24"/>
        </w:rPr>
        <w:t xml:space="preserve"> data stores may reside on equipment owned and/ or managed by the Division of Strategic Technological Solutions (STS) in the Department of Finance and Administration, some on equipment owned and managed by the TDMHSAS, and others on equipment under a joint arrangement between STS and TDMHSAS. Regardless of ownership and management responsibility, each TDMHSAS and RMHI (in concert where appropriate) must establish and implement a Data Backup Plan by which retrievable exact copies of all PHI determined to be medium and high risk are created and maintained. Data Backup Plans must be reviewed at least annually and modified as needed. </w:t>
      </w:r>
    </w:p>
    <w:p w14:paraId="073B0164" w14:textId="77777777" w:rsidR="00034669" w:rsidRPr="00034669" w:rsidRDefault="00034669" w:rsidP="00034669">
      <w:pPr>
        <w:ind w:left="2160" w:hanging="720"/>
        <w:jc w:val="both"/>
        <w:rPr>
          <w:rFonts w:cs="Open Sans"/>
          <w:sz w:val="24"/>
          <w:szCs w:val="24"/>
        </w:rPr>
      </w:pPr>
      <w:r w:rsidRPr="00034669">
        <w:rPr>
          <w:rFonts w:cs="Open Sans"/>
          <w:sz w:val="24"/>
          <w:szCs w:val="24"/>
        </w:rPr>
        <w:t>3.3.2</w:t>
      </w:r>
      <w:proofErr w:type="gramStart"/>
      <w:r w:rsidRPr="00034669">
        <w:rPr>
          <w:rFonts w:cs="Open Sans"/>
          <w:sz w:val="24"/>
          <w:szCs w:val="24"/>
        </w:rPr>
        <w:t xml:space="preserve">: </w:t>
      </w:r>
      <w:r w:rsidRPr="00034669">
        <w:rPr>
          <w:rFonts w:cs="Open Sans"/>
          <w:sz w:val="24"/>
          <w:szCs w:val="24"/>
        </w:rPr>
        <w:tab/>
        <w:t>The</w:t>
      </w:r>
      <w:proofErr w:type="gramEnd"/>
      <w:r w:rsidRPr="00034669">
        <w:rPr>
          <w:rFonts w:cs="Open Sans"/>
          <w:sz w:val="24"/>
          <w:szCs w:val="24"/>
        </w:rPr>
        <w:t xml:space="preserve"> Data Backup Plan must apply to all medium and high-risk files, records, images, voice, or video files that may contain PHI. </w:t>
      </w:r>
    </w:p>
    <w:p w14:paraId="7DB10E60" w14:textId="77777777" w:rsidR="00034669" w:rsidRPr="00034669" w:rsidRDefault="00034669" w:rsidP="00034669">
      <w:pPr>
        <w:ind w:left="2160" w:hanging="720"/>
        <w:jc w:val="both"/>
        <w:rPr>
          <w:rFonts w:cs="Open Sans"/>
          <w:sz w:val="24"/>
          <w:szCs w:val="24"/>
        </w:rPr>
      </w:pPr>
      <w:r w:rsidRPr="00034669">
        <w:rPr>
          <w:rFonts w:cs="Open Sans"/>
          <w:sz w:val="24"/>
          <w:szCs w:val="24"/>
        </w:rPr>
        <w:t>3.3.3</w:t>
      </w:r>
      <w:proofErr w:type="gramStart"/>
      <w:r w:rsidRPr="00034669">
        <w:rPr>
          <w:rFonts w:cs="Open Sans"/>
          <w:sz w:val="24"/>
          <w:szCs w:val="24"/>
        </w:rPr>
        <w:t xml:space="preserve">: </w:t>
      </w:r>
      <w:r w:rsidRPr="00034669">
        <w:rPr>
          <w:rFonts w:cs="Open Sans"/>
          <w:sz w:val="24"/>
          <w:szCs w:val="24"/>
        </w:rPr>
        <w:tab/>
        <w:t>Minimally</w:t>
      </w:r>
      <w:proofErr w:type="gramEnd"/>
      <w:r w:rsidRPr="00034669">
        <w:rPr>
          <w:rFonts w:cs="Open Sans"/>
          <w:sz w:val="24"/>
          <w:szCs w:val="24"/>
        </w:rPr>
        <w:t xml:space="preserve">, PHI backups must be performed once each day of operation (excluding holidays and weekdays). </w:t>
      </w:r>
    </w:p>
    <w:p w14:paraId="0C8169CC" w14:textId="77777777" w:rsidR="00034669" w:rsidRPr="00034669" w:rsidRDefault="00034669" w:rsidP="00034669">
      <w:pPr>
        <w:ind w:left="2160" w:hanging="720"/>
        <w:jc w:val="both"/>
        <w:rPr>
          <w:rFonts w:cs="Open Sans"/>
          <w:sz w:val="24"/>
          <w:szCs w:val="24"/>
        </w:rPr>
      </w:pPr>
      <w:r w:rsidRPr="00034669">
        <w:rPr>
          <w:rFonts w:cs="Open Sans"/>
          <w:sz w:val="24"/>
          <w:szCs w:val="24"/>
        </w:rPr>
        <w:t>3.3.4</w:t>
      </w:r>
      <w:proofErr w:type="gramStart"/>
      <w:r w:rsidRPr="00034669">
        <w:rPr>
          <w:rFonts w:cs="Open Sans"/>
          <w:sz w:val="24"/>
          <w:szCs w:val="24"/>
        </w:rPr>
        <w:t xml:space="preserve">: </w:t>
      </w:r>
      <w:r w:rsidRPr="00034669">
        <w:rPr>
          <w:rFonts w:cs="Open Sans"/>
          <w:sz w:val="24"/>
          <w:szCs w:val="24"/>
        </w:rPr>
        <w:tab/>
        <w:t>All</w:t>
      </w:r>
      <w:proofErr w:type="gramEnd"/>
      <w:r w:rsidRPr="00034669">
        <w:rPr>
          <w:rFonts w:cs="Open Sans"/>
          <w:sz w:val="24"/>
          <w:szCs w:val="24"/>
        </w:rPr>
        <w:t xml:space="preserve"> media used for backing up PHI must be stored in secure location with controlled access, such as a secure, off-site storage facility. If backup media remains on site, it must be stored in a physically secure location, separate from the physical location of the computer systems it backed up (i.e. separate physical building). </w:t>
      </w:r>
    </w:p>
    <w:p w14:paraId="5BC46065" w14:textId="77777777" w:rsidR="00034669" w:rsidRPr="00034669" w:rsidRDefault="00034669" w:rsidP="00034669">
      <w:pPr>
        <w:ind w:left="2160" w:hanging="720"/>
        <w:jc w:val="both"/>
        <w:rPr>
          <w:rFonts w:cs="Open Sans"/>
          <w:sz w:val="24"/>
          <w:szCs w:val="24"/>
        </w:rPr>
      </w:pPr>
      <w:r w:rsidRPr="00034669">
        <w:rPr>
          <w:rFonts w:cs="Open Sans"/>
          <w:sz w:val="24"/>
          <w:szCs w:val="24"/>
        </w:rPr>
        <w:t>3.3.5</w:t>
      </w:r>
      <w:proofErr w:type="gramStart"/>
      <w:r w:rsidRPr="00034669">
        <w:rPr>
          <w:rFonts w:cs="Open Sans"/>
          <w:sz w:val="24"/>
          <w:szCs w:val="24"/>
        </w:rPr>
        <w:t xml:space="preserve">: </w:t>
      </w:r>
      <w:r w:rsidRPr="00034669">
        <w:rPr>
          <w:rFonts w:cs="Open Sans"/>
          <w:sz w:val="24"/>
          <w:szCs w:val="24"/>
        </w:rPr>
        <w:tab/>
        <w:t>STS</w:t>
      </w:r>
      <w:proofErr w:type="gramEnd"/>
      <w:r w:rsidRPr="00034669">
        <w:rPr>
          <w:rFonts w:cs="Open Sans"/>
          <w:sz w:val="24"/>
          <w:szCs w:val="24"/>
        </w:rPr>
        <w:t xml:space="preserve"> maintains and/or stores all information systems.  If an off-site storage facility or backup service is used, a written contract or business associate agreement (BAA) must be used to ensure that the business associate will safeguard PHI appropriately. </w:t>
      </w:r>
    </w:p>
    <w:p w14:paraId="17B2DFC1" w14:textId="77777777" w:rsidR="00034669" w:rsidRPr="00034669" w:rsidRDefault="00034669" w:rsidP="00034669">
      <w:pPr>
        <w:ind w:left="2160" w:hanging="720"/>
        <w:jc w:val="both"/>
        <w:rPr>
          <w:rFonts w:cs="Open Sans"/>
          <w:sz w:val="24"/>
          <w:szCs w:val="24"/>
        </w:rPr>
      </w:pPr>
      <w:r w:rsidRPr="00034669">
        <w:rPr>
          <w:rFonts w:cs="Open Sans"/>
          <w:sz w:val="24"/>
          <w:szCs w:val="24"/>
        </w:rPr>
        <w:t xml:space="preserve">3.3.6: </w:t>
      </w:r>
      <w:r w:rsidRPr="00034669">
        <w:rPr>
          <w:rFonts w:cs="Open Sans"/>
          <w:sz w:val="24"/>
          <w:szCs w:val="24"/>
        </w:rPr>
        <w:tab/>
        <w:t xml:space="preserve">The data backup plan must define exactly what (?) information is needed to be retrievable to allow the entity to continue business “as usual” in the face of damage or destruction of data, hardware, or software. </w:t>
      </w:r>
    </w:p>
    <w:p w14:paraId="443EB984" w14:textId="77777777" w:rsidR="00034669" w:rsidRPr="00034669" w:rsidRDefault="00034669" w:rsidP="00034669">
      <w:pPr>
        <w:ind w:left="2160" w:hanging="720"/>
        <w:jc w:val="both"/>
        <w:rPr>
          <w:rFonts w:cs="Open Sans"/>
          <w:sz w:val="24"/>
          <w:szCs w:val="24"/>
        </w:rPr>
      </w:pPr>
      <w:r w:rsidRPr="00034669">
        <w:rPr>
          <w:rFonts w:cs="Open Sans"/>
          <w:sz w:val="24"/>
          <w:szCs w:val="24"/>
        </w:rPr>
        <w:t>3.3.7</w:t>
      </w:r>
      <w:proofErr w:type="gramStart"/>
      <w:r w:rsidRPr="00034669">
        <w:rPr>
          <w:rFonts w:cs="Open Sans"/>
          <w:sz w:val="24"/>
          <w:szCs w:val="24"/>
        </w:rPr>
        <w:t xml:space="preserve">: </w:t>
      </w:r>
      <w:r w:rsidRPr="00034669">
        <w:rPr>
          <w:rFonts w:cs="Open Sans"/>
          <w:sz w:val="24"/>
          <w:szCs w:val="24"/>
        </w:rPr>
        <w:tab/>
        <w:t>Data</w:t>
      </w:r>
      <w:proofErr w:type="gramEnd"/>
      <w:r w:rsidRPr="00034669">
        <w:rPr>
          <w:rFonts w:cs="Open Sans"/>
          <w:sz w:val="24"/>
          <w:szCs w:val="24"/>
        </w:rPr>
        <w:t xml:space="preserve"> backup procedures outlined in the Data backup plan must be tested periodically to ensure that exact copies of PHI can be retrieved and made available. </w:t>
      </w:r>
    </w:p>
    <w:p w14:paraId="355FE4F4" w14:textId="77777777" w:rsidR="00034669" w:rsidRPr="00034669" w:rsidRDefault="00034669" w:rsidP="00034669">
      <w:pPr>
        <w:jc w:val="both"/>
        <w:rPr>
          <w:rFonts w:cs="Open Sans"/>
          <w:sz w:val="24"/>
          <w:szCs w:val="24"/>
        </w:rPr>
      </w:pPr>
      <w:r w:rsidRPr="00034669">
        <w:rPr>
          <w:rFonts w:cs="Open Sans"/>
          <w:sz w:val="24"/>
          <w:szCs w:val="24"/>
        </w:rPr>
        <w:lastRenderedPageBreak/>
        <w:tab/>
        <w:t>3.4:</w:t>
      </w:r>
      <w:r w:rsidRPr="00034669">
        <w:rPr>
          <w:rFonts w:cs="Open Sans"/>
          <w:sz w:val="24"/>
          <w:szCs w:val="24"/>
        </w:rPr>
        <w:tab/>
        <w:t>Disaster Recovery Plan</w:t>
      </w:r>
    </w:p>
    <w:p w14:paraId="3ADF42FA" w14:textId="77777777" w:rsidR="00034669" w:rsidRPr="00034669" w:rsidRDefault="00034669" w:rsidP="00034669">
      <w:pPr>
        <w:ind w:left="2160" w:hanging="720"/>
        <w:jc w:val="both"/>
        <w:rPr>
          <w:rFonts w:cs="Open Sans"/>
          <w:sz w:val="24"/>
          <w:szCs w:val="24"/>
        </w:rPr>
      </w:pPr>
      <w:r w:rsidRPr="00034669">
        <w:rPr>
          <w:rFonts w:cs="Open Sans"/>
          <w:sz w:val="24"/>
          <w:szCs w:val="24"/>
        </w:rPr>
        <w:t>3.4.1</w:t>
      </w:r>
      <w:proofErr w:type="gramStart"/>
      <w:r w:rsidRPr="00034669">
        <w:rPr>
          <w:rFonts w:cs="Open Sans"/>
          <w:sz w:val="24"/>
          <w:szCs w:val="24"/>
        </w:rPr>
        <w:t xml:space="preserve">: </w:t>
      </w:r>
      <w:r w:rsidRPr="00034669">
        <w:rPr>
          <w:rFonts w:cs="Open Sans"/>
          <w:sz w:val="24"/>
          <w:szCs w:val="24"/>
        </w:rPr>
        <w:tab/>
        <w:t>Some</w:t>
      </w:r>
      <w:proofErr w:type="gramEnd"/>
      <w:r w:rsidRPr="00034669">
        <w:rPr>
          <w:rFonts w:cs="Open Sans"/>
          <w:sz w:val="24"/>
          <w:szCs w:val="24"/>
        </w:rPr>
        <w:t xml:space="preserve"> data stores may reside on equipment owned and/or managed by STS in the Department of Finance and Administration, some on equipment owned and/or managed by the TDMHSAS, and others on equipment under a joint arrangement between STS and TDMHSAS. Regardless of ownership and management responsibility, each RMHI and the TDMHSAS Central Office (in concert with STS where appropriate) must establish and implement a Disaster Recovery Plan to ensure their availability to recover from loss of data or access to data due to an emergency or disaster including, but not limited to, fire, vandalism, terrorism, system failure, or natural disaster affecting systems containing electronic PHI. </w:t>
      </w:r>
    </w:p>
    <w:p w14:paraId="22193E99" w14:textId="77777777" w:rsidR="00034669" w:rsidRPr="00034669" w:rsidRDefault="00034669" w:rsidP="00034669">
      <w:pPr>
        <w:ind w:left="2160" w:hanging="720"/>
        <w:jc w:val="both"/>
        <w:rPr>
          <w:rFonts w:cs="Open Sans"/>
          <w:sz w:val="24"/>
          <w:szCs w:val="24"/>
        </w:rPr>
      </w:pPr>
      <w:r w:rsidRPr="00034669">
        <w:rPr>
          <w:rFonts w:cs="Open Sans"/>
          <w:sz w:val="24"/>
          <w:szCs w:val="24"/>
        </w:rPr>
        <w:t>3.4.2</w:t>
      </w:r>
      <w:proofErr w:type="gramStart"/>
      <w:r w:rsidRPr="00034669">
        <w:rPr>
          <w:rFonts w:cs="Open Sans"/>
          <w:sz w:val="24"/>
          <w:szCs w:val="24"/>
        </w:rPr>
        <w:t xml:space="preserve">: </w:t>
      </w:r>
      <w:r w:rsidRPr="00034669">
        <w:rPr>
          <w:rFonts w:cs="Open Sans"/>
          <w:sz w:val="24"/>
          <w:szCs w:val="24"/>
        </w:rPr>
        <w:tab/>
        <w:t>The</w:t>
      </w:r>
      <w:proofErr w:type="gramEnd"/>
      <w:r w:rsidRPr="00034669">
        <w:rPr>
          <w:rFonts w:cs="Open Sans"/>
          <w:sz w:val="24"/>
          <w:szCs w:val="24"/>
        </w:rPr>
        <w:t xml:space="preserve"> Disaster Recovery Plan must assure restoration of electronic PHI and the systems needed to make the electronic PHI available in a timely manner. </w:t>
      </w:r>
    </w:p>
    <w:p w14:paraId="3D833BE3" w14:textId="77777777" w:rsidR="00034669" w:rsidRPr="00034669" w:rsidRDefault="00034669" w:rsidP="00034669">
      <w:pPr>
        <w:ind w:left="2160" w:hanging="720"/>
        <w:jc w:val="both"/>
        <w:rPr>
          <w:rFonts w:cs="Open Sans"/>
          <w:sz w:val="24"/>
          <w:szCs w:val="24"/>
        </w:rPr>
      </w:pPr>
      <w:r w:rsidRPr="00034669">
        <w:rPr>
          <w:rFonts w:cs="Open Sans"/>
          <w:sz w:val="24"/>
          <w:szCs w:val="24"/>
        </w:rPr>
        <w:t>3.4.3</w:t>
      </w:r>
      <w:proofErr w:type="gramStart"/>
      <w:r w:rsidRPr="00034669">
        <w:rPr>
          <w:rFonts w:cs="Open Sans"/>
          <w:sz w:val="24"/>
          <w:szCs w:val="24"/>
        </w:rPr>
        <w:t xml:space="preserve">: </w:t>
      </w:r>
      <w:r w:rsidRPr="00034669">
        <w:rPr>
          <w:rFonts w:cs="Open Sans"/>
          <w:sz w:val="24"/>
          <w:szCs w:val="24"/>
        </w:rPr>
        <w:tab/>
        <w:t>Plans</w:t>
      </w:r>
      <w:proofErr w:type="gramEnd"/>
      <w:r w:rsidRPr="00034669">
        <w:rPr>
          <w:rFonts w:cs="Open Sans"/>
          <w:sz w:val="24"/>
          <w:szCs w:val="24"/>
        </w:rPr>
        <w:t xml:space="preserve"> must be updated whenever computing or telecommunications environments undergo significant changes. Such changes may include, but are not limited to, physical facility, computer hardware/software, telecommunications hardware/software, telecommunications networks, application systems, organization, or budget. </w:t>
      </w:r>
    </w:p>
    <w:p w14:paraId="6E9D582A" w14:textId="77777777" w:rsidR="00034669" w:rsidRPr="00034669" w:rsidRDefault="00034669" w:rsidP="00034669">
      <w:pPr>
        <w:ind w:left="2160" w:hanging="720"/>
        <w:jc w:val="both"/>
        <w:rPr>
          <w:rFonts w:cs="Open Sans"/>
          <w:sz w:val="24"/>
          <w:szCs w:val="24"/>
        </w:rPr>
      </w:pPr>
      <w:r w:rsidRPr="00034669">
        <w:rPr>
          <w:rFonts w:cs="Open Sans"/>
          <w:sz w:val="24"/>
          <w:szCs w:val="24"/>
        </w:rPr>
        <w:t>3.4.4</w:t>
      </w:r>
      <w:proofErr w:type="gramStart"/>
      <w:r w:rsidRPr="00034669">
        <w:rPr>
          <w:rFonts w:cs="Open Sans"/>
          <w:sz w:val="24"/>
          <w:szCs w:val="24"/>
        </w:rPr>
        <w:t xml:space="preserve">: </w:t>
      </w:r>
      <w:r w:rsidRPr="00034669">
        <w:rPr>
          <w:rFonts w:cs="Open Sans"/>
          <w:sz w:val="24"/>
          <w:szCs w:val="24"/>
        </w:rPr>
        <w:tab/>
        <w:t>The</w:t>
      </w:r>
      <w:proofErr w:type="gramEnd"/>
      <w:r w:rsidRPr="00034669">
        <w:rPr>
          <w:rFonts w:cs="Open Sans"/>
          <w:sz w:val="24"/>
          <w:szCs w:val="24"/>
        </w:rPr>
        <w:t xml:space="preserve"> Disaster Recovery Plan must: </w:t>
      </w:r>
    </w:p>
    <w:p w14:paraId="254C4842" w14:textId="77777777" w:rsidR="00034669" w:rsidRPr="00034669" w:rsidRDefault="00034669" w:rsidP="00034669">
      <w:pPr>
        <w:ind w:left="3600" w:hanging="1440"/>
        <w:jc w:val="both"/>
        <w:rPr>
          <w:rFonts w:cs="Open Sans"/>
          <w:sz w:val="24"/>
          <w:szCs w:val="24"/>
        </w:rPr>
      </w:pPr>
      <w:r w:rsidRPr="00034669">
        <w:rPr>
          <w:rFonts w:cs="Open Sans"/>
          <w:sz w:val="24"/>
          <w:szCs w:val="24"/>
        </w:rPr>
        <w:t>(1)</w:t>
      </w:r>
      <w:proofErr w:type="gramStart"/>
      <w:r w:rsidRPr="00034669">
        <w:rPr>
          <w:rFonts w:cs="Open Sans"/>
          <w:sz w:val="24"/>
          <w:szCs w:val="24"/>
        </w:rPr>
        <w:t xml:space="preserve">: </w:t>
      </w:r>
      <w:r w:rsidRPr="00034669">
        <w:rPr>
          <w:rFonts w:cs="Open Sans"/>
          <w:sz w:val="24"/>
          <w:szCs w:val="24"/>
        </w:rPr>
        <w:tab/>
        <w:t>Be</w:t>
      </w:r>
      <w:proofErr w:type="gramEnd"/>
      <w:r w:rsidRPr="00034669">
        <w:rPr>
          <w:rFonts w:cs="Open Sans"/>
          <w:sz w:val="24"/>
          <w:szCs w:val="24"/>
        </w:rPr>
        <w:t xml:space="preserve"> </w:t>
      </w:r>
      <w:proofErr w:type="gramStart"/>
      <w:r w:rsidRPr="00034669">
        <w:rPr>
          <w:rFonts w:cs="Open Sans"/>
          <w:sz w:val="24"/>
          <w:szCs w:val="24"/>
        </w:rPr>
        <w:t>documented and easily available at all times</w:t>
      </w:r>
      <w:proofErr w:type="gramEnd"/>
      <w:r w:rsidRPr="00034669">
        <w:rPr>
          <w:rFonts w:cs="Open Sans"/>
          <w:sz w:val="24"/>
          <w:szCs w:val="24"/>
        </w:rPr>
        <w:t xml:space="preserve"> to the personnel who are trained to implement the Disaster Recovery </w:t>
      </w:r>
      <w:proofErr w:type="gramStart"/>
      <w:r w:rsidRPr="00034669">
        <w:rPr>
          <w:rFonts w:cs="Open Sans"/>
          <w:sz w:val="24"/>
          <w:szCs w:val="24"/>
        </w:rPr>
        <w:t>Plan;</w:t>
      </w:r>
      <w:proofErr w:type="gramEnd"/>
      <w:r w:rsidRPr="00034669">
        <w:rPr>
          <w:rFonts w:cs="Open Sans"/>
          <w:sz w:val="24"/>
          <w:szCs w:val="24"/>
        </w:rPr>
        <w:t xml:space="preserve"> </w:t>
      </w:r>
    </w:p>
    <w:p w14:paraId="7A7CCF55" w14:textId="77777777" w:rsidR="00034669" w:rsidRPr="00034669" w:rsidRDefault="00034669" w:rsidP="00034669">
      <w:pPr>
        <w:ind w:left="3600" w:hanging="1440"/>
        <w:jc w:val="both"/>
        <w:rPr>
          <w:rFonts w:cs="Open Sans"/>
          <w:sz w:val="24"/>
          <w:szCs w:val="24"/>
        </w:rPr>
      </w:pPr>
      <w:r w:rsidRPr="00034669">
        <w:rPr>
          <w:rFonts w:cs="Open Sans"/>
          <w:sz w:val="24"/>
          <w:szCs w:val="24"/>
        </w:rPr>
        <w:t xml:space="preserve">(2): </w:t>
      </w:r>
      <w:r w:rsidRPr="00034669">
        <w:rPr>
          <w:rFonts w:cs="Open Sans"/>
          <w:sz w:val="24"/>
          <w:szCs w:val="24"/>
        </w:rPr>
        <w:tab/>
        <w:t xml:space="preserve">Include a “chain of communication” (call tree) as the basis for notifying appropriate personnel of the disaster with instructions for reporting to the designated recovery </w:t>
      </w:r>
      <w:proofErr w:type="gramStart"/>
      <w:r w:rsidRPr="00034669">
        <w:rPr>
          <w:rFonts w:cs="Open Sans"/>
          <w:sz w:val="24"/>
          <w:szCs w:val="24"/>
        </w:rPr>
        <w:t>site;</w:t>
      </w:r>
      <w:proofErr w:type="gramEnd"/>
      <w:r w:rsidRPr="00034669">
        <w:rPr>
          <w:rFonts w:cs="Open Sans"/>
          <w:sz w:val="24"/>
          <w:szCs w:val="24"/>
        </w:rPr>
        <w:t xml:space="preserve"> </w:t>
      </w:r>
    </w:p>
    <w:p w14:paraId="212AFB66" w14:textId="77777777" w:rsidR="00034669" w:rsidRPr="00034669" w:rsidRDefault="00034669" w:rsidP="00034669">
      <w:pPr>
        <w:ind w:left="3600" w:hanging="1440"/>
        <w:jc w:val="both"/>
        <w:rPr>
          <w:rFonts w:cs="Open Sans"/>
          <w:sz w:val="24"/>
          <w:szCs w:val="24"/>
        </w:rPr>
      </w:pPr>
      <w:r w:rsidRPr="00034669">
        <w:rPr>
          <w:rFonts w:cs="Open Sans"/>
          <w:sz w:val="24"/>
          <w:szCs w:val="24"/>
        </w:rPr>
        <w:t>(3)</w:t>
      </w:r>
      <w:proofErr w:type="gramStart"/>
      <w:r w:rsidRPr="00034669">
        <w:rPr>
          <w:rFonts w:cs="Open Sans"/>
          <w:sz w:val="24"/>
          <w:szCs w:val="24"/>
        </w:rPr>
        <w:t xml:space="preserve">: </w:t>
      </w:r>
      <w:r w:rsidRPr="00034669">
        <w:rPr>
          <w:rFonts w:cs="Open Sans"/>
          <w:sz w:val="24"/>
          <w:szCs w:val="24"/>
        </w:rPr>
        <w:tab/>
        <w:t>Apply</w:t>
      </w:r>
      <w:proofErr w:type="gramEnd"/>
      <w:r w:rsidRPr="00034669">
        <w:rPr>
          <w:rFonts w:cs="Open Sans"/>
          <w:sz w:val="24"/>
          <w:szCs w:val="24"/>
        </w:rPr>
        <w:t xml:space="preserve"> to medium and high-risk electronic PHI information </w:t>
      </w:r>
      <w:proofErr w:type="gramStart"/>
      <w:r w:rsidRPr="00034669">
        <w:rPr>
          <w:rFonts w:cs="Open Sans"/>
          <w:sz w:val="24"/>
          <w:szCs w:val="24"/>
        </w:rPr>
        <w:t>systems;</w:t>
      </w:r>
      <w:proofErr w:type="gramEnd"/>
      <w:r w:rsidRPr="00034669">
        <w:rPr>
          <w:rFonts w:cs="Open Sans"/>
          <w:sz w:val="24"/>
          <w:szCs w:val="24"/>
        </w:rPr>
        <w:t xml:space="preserve"> </w:t>
      </w:r>
    </w:p>
    <w:p w14:paraId="08FB33ED" w14:textId="77777777" w:rsidR="00034669" w:rsidRPr="00034669" w:rsidRDefault="00034669" w:rsidP="00034669">
      <w:pPr>
        <w:ind w:left="3600" w:hanging="1440"/>
        <w:jc w:val="both"/>
        <w:rPr>
          <w:rFonts w:cs="Open Sans"/>
          <w:sz w:val="24"/>
          <w:szCs w:val="24"/>
        </w:rPr>
      </w:pPr>
      <w:r w:rsidRPr="00034669">
        <w:rPr>
          <w:rFonts w:cs="Open Sans"/>
          <w:sz w:val="24"/>
          <w:szCs w:val="24"/>
        </w:rPr>
        <w:t>(4)</w:t>
      </w:r>
      <w:proofErr w:type="gramStart"/>
      <w:r w:rsidRPr="00034669">
        <w:rPr>
          <w:rFonts w:cs="Open Sans"/>
          <w:sz w:val="24"/>
          <w:szCs w:val="24"/>
        </w:rPr>
        <w:t xml:space="preserve">: </w:t>
      </w:r>
      <w:r w:rsidRPr="00034669">
        <w:rPr>
          <w:rFonts w:cs="Open Sans"/>
          <w:sz w:val="24"/>
          <w:szCs w:val="24"/>
        </w:rPr>
        <w:tab/>
        <w:t>Include</w:t>
      </w:r>
      <w:proofErr w:type="gramEnd"/>
      <w:r w:rsidRPr="00034669">
        <w:rPr>
          <w:rFonts w:cs="Open Sans"/>
          <w:sz w:val="24"/>
          <w:szCs w:val="24"/>
        </w:rPr>
        <w:t xml:space="preserve"> procedures to log system outrages, failures, and data loss to critical systems, and procedures to train the appropriate personnel to implement the Disaster Recovery </w:t>
      </w:r>
      <w:proofErr w:type="gramStart"/>
      <w:r w:rsidRPr="00034669">
        <w:rPr>
          <w:rFonts w:cs="Open Sans"/>
          <w:sz w:val="24"/>
          <w:szCs w:val="24"/>
        </w:rPr>
        <w:t>Plan;</w:t>
      </w:r>
      <w:proofErr w:type="gramEnd"/>
      <w:r w:rsidRPr="00034669">
        <w:rPr>
          <w:rFonts w:cs="Open Sans"/>
          <w:sz w:val="24"/>
          <w:szCs w:val="24"/>
        </w:rPr>
        <w:t xml:space="preserve"> </w:t>
      </w:r>
    </w:p>
    <w:p w14:paraId="2803C398" w14:textId="77777777" w:rsidR="00034669" w:rsidRPr="00034669" w:rsidRDefault="00034669" w:rsidP="00034669">
      <w:pPr>
        <w:ind w:left="3600" w:hanging="1440"/>
        <w:jc w:val="both"/>
        <w:rPr>
          <w:rFonts w:cs="Open Sans"/>
          <w:sz w:val="24"/>
          <w:szCs w:val="24"/>
        </w:rPr>
      </w:pPr>
      <w:r w:rsidRPr="00034669">
        <w:rPr>
          <w:rFonts w:cs="Open Sans"/>
          <w:sz w:val="24"/>
          <w:szCs w:val="24"/>
        </w:rPr>
        <w:t>(5)</w:t>
      </w:r>
      <w:proofErr w:type="gramStart"/>
      <w:r w:rsidRPr="00034669">
        <w:rPr>
          <w:rFonts w:cs="Open Sans"/>
          <w:sz w:val="24"/>
          <w:szCs w:val="24"/>
        </w:rPr>
        <w:t xml:space="preserve">: </w:t>
      </w:r>
      <w:r w:rsidRPr="00034669">
        <w:rPr>
          <w:rFonts w:cs="Open Sans"/>
          <w:sz w:val="24"/>
          <w:szCs w:val="24"/>
        </w:rPr>
        <w:tab/>
        <w:t>Include</w:t>
      </w:r>
      <w:proofErr w:type="gramEnd"/>
      <w:r w:rsidRPr="00034669">
        <w:rPr>
          <w:rFonts w:cs="Open Sans"/>
          <w:sz w:val="24"/>
          <w:szCs w:val="24"/>
        </w:rPr>
        <w:t xml:space="preserve"> procedures to restore electronic PHI from data </w:t>
      </w:r>
      <w:proofErr w:type="gramStart"/>
      <w:r w:rsidRPr="00034669">
        <w:rPr>
          <w:rFonts w:cs="Open Sans"/>
          <w:sz w:val="24"/>
          <w:szCs w:val="24"/>
        </w:rPr>
        <w:t>backups;</w:t>
      </w:r>
      <w:proofErr w:type="gramEnd"/>
      <w:r w:rsidRPr="00034669">
        <w:rPr>
          <w:rFonts w:cs="Open Sans"/>
          <w:sz w:val="24"/>
          <w:szCs w:val="24"/>
        </w:rPr>
        <w:t xml:space="preserve"> </w:t>
      </w:r>
    </w:p>
    <w:p w14:paraId="33737669" w14:textId="77777777" w:rsidR="00034669" w:rsidRPr="00034669" w:rsidRDefault="00034669" w:rsidP="00034669">
      <w:pPr>
        <w:ind w:left="3600" w:hanging="1440"/>
        <w:jc w:val="both"/>
        <w:rPr>
          <w:rFonts w:cs="Open Sans"/>
          <w:sz w:val="24"/>
          <w:szCs w:val="24"/>
        </w:rPr>
      </w:pPr>
      <w:r w:rsidRPr="00034669">
        <w:rPr>
          <w:rFonts w:cs="Open Sans"/>
          <w:sz w:val="24"/>
          <w:szCs w:val="24"/>
        </w:rPr>
        <w:t>(6)</w:t>
      </w:r>
      <w:proofErr w:type="gramStart"/>
      <w:r w:rsidRPr="00034669">
        <w:rPr>
          <w:rFonts w:cs="Open Sans"/>
          <w:sz w:val="24"/>
          <w:szCs w:val="24"/>
        </w:rPr>
        <w:t xml:space="preserve">: </w:t>
      </w:r>
      <w:r w:rsidRPr="00034669">
        <w:rPr>
          <w:rFonts w:cs="Open Sans"/>
          <w:sz w:val="24"/>
          <w:szCs w:val="24"/>
        </w:rPr>
        <w:tab/>
        <w:t>Be</w:t>
      </w:r>
      <w:proofErr w:type="gramEnd"/>
      <w:r w:rsidRPr="00034669">
        <w:rPr>
          <w:rFonts w:cs="Open Sans"/>
          <w:sz w:val="24"/>
          <w:szCs w:val="24"/>
        </w:rPr>
        <w:t xml:space="preserve"> tested periodically to ensure that electronic PHI and the systems needed to make it available can be restored or </w:t>
      </w:r>
      <w:proofErr w:type="gramStart"/>
      <w:r w:rsidRPr="00034669">
        <w:rPr>
          <w:rFonts w:cs="Open Sans"/>
          <w:sz w:val="24"/>
          <w:szCs w:val="24"/>
        </w:rPr>
        <w:t>recovered;</w:t>
      </w:r>
      <w:proofErr w:type="gramEnd"/>
      <w:r w:rsidRPr="00034669">
        <w:rPr>
          <w:rFonts w:cs="Open Sans"/>
          <w:sz w:val="24"/>
          <w:szCs w:val="24"/>
        </w:rPr>
        <w:t xml:space="preserve"> </w:t>
      </w:r>
    </w:p>
    <w:p w14:paraId="6F926BF7" w14:textId="77777777" w:rsidR="00034669" w:rsidRPr="00034669" w:rsidRDefault="00034669" w:rsidP="00034669">
      <w:pPr>
        <w:ind w:left="3600" w:hanging="1440"/>
        <w:jc w:val="both"/>
        <w:rPr>
          <w:rFonts w:cs="Open Sans"/>
          <w:sz w:val="24"/>
          <w:szCs w:val="24"/>
        </w:rPr>
      </w:pPr>
      <w:r w:rsidRPr="00034669">
        <w:rPr>
          <w:rFonts w:cs="Open Sans"/>
          <w:sz w:val="24"/>
          <w:szCs w:val="24"/>
        </w:rPr>
        <w:t>(7)</w:t>
      </w:r>
      <w:proofErr w:type="gramStart"/>
      <w:r w:rsidRPr="00034669">
        <w:rPr>
          <w:rFonts w:cs="Open Sans"/>
          <w:sz w:val="24"/>
          <w:szCs w:val="24"/>
        </w:rPr>
        <w:t xml:space="preserve">: </w:t>
      </w:r>
      <w:r w:rsidRPr="00034669">
        <w:rPr>
          <w:rFonts w:cs="Open Sans"/>
          <w:sz w:val="24"/>
          <w:szCs w:val="24"/>
        </w:rPr>
        <w:tab/>
        <w:t>Be</w:t>
      </w:r>
      <w:proofErr w:type="gramEnd"/>
      <w:r w:rsidRPr="00034669">
        <w:rPr>
          <w:rFonts w:cs="Open Sans"/>
          <w:sz w:val="24"/>
          <w:szCs w:val="24"/>
        </w:rPr>
        <w:t xml:space="preserve"> reviewed, updated, and tested annually, or more frequently, if appropriate.</w:t>
      </w:r>
    </w:p>
    <w:p w14:paraId="5F44CA0E" w14:textId="77777777" w:rsidR="00034669" w:rsidRPr="00034669" w:rsidRDefault="00034669" w:rsidP="00034669">
      <w:pPr>
        <w:jc w:val="both"/>
        <w:rPr>
          <w:rFonts w:cs="Open Sans"/>
          <w:sz w:val="24"/>
          <w:szCs w:val="24"/>
        </w:rPr>
      </w:pPr>
      <w:r w:rsidRPr="00034669">
        <w:rPr>
          <w:rFonts w:cs="Open Sans"/>
          <w:sz w:val="24"/>
          <w:szCs w:val="24"/>
        </w:rPr>
        <w:lastRenderedPageBreak/>
        <w:tab/>
        <w:t>3.5</w:t>
      </w:r>
      <w:proofErr w:type="gramStart"/>
      <w:r w:rsidRPr="00034669">
        <w:rPr>
          <w:rFonts w:cs="Open Sans"/>
          <w:sz w:val="24"/>
          <w:szCs w:val="24"/>
        </w:rPr>
        <w:t xml:space="preserve">: </w:t>
      </w:r>
      <w:r w:rsidRPr="00034669">
        <w:rPr>
          <w:rFonts w:cs="Open Sans"/>
          <w:sz w:val="24"/>
          <w:szCs w:val="24"/>
        </w:rPr>
        <w:tab/>
        <w:t>Emergency</w:t>
      </w:r>
      <w:proofErr w:type="gramEnd"/>
      <w:r w:rsidRPr="00034669">
        <w:rPr>
          <w:rFonts w:cs="Open Sans"/>
          <w:sz w:val="24"/>
          <w:szCs w:val="24"/>
        </w:rPr>
        <w:t xml:space="preserve"> Mode Operation Plan</w:t>
      </w:r>
    </w:p>
    <w:p w14:paraId="6D086781" w14:textId="77777777" w:rsidR="00034669" w:rsidRPr="00034669" w:rsidRDefault="00034669" w:rsidP="00034669">
      <w:pPr>
        <w:ind w:left="2160" w:hanging="720"/>
        <w:jc w:val="both"/>
        <w:rPr>
          <w:rFonts w:cs="Open Sans"/>
          <w:sz w:val="24"/>
          <w:szCs w:val="24"/>
        </w:rPr>
      </w:pPr>
      <w:r w:rsidRPr="00034669">
        <w:rPr>
          <w:rFonts w:cs="Open Sans"/>
          <w:sz w:val="24"/>
          <w:szCs w:val="24"/>
        </w:rPr>
        <w:t>3.5.1</w:t>
      </w:r>
      <w:proofErr w:type="gramStart"/>
      <w:r w:rsidRPr="00034669">
        <w:rPr>
          <w:rFonts w:cs="Open Sans"/>
          <w:sz w:val="24"/>
          <w:szCs w:val="24"/>
        </w:rPr>
        <w:t xml:space="preserve">: </w:t>
      </w:r>
      <w:r w:rsidRPr="00034669">
        <w:rPr>
          <w:rFonts w:cs="Open Sans"/>
          <w:sz w:val="24"/>
          <w:szCs w:val="24"/>
        </w:rPr>
        <w:tab/>
        <w:t>Each</w:t>
      </w:r>
      <w:proofErr w:type="gramEnd"/>
      <w:r w:rsidRPr="00034669">
        <w:rPr>
          <w:rFonts w:cs="Open Sans"/>
          <w:sz w:val="24"/>
          <w:szCs w:val="24"/>
        </w:rPr>
        <w:t xml:space="preserve"> RMHI and the TDMHSAS must establish an Emergency Mode Operation Plan and implement procedures, as needed, to enable continuation of critical business processes in the event of the electronic PHI data loss or system failure. Emergency Mode Operation Plans must be reviewed at least annually and modified as needed. </w:t>
      </w:r>
    </w:p>
    <w:p w14:paraId="7677B9B2" w14:textId="77777777" w:rsidR="00034669" w:rsidRPr="00034669" w:rsidRDefault="00034669" w:rsidP="00034669">
      <w:pPr>
        <w:ind w:left="2160" w:hanging="720"/>
        <w:jc w:val="both"/>
        <w:rPr>
          <w:rFonts w:cs="Open Sans"/>
          <w:sz w:val="24"/>
          <w:szCs w:val="24"/>
        </w:rPr>
      </w:pPr>
      <w:r w:rsidRPr="00034669">
        <w:rPr>
          <w:rFonts w:cs="Open Sans"/>
          <w:sz w:val="24"/>
          <w:szCs w:val="24"/>
        </w:rPr>
        <w:t xml:space="preserve">3.5.2: </w:t>
      </w:r>
      <w:r w:rsidRPr="00034669">
        <w:rPr>
          <w:rFonts w:cs="Open Sans"/>
          <w:sz w:val="24"/>
          <w:szCs w:val="24"/>
        </w:rPr>
        <w:tab/>
        <w:t xml:space="preserve">The Emergency Mode Operation Plan must include a “chain of communication” (call tree) as the basis for notifying appropriate personnel of the emergency with instructions for reporting to the designated emergency operations site. </w:t>
      </w:r>
    </w:p>
    <w:p w14:paraId="6A1BC8FD" w14:textId="77777777" w:rsidR="00034669" w:rsidRPr="00034669" w:rsidRDefault="00034669" w:rsidP="00034669">
      <w:pPr>
        <w:ind w:left="2160" w:hanging="720"/>
        <w:jc w:val="both"/>
        <w:rPr>
          <w:rFonts w:cs="Open Sans"/>
          <w:sz w:val="24"/>
          <w:szCs w:val="24"/>
        </w:rPr>
      </w:pPr>
      <w:r w:rsidRPr="00034669">
        <w:rPr>
          <w:rFonts w:cs="Open Sans"/>
          <w:sz w:val="24"/>
          <w:szCs w:val="24"/>
        </w:rPr>
        <w:t>3.5.3</w:t>
      </w:r>
      <w:proofErr w:type="gramStart"/>
      <w:r w:rsidRPr="00034669">
        <w:rPr>
          <w:rFonts w:cs="Open Sans"/>
          <w:sz w:val="24"/>
          <w:szCs w:val="24"/>
        </w:rPr>
        <w:t xml:space="preserve">: </w:t>
      </w:r>
      <w:r w:rsidRPr="00034669">
        <w:rPr>
          <w:rFonts w:cs="Open Sans"/>
          <w:sz w:val="24"/>
          <w:szCs w:val="24"/>
        </w:rPr>
        <w:tab/>
        <w:t>Emergency</w:t>
      </w:r>
      <w:proofErr w:type="gramEnd"/>
      <w:r w:rsidRPr="00034669">
        <w:rPr>
          <w:rFonts w:cs="Open Sans"/>
          <w:sz w:val="24"/>
          <w:szCs w:val="24"/>
        </w:rPr>
        <w:t xml:space="preserve"> mode operation procedures outlined in the Emergency Mode Operation Plan must be tested periodically to ensure that critical business processes can continue in a satisfactory manner while operating in emergency mode. </w:t>
      </w:r>
    </w:p>
    <w:p w14:paraId="46FA7E55" w14:textId="4A400F41" w:rsidR="00034669" w:rsidRPr="00034669" w:rsidRDefault="00034669" w:rsidP="00E50E35">
      <w:pPr>
        <w:pStyle w:val="Heading2"/>
      </w:pPr>
      <w:r w:rsidRPr="00034669">
        <w:t>Other Considerations</w:t>
      </w:r>
    </w:p>
    <w:p w14:paraId="12CD565A" w14:textId="77777777" w:rsidR="00034669" w:rsidRPr="00034669" w:rsidRDefault="00034669" w:rsidP="00034669">
      <w:pPr>
        <w:jc w:val="both"/>
        <w:rPr>
          <w:rFonts w:cs="Open Sans"/>
          <w:sz w:val="24"/>
          <w:szCs w:val="24"/>
        </w:rPr>
      </w:pPr>
      <w:r w:rsidRPr="00034669">
        <w:rPr>
          <w:rFonts w:cs="Open Sans"/>
          <w:sz w:val="24"/>
          <w:szCs w:val="24"/>
        </w:rPr>
        <w:tab/>
        <w:t>4.1</w:t>
      </w:r>
      <w:proofErr w:type="gramStart"/>
      <w:r w:rsidRPr="00034669">
        <w:rPr>
          <w:rFonts w:cs="Open Sans"/>
          <w:sz w:val="24"/>
          <w:szCs w:val="24"/>
        </w:rPr>
        <w:t xml:space="preserve">: </w:t>
      </w:r>
      <w:r w:rsidRPr="00034669">
        <w:rPr>
          <w:rFonts w:cs="Open Sans"/>
          <w:sz w:val="24"/>
          <w:szCs w:val="24"/>
        </w:rPr>
        <w:tab/>
        <w:t>Authority</w:t>
      </w:r>
      <w:proofErr w:type="gramEnd"/>
      <w:r w:rsidRPr="00034669">
        <w:rPr>
          <w:rFonts w:cs="Open Sans"/>
          <w:sz w:val="24"/>
          <w:szCs w:val="24"/>
        </w:rPr>
        <w:t>: 45 CFR §§164.308, and 164.310.</w:t>
      </w:r>
    </w:p>
    <w:p w14:paraId="78AD4518" w14:textId="708FBAD1" w:rsidR="00613DC3" w:rsidRDefault="00194626" w:rsidP="00D46E74">
      <w:pPr>
        <w:rPr>
          <w:rFonts w:cs="Open Sans"/>
        </w:rPr>
      </w:pPr>
      <w:r>
        <w:rPr>
          <w:noProof/>
        </w:rPr>
        <w:drawing>
          <wp:anchor distT="0" distB="0" distL="114300" distR="114300" simplePos="0" relativeHeight="251663360" behindDoc="1" locked="0" layoutInCell="1" allowOverlap="1" wp14:anchorId="772C70C6" wp14:editId="6A837B31">
            <wp:simplePos x="0" y="0"/>
            <wp:positionH relativeFrom="column">
              <wp:posOffset>601980</wp:posOffset>
            </wp:positionH>
            <wp:positionV relativeFrom="paragraph">
              <wp:posOffset>175895</wp:posOffset>
            </wp:positionV>
            <wp:extent cx="2849880" cy="2270125"/>
            <wp:effectExtent l="0" t="0" r="7620" b="0"/>
            <wp:wrapTight wrapText="bothSides">
              <wp:wrapPolygon edited="0">
                <wp:start x="0" y="0"/>
                <wp:lineTo x="0" y="21389"/>
                <wp:lineTo x="21513" y="21389"/>
                <wp:lineTo x="21513" y="0"/>
                <wp:lineTo x="0" y="0"/>
              </wp:wrapPolygon>
            </wp:wrapTight>
            <wp:docPr id="1156622519" name="Picture 1" descr="Signature page from 2023 version of the form showing signature of Commissioner Marie Williams and the date of January 18,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622519" name="Picture 1" descr="Signature page from 2023 version of the form showing signature of Commissioner Marie Williams and the date of January 18, 202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49880" cy="2270125"/>
                    </a:xfrm>
                    <a:prstGeom prst="rect">
                      <a:avLst/>
                    </a:prstGeom>
                  </pic:spPr>
                </pic:pic>
              </a:graphicData>
            </a:graphic>
            <wp14:sizeRelH relativeFrom="page">
              <wp14:pctWidth>0</wp14:pctWidth>
            </wp14:sizeRelH>
            <wp14:sizeRelV relativeFrom="page">
              <wp14:pctHeight>0</wp14:pctHeight>
            </wp14:sizeRelV>
          </wp:anchor>
        </w:drawing>
      </w:r>
    </w:p>
    <w:p w14:paraId="791D5C55" w14:textId="040FE34D" w:rsidR="00194626" w:rsidRPr="00034669" w:rsidRDefault="00194626" w:rsidP="00D46E74">
      <w:pPr>
        <w:rPr>
          <w:rFonts w:cs="Open Sans"/>
        </w:rPr>
      </w:pPr>
    </w:p>
    <w:sectPr w:rsidR="00194626" w:rsidRPr="00034669" w:rsidSect="00E87684">
      <w:headerReference w:type="default" r:id="rId9"/>
      <w:footerReference w:type="default" r:id="rId10"/>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C8F4C" w14:textId="77777777" w:rsidR="001A6631" w:rsidRDefault="001A6631" w:rsidP="00801079">
      <w:r>
        <w:separator/>
      </w:r>
    </w:p>
  </w:endnote>
  <w:endnote w:type="continuationSeparator" w:id="0">
    <w:p w14:paraId="47470F8E" w14:textId="77777777" w:rsidR="001A6631" w:rsidRDefault="001A6631"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34079D23"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HIPAA </w:t>
    </w:r>
    <w:r w:rsidR="006F104E">
      <w:rPr>
        <w:rFonts w:cs="Open Sans"/>
        <w:sz w:val="20"/>
        <w:szCs w:val="20"/>
      </w:rPr>
      <w:t>5.</w:t>
    </w:r>
    <w:r w:rsidR="00034669">
      <w:rPr>
        <w:rFonts w:cs="Open Sans"/>
        <w:sz w:val="20"/>
        <w:szCs w:val="20"/>
      </w:rPr>
      <w:t>7</w:t>
    </w:r>
    <w:r w:rsidR="007265A5" w:rsidRPr="00415024">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034669">
      <w:rPr>
        <w:rFonts w:cs="Open Sans"/>
        <w:sz w:val="20"/>
        <w:szCs w:val="20"/>
      </w:rPr>
      <w:t>Data Backup and Contingency Planning</w:t>
    </w:r>
    <w:r w:rsidR="00956BCA">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D46E74">
      <w:rPr>
        <w:rFonts w:cs="Open Sans"/>
        <w:sz w:val="20"/>
        <w:szCs w:val="20"/>
      </w:rPr>
      <w:t>October13,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58D9B" w14:textId="77777777" w:rsidR="001A6631" w:rsidRDefault="001A6631" w:rsidP="00801079">
      <w:r>
        <w:separator/>
      </w:r>
    </w:p>
  </w:footnote>
  <w:footnote w:type="continuationSeparator" w:id="0">
    <w:p w14:paraId="082AE40E" w14:textId="77777777" w:rsidR="001A6631" w:rsidRDefault="001A6631"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3BAD" w14:textId="77777777" w:rsidR="00801079"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E11485">
      <w:rPr>
        <w:rFonts w:cs="Open Sans"/>
      </w:rPr>
      <w:t>Department</w:t>
    </w:r>
    <w:r w:rsidRPr="00771DEC">
      <w:rPr>
        <w:rFonts w:cs="Open Sans"/>
      </w:rPr>
      <w:t xml:space="preserve"> </w:t>
    </w:r>
    <w:r w:rsidRPr="00771DEC">
      <w:rPr>
        <w:rFonts w:cs="Open Sans"/>
        <w:i/>
        <w:iCs/>
      </w:rPr>
      <w:t>of</w:t>
    </w:r>
  </w:p>
  <w:p w14:paraId="27F43769" w14:textId="77777777" w:rsidR="0086073D" w:rsidRPr="00771DEC" w:rsidRDefault="00A15132" w:rsidP="0075304D">
    <w:pPr>
      <w:pStyle w:val="Header"/>
      <w:ind w:left="1440"/>
      <w:rPr>
        <w:rFonts w:cs="Open Sans"/>
      </w:rPr>
    </w:pPr>
    <w:r>
      <w:rPr>
        <w:rFonts w:ascii="Open Sans Semibold" w:hAnsi="Open Sans Semibold" w:cs="Open Sans Semibold"/>
        <w:sz w:val="36"/>
        <w:szCs w:val="36"/>
      </w:rPr>
      <w:t>Mental Health and Substance Abuse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E1F"/>
    <w:multiLevelType w:val="hybridMultilevel"/>
    <w:tmpl w:val="7362ED8E"/>
    <w:lvl w:ilvl="0" w:tplc="188E6BB6">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A81674"/>
    <w:multiLevelType w:val="hybridMultilevel"/>
    <w:tmpl w:val="3A0C5D1E"/>
    <w:lvl w:ilvl="0" w:tplc="B6242C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514396"/>
    <w:multiLevelType w:val="hybridMultilevel"/>
    <w:tmpl w:val="5F3AB3C2"/>
    <w:lvl w:ilvl="0" w:tplc="4E66F1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9"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3537FB"/>
    <w:multiLevelType w:val="hybridMultilevel"/>
    <w:tmpl w:val="2982AF2E"/>
    <w:lvl w:ilvl="0" w:tplc="74FA184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2"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5"/>
  </w:num>
  <w:num w:numId="2" w16cid:durableId="783118593">
    <w:abstractNumId w:val="17"/>
  </w:num>
  <w:num w:numId="3" w16cid:durableId="1505390476">
    <w:abstractNumId w:val="4"/>
  </w:num>
  <w:num w:numId="4" w16cid:durableId="1274096518">
    <w:abstractNumId w:val="14"/>
  </w:num>
  <w:num w:numId="5" w16cid:durableId="855191819">
    <w:abstractNumId w:val="6"/>
  </w:num>
  <w:num w:numId="6" w16cid:durableId="1329669013">
    <w:abstractNumId w:val="18"/>
  </w:num>
  <w:num w:numId="7" w16cid:durableId="1721434853">
    <w:abstractNumId w:val="19"/>
  </w:num>
  <w:num w:numId="8" w16cid:durableId="1150367029">
    <w:abstractNumId w:val="7"/>
  </w:num>
  <w:num w:numId="9" w16cid:durableId="2028869913">
    <w:abstractNumId w:val="2"/>
  </w:num>
  <w:num w:numId="10" w16cid:durableId="1115558235">
    <w:abstractNumId w:val="13"/>
  </w:num>
  <w:num w:numId="11" w16cid:durableId="1375544509">
    <w:abstractNumId w:val="16"/>
  </w:num>
  <w:num w:numId="12" w16cid:durableId="463891535">
    <w:abstractNumId w:val="9"/>
  </w:num>
  <w:num w:numId="13" w16cid:durableId="687878566">
    <w:abstractNumId w:val="11"/>
  </w:num>
  <w:num w:numId="14" w16cid:durableId="476453308">
    <w:abstractNumId w:val="1"/>
  </w:num>
  <w:num w:numId="15" w16cid:durableId="1974822128">
    <w:abstractNumId w:val="8"/>
  </w:num>
  <w:num w:numId="16" w16cid:durableId="525289569">
    <w:abstractNumId w:val="20"/>
  </w:num>
  <w:num w:numId="17" w16cid:durableId="1799374499">
    <w:abstractNumId w:val="12"/>
  </w:num>
  <w:num w:numId="18" w16cid:durableId="1959069171">
    <w:abstractNumId w:val="3"/>
  </w:num>
  <w:num w:numId="19" w16cid:durableId="678969389">
    <w:abstractNumId w:val="10"/>
  </w:num>
  <w:num w:numId="20" w16cid:durableId="1540127759">
    <w:abstractNumId w:val="5"/>
  </w:num>
  <w:num w:numId="21" w16cid:durableId="638608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vVnM0kXbqjChibOo9o8MksLN+CyLad5PU5OhRjJp0KJZhX8OR8na4Udc6r36sQ/iadSZCS+JpO4MQWBvAUVy7A==" w:salt="tyEnhu1m8+C0ILhu2U66W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225E4"/>
    <w:rsid w:val="00034669"/>
    <w:rsid w:val="000379AB"/>
    <w:rsid w:val="00050935"/>
    <w:rsid w:val="00154412"/>
    <w:rsid w:val="0019439F"/>
    <w:rsid w:val="00194626"/>
    <w:rsid w:val="001A6631"/>
    <w:rsid w:val="001F783E"/>
    <w:rsid w:val="00234968"/>
    <w:rsid w:val="00295159"/>
    <w:rsid w:val="0031236F"/>
    <w:rsid w:val="00350200"/>
    <w:rsid w:val="0039259F"/>
    <w:rsid w:val="00392FF6"/>
    <w:rsid w:val="00415024"/>
    <w:rsid w:val="0049025A"/>
    <w:rsid w:val="0051764F"/>
    <w:rsid w:val="0052355E"/>
    <w:rsid w:val="00524802"/>
    <w:rsid w:val="00532C95"/>
    <w:rsid w:val="00560396"/>
    <w:rsid w:val="00571ACA"/>
    <w:rsid w:val="005C33F1"/>
    <w:rsid w:val="005D6AB0"/>
    <w:rsid w:val="00601970"/>
    <w:rsid w:val="00613DC3"/>
    <w:rsid w:val="006A38F0"/>
    <w:rsid w:val="006F104E"/>
    <w:rsid w:val="00703739"/>
    <w:rsid w:val="007265A5"/>
    <w:rsid w:val="0073515C"/>
    <w:rsid w:val="00750BA8"/>
    <w:rsid w:val="0075304D"/>
    <w:rsid w:val="00771DEC"/>
    <w:rsid w:val="00792280"/>
    <w:rsid w:val="007A63C0"/>
    <w:rsid w:val="007E1006"/>
    <w:rsid w:val="007E7C66"/>
    <w:rsid w:val="007F2E06"/>
    <w:rsid w:val="00801079"/>
    <w:rsid w:val="00835989"/>
    <w:rsid w:val="00840187"/>
    <w:rsid w:val="008544AF"/>
    <w:rsid w:val="00857933"/>
    <w:rsid w:val="0086073D"/>
    <w:rsid w:val="008760C5"/>
    <w:rsid w:val="008C3DDF"/>
    <w:rsid w:val="008C5D30"/>
    <w:rsid w:val="008C65A9"/>
    <w:rsid w:val="008F5D3B"/>
    <w:rsid w:val="00916859"/>
    <w:rsid w:val="00943564"/>
    <w:rsid w:val="00951960"/>
    <w:rsid w:val="00956BCA"/>
    <w:rsid w:val="00956F9F"/>
    <w:rsid w:val="0097119D"/>
    <w:rsid w:val="009924FF"/>
    <w:rsid w:val="009A32FC"/>
    <w:rsid w:val="009B2129"/>
    <w:rsid w:val="00A15132"/>
    <w:rsid w:val="00AB3B02"/>
    <w:rsid w:val="00AC0597"/>
    <w:rsid w:val="00AE70B5"/>
    <w:rsid w:val="00B077F2"/>
    <w:rsid w:val="00B5742C"/>
    <w:rsid w:val="00B6110B"/>
    <w:rsid w:val="00B65334"/>
    <w:rsid w:val="00BA797F"/>
    <w:rsid w:val="00BD2C4F"/>
    <w:rsid w:val="00CA70AF"/>
    <w:rsid w:val="00CC225E"/>
    <w:rsid w:val="00CF32F0"/>
    <w:rsid w:val="00D46E74"/>
    <w:rsid w:val="00D52904"/>
    <w:rsid w:val="00D563C5"/>
    <w:rsid w:val="00D92C14"/>
    <w:rsid w:val="00DD6010"/>
    <w:rsid w:val="00E11485"/>
    <w:rsid w:val="00E50E35"/>
    <w:rsid w:val="00E55E0A"/>
    <w:rsid w:val="00E627A5"/>
    <w:rsid w:val="00E87684"/>
    <w:rsid w:val="00E96E43"/>
    <w:rsid w:val="00F01E74"/>
    <w:rsid w:val="00F0397D"/>
    <w:rsid w:val="00F47A18"/>
    <w:rsid w:val="00F922AF"/>
    <w:rsid w:val="00F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E50E35"/>
    <w:pPr>
      <w:numPr>
        <w:numId w:val="21"/>
      </w:numPr>
      <w:jc w:val="both"/>
      <w:outlineLvl w:val="1"/>
    </w:pPr>
    <w:rPr>
      <w:rFonts w:cs="Open San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5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50E35"/>
    <w:rPr>
      <w:rFonts w:ascii="Open Sans" w:hAnsi="Open Sans" w:cs="Open Sans"/>
      <w:b/>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4</TotalTime>
  <Pages>5</Pages>
  <Words>1380</Words>
  <Characters>7165</Characters>
  <Application>Microsoft Office Word</Application>
  <DocSecurity>8</DocSecurity>
  <Lines>125</Lines>
  <Paragraphs>56</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6</cp:revision>
  <dcterms:created xsi:type="dcterms:W3CDTF">2026-04-01T20:22:00Z</dcterms:created>
  <dcterms:modified xsi:type="dcterms:W3CDTF">2026-04-02T18:54:00Z</dcterms:modified>
</cp:coreProperties>
</file>