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4CDD41AD" w:rsidR="00295159" w:rsidRPr="00D46E74" w:rsidRDefault="00295159" w:rsidP="00AB12C0">
      <w:pPr>
        <w:pStyle w:val="Heading1"/>
        <w:ind w:left="720" w:firstLine="720"/>
      </w:pPr>
      <w:r w:rsidRPr="00D46E74">
        <w:t>Subject:</w:t>
      </w:r>
      <w:r w:rsidR="00AE70B5" w:rsidRPr="00D46E74">
        <w:t xml:space="preserve"> </w:t>
      </w:r>
      <w:r w:rsidR="00D46E74" w:rsidRPr="00D46E74">
        <w:t>Facility Maintenance or Repair</w:t>
      </w:r>
    </w:p>
    <w:p w14:paraId="6D907FB4" w14:textId="338F0D36" w:rsidR="00295159" w:rsidRPr="00D46E74" w:rsidRDefault="00295159" w:rsidP="00E87684">
      <w:pPr>
        <w:ind w:left="1440"/>
        <w:jc w:val="both"/>
        <w:rPr>
          <w:rFonts w:cs="Open Sans"/>
        </w:rPr>
      </w:pPr>
      <w:r w:rsidRPr="00D46E74">
        <w:rPr>
          <w:rFonts w:cs="Open Sans"/>
        </w:rPr>
        <w:t>Policy Number:</w:t>
      </w:r>
      <w:r w:rsidR="00AE70B5" w:rsidRPr="00D46E74">
        <w:rPr>
          <w:rFonts w:cs="Open Sans"/>
        </w:rPr>
        <w:t xml:space="preserve"> HIPAA </w:t>
      </w:r>
      <w:r w:rsidR="00613DC3" w:rsidRPr="00D46E74">
        <w:rPr>
          <w:rFonts w:cs="Open Sans"/>
        </w:rPr>
        <w:t>5.</w:t>
      </w:r>
      <w:r w:rsidR="00D46E74" w:rsidRPr="00D46E74">
        <w:rPr>
          <w:rFonts w:cs="Open Sans"/>
        </w:rPr>
        <w:t>6</w:t>
      </w:r>
    </w:p>
    <w:p w14:paraId="5C31EC69" w14:textId="17A3B16E" w:rsidR="00295159" w:rsidRPr="00D46E74" w:rsidRDefault="00295159" w:rsidP="00E87684">
      <w:pPr>
        <w:ind w:left="1440"/>
        <w:jc w:val="both"/>
        <w:rPr>
          <w:rFonts w:cs="Open Sans"/>
        </w:rPr>
      </w:pPr>
      <w:r w:rsidRPr="00D46E74">
        <w:rPr>
          <w:rFonts w:cs="Open Sans"/>
        </w:rPr>
        <w:t>Effective Date:</w:t>
      </w:r>
      <w:r w:rsidR="00AE70B5" w:rsidRPr="00D46E74">
        <w:rPr>
          <w:rFonts w:cs="Open Sans"/>
        </w:rPr>
        <w:t xml:space="preserve"> </w:t>
      </w:r>
      <w:r w:rsidR="00D46E74" w:rsidRPr="00D46E74">
        <w:rPr>
          <w:rFonts w:cs="Open Sans"/>
        </w:rPr>
        <w:t>10/13/05</w:t>
      </w:r>
    </w:p>
    <w:p w14:paraId="02476432" w14:textId="455A1852" w:rsidR="00295159" w:rsidRPr="00D46E74" w:rsidRDefault="00AE70B5" w:rsidP="00E87684">
      <w:pPr>
        <w:ind w:left="1440"/>
        <w:jc w:val="both"/>
        <w:rPr>
          <w:rFonts w:cs="Open Sans"/>
        </w:rPr>
      </w:pPr>
      <w:r w:rsidRPr="00D46E74">
        <w:rPr>
          <w:rFonts w:cs="Open Sans"/>
        </w:rPr>
        <w:t xml:space="preserve">Entity Responsible: Division of General Counsel </w:t>
      </w:r>
    </w:p>
    <w:p w14:paraId="0B357B2C" w14:textId="2A434935" w:rsidR="00295159" w:rsidRPr="00D46E74" w:rsidRDefault="00295159" w:rsidP="00E87684">
      <w:pPr>
        <w:ind w:left="1440"/>
        <w:jc w:val="both"/>
        <w:rPr>
          <w:rFonts w:cs="Open Sans"/>
        </w:rPr>
      </w:pPr>
      <w:r w:rsidRPr="00D46E74">
        <w:rPr>
          <w:rFonts w:cs="Open Sans"/>
        </w:rPr>
        <w:t>Last Review or Revision:</w:t>
      </w:r>
      <w:r w:rsidR="007265A5" w:rsidRPr="00D46E74">
        <w:rPr>
          <w:rFonts w:cs="Open Sans"/>
        </w:rPr>
        <w:t xml:space="preserve"> </w:t>
      </w:r>
      <w:r w:rsidR="001F4CB7">
        <w:rPr>
          <w:rFonts w:cs="Open Sans"/>
          <w:kern w:val="0"/>
          <w14:ligatures w14:val="none"/>
        </w:rPr>
        <w:t>1/18/23</w:t>
      </w:r>
    </w:p>
    <w:p w14:paraId="5A292C69" w14:textId="6E04E2A7" w:rsidR="00295159" w:rsidRPr="00D46E74" w:rsidRDefault="00295159" w:rsidP="00AB12C0">
      <w:pPr>
        <w:ind w:left="1440"/>
        <w:jc w:val="both"/>
        <w:rPr>
          <w:rFonts w:cs="Open Sans"/>
        </w:rPr>
      </w:pPr>
      <w:r w:rsidRPr="00D46E74">
        <w:rPr>
          <w:rFonts w:cs="Open Sans"/>
        </w:rPr>
        <w:t>Approved by:</w:t>
      </w:r>
      <w:r w:rsidR="007265A5" w:rsidRPr="00D46E74">
        <w:rPr>
          <w:rFonts w:cs="Open Sans"/>
        </w:rPr>
        <w:t xml:space="preserve"> Commissioner Marie Williams</w:t>
      </w:r>
    </w:p>
    <w:p w14:paraId="6C03AFC5" w14:textId="4C7805E5" w:rsidR="00D46E74" w:rsidRPr="00D46E74" w:rsidRDefault="00D46E74" w:rsidP="00AB12C0">
      <w:pPr>
        <w:pStyle w:val="Heading2"/>
      </w:pPr>
      <w:r w:rsidRPr="00D46E74">
        <w:t>Purpose:</w:t>
      </w:r>
    </w:p>
    <w:p w14:paraId="647B0223" w14:textId="77777777" w:rsidR="00D46E74" w:rsidRPr="00D46E74" w:rsidRDefault="00D46E74" w:rsidP="00D46E74">
      <w:pPr>
        <w:ind w:left="720"/>
        <w:jc w:val="both"/>
        <w:rPr>
          <w:rFonts w:cs="Open Sans"/>
          <w:sz w:val="24"/>
          <w:szCs w:val="24"/>
        </w:rPr>
      </w:pPr>
      <w:r w:rsidRPr="00D46E74">
        <w:rPr>
          <w:rFonts w:cs="Open Sans"/>
          <w:sz w:val="24"/>
          <w:szCs w:val="24"/>
        </w:rPr>
        <w:t xml:space="preserve">This policy requires that facility modification and repairs be logged, and that electronic protected health information (PHI) be protected from workers providing such maintenance or repair as required by the Health Insurance Portability and Accountability Act (HIPAA), as amended, and other relevant state and federal laws. </w:t>
      </w:r>
    </w:p>
    <w:p w14:paraId="5E0DF65E" w14:textId="53D19855" w:rsidR="00D46E74" w:rsidRPr="00D46E74" w:rsidRDefault="00D46E74" w:rsidP="00AB12C0">
      <w:pPr>
        <w:pStyle w:val="Heading2"/>
      </w:pPr>
      <w:r w:rsidRPr="00D46E74">
        <w:t>Policy:</w:t>
      </w:r>
    </w:p>
    <w:p w14:paraId="58B16570" w14:textId="77777777" w:rsidR="00D46E74" w:rsidRPr="00D46E74" w:rsidRDefault="00D46E74" w:rsidP="00D46E74">
      <w:pPr>
        <w:ind w:left="1440" w:hanging="720"/>
        <w:jc w:val="both"/>
        <w:rPr>
          <w:rFonts w:cs="Open Sans"/>
          <w:sz w:val="24"/>
          <w:szCs w:val="24"/>
        </w:rPr>
      </w:pPr>
      <w:r w:rsidRPr="00D46E74">
        <w:rPr>
          <w:rFonts w:cs="Open Sans"/>
          <w:sz w:val="24"/>
          <w:szCs w:val="24"/>
        </w:rPr>
        <w:t>2.1</w:t>
      </w:r>
      <w:proofErr w:type="gramStart"/>
      <w:r w:rsidRPr="00D46E74">
        <w:rPr>
          <w:rFonts w:cs="Open Sans"/>
          <w:sz w:val="24"/>
          <w:szCs w:val="24"/>
        </w:rPr>
        <w:t xml:space="preserve">: </w:t>
      </w:r>
      <w:r w:rsidRPr="00D46E74">
        <w:rPr>
          <w:rFonts w:cs="Open Sans"/>
          <w:sz w:val="24"/>
          <w:szCs w:val="24"/>
        </w:rPr>
        <w:tab/>
        <w:t>Facility</w:t>
      </w:r>
      <w:proofErr w:type="gramEnd"/>
      <w:r w:rsidRPr="00D46E74">
        <w:rPr>
          <w:rFonts w:cs="Open Sans"/>
          <w:sz w:val="24"/>
          <w:szCs w:val="24"/>
        </w:rPr>
        <w:t xml:space="preserve"> modifications and/or repairs must be logged to show the dates and times when workers are present in areas containing PHI. Logs must be maintained for a period of two years following the beginning of any facility maintenance or repair to an area that contains PHI. </w:t>
      </w:r>
    </w:p>
    <w:p w14:paraId="288D6C1B" w14:textId="77777777" w:rsidR="00D46E74" w:rsidRPr="00D46E74" w:rsidRDefault="00D46E74" w:rsidP="00D46E74">
      <w:pPr>
        <w:ind w:left="1440" w:hanging="720"/>
        <w:jc w:val="both"/>
        <w:rPr>
          <w:rFonts w:cs="Open Sans"/>
          <w:sz w:val="24"/>
          <w:szCs w:val="24"/>
        </w:rPr>
      </w:pPr>
      <w:r w:rsidRPr="00D46E74">
        <w:rPr>
          <w:rFonts w:cs="Open Sans"/>
          <w:sz w:val="24"/>
          <w:szCs w:val="24"/>
        </w:rPr>
        <w:t>2.2</w:t>
      </w:r>
      <w:proofErr w:type="gramStart"/>
      <w:r w:rsidRPr="00D46E74">
        <w:rPr>
          <w:rFonts w:cs="Open Sans"/>
          <w:sz w:val="24"/>
          <w:szCs w:val="24"/>
        </w:rPr>
        <w:t xml:space="preserve">: </w:t>
      </w:r>
      <w:r w:rsidRPr="00D46E74">
        <w:rPr>
          <w:rFonts w:cs="Open Sans"/>
          <w:sz w:val="24"/>
          <w:szCs w:val="24"/>
        </w:rPr>
        <w:tab/>
        <w:t>Reasonable</w:t>
      </w:r>
      <w:proofErr w:type="gramEnd"/>
      <w:r w:rsidRPr="00D46E74">
        <w:rPr>
          <w:rFonts w:cs="Open Sans"/>
          <w:sz w:val="24"/>
          <w:szCs w:val="24"/>
        </w:rPr>
        <w:t xml:space="preserve"> efforts must be made to ensure that workers involved in facility repairs and or modifications are restricted from accessing PHI. </w:t>
      </w:r>
    </w:p>
    <w:p w14:paraId="5479094C" w14:textId="7C1395A4" w:rsidR="00D46E74" w:rsidRPr="00D46E74" w:rsidRDefault="00D46E74" w:rsidP="00AB12C0">
      <w:pPr>
        <w:pStyle w:val="Heading2"/>
      </w:pPr>
      <w:r w:rsidRPr="00D46E74">
        <w:t xml:space="preserve">Procedure/ Responsibility: </w:t>
      </w:r>
    </w:p>
    <w:p w14:paraId="42667902" w14:textId="77777777" w:rsidR="00D46E74" w:rsidRPr="00D46E74" w:rsidRDefault="00D46E74" w:rsidP="00D46E74">
      <w:pPr>
        <w:ind w:left="1440" w:hanging="720"/>
        <w:jc w:val="both"/>
        <w:rPr>
          <w:rFonts w:cs="Open Sans"/>
          <w:sz w:val="24"/>
          <w:szCs w:val="24"/>
        </w:rPr>
      </w:pPr>
      <w:r w:rsidRPr="00D46E74">
        <w:rPr>
          <w:rFonts w:cs="Open Sans"/>
          <w:sz w:val="24"/>
          <w:szCs w:val="24"/>
        </w:rPr>
        <w:t>3.1</w:t>
      </w:r>
      <w:proofErr w:type="gramStart"/>
      <w:r w:rsidRPr="00D46E74">
        <w:rPr>
          <w:rFonts w:cs="Open Sans"/>
          <w:sz w:val="24"/>
          <w:szCs w:val="24"/>
        </w:rPr>
        <w:t xml:space="preserve">: </w:t>
      </w:r>
      <w:r w:rsidRPr="00D46E74">
        <w:rPr>
          <w:rFonts w:cs="Open Sans"/>
          <w:sz w:val="24"/>
          <w:szCs w:val="24"/>
        </w:rPr>
        <w:tab/>
        <w:t>Each</w:t>
      </w:r>
      <w:proofErr w:type="gramEnd"/>
      <w:r w:rsidRPr="00D46E74">
        <w:rPr>
          <w:rFonts w:cs="Open Sans"/>
          <w:sz w:val="24"/>
          <w:szCs w:val="24"/>
        </w:rPr>
        <w:t xml:space="preserve"> Regional Mental Health Institute (RMHI) CEO must designate an employee responsible for ensuring that logs are completed and maintained and that workers involved in facility maintenance or repairs are restricted from access to PHI. </w:t>
      </w:r>
    </w:p>
    <w:p w14:paraId="703D17BE" w14:textId="77777777" w:rsidR="00D46E74" w:rsidRPr="00D46E74" w:rsidRDefault="00D46E74" w:rsidP="00D46E74">
      <w:pPr>
        <w:ind w:left="1440" w:hanging="720"/>
        <w:jc w:val="both"/>
        <w:rPr>
          <w:rFonts w:cs="Open Sans"/>
          <w:sz w:val="24"/>
          <w:szCs w:val="24"/>
        </w:rPr>
      </w:pPr>
      <w:r w:rsidRPr="00D46E74">
        <w:rPr>
          <w:rFonts w:cs="Open Sans"/>
          <w:sz w:val="24"/>
          <w:szCs w:val="24"/>
        </w:rPr>
        <w:t>3.2</w:t>
      </w:r>
      <w:proofErr w:type="gramStart"/>
      <w:r w:rsidRPr="00D46E74">
        <w:rPr>
          <w:rFonts w:cs="Open Sans"/>
          <w:sz w:val="24"/>
          <w:szCs w:val="24"/>
        </w:rPr>
        <w:t xml:space="preserve">: </w:t>
      </w:r>
      <w:r w:rsidRPr="00D46E74">
        <w:rPr>
          <w:rFonts w:cs="Open Sans"/>
          <w:sz w:val="24"/>
          <w:szCs w:val="24"/>
        </w:rPr>
        <w:tab/>
        <w:t>In</w:t>
      </w:r>
      <w:proofErr w:type="gramEnd"/>
      <w:r w:rsidRPr="00D46E74">
        <w:rPr>
          <w:rFonts w:cs="Open Sans"/>
          <w:sz w:val="24"/>
          <w:szCs w:val="24"/>
        </w:rPr>
        <w:t xml:space="preserve"> TDMHSAS Central Office, the Assistant Commissioner of Administrative and Regulatory Services is responsible for ensuring that logs are completed and maintained, and that workers involved in facility maintenance or repairs are restricted from access to PHI. </w:t>
      </w:r>
    </w:p>
    <w:p w14:paraId="72C4C1F1" w14:textId="77777777" w:rsidR="00D46E74" w:rsidRDefault="00D46E74" w:rsidP="00D46E74">
      <w:pPr>
        <w:ind w:left="1440" w:hanging="720"/>
        <w:jc w:val="center"/>
        <w:rPr>
          <w:rFonts w:cs="Open Sans"/>
          <w:sz w:val="24"/>
          <w:szCs w:val="24"/>
        </w:rPr>
      </w:pPr>
      <w:r w:rsidRPr="00D46E74">
        <w:rPr>
          <w:rFonts w:cs="Open Sans"/>
          <w:sz w:val="24"/>
          <w:szCs w:val="24"/>
        </w:rPr>
        <w:t>[SIGNATURE APPEARS ON FOLLOWING PAGE]</w:t>
      </w:r>
    </w:p>
    <w:p w14:paraId="704CC4A8" w14:textId="77777777" w:rsidR="003240BB" w:rsidRDefault="003240BB" w:rsidP="00D46E74">
      <w:pPr>
        <w:ind w:left="1440" w:hanging="720"/>
        <w:jc w:val="center"/>
        <w:rPr>
          <w:rFonts w:cs="Open Sans"/>
          <w:sz w:val="24"/>
          <w:szCs w:val="24"/>
        </w:rPr>
      </w:pPr>
    </w:p>
    <w:p w14:paraId="34CA8CEE" w14:textId="77777777" w:rsidR="003240BB" w:rsidRDefault="003240BB" w:rsidP="00D46E74">
      <w:pPr>
        <w:ind w:left="1440" w:hanging="720"/>
        <w:jc w:val="center"/>
        <w:rPr>
          <w:rFonts w:cs="Open Sans"/>
          <w:sz w:val="24"/>
          <w:szCs w:val="24"/>
        </w:rPr>
      </w:pPr>
    </w:p>
    <w:p w14:paraId="1F6C5EE1" w14:textId="77777777" w:rsidR="003240BB" w:rsidRPr="00D46E74" w:rsidRDefault="003240BB" w:rsidP="00D46E74">
      <w:pPr>
        <w:ind w:left="1440" w:hanging="720"/>
        <w:jc w:val="center"/>
        <w:rPr>
          <w:rFonts w:cs="Open Sans"/>
          <w:sz w:val="24"/>
          <w:szCs w:val="24"/>
        </w:rPr>
      </w:pPr>
    </w:p>
    <w:p w14:paraId="01512660" w14:textId="657DF7FF" w:rsidR="00D46E74" w:rsidRPr="00D46E74" w:rsidRDefault="00D46E74" w:rsidP="00AB12C0">
      <w:pPr>
        <w:pStyle w:val="Heading2"/>
      </w:pPr>
      <w:r w:rsidRPr="00D46E74">
        <w:t xml:space="preserve">Other Considerations: </w:t>
      </w:r>
    </w:p>
    <w:p w14:paraId="2139F30A" w14:textId="77777777" w:rsidR="00D46E74" w:rsidRPr="00D46E74" w:rsidRDefault="00D46E74" w:rsidP="00D46E74">
      <w:pPr>
        <w:jc w:val="both"/>
        <w:rPr>
          <w:rFonts w:cs="Open Sans"/>
          <w:sz w:val="24"/>
          <w:szCs w:val="24"/>
        </w:rPr>
      </w:pPr>
      <w:r w:rsidRPr="00D46E74">
        <w:rPr>
          <w:rFonts w:cs="Open Sans"/>
          <w:b/>
          <w:sz w:val="24"/>
          <w:szCs w:val="24"/>
        </w:rPr>
        <w:tab/>
      </w:r>
      <w:r w:rsidRPr="00D46E74">
        <w:rPr>
          <w:rFonts w:cs="Open Sans"/>
          <w:sz w:val="24"/>
          <w:szCs w:val="24"/>
        </w:rPr>
        <w:t>4.1</w:t>
      </w:r>
      <w:proofErr w:type="gramStart"/>
      <w:r w:rsidRPr="00D46E74">
        <w:rPr>
          <w:rFonts w:cs="Open Sans"/>
          <w:sz w:val="24"/>
          <w:szCs w:val="24"/>
        </w:rPr>
        <w:t xml:space="preserve">: </w:t>
      </w:r>
      <w:r w:rsidRPr="00D46E74">
        <w:rPr>
          <w:rFonts w:cs="Open Sans"/>
          <w:sz w:val="24"/>
          <w:szCs w:val="24"/>
        </w:rPr>
        <w:tab/>
        <w:t>Authority</w:t>
      </w:r>
      <w:proofErr w:type="gramEnd"/>
    </w:p>
    <w:p w14:paraId="472D8905" w14:textId="77777777" w:rsidR="00D46E74" w:rsidRPr="00D46E74" w:rsidRDefault="00D46E74" w:rsidP="00D46E74">
      <w:pPr>
        <w:jc w:val="both"/>
        <w:rPr>
          <w:rFonts w:cs="Open Sans"/>
          <w:sz w:val="24"/>
          <w:szCs w:val="24"/>
        </w:rPr>
      </w:pPr>
      <w:r w:rsidRPr="00D46E74">
        <w:rPr>
          <w:rFonts w:cs="Open Sans"/>
          <w:sz w:val="24"/>
          <w:szCs w:val="24"/>
        </w:rPr>
        <w:tab/>
      </w:r>
      <w:r w:rsidRPr="00D46E74">
        <w:rPr>
          <w:rFonts w:cs="Open Sans"/>
          <w:sz w:val="24"/>
          <w:szCs w:val="24"/>
        </w:rPr>
        <w:tab/>
        <w:t>45 CFR §§164.308, and 164.310.</w:t>
      </w:r>
    </w:p>
    <w:p w14:paraId="78AD4518" w14:textId="5AEC1A89" w:rsidR="00613DC3" w:rsidRPr="00D46E74" w:rsidRDefault="003240BB" w:rsidP="00D46E74">
      <w:pPr>
        <w:rPr>
          <w:rFonts w:cs="Open Sans"/>
        </w:rPr>
      </w:pPr>
      <w:r>
        <w:rPr>
          <w:noProof/>
        </w:rPr>
        <w:drawing>
          <wp:anchor distT="0" distB="0" distL="114300" distR="114300" simplePos="0" relativeHeight="251658240" behindDoc="1" locked="0" layoutInCell="1" allowOverlap="1" wp14:anchorId="2EC2F015" wp14:editId="53436D14">
            <wp:simplePos x="0" y="0"/>
            <wp:positionH relativeFrom="column">
              <wp:posOffset>525780</wp:posOffset>
            </wp:positionH>
            <wp:positionV relativeFrom="paragraph">
              <wp:posOffset>46355</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p>
    <w:sectPr w:rsidR="00613DC3" w:rsidRPr="00D46E74"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3FF87" w14:textId="77777777" w:rsidR="000B4BD9" w:rsidRDefault="000B4BD9" w:rsidP="00801079">
      <w:r>
        <w:separator/>
      </w:r>
    </w:p>
  </w:endnote>
  <w:endnote w:type="continuationSeparator" w:id="0">
    <w:p w14:paraId="441AF2FB" w14:textId="77777777" w:rsidR="000B4BD9" w:rsidRDefault="000B4BD9"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2DEDF5AF"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6F104E">
      <w:rPr>
        <w:rFonts w:cs="Open Sans"/>
        <w:sz w:val="20"/>
        <w:szCs w:val="20"/>
      </w:rPr>
      <w:t>5.</w:t>
    </w:r>
    <w:r w:rsidR="00D46E74">
      <w:rPr>
        <w:rFonts w:cs="Open Sans"/>
        <w:sz w:val="20"/>
        <w:szCs w:val="20"/>
      </w:rPr>
      <w:t>6</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D46E74">
      <w:rPr>
        <w:rFonts w:cs="Open Sans"/>
        <w:sz w:val="20"/>
        <w:szCs w:val="20"/>
      </w:rPr>
      <w:t>Facility Maintenance or Repair</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D46E74">
      <w:rPr>
        <w:rFonts w:cs="Open Sans"/>
        <w:sz w:val="20"/>
        <w:szCs w:val="20"/>
      </w:rPr>
      <w:t>October13,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E042" w14:textId="77777777" w:rsidR="000B4BD9" w:rsidRDefault="000B4BD9" w:rsidP="00801079">
      <w:r>
        <w:separator/>
      </w:r>
    </w:p>
  </w:footnote>
  <w:footnote w:type="continuationSeparator" w:id="0">
    <w:p w14:paraId="0A0A830C" w14:textId="77777777" w:rsidR="000B4BD9" w:rsidRDefault="000B4BD9"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8"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5CB423A9"/>
    <w:multiLevelType w:val="hybridMultilevel"/>
    <w:tmpl w:val="7130B6AA"/>
    <w:lvl w:ilvl="0" w:tplc="3358270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2"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5"/>
  </w:num>
  <w:num w:numId="2" w16cid:durableId="783118593">
    <w:abstractNumId w:val="17"/>
  </w:num>
  <w:num w:numId="3" w16cid:durableId="1505390476">
    <w:abstractNumId w:val="3"/>
  </w:num>
  <w:num w:numId="4" w16cid:durableId="1274096518">
    <w:abstractNumId w:val="14"/>
  </w:num>
  <w:num w:numId="5" w16cid:durableId="855191819">
    <w:abstractNumId w:val="5"/>
  </w:num>
  <w:num w:numId="6" w16cid:durableId="1329669013">
    <w:abstractNumId w:val="18"/>
  </w:num>
  <w:num w:numId="7" w16cid:durableId="1721434853">
    <w:abstractNumId w:val="19"/>
  </w:num>
  <w:num w:numId="8" w16cid:durableId="1150367029">
    <w:abstractNumId w:val="6"/>
  </w:num>
  <w:num w:numId="9" w16cid:durableId="2028869913">
    <w:abstractNumId w:val="1"/>
  </w:num>
  <w:num w:numId="10" w16cid:durableId="1115558235">
    <w:abstractNumId w:val="13"/>
  </w:num>
  <w:num w:numId="11" w16cid:durableId="1375544509">
    <w:abstractNumId w:val="16"/>
  </w:num>
  <w:num w:numId="12" w16cid:durableId="463891535">
    <w:abstractNumId w:val="8"/>
  </w:num>
  <w:num w:numId="13" w16cid:durableId="687878566">
    <w:abstractNumId w:val="11"/>
  </w:num>
  <w:num w:numId="14" w16cid:durableId="476453308">
    <w:abstractNumId w:val="0"/>
  </w:num>
  <w:num w:numId="15" w16cid:durableId="1974822128">
    <w:abstractNumId w:val="7"/>
  </w:num>
  <w:num w:numId="16" w16cid:durableId="525289569">
    <w:abstractNumId w:val="20"/>
  </w:num>
  <w:num w:numId="17" w16cid:durableId="1799374499">
    <w:abstractNumId w:val="12"/>
  </w:num>
  <w:num w:numId="18" w16cid:durableId="1959069171">
    <w:abstractNumId w:val="2"/>
  </w:num>
  <w:num w:numId="19" w16cid:durableId="678969389">
    <w:abstractNumId w:val="9"/>
  </w:num>
  <w:num w:numId="20" w16cid:durableId="1540127759">
    <w:abstractNumId w:val="4"/>
  </w:num>
  <w:num w:numId="21" w16cid:durableId="1790658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6rNnwUxVrKBn9lFNCkHTBOwy/754ihhx4ZX4S8wBJ7ULtBnhf0jVNVp5zY7Ekv5dQnuEUop2F50orciGEbd0kQ==" w:salt="CFenyI0LOfMzJ10umfIQ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1183A"/>
    <w:rsid w:val="000225E4"/>
    <w:rsid w:val="000379AB"/>
    <w:rsid w:val="00050935"/>
    <w:rsid w:val="000B4BD9"/>
    <w:rsid w:val="0014073A"/>
    <w:rsid w:val="00154412"/>
    <w:rsid w:val="0019439F"/>
    <w:rsid w:val="001F4CB7"/>
    <w:rsid w:val="001F783E"/>
    <w:rsid w:val="00295159"/>
    <w:rsid w:val="0031236F"/>
    <w:rsid w:val="003240BB"/>
    <w:rsid w:val="00340994"/>
    <w:rsid w:val="00350200"/>
    <w:rsid w:val="0039259F"/>
    <w:rsid w:val="00392FF6"/>
    <w:rsid w:val="00415024"/>
    <w:rsid w:val="0051764F"/>
    <w:rsid w:val="0052355E"/>
    <w:rsid w:val="00524802"/>
    <w:rsid w:val="00532C95"/>
    <w:rsid w:val="00560396"/>
    <w:rsid w:val="00571ACA"/>
    <w:rsid w:val="00580422"/>
    <w:rsid w:val="00583F75"/>
    <w:rsid w:val="005D6AB0"/>
    <w:rsid w:val="00601970"/>
    <w:rsid w:val="00613DC3"/>
    <w:rsid w:val="006631B7"/>
    <w:rsid w:val="006936FC"/>
    <w:rsid w:val="006A38F0"/>
    <w:rsid w:val="006F104E"/>
    <w:rsid w:val="00703739"/>
    <w:rsid w:val="007265A5"/>
    <w:rsid w:val="00734804"/>
    <w:rsid w:val="0073515C"/>
    <w:rsid w:val="00750BA8"/>
    <w:rsid w:val="0075304D"/>
    <w:rsid w:val="00771DEC"/>
    <w:rsid w:val="00792280"/>
    <w:rsid w:val="007A63C0"/>
    <w:rsid w:val="007E1006"/>
    <w:rsid w:val="007E7C66"/>
    <w:rsid w:val="007F2E06"/>
    <w:rsid w:val="00801079"/>
    <w:rsid w:val="00835989"/>
    <w:rsid w:val="00840187"/>
    <w:rsid w:val="008544AF"/>
    <w:rsid w:val="00857933"/>
    <w:rsid w:val="0086073D"/>
    <w:rsid w:val="008760C5"/>
    <w:rsid w:val="008C3DDF"/>
    <w:rsid w:val="008C5D30"/>
    <w:rsid w:val="008C65A9"/>
    <w:rsid w:val="008F5D3B"/>
    <w:rsid w:val="00916859"/>
    <w:rsid w:val="00943564"/>
    <w:rsid w:val="00951960"/>
    <w:rsid w:val="00956BCA"/>
    <w:rsid w:val="00956F9F"/>
    <w:rsid w:val="0097119D"/>
    <w:rsid w:val="009924FF"/>
    <w:rsid w:val="009A32FC"/>
    <w:rsid w:val="009B2129"/>
    <w:rsid w:val="00A15132"/>
    <w:rsid w:val="00AB12C0"/>
    <w:rsid w:val="00AE70B5"/>
    <w:rsid w:val="00B077F2"/>
    <w:rsid w:val="00B25738"/>
    <w:rsid w:val="00B5742C"/>
    <w:rsid w:val="00B6110B"/>
    <w:rsid w:val="00B65334"/>
    <w:rsid w:val="00BD2C4F"/>
    <w:rsid w:val="00C75127"/>
    <w:rsid w:val="00CC225E"/>
    <w:rsid w:val="00CF32F0"/>
    <w:rsid w:val="00D46E74"/>
    <w:rsid w:val="00D52904"/>
    <w:rsid w:val="00D563C5"/>
    <w:rsid w:val="00D92C14"/>
    <w:rsid w:val="00DD6010"/>
    <w:rsid w:val="00E11485"/>
    <w:rsid w:val="00E55E0A"/>
    <w:rsid w:val="00E87684"/>
    <w:rsid w:val="00E96E43"/>
    <w:rsid w:val="00F01E74"/>
    <w:rsid w:val="00F0397D"/>
    <w:rsid w:val="00F47A18"/>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AB12C0"/>
    <w:pPr>
      <w:numPr>
        <w:numId w:val="21"/>
      </w:numPr>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B12C0"/>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3</TotalTime>
  <Pages>2</Pages>
  <Words>264</Words>
  <Characters>1372</Characters>
  <Application>Microsoft Office Word</Application>
  <DocSecurity>8</DocSecurity>
  <Lines>24</Lines>
  <Paragraphs>10</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9</cp:revision>
  <dcterms:created xsi:type="dcterms:W3CDTF">2026-04-01T20:19:00Z</dcterms:created>
  <dcterms:modified xsi:type="dcterms:W3CDTF">2026-04-02T18:53:00Z</dcterms:modified>
</cp:coreProperties>
</file>