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2A00E7A3" w:rsidR="00295159" w:rsidRPr="00E67EDE" w:rsidRDefault="00295159" w:rsidP="00E334A5">
      <w:pPr>
        <w:pStyle w:val="Heading1"/>
        <w:ind w:left="720" w:firstLine="720"/>
      </w:pPr>
      <w:r w:rsidRPr="00E67EDE">
        <w:t>Subject:</w:t>
      </w:r>
      <w:r w:rsidR="00AE70B5" w:rsidRPr="00E67EDE">
        <w:t xml:space="preserve"> </w:t>
      </w:r>
      <w:r w:rsidR="00E67EDE" w:rsidRPr="00835EF2">
        <w:t>Notice of Privacy Practices for PHI to Individuals</w:t>
      </w:r>
      <w:r w:rsidR="00E67EDE" w:rsidRPr="00E67EDE">
        <w:rPr>
          <w:sz w:val="24"/>
          <w:szCs w:val="24"/>
        </w:rPr>
        <w:t xml:space="preserve"> </w:t>
      </w:r>
    </w:p>
    <w:p w14:paraId="6D907FB4" w14:textId="7A8FE0DB" w:rsidR="00295159" w:rsidRPr="00E67EDE" w:rsidRDefault="00295159" w:rsidP="00E87684">
      <w:pPr>
        <w:ind w:left="1440"/>
        <w:jc w:val="both"/>
        <w:rPr>
          <w:rFonts w:cs="Open Sans"/>
        </w:rPr>
      </w:pPr>
      <w:r w:rsidRPr="00E67EDE">
        <w:rPr>
          <w:rFonts w:cs="Open Sans"/>
        </w:rPr>
        <w:t>Policy Number:</w:t>
      </w:r>
      <w:r w:rsidR="00AE70B5" w:rsidRPr="00E67EDE">
        <w:rPr>
          <w:rFonts w:cs="Open Sans"/>
        </w:rPr>
        <w:t xml:space="preserve"> HIPAA </w:t>
      </w:r>
      <w:r w:rsidR="00415024" w:rsidRPr="00E67EDE">
        <w:rPr>
          <w:rFonts w:cs="Open Sans"/>
        </w:rPr>
        <w:t>4.</w:t>
      </w:r>
      <w:r w:rsidR="00E67EDE" w:rsidRPr="00E67EDE">
        <w:rPr>
          <w:rFonts w:cs="Open Sans"/>
        </w:rPr>
        <w:t>9</w:t>
      </w:r>
    </w:p>
    <w:p w14:paraId="5C31EC69" w14:textId="10092720" w:rsidR="00295159" w:rsidRPr="00E67EDE" w:rsidRDefault="00295159" w:rsidP="00E87684">
      <w:pPr>
        <w:ind w:left="1440"/>
        <w:jc w:val="both"/>
        <w:rPr>
          <w:rFonts w:cs="Open Sans"/>
        </w:rPr>
      </w:pPr>
      <w:r w:rsidRPr="00E67EDE">
        <w:rPr>
          <w:rFonts w:cs="Open Sans"/>
        </w:rPr>
        <w:t>Effective Date:</w:t>
      </w:r>
      <w:r w:rsidR="00AE70B5" w:rsidRPr="00E67EDE">
        <w:rPr>
          <w:rFonts w:cs="Open Sans"/>
        </w:rPr>
        <w:t xml:space="preserve"> </w:t>
      </w:r>
      <w:r w:rsidR="00E67EDE" w:rsidRPr="00E67EDE">
        <w:rPr>
          <w:rFonts w:cs="Open Sans"/>
        </w:rPr>
        <w:t>1/11/18</w:t>
      </w:r>
    </w:p>
    <w:p w14:paraId="02476432" w14:textId="455A1852" w:rsidR="00295159" w:rsidRPr="00E67EDE" w:rsidRDefault="00AE70B5" w:rsidP="00E87684">
      <w:pPr>
        <w:ind w:left="1440"/>
        <w:jc w:val="both"/>
        <w:rPr>
          <w:rFonts w:cs="Open Sans"/>
        </w:rPr>
      </w:pPr>
      <w:r w:rsidRPr="00E67EDE">
        <w:rPr>
          <w:rFonts w:cs="Open Sans"/>
        </w:rPr>
        <w:t xml:space="preserve">Entity Responsible: Division of General Counsel </w:t>
      </w:r>
    </w:p>
    <w:p w14:paraId="0B357B2C" w14:textId="63F8DBE5" w:rsidR="00295159" w:rsidRPr="00E67EDE" w:rsidRDefault="00295159" w:rsidP="00E87684">
      <w:pPr>
        <w:ind w:left="1440"/>
        <w:jc w:val="both"/>
        <w:rPr>
          <w:rFonts w:cs="Open Sans"/>
        </w:rPr>
      </w:pPr>
      <w:r w:rsidRPr="00E67EDE">
        <w:rPr>
          <w:rFonts w:cs="Open Sans"/>
        </w:rPr>
        <w:t>Last Review or Revision:</w:t>
      </w:r>
      <w:r w:rsidR="007265A5" w:rsidRPr="00E67EDE">
        <w:rPr>
          <w:rFonts w:cs="Open Sans"/>
        </w:rPr>
        <w:t xml:space="preserve"> </w:t>
      </w:r>
      <w:r w:rsidR="00024829">
        <w:rPr>
          <w:rFonts w:cs="Open Sans"/>
          <w:kern w:val="0"/>
          <w14:ligatures w14:val="none"/>
        </w:rPr>
        <w:t>1/18/23</w:t>
      </w:r>
    </w:p>
    <w:p w14:paraId="5A292C69" w14:textId="6C978802" w:rsidR="00295159" w:rsidRPr="00E67EDE" w:rsidRDefault="00295159" w:rsidP="00E334A5">
      <w:pPr>
        <w:ind w:left="1440"/>
        <w:jc w:val="both"/>
        <w:rPr>
          <w:rFonts w:cs="Open Sans"/>
        </w:rPr>
      </w:pPr>
      <w:r w:rsidRPr="00E67EDE">
        <w:rPr>
          <w:rFonts w:cs="Open Sans"/>
        </w:rPr>
        <w:t>Approved by:</w:t>
      </w:r>
      <w:r w:rsidR="007265A5" w:rsidRPr="00E67EDE">
        <w:rPr>
          <w:rFonts w:cs="Open Sans"/>
        </w:rPr>
        <w:t xml:space="preserve"> Commissioner Marie Williams</w:t>
      </w:r>
    </w:p>
    <w:p w14:paraId="28FAFF13" w14:textId="7E259474" w:rsidR="00E67EDE" w:rsidRPr="00E67EDE" w:rsidRDefault="00E67EDE" w:rsidP="00E334A5">
      <w:pPr>
        <w:pStyle w:val="Heading2"/>
      </w:pPr>
      <w:r w:rsidRPr="00E334A5">
        <w:t>Purpose</w:t>
      </w:r>
      <w:r w:rsidRPr="00E67EDE">
        <w:t xml:space="preserve">: </w:t>
      </w:r>
    </w:p>
    <w:p w14:paraId="401841A9" w14:textId="77777777" w:rsidR="00E67EDE" w:rsidRPr="00E67EDE" w:rsidRDefault="00E67EDE" w:rsidP="00E67EDE">
      <w:pPr>
        <w:ind w:left="720"/>
        <w:jc w:val="both"/>
        <w:rPr>
          <w:rFonts w:cs="Open Sans"/>
          <w:sz w:val="24"/>
          <w:szCs w:val="24"/>
        </w:rPr>
      </w:pPr>
      <w:r w:rsidRPr="00E67EDE">
        <w:rPr>
          <w:rFonts w:cs="Open Sans"/>
          <w:sz w:val="24"/>
          <w:szCs w:val="24"/>
        </w:rPr>
        <w:t xml:space="preserve">To provide instruction and guidance on the required notice of privacy practices to be provided to service recipients of the Tennessee Department of Mental Health and Substance Abuse Services (TDMHSAS) and the Regional Mental Health Institutes (RMHIs) as required by the Health Insurance Portability and Accountability Act of 1996 (HIPAA), as amended, 42 U.S.C. 290dd-2 and its accompanying regulations codified at 42 C.F.R. Part 2, and other relevant federal and state laws. </w:t>
      </w:r>
    </w:p>
    <w:p w14:paraId="7D9BCE5A" w14:textId="2373DDC3" w:rsidR="00E67EDE" w:rsidRPr="00E67EDE" w:rsidRDefault="00E67EDE" w:rsidP="00E334A5">
      <w:pPr>
        <w:pStyle w:val="Heading2"/>
      </w:pPr>
      <w:r w:rsidRPr="00E67EDE">
        <w:t xml:space="preserve">Policy: </w:t>
      </w:r>
    </w:p>
    <w:p w14:paraId="5D484A5B" w14:textId="77777777" w:rsidR="00E67EDE" w:rsidRPr="00E67EDE" w:rsidRDefault="00E67EDE" w:rsidP="00E67EDE">
      <w:pPr>
        <w:ind w:left="1440" w:hanging="720"/>
        <w:jc w:val="both"/>
        <w:rPr>
          <w:rFonts w:cs="Open Sans"/>
          <w:sz w:val="24"/>
          <w:szCs w:val="24"/>
        </w:rPr>
      </w:pPr>
      <w:r w:rsidRPr="00E67EDE">
        <w:rPr>
          <w:rFonts w:cs="Open Sans"/>
          <w:sz w:val="24"/>
          <w:szCs w:val="24"/>
        </w:rPr>
        <w:t>2.1</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and the RMHIs recognize that </w:t>
      </w:r>
      <w:proofErr w:type="gramStart"/>
      <w:r w:rsidRPr="00E67EDE">
        <w:rPr>
          <w:rFonts w:cs="Open Sans"/>
          <w:sz w:val="24"/>
          <w:szCs w:val="24"/>
        </w:rPr>
        <w:t>each individual</w:t>
      </w:r>
      <w:proofErr w:type="gramEnd"/>
      <w:r w:rsidRPr="00E67EDE">
        <w:rPr>
          <w:rFonts w:cs="Open Sans"/>
          <w:sz w:val="24"/>
          <w:szCs w:val="24"/>
        </w:rPr>
        <w:t xml:space="preserve"> has a right to adequate notice of the uses and disclosures of protected health information (PHI) that may be made by the TDMHSAS or the RMHI, and of the individual’s rights and the TDMHSAS’ or the RMHIs’ legal duties with respect to the individual’s PHI. </w:t>
      </w:r>
    </w:p>
    <w:p w14:paraId="3959620C" w14:textId="77777777" w:rsidR="00E67EDE" w:rsidRPr="00E67EDE" w:rsidRDefault="00E67EDE" w:rsidP="00E67EDE">
      <w:pPr>
        <w:ind w:left="1440" w:hanging="720"/>
        <w:jc w:val="both"/>
        <w:rPr>
          <w:rFonts w:cs="Open Sans"/>
          <w:sz w:val="24"/>
          <w:szCs w:val="24"/>
        </w:rPr>
      </w:pPr>
      <w:r w:rsidRPr="00E67EDE">
        <w:rPr>
          <w:rFonts w:cs="Open Sans"/>
          <w:sz w:val="24"/>
          <w:szCs w:val="24"/>
        </w:rPr>
        <w:t>2.2</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and the RMHI provide each patient who receives treatment at the </w:t>
      </w:r>
      <w:proofErr w:type="gramStart"/>
      <w:r w:rsidRPr="00E67EDE">
        <w:rPr>
          <w:rFonts w:cs="Open Sans"/>
          <w:sz w:val="24"/>
          <w:szCs w:val="24"/>
        </w:rPr>
        <w:t>RMHIs</w:t>
      </w:r>
      <w:proofErr w:type="gramEnd"/>
      <w:r w:rsidRPr="00E67EDE">
        <w:rPr>
          <w:rFonts w:cs="Open Sans"/>
          <w:sz w:val="24"/>
          <w:szCs w:val="24"/>
        </w:rPr>
        <w:t xml:space="preserve"> a written notice that is in plain language and contains the following additional elements: </w:t>
      </w:r>
    </w:p>
    <w:p w14:paraId="351329CC" w14:textId="77777777" w:rsidR="00E67EDE" w:rsidRPr="00E67EDE" w:rsidRDefault="00E67EDE" w:rsidP="00E67EDE">
      <w:pPr>
        <w:ind w:left="2160" w:hanging="720"/>
        <w:jc w:val="both"/>
        <w:rPr>
          <w:rFonts w:cs="Open Sans"/>
          <w:sz w:val="24"/>
          <w:szCs w:val="24"/>
        </w:rPr>
      </w:pPr>
      <w:r w:rsidRPr="00E67EDE">
        <w:rPr>
          <w:rFonts w:cs="Open Sans"/>
          <w:sz w:val="24"/>
          <w:szCs w:val="24"/>
        </w:rPr>
        <w:t>2.2.1</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header which prominently states:</w:t>
      </w:r>
    </w:p>
    <w:p w14:paraId="3B373CDE" w14:textId="77777777" w:rsidR="00E67EDE" w:rsidRPr="00E67EDE" w:rsidRDefault="00E67EDE" w:rsidP="00E67EDE">
      <w:pPr>
        <w:ind w:left="1440" w:hanging="720"/>
        <w:jc w:val="both"/>
        <w:rPr>
          <w:rFonts w:cs="Open Sans"/>
          <w:sz w:val="24"/>
          <w:szCs w:val="24"/>
        </w:rPr>
      </w:pPr>
      <w:r w:rsidRPr="00E67EDE">
        <w:rPr>
          <w:rFonts w:cs="Open Sans"/>
          <w:sz w:val="24"/>
          <w:szCs w:val="24"/>
        </w:rPr>
        <w:tab/>
        <w:t>NOTICE OF PRIVACY PRACTICES OF [INSERT TDMHSAS OR RMHI, AS APPLICABLE]</w:t>
      </w:r>
    </w:p>
    <w:p w14:paraId="5126EE9C" w14:textId="77777777" w:rsidR="00E67EDE" w:rsidRPr="00E67EDE" w:rsidRDefault="00E67EDE" w:rsidP="00E67EDE">
      <w:pPr>
        <w:ind w:left="2160" w:hanging="720"/>
        <w:jc w:val="both"/>
        <w:rPr>
          <w:rFonts w:cs="Open Sans"/>
          <w:sz w:val="24"/>
          <w:szCs w:val="24"/>
        </w:rPr>
      </w:pPr>
      <w:r w:rsidRPr="00E67EDE">
        <w:rPr>
          <w:rFonts w:cs="Open Sans"/>
          <w:sz w:val="24"/>
          <w:szCs w:val="24"/>
        </w:rPr>
        <w:tab/>
        <w:t>THIS NOTICE DESCRIBES:</w:t>
      </w:r>
    </w:p>
    <w:p w14:paraId="5D9CA7F8" w14:textId="77777777" w:rsidR="00E67EDE" w:rsidRPr="00E67EDE" w:rsidRDefault="00E67EDE" w:rsidP="00E67EDE">
      <w:pPr>
        <w:pStyle w:val="ListParagraph"/>
        <w:widowControl/>
        <w:numPr>
          <w:ilvl w:val="0"/>
          <w:numId w:val="21"/>
        </w:numPr>
        <w:spacing w:after="200" w:line="276" w:lineRule="auto"/>
        <w:contextualSpacing/>
        <w:jc w:val="both"/>
        <w:rPr>
          <w:rFonts w:cs="Open Sans"/>
          <w:sz w:val="24"/>
          <w:szCs w:val="24"/>
        </w:rPr>
      </w:pPr>
      <w:proofErr w:type="gramStart"/>
      <w:r w:rsidRPr="00E67EDE">
        <w:rPr>
          <w:rFonts w:cs="Open Sans"/>
          <w:sz w:val="24"/>
          <w:szCs w:val="24"/>
        </w:rPr>
        <w:t>HOW</w:t>
      </w:r>
      <w:proofErr w:type="gramEnd"/>
      <w:r w:rsidRPr="00E67EDE">
        <w:rPr>
          <w:rFonts w:cs="Open Sans"/>
          <w:sz w:val="24"/>
          <w:szCs w:val="24"/>
        </w:rPr>
        <w:t xml:space="preserve"> MEDICAL INFORMATION ABOUT YOU MAY BE USED AND DISCLOSED</w:t>
      </w:r>
    </w:p>
    <w:p w14:paraId="5DE4B201" w14:textId="77777777" w:rsidR="00E67EDE" w:rsidRPr="00E67EDE" w:rsidRDefault="00E67EDE" w:rsidP="00E67EDE">
      <w:pPr>
        <w:pStyle w:val="ListParagraph"/>
        <w:widowControl/>
        <w:numPr>
          <w:ilvl w:val="0"/>
          <w:numId w:val="21"/>
        </w:numPr>
        <w:spacing w:after="200" w:line="276" w:lineRule="auto"/>
        <w:contextualSpacing/>
        <w:jc w:val="both"/>
        <w:rPr>
          <w:rFonts w:cs="Open Sans"/>
          <w:sz w:val="24"/>
          <w:szCs w:val="24"/>
        </w:rPr>
      </w:pPr>
      <w:r w:rsidRPr="00E67EDE">
        <w:rPr>
          <w:rFonts w:cs="Open Sans"/>
          <w:sz w:val="24"/>
          <w:szCs w:val="24"/>
        </w:rPr>
        <w:t>YOUR RIGHTS WITH RESPECT TO YOUR MEDICAL INFORMATION</w:t>
      </w:r>
    </w:p>
    <w:p w14:paraId="298DB332" w14:textId="77777777" w:rsidR="00E67EDE" w:rsidRPr="00E67EDE" w:rsidRDefault="00E67EDE" w:rsidP="00E67EDE">
      <w:pPr>
        <w:pStyle w:val="ListParagraph"/>
        <w:widowControl/>
        <w:numPr>
          <w:ilvl w:val="0"/>
          <w:numId w:val="21"/>
        </w:numPr>
        <w:spacing w:after="200" w:line="276" w:lineRule="auto"/>
        <w:contextualSpacing/>
        <w:jc w:val="both"/>
        <w:rPr>
          <w:rFonts w:cs="Open Sans"/>
          <w:sz w:val="24"/>
          <w:szCs w:val="24"/>
        </w:rPr>
      </w:pPr>
      <w:r w:rsidRPr="00E67EDE">
        <w:rPr>
          <w:rFonts w:cs="Open Sans"/>
          <w:sz w:val="24"/>
          <w:szCs w:val="24"/>
        </w:rPr>
        <w:t>HOW TO EXERCISE YOUR RIGHT TO GET COPIES OF YOUR RECORDS AT LIMITED COST OR, IN SOME CASES, FREE OF CHARGE</w:t>
      </w:r>
    </w:p>
    <w:p w14:paraId="3C204F0B" w14:textId="77777777" w:rsidR="00E67EDE" w:rsidRPr="00E67EDE" w:rsidRDefault="00E67EDE" w:rsidP="00E67EDE">
      <w:pPr>
        <w:pStyle w:val="ListParagraph"/>
        <w:widowControl/>
        <w:numPr>
          <w:ilvl w:val="0"/>
          <w:numId w:val="21"/>
        </w:numPr>
        <w:spacing w:after="200" w:line="276" w:lineRule="auto"/>
        <w:contextualSpacing/>
        <w:jc w:val="both"/>
        <w:rPr>
          <w:rFonts w:cs="Open Sans"/>
          <w:sz w:val="24"/>
          <w:szCs w:val="24"/>
        </w:rPr>
      </w:pPr>
      <w:r w:rsidRPr="00E67EDE">
        <w:rPr>
          <w:rFonts w:cs="Open Sans"/>
          <w:sz w:val="24"/>
          <w:szCs w:val="24"/>
        </w:rPr>
        <w:t xml:space="preserve">HOW TO FILE A COMPLAINT CONCERNING A VIOLATION OF THE PRIVACY, OR SECURITY OF YOUR MEDICAL INFORMATION, OR OF YOUR RIGHTS </w:t>
      </w:r>
      <w:r w:rsidRPr="00E67EDE">
        <w:rPr>
          <w:rFonts w:cs="Open Sans"/>
          <w:sz w:val="24"/>
          <w:szCs w:val="24"/>
        </w:rPr>
        <w:lastRenderedPageBreak/>
        <w:t>CONCERNING YOUR INFORMATION, INCLUDING YOUR RIGHT TO INSPECT OR GET COPIES OF YOUR RECORDS UNDER HIPAA.</w:t>
      </w:r>
    </w:p>
    <w:p w14:paraId="3E853695" w14:textId="77777777" w:rsidR="00E67EDE" w:rsidRPr="00E67EDE" w:rsidRDefault="00E67EDE" w:rsidP="00E67EDE">
      <w:pPr>
        <w:pStyle w:val="ListParagraph"/>
        <w:ind w:left="2520"/>
        <w:jc w:val="both"/>
        <w:rPr>
          <w:rFonts w:cs="Open Sans"/>
          <w:sz w:val="24"/>
          <w:szCs w:val="24"/>
        </w:rPr>
      </w:pPr>
    </w:p>
    <w:p w14:paraId="178BC6F3" w14:textId="77777777" w:rsidR="00E67EDE" w:rsidRPr="00E67EDE" w:rsidRDefault="00E67EDE" w:rsidP="00E67EDE">
      <w:pPr>
        <w:pStyle w:val="ListParagraph"/>
        <w:ind w:left="2160"/>
        <w:jc w:val="both"/>
        <w:rPr>
          <w:rFonts w:cs="Open Sans"/>
          <w:sz w:val="24"/>
          <w:szCs w:val="24"/>
        </w:rPr>
      </w:pPr>
      <w:r w:rsidRPr="00E67EDE">
        <w:rPr>
          <w:rFonts w:cs="Open Sans"/>
          <w:sz w:val="24"/>
          <w:szCs w:val="24"/>
        </w:rPr>
        <w:t>YOU HAVE A RIGHT TO A COPY OF THIS NOTICE (IN PAPER OR ELECTRONIC FORM) AND TO DISCUSS IT WITH [ENTER NAME OR TITLE AT [PHONE AND EMAIL] IF YOU HAVE ANY QUESTIONS.</w:t>
      </w:r>
    </w:p>
    <w:p w14:paraId="685C236E" w14:textId="77777777" w:rsidR="00E67EDE" w:rsidRPr="00E67EDE" w:rsidRDefault="00E67EDE" w:rsidP="00E67EDE">
      <w:pPr>
        <w:ind w:left="2160" w:hanging="720"/>
        <w:jc w:val="both"/>
        <w:rPr>
          <w:rFonts w:cs="Open Sans"/>
          <w:sz w:val="24"/>
          <w:szCs w:val="24"/>
        </w:rPr>
      </w:pPr>
      <w:r w:rsidRPr="00E67EDE">
        <w:rPr>
          <w:rFonts w:cs="Open Sans"/>
          <w:sz w:val="24"/>
          <w:szCs w:val="24"/>
        </w:rPr>
        <w:t>2.2.2</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description, including at least one example of the types of uses and disclosures that the TDMHSAS or the RMHI is permitted to make for each of the following purposes: treatment, payment, and health care </w:t>
      </w:r>
      <w:proofErr w:type="gramStart"/>
      <w:r w:rsidRPr="00E67EDE">
        <w:rPr>
          <w:rFonts w:cs="Open Sans"/>
          <w:sz w:val="24"/>
          <w:szCs w:val="24"/>
        </w:rPr>
        <w:t>operations;</w:t>
      </w:r>
      <w:proofErr w:type="gramEnd"/>
      <w:r w:rsidRPr="00E67EDE">
        <w:rPr>
          <w:rFonts w:cs="Open Sans"/>
          <w:sz w:val="24"/>
          <w:szCs w:val="24"/>
        </w:rPr>
        <w:t xml:space="preserve"> </w:t>
      </w:r>
    </w:p>
    <w:p w14:paraId="31C813EB" w14:textId="77777777" w:rsidR="00E67EDE" w:rsidRPr="00E67EDE" w:rsidRDefault="00E67EDE" w:rsidP="00E67EDE">
      <w:pPr>
        <w:ind w:left="2160" w:hanging="720"/>
        <w:jc w:val="both"/>
        <w:rPr>
          <w:rFonts w:cs="Open Sans"/>
          <w:sz w:val="24"/>
          <w:szCs w:val="24"/>
        </w:rPr>
      </w:pPr>
      <w:r w:rsidRPr="00E67EDE">
        <w:rPr>
          <w:rFonts w:cs="Open Sans"/>
          <w:sz w:val="24"/>
          <w:szCs w:val="24"/>
        </w:rPr>
        <w:t>2.2.3</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description of each of the other purposes for which the TDMHSAS or the RMHI is permitted or required to disclose PHI without an individual’s written </w:t>
      </w:r>
      <w:proofErr w:type="gramStart"/>
      <w:r w:rsidRPr="00E67EDE">
        <w:rPr>
          <w:rFonts w:cs="Open Sans"/>
          <w:sz w:val="24"/>
          <w:szCs w:val="24"/>
        </w:rPr>
        <w:t>authorization;</w:t>
      </w:r>
      <w:proofErr w:type="gramEnd"/>
      <w:r w:rsidRPr="00E67EDE">
        <w:rPr>
          <w:rFonts w:cs="Open Sans"/>
          <w:sz w:val="24"/>
          <w:szCs w:val="24"/>
        </w:rPr>
        <w:t xml:space="preserve"> </w:t>
      </w:r>
    </w:p>
    <w:p w14:paraId="63B0F9DB" w14:textId="77777777" w:rsidR="00E67EDE" w:rsidRPr="00E67EDE" w:rsidRDefault="00E67EDE" w:rsidP="00E67EDE">
      <w:pPr>
        <w:ind w:left="2160" w:hanging="720"/>
        <w:jc w:val="both"/>
        <w:rPr>
          <w:rFonts w:cs="Open Sans"/>
          <w:sz w:val="24"/>
          <w:szCs w:val="24"/>
        </w:rPr>
      </w:pPr>
      <w:r w:rsidRPr="00E67EDE">
        <w:rPr>
          <w:rFonts w:cs="Open Sans"/>
          <w:sz w:val="24"/>
          <w:szCs w:val="24"/>
        </w:rPr>
        <w:t>2.2.4</w:t>
      </w:r>
      <w:proofErr w:type="gramStart"/>
      <w:r w:rsidRPr="00E67EDE">
        <w:rPr>
          <w:rFonts w:cs="Open Sans"/>
          <w:sz w:val="24"/>
          <w:szCs w:val="24"/>
        </w:rPr>
        <w:t xml:space="preserve">: </w:t>
      </w:r>
      <w:r w:rsidRPr="00E67EDE">
        <w:rPr>
          <w:rFonts w:cs="Open Sans"/>
          <w:sz w:val="24"/>
          <w:szCs w:val="24"/>
        </w:rPr>
        <w:tab/>
        <w:t>if</w:t>
      </w:r>
      <w:proofErr w:type="gramEnd"/>
      <w:r w:rsidRPr="00E67EDE">
        <w:rPr>
          <w:rFonts w:cs="Open Sans"/>
          <w:sz w:val="24"/>
          <w:szCs w:val="24"/>
        </w:rPr>
        <w:t xml:space="preserve"> a use or disclosure as described in 2.2.2 and 2.2.3 includes a more stringent law (such as Tenn. Code Ann. Title 33), the description of such use or disclosure must reflect that more stringent </w:t>
      </w:r>
      <w:proofErr w:type="gramStart"/>
      <w:r w:rsidRPr="00E67EDE">
        <w:rPr>
          <w:rFonts w:cs="Open Sans"/>
          <w:sz w:val="24"/>
          <w:szCs w:val="24"/>
        </w:rPr>
        <w:t>law;</w:t>
      </w:r>
      <w:proofErr w:type="gramEnd"/>
      <w:r w:rsidRPr="00E67EDE">
        <w:rPr>
          <w:rFonts w:cs="Open Sans"/>
          <w:sz w:val="24"/>
          <w:szCs w:val="24"/>
        </w:rPr>
        <w:t xml:space="preserve"> </w:t>
      </w:r>
    </w:p>
    <w:p w14:paraId="176E3E72" w14:textId="77777777" w:rsidR="00E67EDE" w:rsidRPr="00E67EDE" w:rsidRDefault="00E67EDE" w:rsidP="00E67EDE">
      <w:pPr>
        <w:ind w:left="2160" w:hanging="720"/>
        <w:jc w:val="both"/>
        <w:rPr>
          <w:rFonts w:cs="Open Sans"/>
          <w:sz w:val="24"/>
          <w:szCs w:val="24"/>
        </w:rPr>
      </w:pPr>
      <w:r w:rsidRPr="00E67EDE">
        <w:rPr>
          <w:rFonts w:cs="Open Sans"/>
          <w:sz w:val="24"/>
          <w:szCs w:val="24"/>
        </w:rPr>
        <w:t>2.2.5</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description must include sufficient detail to place the individual on notice of the uses and disclosures that are permitted or required by HIPAA and other applicable </w:t>
      </w:r>
      <w:proofErr w:type="gramStart"/>
      <w:r w:rsidRPr="00E67EDE">
        <w:rPr>
          <w:rFonts w:cs="Open Sans"/>
          <w:sz w:val="24"/>
          <w:szCs w:val="24"/>
        </w:rPr>
        <w:t>law;</w:t>
      </w:r>
      <w:proofErr w:type="gramEnd"/>
      <w:r w:rsidRPr="00E67EDE">
        <w:rPr>
          <w:rFonts w:cs="Open Sans"/>
          <w:sz w:val="24"/>
          <w:szCs w:val="24"/>
        </w:rPr>
        <w:t xml:space="preserve"> </w:t>
      </w:r>
    </w:p>
    <w:p w14:paraId="7B5E66DD" w14:textId="77777777" w:rsidR="00E67EDE" w:rsidRPr="00E67EDE" w:rsidRDefault="00E67EDE" w:rsidP="00E67EDE">
      <w:pPr>
        <w:ind w:left="2160" w:hanging="720"/>
        <w:jc w:val="both"/>
        <w:rPr>
          <w:rFonts w:cs="Open Sans"/>
          <w:sz w:val="24"/>
          <w:szCs w:val="24"/>
        </w:rPr>
      </w:pPr>
      <w:r w:rsidRPr="00E67EDE">
        <w:rPr>
          <w:rFonts w:cs="Open Sans"/>
          <w:sz w:val="24"/>
          <w:szCs w:val="24"/>
        </w:rPr>
        <w:t>2.2.6</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description of the types of uses and disclosures that require authorization, a statement that other uses and disclosures not described in the notice will be made only with the individual’s written authorization, and a statement that the individual may revoke an </w:t>
      </w:r>
      <w:proofErr w:type="gramStart"/>
      <w:r w:rsidRPr="00E67EDE">
        <w:rPr>
          <w:rFonts w:cs="Open Sans"/>
          <w:sz w:val="24"/>
          <w:szCs w:val="24"/>
        </w:rPr>
        <w:t>authorization;</w:t>
      </w:r>
      <w:proofErr w:type="gramEnd"/>
      <w:r w:rsidRPr="00E67EDE">
        <w:rPr>
          <w:rFonts w:cs="Open Sans"/>
          <w:sz w:val="24"/>
          <w:szCs w:val="24"/>
        </w:rPr>
        <w:t xml:space="preserve"> </w:t>
      </w:r>
    </w:p>
    <w:p w14:paraId="6F9D291D" w14:textId="77777777" w:rsidR="00E67EDE" w:rsidRPr="00E67EDE" w:rsidRDefault="00E67EDE" w:rsidP="00E67EDE">
      <w:pPr>
        <w:ind w:left="2160" w:hanging="720"/>
        <w:jc w:val="both"/>
        <w:rPr>
          <w:rFonts w:cs="Open Sans"/>
          <w:sz w:val="24"/>
          <w:szCs w:val="24"/>
        </w:rPr>
      </w:pPr>
      <w:r w:rsidRPr="00E67EDE">
        <w:rPr>
          <w:rFonts w:cs="Open Sans"/>
          <w:sz w:val="24"/>
          <w:szCs w:val="24"/>
        </w:rPr>
        <w:t>2.2.7</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statement of the individual’s rights with respect to PHI and a brief description of how the individual may exercise these rights, as provided by law, as follows: </w:t>
      </w:r>
    </w:p>
    <w:p w14:paraId="7B3F2F0C" w14:textId="77777777" w:rsidR="00E67EDE" w:rsidRPr="00E67EDE" w:rsidRDefault="00E67EDE" w:rsidP="00E67EDE">
      <w:pPr>
        <w:ind w:left="3600" w:hanging="1440"/>
        <w:jc w:val="both"/>
        <w:rPr>
          <w:rFonts w:cs="Open Sans"/>
          <w:sz w:val="24"/>
          <w:szCs w:val="24"/>
        </w:rPr>
      </w:pPr>
      <w:r w:rsidRPr="00E67EDE">
        <w:rPr>
          <w:rFonts w:cs="Open Sans"/>
          <w:sz w:val="24"/>
          <w:szCs w:val="24"/>
        </w:rPr>
        <w:t>(1)</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right to request restrictions on certain uses and disclosures of PHI, including a statement that the TDMHSAS or the RMHI is not required to agree to a requested restriction except in circumstances outlined by </w:t>
      </w:r>
      <w:proofErr w:type="gramStart"/>
      <w:r w:rsidRPr="00E67EDE">
        <w:rPr>
          <w:rFonts w:cs="Open Sans"/>
          <w:sz w:val="24"/>
          <w:szCs w:val="24"/>
        </w:rPr>
        <w:t>law;</w:t>
      </w:r>
      <w:proofErr w:type="gramEnd"/>
      <w:r w:rsidRPr="00E67EDE">
        <w:rPr>
          <w:rFonts w:cs="Open Sans"/>
          <w:sz w:val="24"/>
          <w:szCs w:val="24"/>
        </w:rPr>
        <w:t xml:space="preserve"> </w:t>
      </w:r>
    </w:p>
    <w:p w14:paraId="41FCE6C1" w14:textId="77777777" w:rsidR="00E67EDE" w:rsidRPr="00E67EDE" w:rsidRDefault="00E67EDE" w:rsidP="00E67EDE">
      <w:pPr>
        <w:ind w:left="3600" w:hanging="1440"/>
        <w:jc w:val="both"/>
        <w:rPr>
          <w:rFonts w:cs="Open Sans"/>
          <w:sz w:val="24"/>
          <w:szCs w:val="24"/>
        </w:rPr>
      </w:pPr>
      <w:r w:rsidRPr="00E67EDE">
        <w:rPr>
          <w:rFonts w:cs="Open Sans"/>
          <w:sz w:val="24"/>
          <w:szCs w:val="24"/>
        </w:rPr>
        <w:t>(2)</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right to receive confidential communications of </w:t>
      </w:r>
      <w:proofErr w:type="gramStart"/>
      <w:r w:rsidRPr="00E67EDE">
        <w:rPr>
          <w:rFonts w:cs="Open Sans"/>
          <w:sz w:val="24"/>
          <w:szCs w:val="24"/>
        </w:rPr>
        <w:t>PHI</w:t>
      </w:r>
      <w:bookmarkStart w:id="0" w:name="_Hlk117582987"/>
      <w:r w:rsidRPr="00E67EDE">
        <w:rPr>
          <w:rFonts w:cs="Open Sans"/>
          <w:sz w:val="24"/>
          <w:szCs w:val="24"/>
        </w:rPr>
        <w:t>;</w:t>
      </w:r>
      <w:proofErr w:type="gramEnd"/>
    </w:p>
    <w:p w14:paraId="1E2D5CA5" w14:textId="77777777" w:rsidR="00E67EDE" w:rsidRPr="00E67EDE" w:rsidRDefault="00E67EDE" w:rsidP="00E67EDE">
      <w:pPr>
        <w:ind w:left="3600" w:hanging="1440"/>
        <w:jc w:val="both"/>
        <w:rPr>
          <w:rFonts w:cs="Open Sans"/>
          <w:sz w:val="24"/>
          <w:szCs w:val="24"/>
        </w:rPr>
      </w:pPr>
      <w:r w:rsidRPr="00E67EDE">
        <w:rPr>
          <w:rFonts w:cs="Open Sans"/>
          <w:sz w:val="24"/>
          <w:szCs w:val="24"/>
        </w:rPr>
        <w:t>(3)</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right of access to inspect and obtain a copy of PHI at limited cost or, in some cases, free of charge; and the right to direct a covered health care provider to transmit an electronic copy of PHI in an electronic health record to a third </w:t>
      </w:r>
      <w:proofErr w:type="gramStart"/>
      <w:r w:rsidRPr="00E67EDE">
        <w:rPr>
          <w:rFonts w:cs="Open Sans"/>
          <w:sz w:val="24"/>
          <w:szCs w:val="24"/>
        </w:rPr>
        <w:t>party;</w:t>
      </w:r>
      <w:proofErr w:type="gramEnd"/>
      <w:r w:rsidRPr="00E67EDE">
        <w:rPr>
          <w:rFonts w:cs="Open Sans"/>
          <w:sz w:val="24"/>
          <w:szCs w:val="24"/>
        </w:rPr>
        <w:t xml:space="preserve"> </w:t>
      </w:r>
      <w:r w:rsidRPr="00E67EDE">
        <w:rPr>
          <w:rFonts w:cs="Open Sans"/>
          <w:sz w:val="24"/>
          <w:szCs w:val="24"/>
        </w:rPr>
        <w:tab/>
      </w:r>
    </w:p>
    <w:p w14:paraId="4D47FA4F" w14:textId="77777777" w:rsidR="00E67EDE" w:rsidRPr="00E67EDE" w:rsidRDefault="00E67EDE" w:rsidP="00E67EDE">
      <w:pPr>
        <w:ind w:left="3600" w:hanging="1440"/>
        <w:jc w:val="both"/>
        <w:rPr>
          <w:rFonts w:cs="Open Sans"/>
          <w:sz w:val="24"/>
          <w:szCs w:val="24"/>
        </w:rPr>
      </w:pPr>
      <w:r w:rsidRPr="00E67EDE">
        <w:rPr>
          <w:rFonts w:cs="Open Sans"/>
          <w:sz w:val="24"/>
          <w:szCs w:val="24"/>
        </w:rPr>
        <w:lastRenderedPageBreak/>
        <w:t>(4)</w:t>
      </w:r>
      <w:r w:rsidRPr="00E67EDE">
        <w:rPr>
          <w:rFonts w:cs="Open Sans"/>
          <w:sz w:val="24"/>
          <w:szCs w:val="24"/>
        </w:rPr>
        <w:tab/>
        <w:t xml:space="preserve">The right to amend </w:t>
      </w:r>
      <w:proofErr w:type="gramStart"/>
      <w:r w:rsidRPr="00E67EDE">
        <w:rPr>
          <w:rFonts w:cs="Open Sans"/>
          <w:sz w:val="24"/>
          <w:szCs w:val="24"/>
        </w:rPr>
        <w:t>PHI;</w:t>
      </w:r>
      <w:proofErr w:type="gramEnd"/>
    </w:p>
    <w:p w14:paraId="5D5A96C4" w14:textId="77777777" w:rsidR="00E67EDE" w:rsidRPr="00E67EDE" w:rsidRDefault="00E67EDE" w:rsidP="00E67EDE">
      <w:pPr>
        <w:ind w:left="3600" w:hanging="1440"/>
        <w:jc w:val="both"/>
        <w:rPr>
          <w:rFonts w:cs="Open Sans"/>
          <w:sz w:val="24"/>
          <w:szCs w:val="24"/>
        </w:rPr>
      </w:pPr>
      <w:r w:rsidRPr="00E67EDE">
        <w:rPr>
          <w:rFonts w:cs="Open Sans"/>
          <w:sz w:val="24"/>
          <w:szCs w:val="24"/>
        </w:rPr>
        <w:t>(5)</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right to receive an accounting of disclosures of PHI.  </w:t>
      </w:r>
      <w:r w:rsidRPr="00E67EDE">
        <w:rPr>
          <w:rFonts w:cs="Open Sans"/>
          <w:i/>
          <w:iCs/>
          <w:sz w:val="24"/>
          <w:szCs w:val="24"/>
        </w:rPr>
        <w:t>See</w:t>
      </w:r>
      <w:r w:rsidRPr="00E67EDE">
        <w:rPr>
          <w:rFonts w:cs="Open Sans"/>
          <w:sz w:val="24"/>
          <w:szCs w:val="24"/>
        </w:rPr>
        <w:t xml:space="preserve"> TDMHSAS HIPAA Policy 4.8; and</w:t>
      </w:r>
    </w:p>
    <w:bookmarkEnd w:id="0"/>
    <w:p w14:paraId="7756D6E2" w14:textId="77777777" w:rsidR="00E67EDE" w:rsidRPr="00E67EDE" w:rsidRDefault="00E67EDE" w:rsidP="00E67EDE">
      <w:pPr>
        <w:ind w:left="3600" w:hanging="1440"/>
        <w:jc w:val="both"/>
        <w:rPr>
          <w:rFonts w:cs="Open Sans"/>
          <w:sz w:val="24"/>
          <w:szCs w:val="24"/>
        </w:rPr>
      </w:pPr>
      <w:r w:rsidRPr="00E67EDE">
        <w:rPr>
          <w:rFonts w:cs="Open Sans"/>
          <w:sz w:val="24"/>
          <w:szCs w:val="24"/>
        </w:rPr>
        <w:t>(6)</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right of an individual, including an individual who has agreed to receive notice electronically, to obtain a paper copy of the notice from the TDMHSAS or the RMHI upon request. </w:t>
      </w:r>
    </w:p>
    <w:p w14:paraId="597E9BB4" w14:textId="77777777" w:rsidR="00E67EDE" w:rsidRPr="00E67EDE" w:rsidRDefault="00E67EDE" w:rsidP="00E67EDE">
      <w:pPr>
        <w:ind w:left="3600" w:hanging="1440"/>
        <w:jc w:val="both"/>
        <w:rPr>
          <w:rFonts w:cs="Open Sans"/>
          <w:sz w:val="24"/>
          <w:szCs w:val="24"/>
        </w:rPr>
      </w:pPr>
      <w:r w:rsidRPr="00E67EDE">
        <w:rPr>
          <w:rFonts w:cs="Open Sans"/>
          <w:sz w:val="24"/>
          <w:szCs w:val="24"/>
        </w:rPr>
        <w:t>(7):</w:t>
      </w:r>
      <w:r w:rsidRPr="00E67EDE">
        <w:rPr>
          <w:rFonts w:cs="Open Sans"/>
          <w:sz w:val="24"/>
          <w:szCs w:val="24"/>
        </w:rPr>
        <w:tab/>
        <w:t xml:space="preserve">The right to discuss the notice with a designated contact person identified by the TDMHSAS or the RMHI pursuant to paragraph 2.2.10 of this policy.  </w:t>
      </w:r>
    </w:p>
    <w:p w14:paraId="69282F1D" w14:textId="77777777" w:rsidR="00E67EDE" w:rsidRPr="00E67EDE" w:rsidRDefault="00E67EDE" w:rsidP="00E67EDE">
      <w:pPr>
        <w:jc w:val="both"/>
        <w:rPr>
          <w:rFonts w:cs="Open Sans"/>
          <w:sz w:val="24"/>
          <w:szCs w:val="24"/>
        </w:rPr>
      </w:pPr>
      <w:r w:rsidRPr="00E67EDE">
        <w:rPr>
          <w:rFonts w:cs="Open Sans"/>
          <w:sz w:val="24"/>
          <w:szCs w:val="24"/>
        </w:rPr>
        <w:tab/>
      </w:r>
      <w:r w:rsidRPr="00E67EDE">
        <w:rPr>
          <w:rFonts w:cs="Open Sans"/>
          <w:sz w:val="24"/>
          <w:szCs w:val="24"/>
        </w:rPr>
        <w:tab/>
        <w:t>2.2.8:</w:t>
      </w:r>
      <w:r w:rsidRPr="00E67EDE">
        <w:rPr>
          <w:rFonts w:cs="Open Sans"/>
          <w:sz w:val="24"/>
          <w:szCs w:val="24"/>
        </w:rPr>
        <w:tab/>
        <w:t>a statement of the TDMHSAS and/ or the RMHIs duties, including:</w:t>
      </w:r>
    </w:p>
    <w:p w14:paraId="45A46CDD" w14:textId="77777777" w:rsidR="00E67EDE" w:rsidRPr="00E67EDE" w:rsidRDefault="00E67EDE" w:rsidP="00E67EDE">
      <w:pPr>
        <w:ind w:left="3600" w:hanging="1440"/>
        <w:jc w:val="both"/>
        <w:rPr>
          <w:rFonts w:cs="Open Sans"/>
          <w:sz w:val="24"/>
          <w:szCs w:val="24"/>
        </w:rPr>
      </w:pPr>
      <w:r w:rsidRPr="00E67EDE">
        <w:rPr>
          <w:rFonts w:cs="Open Sans"/>
          <w:sz w:val="24"/>
          <w:szCs w:val="24"/>
        </w:rPr>
        <w:t>(1)</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statement that the TDMHSAS and the RMHI </w:t>
      </w:r>
      <w:proofErr w:type="gramStart"/>
      <w:r w:rsidRPr="00E67EDE">
        <w:rPr>
          <w:rFonts w:cs="Open Sans"/>
          <w:sz w:val="24"/>
          <w:szCs w:val="24"/>
        </w:rPr>
        <w:t>is</w:t>
      </w:r>
      <w:proofErr w:type="gramEnd"/>
      <w:r w:rsidRPr="00E67EDE">
        <w:rPr>
          <w:rFonts w:cs="Open Sans"/>
          <w:sz w:val="24"/>
          <w:szCs w:val="24"/>
        </w:rPr>
        <w:t xml:space="preserve"> required by law to maintain the privacy of PHI, to provide individuals with notice of its legal duties and privacy practices with respect to PHI, and to notify individuals of a breach of unsecured </w:t>
      </w:r>
      <w:proofErr w:type="gramStart"/>
      <w:r w:rsidRPr="00E67EDE">
        <w:rPr>
          <w:rFonts w:cs="Open Sans"/>
          <w:sz w:val="24"/>
          <w:szCs w:val="24"/>
        </w:rPr>
        <w:t>PHI;</w:t>
      </w:r>
      <w:proofErr w:type="gramEnd"/>
      <w:r w:rsidRPr="00E67EDE">
        <w:rPr>
          <w:rFonts w:cs="Open Sans"/>
          <w:sz w:val="24"/>
          <w:szCs w:val="24"/>
        </w:rPr>
        <w:t xml:space="preserve"> </w:t>
      </w:r>
    </w:p>
    <w:p w14:paraId="4FF12164" w14:textId="77777777" w:rsidR="00E67EDE" w:rsidRPr="00E67EDE" w:rsidRDefault="00E67EDE" w:rsidP="00E67EDE">
      <w:pPr>
        <w:ind w:left="3600" w:hanging="1440"/>
        <w:jc w:val="both"/>
        <w:rPr>
          <w:rFonts w:cs="Open Sans"/>
          <w:sz w:val="24"/>
          <w:szCs w:val="24"/>
        </w:rPr>
      </w:pPr>
      <w:r w:rsidRPr="00E67EDE">
        <w:rPr>
          <w:rFonts w:cs="Open Sans"/>
          <w:sz w:val="24"/>
          <w:szCs w:val="24"/>
        </w:rPr>
        <w:t>(2)</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statement that the TDMHSAS and the RMI </w:t>
      </w:r>
      <w:proofErr w:type="gramStart"/>
      <w:r w:rsidRPr="00E67EDE">
        <w:rPr>
          <w:rFonts w:cs="Open Sans"/>
          <w:sz w:val="24"/>
          <w:szCs w:val="24"/>
        </w:rPr>
        <w:t>is</w:t>
      </w:r>
      <w:proofErr w:type="gramEnd"/>
      <w:r w:rsidRPr="00E67EDE">
        <w:rPr>
          <w:rFonts w:cs="Open Sans"/>
          <w:sz w:val="24"/>
          <w:szCs w:val="24"/>
        </w:rPr>
        <w:t xml:space="preserve"> required to abide by the terms of the notice currently in effect; and</w:t>
      </w:r>
    </w:p>
    <w:p w14:paraId="709AE1A0" w14:textId="77777777" w:rsidR="00E67EDE" w:rsidRPr="00E67EDE" w:rsidRDefault="00E67EDE" w:rsidP="00E67EDE">
      <w:pPr>
        <w:ind w:left="3600" w:hanging="1440"/>
        <w:jc w:val="both"/>
        <w:rPr>
          <w:rFonts w:cs="Open Sans"/>
          <w:sz w:val="24"/>
          <w:szCs w:val="24"/>
        </w:rPr>
      </w:pPr>
      <w:r w:rsidRPr="00E67EDE">
        <w:rPr>
          <w:rFonts w:cs="Open Sans"/>
          <w:sz w:val="24"/>
          <w:szCs w:val="24"/>
        </w:rPr>
        <w:t>(3)</w:t>
      </w:r>
      <w:proofErr w:type="gramStart"/>
      <w:r w:rsidRPr="00E67EDE">
        <w:rPr>
          <w:rFonts w:cs="Open Sans"/>
          <w:sz w:val="24"/>
          <w:szCs w:val="24"/>
        </w:rPr>
        <w:t xml:space="preserve">: </w:t>
      </w:r>
      <w:r w:rsidRPr="00E67EDE">
        <w:rPr>
          <w:rFonts w:cs="Open Sans"/>
          <w:sz w:val="24"/>
          <w:szCs w:val="24"/>
        </w:rPr>
        <w:tab/>
        <w:t>A</w:t>
      </w:r>
      <w:proofErr w:type="gramEnd"/>
      <w:r w:rsidRPr="00E67EDE">
        <w:rPr>
          <w:rFonts w:cs="Open Sans"/>
          <w:sz w:val="24"/>
          <w:szCs w:val="24"/>
        </w:rPr>
        <w:t xml:space="preserve"> statement that the TDMHSAS or the RMHI reserves the right to change the terms of its notice and to make the new notice provisions effective for all PHI that it maintains and describe how it will provide individuals with revised notice.</w:t>
      </w:r>
    </w:p>
    <w:p w14:paraId="00CEB156" w14:textId="77777777" w:rsidR="00E67EDE" w:rsidRPr="00E67EDE" w:rsidRDefault="00E67EDE" w:rsidP="00E67EDE">
      <w:pPr>
        <w:ind w:left="2160" w:hanging="720"/>
        <w:jc w:val="both"/>
        <w:rPr>
          <w:rFonts w:cs="Open Sans"/>
          <w:sz w:val="24"/>
          <w:szCs w:val="24"/>
        </w:rPr>
      </w:pPr>
      <w:r w:rsidRPr="00E67EDE">
        <w:rPr>
          <w:rFonts w:cs="Open Sans"/>
          <w:sz w:val="24"/>
          <w:szCs w:val="24"/>
        </w:rPr>
        <w:t xml:space="preserve">2.2.9: </w:t>
      </w:r>
      <w:r w:rsidRPr="00E67EDE">
        <w:rPr>
          <w:rFonts w:cs="Open Sans"/>
          <w:sz w:val="24"/>
          <w:szCs w:val="24"/>
        </w:rPr>
        <w:tab/>
        <w:t xml:space="preserve">A statement that individuals may complain to the TDMHSAS and to the Secretary of the Department of Health and Human Services (“DHHS”) if they believe their privacy rights have been violated, a brief description of how the individual may file a complaint with the TDMHSAS and/or DHHS, and a statement that the individual will not be retaliated against for filing the complaint; </w:t>
      </w:r>
    </w:p>
    <w:p w14:paraId="1475ED9D" w14:textId="77777777" w:rsidR="00E67EDE" w:rsidRPr="00E67EDE" w:rsidRDefault="00E67EDE" w:rsidP="00E67EDE">
      <w:pPr>
        <w:ind w:left="2160" w:hanging="720"/>
        <w:jc w:val="both"/>
        <w:rPr>
          <w:rFonts w:cs="Open Sans"/>
          <w:sz w:val="24"/>
          <w:szCs w:val="24"/>
        </w:rPr>
      </w:pPr>
      <w:r w:rsidRPr="00E67EDE">
        <w:rPr>
          <w:rFonts w:cs="Open Sans"/>
          <w:sz w:val="24"/>
          <w:szCs w:val="24"/>
        </w:rPr>
        <w:t xml:space="preserve">2.2.10: The notice must contain the name or title and telephone number and email for a designated person who is available to provide further information and answer questions about the TDMHSAS or the RMHI's privacy </w:t>
      </w:r>
      <w:proofErr w:type="gramStart"/>
      <w:r w:rsidRPr="00E67EDE">
        <w:rPr>
          <w:rFonts w:cs="Open Sans"/>
          <w:sz w:val="24"/>
          <w:szCs w:val="24"/>
        </w:rPr>
        <w:t>practices;</w:t>
      </w:r>
      <w:proofErr w:type="gramEnd"/>
    </w:p>
    <w:p w14:paraId="0B294A73" w14:textId="09B5C345" w:rsidR="00E67EDE" w:rsidRPr="00E67EDE" w:rsidRDefault="00E67EDE" w:rsidP="00E67EDE">
      <w:pPr>
        <w:ind w:left="2160" w:hanging="720"/>
        <w:jc w:val="both"/>
        <w:rPr>
          <w:rFonts w:cs="Open Sans"/>
          <w:sz w:val="24"/>
          <w:szCs w:val="24"/>
        </w:rPr>
      </w:pPr>
      <w:r w:rsidRPr="00E67EDE">
        <w:rPr>
          <w:rFonts w:cs="Open Sans"/>
          <w:sz w:val="24"/>
          <w:szCs w:val="24"/>
        </w:rPr>
        <w:t>2.2.11:</w:t>
      </w:r>
      <w:r>
        <w:rPr>
          <w:rFonts w:cs="Open Sans"/>
          <w:sz w:val="24"/>
          <w:szCs w:val="24"/>
        </w:rPr>
        <w:t xml:space="preserve"> </w:t>
      </w:r>
      <w:r w:rsidRPr="00E67EDE">
        <w:rPr>
          <w:rFonts w:cs="Open Sans"/>
          <w:sz w:val="24"/>
          <w:szCs w:val="24"/>
        </w:rPr>
        <w:t xml:space="preserve">An effective date on which the notice is first in effect, which may not be earlier than the date on which the notice is printed or otherwise published. </w:t>
      </w:r>
    </w:p>
    <w:p w14:paraId="4A19D569" w14:textId="77777777" w:rsidR="00E67EDE" w:rsidRPr="00E67EDE" w:rsidRDefault="00E67EDE" w:rsidP="00E67EDE">
      <w:pPr>
        <w:ind w:left="1440" w:hanging="720"/>
        <w:jc w:val="both"/>
        <w:rPr>
          <w:rFonts w:cs="Open Sans"/>
          <w:sz w:val="24"/>
          <w:szCs w:val="24"/>
        </w:rPr>
      </w:pPr>
      <w:r w:rsidRPr="00E67EDE">
        <w:rPr>
          <w:rFonts w:cs="Open Sans"/>
          <w:sz w:val="24"/>
          <w:szCs w:val="24"/>
        </w:rPr>
        <w:t>2.3</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and the RMHI must promptly revise and distribute its notice whenever there is a material change to the uses or disclosures, the individual’s rights, the covered </w:t>
      </w:r>
      <w:r w:rsidRPr="00E67EDE">
        <w:rPr>
          <w:rFonts w:cs="Open Sans"/>
          <w:sz w:val="24"/>
          <w:szCs w:val="24"/>
        </w:rPr>
        <w:lastRenderedPageBreak/>
        <w:t xml:space="preserve">entity’s legal duties, or other privacy practices stated in the notice. Except when required by law, a material change to any term of the notice may not be implemented prior to the effective date of the notice in which such material change is reflected. </w:t>
      </w:r>
    </w:p>
    <w:p w14:paraId="5C1D051B" w14:textId="77777777" w:rsidR="00E67EDE" w:rsidRPr="00E67EDE" w:rsidRDefault="00E67EDE" w:rsidP="00E67EDE">
      <w:pPr>
        <w:ind w:left="1440" w:hanging="720"/>
        <w:jc w:val="both"/>
        <w:rPr>
          <w:rFonts w:cs="Open Sans"/>
          <w:sz w:val="24"/>
          <w:szCs w:val="24"/>
        </w:rPr>
      </w:pPr>
      <w:r w:rsidRPr="00E67EDE">
        <w:rPr>
          <w:rFonts w:cs="Open Sans"/>
          <w:sz w:val="24"/>
          <w:szCs w:val="24"/>
        </w:rPr>
        <w:t xml:space="preserve">2.4: </w:t>
      </w:r>
      <w:proofErr w:type="gramStart"/>
      <w:r w:rsidRPr="00E67EDE">
        <w:rPr>
          <w:rFonts w:cs="Open Sans"/>
          <w:sz w:val="24"/>
          <w:szCs w:val="24"/>
        </w:rPr>
        <w:tab/>
        <w:t>The TDMHSAS</w:t>
      </w:r>
      <w:proofErr w:type="gramEnd"/>
      <w:r w:rsidRPr="00E67EDE">
        <w:rPr>
          <w:rFonts w:cs="Open Sans"/>
          <w:sz w:val="24"/>
          <w:szCs w:val="24"/>
        </w:rPr>
        <w:t xml:space="preserve"> or </w:t>
      </w:r>
      <w:proofErr w:type="gramStart"/>
      <w:r w:rsidRPr="00E67EDE">
        <w:rPr>
          <w:rFonts w:cs="Open Sans"/>
          <w:sz w:val="24"/>
          <w:szCs w:val="24"/>
        </w:rPr>
        <w:t>the RMHI</w:t>
      </w:r>
      <w:proofErr w:type="gramEnd"/>
      <w:r w:rsidRPr="00E67EDE">
        <w:rPr>
          <w:rFonts w:cs="Open Sans"/>
          <w:sz w:val="24"/>
          <w:szCs w:val="24"/>
        </w:rPr>
        <w:t xml:space="preserve"> may provide notice as described above to an individual by e-mail if the individual agrees to electronic notice and such agreement has not been withdrawn. If the TDMHSAS or the RMHI knows that the e-mail transmission has failed, a paper copy of the notice must be provided to the individual. </w:t>
      </w:r>
    </w:p>
    <w:p w14:paraId="6059CACD" w14:textId="230BFD8F" w:rsidR="00E67EDE" w:rsidRPr="00E67EDE" w:rsidRDefault="00E67EDE" w:rsidP="00E334A5">
      <w:pPr>
        <w:pStyle w:val="Heading2"/>
      </w:pPr>
      <w:r w:rsidRPr="00E67EDE">
        <w:t xml:space="preserve">Procedure/ Responsibility: </w:t>
      </w:r>
    </w:p>
    <w:p w14:paraId="6FC60D2F" w14:textId="77777777" w:rsidR="00E67EDE" w:rsidRPr="00E67EDE" w:rsidRDefault="00E67EDE" w:rsidP="00E67EDE">
      <w:pPr>
        <w:ind w:left="1440" w:hanging="720"/>
        <w:jc w:val="both"/>
        <w:rPr>
          <w:rFonts w:cs="Open Sans"/>
          <w:sz w:val="24"/>
          <w:szCs w:val="24"/>
        </w:rPr>
      </w:pPr>
      <w:r w:rsidRPr="00E67EDE">
        <w:rPr>
          <w:rFonts w:cs="Open Sans"/>
          <w:sz w:val="24"/>
          <w:szCs w:val="24"/>
        </w:rPr>
        <w:t>3.1</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and the RMHIs must make the notice described above available on request to any person or to individuals. </w:t>
      </w:r>
    </w:p>
    <w:p w14:paraId="1BF4C7CD" w14:textId="77777777" w:rsidR="00E67EDE" w:rsidRPr="00E67EDE" w:rsidRDefault="00E67EDE" w:rsidP="00E67EDE">
      <w:pPr>
        <w:ind w:left="1440" w:hanging="720"/>
        <w:jc w:val="both"/>
        <w:rPr>
          <w:rFonts w:cs="Open Sans"/>
          <w:sz w:val="24"/>
          <w:szCs w:val="24"/>
        </w:rPr>
      </w:pPr>
      <w:r w:rsidRPr="00E67EDE">
        <w:rPr>
          <w:rFonts w:cs="Open Sans"/>
          <w:sz w:val="24"/>
          <w:szCs w:val="24"/>
        </w:rPr>
        <w:t>3.2</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and the RMHIs must provide </w:t>
      </w:r>
      <w:proofErr w:type="gramStart"/>
      <w:r w:rsidRPr="00E67EDE">
        <w:rPr>
          <w:rFonts w:cs="Open Sans"/>
          <w:sz w:val="24"/>
          <w:szCs w:val="24"/>
        </w:rPr>
        <w:t>the notice</w:t>
      </w:r>
      <w:proofErr w:type="gramEnd"/>
      <w:r w:rsidRPr="00E67EDE">
        <w:rPr>
          <w:rFonts w:cs="Open Sans"/>
          <w:sz w:val="24"/>
          <w:szCs w:val="24"/>
        </w:rPr>
        <w:t xml:space="preserve"> no later than the date of first service delivery, including the service delivered electronically, to such individual after the compliance date for the covered health care provider; or in an emergency treatment situation, as soon as reasonably practicable after the emergency treatment situation. </w:t>
      </w:r>
    </w:p>
    <w:p w14:paraId="18A1C38A" w14:textId="77777777" w:rsidR="00E67EDE" w:rsidRPr="00E67EDE" w:rsidRDefault="00E67EDE" w:rsidP="00E67EDE">
      <w:pPr>
        <w:ind w:left="1440" w:hanging="720"/>
        <w:jc w:val="both"/>
        <w:rPr>
          <w:rFonts w:cs="Open Sans"/>
          <w:sz w:val="24"/>
          <w:szCs w:val="24"/>
        </w:rPr>
      </w:pPr>
      <w:r w:rsidRPr="00E67EDE">
        <w:rPr>
          <w:rFonts w:cs="Open Sans"/>
          <w:sz w:val="24"/>
          <w:szCs w:val="24"/>
        </w:rPr>
        <w:t xml:space="preserve">3.3: </w:t>
      </w:r>
      <w:r w:rsidRPr="00E67EDE">
        <w:rPr>
          <w:rFonts w:cs="Open Sans"/>
          <w:sz w:val="24"/>
          <w:szCs w:val="24"/>
        </w:rPr>
        <w:tab/>
        <w:t xml:space="preserve">Except in the emergency treatment situation as described in paragraph 3.2 of this policy, the TDMHSAS and the RMHI will make a good faith effort to obtain a written acknowledgement from the recipient of notice provided, and if not obtained, document its good faith efforts to obtain such acknowledgment and the reason(s) why acknowledgment was not obtained. </w:t>
      </w:r>
    </w:p>
    <w:p w14:paraId="10D7443A" w14:textId="77777777" w:rsidR="00E67EDE" w:rsidRPr="00E67EDE" w:rsidRDefault="00E67EDE" w:rsidP="00E67EDE">
      <w:pPr>
        <w:ind w:left="1440" w:hanging="720"/>
        <w:jc w:val="both"/>
        <w:rPr>
          <w:rFonts w:cs="Open Sans"/>
          <w:sz w:val="24"/>
          <w:szCs w:val="24"/>
        </w:rPr>
      </w:pPr>
      <w:r w:rsidRPr="00E67EDE">
        <w:rPr>
          <w:rFonts w:cs="Open Sans"/>
          <w:sz w:val="24"/>
          <w:szCs w:val="24"/>
        </w:rPr>
        <w:t xml:space="preserve">3.4: </w:t>
      </w:r>
      <w:r w:rsidRPr="00E67EDE">
        <w:rPr>
          <w:rFonts w:cs="Open Sans"/>
          <w:sz w:val="24"/>
          <w:szCs w:val="24"/>
        </w:rPr>
        <w:tab/>
        <w:t xml:space="preserve">At the physical site of the RMHIs, the notice shall be provided at the hospital site for individuals to request to take with them upon leaving; and the notice shall be posted in a clear and prominent location where it is reasonable to expect individuals seeking service to be able to read the notice; and whenever the notice is revised promptly update the notice in compliance with paragraph 3.2 of this policy. </w:t>
      </w:r>
    </w:p>
    <w:p w14:paraId="2D61164D" w14:textId="77777777" w:rsidR="00E67EDE" w:rsidRPr="00E67EDE" w:rsidRDefault="00E67EDE" w:rsidP="00E67EDE">
      <w:pPr>
        <w:ind w:left="1440" w:hanging="720"/>
        <w:jc w:val="both"/>
        <w:rPr>
          <w:rFonts w:cs="Open Sans"/>
          <w:sz w:val="24"/>
          <w:szCs w:val="24"/>
        </w:rPr>
      </w:pPr>
      <w:r w:rsidRPr="00E67EDE">
        <w:rPr>
          <w:rFonts w:cs="Open Sans"/>
          <w:sz w:val="24"/>
          <w:szCs w:val="24"/>
        </w:rPr>
        <w:t>3.5</w:t>
      </w:r>
      <w:proofErr w:type="gramStart"/>
      <w:r w:rsidRPr="00E67EDE">
        <w:rPr>
          <w:rFonts w:cs="Open Sans"/>
          <w:sz w:val="24"/>
          <w:szCs w:val="24"/>
        </w:rPr>
        <w:t xml:space="preserve">: </w:t>
      </w:r>
      <w:r w:rsidRPr="00E67EDE">
        <w:rPr>
          <w:rFonts w:cs="Open Sans"/>
          <w:sz w:val="24"/>
          <w:szCs w:val="24"/>
        </w:rPr>
        <w:tab/>
        <w:t>At</w:t>
      </w:r>
      <w:proofErr w:type="gramEnd"/>
      <w:r w:rsidRPr="00E67EDE">
        <w:rPr>
          <w:rFonts w:cs="Open Sans"/>
          <w:sz w:val="24"/>
          <w:szCs w:val="24"/>
        </w:rPr>
        <w:t xml:space="preserve"> the TDMHSAS website, the notice will be prominently displayed and make the notice available electronically through the website. </w:t>
      </w:r>
    </w:p>
    <w:p w14:paraId="00A1486A" w14:textId="77777777" w:rsidR="00E67EDE" w:rsidRPr="00E67EDE" w:rsidRDefault="00E67EDE" w:rsidP="00E67EDE">
      <w:pPr>
        <w:ind w:left="1440" w:hanging="720"/>
        <w:jc w:val="both"/>
        <w:rPr>
          <w:rFonts w:cs="Open Sans"/>
          <w:sz w:val="24"/>
          <w:szCs w:val="24"/>
        </w:rPr>
      </w:pPr>
      <w:r w:rsidRPr="00E67EDE">
        <w:rPr>
          <w:rFonts w:cs="Open Sans"/>
          <w:sz w:val="24"/>
          <w:szCs w:val="24"/>
        </w:rPr>
        <w:t>3.6</w:t>
      </w:r>
      <w:proofErr w:type="gramStart"/>
      <w:r w:rsidRPr="00E67EDE">
        <w:rPr>
          <w:rFonts w:cs="Open Sans"/>
          <w:sz w:val="24"/>
          <w:szCs w:val="24"/>
        </w:rPr>
        <w:t xml:space="preserve">: </w:t>
      </w:r>
      <w:r w:rsidRPr="00E67EDE">
        <w:rPr>
          <w:rFonts w:cs="Open Sans"/>
          <w:sz w:val="24"/>
          <w:szCs w:val="24"/>
        </w:rPr>
        <w:tab/>
        <w:t>The</w:t>
      </w:r>
      <w:proofErr w:type="gramEnd"/>
      <w:r w:rsidRPr="00E67EDE">
        <w:rPr>
          <w:rFonts w:cs="Open Sans"/>
          <w:sz w:val="24"/>
          <w:szCs w:val="24"/>
        </w:rPr>
        <w:t xml:space="preserve"> TDMHSAS or RMHI Privacy Officer must document compliance with the notice requirements and retain copies of the notices issued for six (6) years from the date of its creation or the date when it was last in effect, whichever is later. </w:t>
      </w:r>
    </w:p>
    <w:p w14:paraId="659712F6" w14:textId="77777777" w:rsidR="00E334A5" w:rsidRDefault="00E334A5">
      <w:pPr>
        <w:rPr>
          <w:rFonts w:cs="Open Sans"/>
          <w:b/>
          <w:sz w:val="24"/>
          <w:szCs w:val="24"/>
        </w:rPr>
      </w:pPr>
      <w:r>
        <w:rPr>
          <w:rFonts w:cs="Open Sans"/>
          <w:b/>
          <w:sz w:val="24"/>
          <w:szCs w:val="24"/>
        </w:rPr>
        <w:br w:type="page"/>
      </w:r>
    </w:p>
    <w:p w14:paraId="4D337F7F" w14:textId="77777777" w:rsidR="00E334A5" w:rsidRDefault="00E334A5">
      <w:pPr>
        <w:rPr>
          <w:rFonts w:cs="Open Sans"/>
          <w:b/>
          <w:sz w:val="24"/>
          <w:szCs w:val="24"/>
        </w:rPr>
      </w:pPr>
    </w:p>
    <w:p w14:paraId="4663C613" w14:textId="1795B6EB" w:rsidR="00E67EDE" w:rsidRPr="00E67EDE" w:rsidRDefault="00E67EDE" w:rsidP="00E334A5">
      <w:pPr>
        <w:pStyle w:val="Heading2"/>
      </w:pPr>
      <w:r w:rsidRPr="00E67EDE">
        <w:t xml:space="preserve">Other Considerations: </w:t>
      </w:r>
    </w:p>
    <w:p w14:paraId="7CB2B040" w14:textId="77777777" w:rsidR="00E67EDE" w:rsidRPr="00E67EDE" w:rsidRDefault="00E67EDE" w:rsidP="00E67EDE">
      <w:pPr>
        <w:ind w:firstLine="720"/>
        <w:jc w:val="both"/>
        <w:rPr>
          <w:rFonts w:cs="Open Sans"/>
          <w:sz w:val="24"/>
          <w:szCs w:val="24"/>
        </w:rPr>
      </w:pPr>
      <w:r w:rsidRPr="00E67EDE">
        <w:rPr>
          <w:rFonts w:cs="Open Sans"/>
          <w:sz w:val="24"/>
          <w:szCs w:val="24"/>
        </w:rPr>
        <w:t>4.1</w:t>
      </w:r>
      <w:proofErr w:type="gramStart"/>
      <w:r w:rsidRPr="00E67EDE">
        <w:rPr>
          <w:rFonts w:cs="Open Sans"/>
          <w:sz w:val="24"/>
          <w:szCs w:val="24"/>
        </w:rPr>
        <w:t xml:space="preserve">: </w:t>
      </w:r>
      <w:r w:rsidRPr="00E67EDE">
        <w:rPr>
          <w:rFonts w:cs="Open Sans"/>
          <w:sz w:val="24"/>
          <w:szCs w:val="24"/>
        </w:rPr>
        <w:tab/>
        <w:t>Authority</w:t>
      </w:r>
      <w:proofErr w:type="gramEnd"/>
      <w:r w:rsidRPr="00E67EDE">
        <w:rPr>
          <w:rFonts w:cs="Open Sans"/>
          <w:sz w:val="24"/>
          <w:szCs w:val="24"/>
        </w:rPr>
        <w:t xml:space="preserve">: </w:t>
      </w:r>
    </w:p>
    <w:p w14:paraId="6E207B63" w14:textId="77777777" w:rsidR="00E67EDE" w:rsidRPr="00E67EDE" w:rsidRDefault="00E67EDE" w:rsidP="00E67EDE">
      <w:pPr>
        <w:ind w:firstLine="720"/>
        <w:jc w:val="both"/>
        <w:rPr>
          <w:rFonts w:cs="Open Sans"/>
          <w:sz w:val="24"/>
          <w:szCs w:val="24"/>
        </w:rPr>
      </w:pPr>
      <w:r w:rsidRPr="00E67EDE">
        <w:rPr>
          <w:rFonts w:cs="Open Sans"/>
          <w:sz w:val="24"/>
          <w:szCs w:val="24"/>
        </w:rPr>
        <w:tab/>
        <w:t xml:space="preserve">45 C.F.R. §§ 164.508(b)(5), 164.520, 164.522(b), 164.524, 164.526, 164.528, and </w:t>
      </w:r>
      <w:r w:rsidRPr="00E67EDE">
        <w:rPr>
          <w:rFonts w:cs="Open Sans"/>
          <w:sz w:val="24"/>
          <w:szCs w:val="24"/>
        </w:rPr>
        <w:tab/>
      </w:r>
      <w:r w:rsidRPr="00E67EDE">
        <w:rPr>
          <w:rFonts w:cs="Open Sans"/>
          <w:sz w:val="24"/>
          <w:szCs w:val="24"/>
        </w:rPr>
        <w:tab/>
        <w:t>164.530(a)(1)(ii).</w:t>
      </w:r>
    </w:p>
    <w:p w14:paraId="6C5A1A6E" w14:textId="1E550A7E" w:rsidR="00AE70B5" w:rsidRPr="00E67EDE" w:rsidRDefault="007E105C" w:rsidP="0075304D">
      <w:pPr>
        <w:widowControl w:val="0"/>
        <w:spacing w:after="0" w:line="240" w:lineRule="auto"/>
        <w:ind w:left="2980"/>
        <w:jc w:val="both"/>
        <w:rPr>
          <w:rFonts w:eastAsia="Times New Roman" w:cs="Open Sans"/>
          <w:sz w:val="24"/>
          <w:szCs w:val="24"/>
        </w:rPr>
      </w:pPr>
      <w:r>
        <w:rPr>
          <w:noProof/>
        </w:rPr>
        <w:drawing>
          <wp:anchor distT="0" distB="0" distL="114300" distR="114300" simplePos="0" relativeHeight="251658240" behindDoc="1" locked="0" layoutInCell="1" allowOverlap="1" wp14:anchorId="0F3AE768" wp14:editId="1B821B08">
            <wp:simplePos x="0" y="0"/>
            <wp:positionH relativeFrom="column">
              <wp:posOffset>586740</wp:posOffset>
            </wp:positionH>
            <wp:positionV relativeFrom="paragraph">
              <wp:posOffset>22225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57B4E492" w14:textId="7E6DB92D" w:rsidR="00AE70B5" w:rsidRPr="00E67EDE" w:rsidRDefault="00AE70B5" w:rsidP="0075304D">
      <w:pPr>
        <w:widowControl w:val="0"/>
        <w:spacing w:after="0" w:line="240" w:lineRule="auto"/>
        <w:ind w:left="2980"/>
        <w:jc w:val="both"/>
        <w:rPr>
          <w:rFonts w:eastAsia="Times New Roman" w:cs="Open Sans"/>
          <w:sz w:val="24"/>
          <w:szCs w:val="24"/>
        </w:rPr>
      </w:pPr>
    </w:p>
    <w:p w14:paraId="78999CC5" w14:textId="7FF2BD4C" w:rsidR="00E55E0A" w:rsidRPr="00E67EDE" w:rsidRDefault="00E55E0A" w:rsidP="0075304D">
      <w:pPr>
        <w:jc w:val="both"/>
        <w:rPr>
          <w:rFonts w:cs="Open Sans"/>
        </w:rPr>
      </w:pPr>
    </w:p>
    <w:sectPr w:rsidR="00E55E0A" w:rsidRPr="00E67EDE" w:rsidSect="00E87684">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FC74" w14:textId="77777777" w:rsidR="00DA5488" w:rsidRDefault="00DA5488" w:rsidP="00801079">
      <w:r>
        <w:separator/>
      </w:r>
    </w:p>
  </w:endnote>
  <w:endnote w:type="continuationSeparator" w:id="0">
    <w:p w14:paraId="70A4C416" w14:textId="77777777" w:rsidR="00DA5488" w:rsidRDefault="00DA5488"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C42F" w14:textId="77777777" w:rsidR="00E67EDE" w:rsidRDefault="00E67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5F50913C"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E67EDE">
      <w:rPr>
        <w:rFonts w:cs="Open Sans"/>
        <w:sz w:val="20"/>
        <w:szCs w:val="20"/>
      </w:rPr>
      <w:t>9</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E67EDE">
      <w:rPr>
        <w:rFonts w:cs="Open Sans"/>
        <w:sz w:val="20"/>
        <w:szCs w:val="20"/>
      </w:rPr>
      <w:t>Notice of Privacy Practices for PHI…</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E67EDE">
      <w:rPr>
        <w:rFonts w:cs="Open Sans"/>
        <w:sz w:val="20"/>
        <w:szCs w:val="20"/>
      </w:rPr>
      <w:t>January 11,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84DA" w14:textId="77777777" w:rsidR="00E67EDE" w:rsidRDefault="00E6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4DC2" w14:textId="77777777" w:rsidR="00DA5488" w:rsidRDefault="00DA5488" w:rsidP="00801079">
      <w:r>
        <w:separator/>
      </w:r>
    </w:p>
  </w:footnote>
  <w:footnote w:type="continuationSeparator" w:id="0">
    <w:p w14:paraId="3739A46F" w14:textId="77777777" w:rsidR="00DA5488" w:rsidRDefault="00DA5488"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9C21" w14:textId="77777777" w:rsidR="00E67EDE" w:rsidRDefault="00E67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459E" w14:textId="77777777" w:rsidR="00E67EDE" w:rsidRDefault="00E67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0E5785"/>
    <w:multiLevelType w:val="hybridMultilevel"/>
    <w:tmpl w:val="10CEF05C"/>
    <w:lvl w:ilvl="0" w:tplc="81FAC304">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E115AB"/>
    <w:multiLevelType w:val="hybridMultilevel"/>
    <w:tmpl w:val="EDDE0F86"/>
    <w:lvl w:ilvl="0" w:tplc="DA18898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0"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3"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6"/>
  </w:num>
  <w:num w:numId="2" w16cid:durableId="783118593">
    <w:abstractNumId w:val="18"/>
  </w:num>
  <w:num w:numId="3" w16cid:durableId="1505390476">
    <w:abstractNumId w:val="5"/>
  </w:num>
  <w:num w:numId="4" w16cid:durableId="1274096518">
    <w:abstractNumId w:val="15"/>
  </w:num>
  <w:num w:numId="5" w16cid:durableId="855191819">
    <w:abstractNumId w:val="7"/>
  </w:num>
  <w:num w:numId="6" w16cid:durableId="1329669013">
    <w:abstractNumId w:val="19"/>
  </w:num>
  <w:num w:numId="7" w16cid:durableId="1721434853">
    <w:abstractNumId w:val="20"/>
  </w:num>
  <w:num w:numId="8" w16cid:durableId="1150367029">
    <w:abstractNumId w:val="8"/>
  </w:num>
  <w:num w:numId="9" w16cid:durableId="2028869913">
    <w:abstractNumId w:val="1"/>
  </w:num>
  <w:num w:numId="10" w16cid:durableId="1115558235">
    <w:abstractNumId w:val="14"/>
  </w:num>
  <w:num w:numId="11" w16cid:durableId="1375544509">
    <w:abstractNumId w:val="17"/>
  </w:num>
  <w:num w:numId="12" w16cid:durableId="463891535">
    <w:abstractNumId w:val="10"/>
  </w:num>
  <w:num w:numId="13" w16cid:durableId="687878566">
    <w:abstractNumId w:val="12"/>
  </w:num>
  <w:num w:numId="14" w16cid:durableId="476453308">
    <w:abstractNumId w:val="0"/>
  </w:num>
  <w:num w:numId="15" w16cid:durableId="1974822128">
    <w:abstractNumId w:val="9"/>
  </w:num>
  <w:num w:numId="16" w16cid:durableId="525289569">
    <w:abstractNumId w:val="21"/>
  </w:num>
  <w:num w:numId="17" w16cid:durableId="1799374499">
    <w:abstractNumId w:val="13"/>
  </w:num>
  <w:num w:numId="18" w16cid:durableId="1959069171">
    <w:abstractNumId w:val="4"/>
  </w:num>
  <w:num w:numId="19" w16cid:durableId="678969389">
    <w:abstractNumId w:val="11"/>
  </w:num>
  <w:num w:numId="20" w16cid:durableId="1540127759">
    <w:abstractNumId w:val="6"/>
  </w:num>
  <w:num w:numId="21" w16cid:durableId="128744821">
    <w:abstractNumId w:val="2"/>
  </w:num>
  <w:num w:numId="22" w16cid:durableId="925266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guUQv1Y+Gej0RvJ0/gOGMizEaSDoWu0zlZnwI+HAu+4o0iwafGqRmqw2ecMjxul/psXBLGkXmgvyxEhBk+g5Wg==" w:salt="57V+UYL12EsGg0pkA5co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24829"/>
    <w:rsid w:val="00050935"/>
    <w:rsid w:val="00150801"/>
    <w:rsid w:val="00154412"/>
    <w:rsid w:val="0016586F"/>
    <w:rsid w:val="001F783E"/>
    <w:rsid w:val="00295159"/>
    <w:rsid w:val="0031236F"/>
    <w:rsid w:val="00350200"/>
    <w:rsid w:val="0039259F"/>
    <w:rsid w:val="00392FF6"/>
    <w:rsid w:val="003F2375"/>
    <w:rsid w:val="00415024"/>
    <w:rsid w:val="0051764F"/>
    <w:rsid w:val="00524802"/>
    <w:rsid w:val="00532C95"/>
    <w:rsid w:val="00560396"/>
    <w:rsid w:val="005D6AB0"/>
    <w:rsid w:val="005E5DC4"/>
    <w:rsid w:val="00601970"/>
    <w:rsid w:val="00703739"/>
    <w:rsid w:val="007265A5"/>
    <w:rsid w:val="0073515C"/>
    <w:rsid w:val="0075304D"/>
    <w:rsid w:val="00771DEC"/>
    <w:rsid w:val="00792280"/>
    <w:rsid w:val="007A63C0"/>
    <w:rsid w:val="007E1006"/>
    <w:rsid w:val="007E105C"/>
    <w:rsid w:val="007E7C66"/>
    <w:rsid w:val="007F2E06"/>
    <w:rsid w:val="00801079"/>
    <w:rsid w:val="00835989"/>
    <w:rsid w:val="00835EF2"/>
    <w:rsid w:val="00840187"/>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A5BF7"/>
    <w:rsid w:val="00AE70B5"/>
    <w:rsid w:val="00B077F2"/>
    <w:rsid w:val="00B5742C"/>
    <w:rsid w:val="00B6110B"/>
    <w:rsid w:val="00B61E90"/>
    <w:rsid w:val="00BD2C4F"/>
    <w:rsid w:val="00BF3EDA"/>
    <w:rsid w:val="00C745EA"/>
    <w:rsid w:val="00CC225E"/>
    <w:rsid w:val="00D315B0"/>
    <w:rsid w:val="00D52904"/>
    <w:rsid w:val="00D563C5"/>
    <w:rsid w:val="00D92C14"/>
    <w:rsid w:val="00DA5488"/>
    <w:rsid w:val="00DD6010"/>
    <w:rsid w:val="00E11485"/>
    <w:rsid w:val="00E334A5"/>
    <w:rsid w:val="00E55E0A"/>
    <w:rsid w:val="00E67EDE"/>
    <w:rsid w:val="00E87684"/>
    <w:rsid w:val="00E96E43"/>
    <w:rsid w:val="00EE477C"/>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E334A5"/>
    <w:pPr>
      <w:numPr>
        <w:numId w:val="22"/>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34A5"/>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9</TotalTime>
  <Pages>5</Pages>
  <Words>1339</Words>
  <Characters>6950</Characters>
  <Application>Microsoft Office Word</Application>
  <DocSecurity>8</DocSecurity>
  <Lines>121</Lines>
  <Paragraphs>55</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2026-04-01T19:42:00Z</dcterms:created>
  <dcterms:modified xsi:type="dcterms:W3CDTF">2026-04-02T18:50:00Z</dcterms:modified>
</cp:coreProperties>
</file>