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796ABE38" w:rsidR="00295159" w:rsidRPr="004A0DEE" w:rsidRDefault="00295159" w:rsidP="009F4423">
      <w:pPr>
        <w:pStyle w:val="Heading1"/>
        <w:ind w:left="1440"/>
      </w:pPr>
      <w:r w:rsidRPr="004A0DEE">
        <w:t>Subject:</w:t>
      </w:r>
      <w:r w:rsidR="00AE70B5" w:rsidRPr="004A0DEE">
        <w:t xml:space="preserve"> </w:t>
      </w:r>
      <w:r w:rsidR="004A0DEE" w:rsidRPr="00411EE9">
        <w:t>Uses and Disclosure to Carry Out Treatment, Payment, or Health Care Operations</w:t>
      </w:r>
    </w:p>
    <w:p w14:paraId="6D907FB4" w14:textId="01B2272F" w:rsidR="00295159" w:rsidRPr="004A0DEE" w:rsidRDefault="00295159" w:rsidP="00E87684">
      <w:pPr>
        <w:ind w:left="1440"/>
        <w:jc w:val="both"/>
        <w:rPr>
          <w:rFonts w:cs="Open Sans"/>
        </w:rPr>
      </w:pPr>
      <w:r w:rsidRPr="004A0DEE">
        <w:rPr>
          <w:rFonts w:cs="Open Sans"/>
        </w:rPr>
        <w:t>Policy Number:</w:t>
      </w:r>
      <w:r w:rsidR="00AE70B5" w:rsidRPr="004A0DEE">
        <w:rPr>
          <w:rFonts w:cs="Open Sans"/>
        </w:rPr>
        <w:t xml:space="preserve"> HIPAA </w:t>
      </w:r>
      <w:r w:rsidR="00415024" w:rsidRPr="004A0DEE">
        <w:rPr>
          <w:rFonts w:cs="Open Sans"/>
        </w:rPr>
        <w:t>4.</w:t>
      </w:r>
      <w:r w:rsidR="004A0DEE" w:rsidRPr="004A0DEE">
        <w:rPr>
          <w:rFonts w:cs="Open Sans"/>
        </w:rPr>
        <w:t>3</w:t>
      </w:r>
    </w:p>
    <w:p w14:paraId="5C31EC69" w14:textId="132BD1EA" w:rsidR="00295159" w:rsidRPr="004A0DEE" w:rsidRDefault="00295159" w:rsidP="00E87684">
      <w:pPr>
        <w:ind w:left="1440"/>
        <w:jc w:val="both"/>
        <w:rPr>
          <w:rFonts w:cs="Open Sans"/>
        </w:rPr>
      </w:pPr>
      <w:r w:rsidRPr="004A0DEE">
        <w:rPr>
          <w:rFonts w:cs="Open Sans"/>
        </w:rPr>
        <w:t>Effective Date:</w:t>
      </w:r>
      <w:r w:rsidR="00AE70B5" w:rsidRPr="004A0DEE">
        <w:rPr>
          <w:rFonts w:cs="Open Sans"/>
        </w:rPr>
        <w:t xml:space="preserve"> </w:t>
      </w:r>
      <w:r w:rsidR="004A0DEE" w:rsidRPr="004A0DEE">
        <w:rPr>
          <w:rFonts w:cs="Open Sans"/>
        </w:rPr>
        <w:t>6/21</w:t>
      </w:r>
      <w:r w:rsidR="00415024" w:rsidRPr="004A0DEE">
        <w:rPr>
          <w:rFonts w:cs="Open Sans"/>
        </w:rPr>
        <w:t>/04</w:t>
      </w:r>
    </w:p>
    <w:p w14:paraId="02476432" w14:textId="455A1852" w:rsidR="00295159" w:rsidRPr="004A0DEE" w:rsidRDefault="00AE70B5" w:rsidP="00E87684">
      <w:pPr>
        <w:ind w:left="1440"/>
        <w:jc w:val="both"/>
        <w:rPr>
          <w:rFonts w:cs="Open Sans"/>
        </w:rPr>
      </w:pPr>
      <w:r w:rsidRPr="004A0DEE">
        <w:rPr>
          <w:rFonts w:cs="Open Sans"/>
        </w:rPr>
        <w:t xml:space="preserve">Entity Responsible: Division of General Counsel </w:t>
      </w:r>
    </w:p>
    <w:p w14:paraId="0B357B2C" w14:textId="21BE955F" w:rsidR="00295159" w:rsidRPr="004A0DEE" w:rsidRDefault="00295159" w:rsidP="00E87684">
      <w:pPr>
        <w:ind w:left="1440"/>
        <w:jc w:val="both"/>
        <w:rPr>
          <w:rFonts w:cs="Open Sans"/>
        </w:rPr>
      </w:pPr>
      <w:r w:rsidRPr="004A0DEE">
        <w:rPr>
          <w:rFonts w:cs="Open Sans"/>
        </w:rPr>
        <w:t>Last Review or Revision:</w:t>
      </w:r>
      <w:r w:rsidR="007265A5" w:rsidRPr="004A0DEE">
        <w:rPr>
          <w:rFonts w:cs="Open Sans"/>
        </w:rPr>
        <w:t xml:space="preserve"> </w:t>
      </w:r>
      <w:r w:rsidR="006B0DD9">
        <w:rPr>
          <w:rFonts w:cs="Open Sans"/>
          <w:kern w:val="0"/>
          <w14:ligatures w14:val="none"/>
        </w:rPr>
        <w:t>1/18/23</w:t>
      </w:r>
    </w:p>
    <w:p w14:paraId="05EEC246" w14:textId="77777777" w:rsidR="009F4423" w:rsidRDefault="00295159" w:rsidP="009F4423">
      <w:pPr>
        <w:ind w:left="1440"/>
        <w:jc w:val="both"/>
        <w:rPr>
          <w:rFonts w:cs="Open Sans"/>
        </w:rPr>
      </w:pPr>
      <w:r w:rsidRPr="004A0DEE">
        <w:rPr>
          <w:rFonts w:cs="Open Sans"/>
        </w:rPr>
        <w:t>Approved by:</w:t>
      </w:r>
      <w:r w:rsidR="007265A5" w:rsidRPr="004A0DEE">
        <w:rPr>
          <w:rFonts w:cs="Open Sans"/>
        </w:rPr>
        <w:t xml:space="preserve"> Commissioner Marie Williams</w:t>
      </w:r>
    </w:p>
    <w:p w14:paraId="2778D197" w14:textId="0D70783C" w:rsidR="004A0DEE" w:rsidRPr="009F4423" w:rsidRDefault="004A0DEE" w:rsidP="009F4423">
      <w:pPr>
        <w:pStyle w:val="Heading2"/>
        <w:rPr>
          <w:rFonts w:eastAsiaTheme="minorHAnsi"/>
          <w:kern w:val="2"/>
          <w:sz w:val="22"/>
          <w:szCs w:val="22"/>
          <w14:ligatures w14:val="standardContextual"/>
        </w:rPr>
      </w:pPr>
      <w:r w:rsidRPr="009F4423">
        <w:t>Purpose</w:t>
      </w:r>
      <w:r w:rsidRPr="004A0DEE">
        <w:t>:</w:t>
      </w:r>
    </w:p>
    <w:p w14:paraId="287FD4DF" w14:textId="77777777" w:rsidR="009F4423" w:rsidRDefault="004A0DEE" w:rsidP="009F4423">
      <w:pPr>
        <w:widowControl w:val="0"/>
        <w:spacing w:after="0" w:line="240" w:lineRule="auto"/>
        <w:ind w:left="720"/>
        <w:jc w:val="both"/>
        <w:rPr>
          <w:rFonts w:eastAsia="Calibri" w:cs="Open Sans"/>
          <w:kern w:val="0"/>
          <w:sz w:val="24"/>
          <w:szCs w:val="24"/>
          <w14:ligatures w14:val="none"/>
        </w:rPr>
      </w:pPr>
      <w:r w:rsidRPr="004A0DEE">
        <w:rPr>
          <w:rFonts w:eastAsia="Calibri" w:cs="Open Sans"/>
          <w:kern w:val="0"/>
          <w:sz w:val="24"/>
          <w:szCs w:val="24"/>
          <w14:ligatures w14:val="none"/>
        </w:rPr>
        <w:t>To provide instructions and guidance to Tennessee Department of Mental Health and Substance Abuse Services (TDMHSAS) and the Regional Mental Health Institutes (RMHIs) regarding the uses and disclosure of protected health information (PHI) to carry out treatment, payment, or health care operations under the Health Insurance Portability and Accountability Act of 1996 (HIPAA), as amended, and other relevant federal and state laws.</w:t>
      </w:r>
    </w:p>
    <w:p w14:paraId="3093E944" w14:textId="77777777" w:rsidR="009F4423" w:rsidRDefault="009F4423" w:rsidP="009F4423">
      <w:pPr>
        <w:widowControl w:val="0"/>
        <w:spacing w:after="0" w:line="240" w:lineRule="auto"/>
        <w:ind w:left="720"/>
        <w:jc w:val="both"/>
        <w:rPr>
          <w:rFonts w:eastAsia="Calibri" w:cs="Open Sans"/>
          <w:kern w:val="0"/>
          <w:sz w:val="24"/>
          <w:szCs w:val="24"/>
          <w14:ligatures w14:val="none"/>
        </w:rPr>
      </w:pPr>
    </w:p>
    <w:p w14:paraId="0D6E0AC8" w14:textId="3568A1C2" w:rsidR="004A0DEE" w:rsidRDefault="004A0DEE" w:rsidP="009F4423">
      <w:pPr>
        <w:pStyle w:val="Heading2"/>
        <w:rPr>
          <w:rFonts w:eastAsia="Calibri"/>
        </w:rPr>
      </w:pPr>
      <w:r w:rsidRPr="004A0DEE">
        <w:t xml:space="preserve">Policy: </w:t>
      </w:r>
    </w:p>
    <w:p w14:paraId="7BB8E420" w14:textId="77777777" w:rsidR="009F4423" w:rsidRPr="009F4423" w:rsidRDefault="009F4423" w:rsidP="009F4423">
      <w:pPr>
        <w:widowControl w:val="0"/>
        <w:spacing w:after="0" w:line="240" w:lineRule="auto"/>
        <w:ind w:left="720"/>
        <w:jc w:val="both"/>
        <w:rPr>
          <w:rFonts w:eastAsia="Calibri" w:cs="Open Sans"/>
          <w:kern w:val="0"/>
          <w:sz w:val="24"/>
          <w:szCs w:val="24"/>
          <w14:ligatures w14:val="none"/>
        </w:rPr>
      </w:pPr>
    </w:p>
    <w:p w14:paraId="51A04BBC"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2.1</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It</w:t>
      </w:r>
      <w:proofErr w:type="gramEnd"/>
      <w:r w:rsidRPr="004A0DEE">
        <w:rPr>
          <w:rFonts w:eastAsia="Calibri" w:cs="Open Sans"/>
          <w:kern w:val="0"/>
          <w:sz w:val="24"/>
          <w:szCs w:val="24"/>
          <w14:ligatures w14:val="none"/>
        </w:rPr>
        <w:t xml:space="preserve"> is the policy of the TDMHSAS and RMHIs not to use or disclose PHI except as permitted or required by HIPAA regulations and other relevant federal and state laws.</w:t>
      </w:r>
    </w:p>
    <w:p w14:paraId="0D86442A"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 </w:t>
      </w:r>
    </w:p>
    <w:p w14:paraId="72F1C311"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2.2</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Prior</w:t>
      </w:r>
      <w:proofErr w:type="gramEnd"/>
      <w:r w:rsidRPr="004A0DEE">
        <w:rPr>
          <w:rFonts w:eastAsia="Calibri" w:cs="Open Sans"/>
          <w:kern w:val="0"/>
          <w:sz w:val="24"/>
          <w:szCs w:val="24"/>
          <w14:ligatures w14:val="none"/>
        </w:rPr>
        <w:t xml:space="preserve"> to using or disclosing PHI, all members of the TDMHSAS workforce shall ensure that the use or disclosure is consistent with both federal and state law. If the member of the workforce is unsure whether the use or disclosure is consistent with both federal and state law, the </w:t>
      </w:r>
      <w:proofErr w:type="gramStart"/>
      <w:r w:rsidRPr="004A0DEE">
        <w:rPr>
          <w:rFonts w:eastAsia="Calibri" w:cs="Open Sans"/>
          <w:kern w:val="0"/>
          <w:sz w:val="24"/>
          <w:szCs w:val="24"/>
          <w14:ligatures w14:val="none"/>
        </w:rPr>
        <w:t>member</w:t>
      </w:r>
      <w:proofErr w:type="gramEnd"/>
      <w:r w:rsidRPr="004A0DEE">
        <w:rPr>
          <w:rFonts w:eastAsia="Calibri" w:cs="Open Sans"/>
          <w:kern w:val="0"/>
          <w:sz w:val="24"/>
          <w:szCs w:val="24"/>
          <w14:ligatures w14:val="none"/>
        </w:rPr>
        <w:t xml:space="preserve"> of the workforce shall consult with the TDMHSAS Division of General Counsel and the applicable Privacy Officer.  </w:t>
      </w:r>
    </w:p>
    <w:p w14:paraId="74C8DAA5" w14:textId="605F36E7" w:rsidR="004A0DEE" w:rsidRPr="004A0DEE" w:rsidRDefault="004A0DEE" w:rsidP="009F4423">
      <w:pPr>
        <w:widowControl w:val="0"/>
        <w:spacing w:after="0" w:line="240" w:lineRule="auto"/>
        <w:jc w:val="both"/>
        <w:rPr>
          <w:rFonts w:eastAsia="Calibri" w:cs="Open Sans"/>
          <w:kern w:val="0"/>
          <w:sz w:val="24"/>
          <w:szCs w:val="24"/>
          <w14:ligatures w14:val="none"/>
        </w:rPr>
      </w:pPr>
    </w:p>
    <w:p w14:paraId="5878E579"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2.3</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When</w:t>
      </w:r>
      <w:proofErr w:type="gramEnd"/>
      <w:r w:rsidRPr="004A0DEE">
        <w:rPr>
          <w:rFonts w:eastAsia="Calibri" w:cs="Open Sans"/>
          <w:kern w:val="0"/>
          <w:sz w:val="24"/>
          <w:szCs w:val="24"/>
          <w14:ligatures w14:val="none"/>
        </w:rPr>
        <w:t xml:space="preserve"> disclosing PHI or requesting PHI, TDMHSAS and the RMHI must comply with the minimum necessary standard in all uses, disclosures, or requests of PHI. </w:t>
      </w:r>
      <w:r w:rsidRPr="004A0DEE">
        <w:rPr>
          <w:rFonts w:eastAsia="Calibri" w:cs="Open Sans"/>
          <w:i/>
          <w:kern w:val="0"/>
          <w:sz w:val="24"/>
          <w:szCs w:val="24"/>
          <w14:ligatures w14:val="none"/>
        </w:rPr>
        <w:t>See</w:t>
      </w:r>
      <w:r w:rsidRPr="004A0DEE">
        <w:rPr>
          <w:rFonts w:eastAsia="Calibri" w:cs="Open Sans"/>
          <w:kern w:val="0"/>
          <w:sz w:val="24"/>
          <w:szCs w:val="24"/>
          <w14:ligatures w14:val="none"/>
        </w:rPr>
        <w:t xml:space="preserve"> TDMHSAS HIPAA Policy 4.7. </w:t>
      </w:r>
    </w:p>
    <w:p w14:paraId="310844C6"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p>
    <w:p w14:paraId="25433666"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2.4: </w:t>
      </w:r>
      <w:r w:rsidRPr="004A0DEE">
        <w:rPr>
          <w:rFonts w:eastAsia="Calibri" w:cs="Open Sans"/>
          <w:kern w:val="0"/>
          <w:sz w:val="24"/>
          <w:szCs w:val="24"/>
          <w14:ligatures w14:val="none"/>
        </w:rPr>
        <w:tab/>
        <w:t xml:space="preserve">Except with respect to uses or disclosures that require an authorization under HIPAA or are prohibited under HIPAA as set forth in TDMHSAS HIPAA Policy 4.1, TDMHSAS or applicable RMHI may use or disclose PHI for the treatment, payment, or health care operations as set forth herein, provided that such use or disclosure is consistent with other applicable requirements under HIPAA and other privacy laws.  </w:t>
      </w:r>
    </w:p>
    <w:p w14:paraId="1E8AB20F"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49DDBC78"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lastRenderedPageBreak/>
        <w:t>2.5:</w:t>
      </w:r>
      <w:r w:rsidRPr="004A0DEE">
        <w:rPr>
          <w:rFonts w:eastAsia="Times New Roman" w:cs="Open Sans"/>
          <w:kern w:val="0"/>
          <w:sz w:val="24"/>
          <w:szCs w:val="24"/>
          <w14:ligatures w14:val="none"/>
        </w:rPr>
        <w:tab/>
        <w:t>Consent for uses and disclosures permitted:</w:t>
      </w:r>
    </w:p>
    <w:p w14:paraId="5A942B52"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49F15998" w14:textId="5BACD51D" w:rsidR="004A0DEE" w:rsidRDefault="004A0DEE" w:rsidP="009F4423">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2.5.1:</w:t>
      </w:r>
      <w:r w:rsidRPr="004A0DEE">
        <w:rPr>
          <w:rFonts w:eastAsia="Times New Roman" w:cs="Open Sans"/>
          <w:kern w:val="0"/>
          <w:sz w:val="24"/>
          <w:szCs w:val="24"/>
          <w14:ligatures w14:val="none"/>
        </w:rPr>
        <w:tab/>
        <w:t xml:space="preserve">The TDMHSAS or RMHI may obtain consent of the individual to use or </w:t>
      </w:r>
      <w:r w:rsidRPr="004A0DEE">
        <w:rPr>
          <w:rFonts w:eastAsia="Times New Roman" w:cs="Open Sans"/>
          <w:kern w:val="0"/>
          <w:sz w:val="24"/>
          <w:szCs w:val="24"/>
          <w14:ligatures w14:val="none"/>
        </w:rPr>
        <w:tab/>
        <w:t xml:space="preserve">disclose PHI to carry out treatment, payment or health care operations as </w:t>
      </w:r>
      <w:r w:rsidRPr="004A0DEE">
        <w:rPr>
          <w:rFonts w:eastAsia="Times New Roman" w:cs="Open Sans"/>
          <w:kern w:val="0"/>
          <w:sz w:val="24"/>
          <w:szCs w:val="24"/>
          <w14:ligatures w14:val="none"/>
        </w:rPr>
        <w:tab/>
        <w:t>defined under TDMHSAS HIPAA Policy 3.1.</w:t>
      </w:r>
    </w:p>
    <w:p w14:paraId="21F17602" w14:textId="77777777" w:rsidR="009F4423" w:rsidRPr="004A0DEE" w:rsidRDefault="009F4423" w:rsidP="009F4423">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4B06F589"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2.5.2:</w:t>
      </w:r>
      <w:r w:rsidRPr="004A0DEE">
        <w:rPr>
          <w:rFonts w:eastAsia="Times New Roman" w:cs="Open Sans"/>
          <w:kern w:val="0"/>
          <w:sz w:val="24"/>
          <w:szCs w:val="24"/>
          <w14:ligatures w14:val="none"/>
        </w:rPr>
        <w:tab/>
        <w:t xml:space="preserve">Consent shall not be effective to permit a use or disclosure of PHI when an </w:t>
      </w:r>
      <w:r w:rsidRPr="004A0DEE">
        <w:rPr>
          <w:rFonts w:eastAsia="Times New Roman" w:cs="Open Sans"/>
          <w:kern w:val="0"/>
          <w:sz w:val="24"/>
          <w:szCs w:val="24"/>
          <w14:ligatures w14:val="none"/>
        </w:rPr>
        <w:tab/>
        <w:t xml:space="preserve">authorization, under HIPAA or other applicable privacy law, is required or </w:t>
      </w:r>
      <w:r w:rsidRPr="004A0DEE">
        <w:rPr>
          <w:rFonts w:eastAsia="Times New Roman" w:cs="Open Sans"/>
          <w:kern w:val="0"/>
          <w:sz w:val="24"/>
          <w:szCs w:val="24"/>
          <w14:ligatures w14:val="none"/>
        </w:rPr>
        <w:tab/>
        <w:t xml:space="preserve">when another condition must be met for such use or disclosure to be </w:t>
      </w:r>
      <w:r w:rsidRPr="004A0DEE">
        <w:rPr>
          <w:rFonts w:eastAsia="Times New Roman" w:cs="Open Sans"/>
          <w:kern w:val="0"/>
          <w:sz w:val="24"/>
          <w:szCs w:val="24"/>
          <w14:ligatures w14:val="none"/>
        </w:rPr>
        <w:tab/>
        <w:t xml:space="preserve">permissible under HIPAA. </w:t>
      </w:r>
    </w:p>
    <w:p w14:paraId="65065B7D"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3FF0B8A1"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2.6:</w:t>
      </w:r>
      <w:r w:rsidRPr="004A0DEE">
        <w:rPr>
          <w:rFonts w:eastAsia="Times New Roman" w:cs="Open Sans"/>
          <w:kern w:val="0"/>
          <w:sz w:val="24"/>
          <w:szCs w:val="24"/>
          <w14:ligatures w14:val="none"/>
        </w:rPr>
        <w:tab/>
        <w:t>Treatment, payment, or health care operations:</w:t>
      </w:r>
    </w:p>
    <w:p w14:paraId="10E7D9C0"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29994563" w14:textId="262AD6CA" w:rsidR="004A0DEE" w:rsidRPr="004A0DEE" w:rsidRDefault="004A0DEE" w:rsidP="004A0DEE">
      <w:pPr>
        <w:widowControl w:val="0"/>
        <w:tabs>
          <w:tab w:val="left" w:pos="839"/>
        </w:tabs>
        <w:spacing w:before="53" w:after="0" w:line="240" w:lineRule="auto"/>
        <w:ind w:left="2160" w:hanging="72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2.6.1:</w:t>
      </w:r>
      <w:r w:rsidRPr="004A0DEE">
        <w:rPr>
          <w:rFonts w:eastAsia="Times New Roman" w:cs="Open Sans"/>
          <w:kern w:val="0"/>
          <w:sz w:val="24"/>
          <w:szCs w:val="24"/>
          <w14:ligatures w14:val="none"/>
        </w:rPr>
        <w:tab/>
        <w:t xml:space="preserve">The TDMHSAS or RMHI may use or disclose PHI for its own treatment, payment, or health care operations. </w:t>
      </w:r>
    </w:p>
    <w:p w14:paraId="7807A800"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58C4FB50"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2.6.2:</w:t>
      </w:r>
      <w:r w:rsidRPr="004A0DEE">
        <w:rPr>
          <w:rFonts w:eastAsia="Times New Roman" w:cs="Open Sans"/>
          <w:kern w:val="0"/>
          <w:sz w:val="24"/>
          <w:szCs w:val="24"/>
          <w14:ligatures w14:val="none"/>
        </w:rPr>
        <w:tab/>
      </w:r>
      <w:proofErr w:type="gramStart"/>
      <w:r w:rsidRPr="004A0DEE">
        <w:rPr>
          <w:rFonts w:eastAsia="Times New Roman" w:cs="Open Sans"/>
          <w:kern w:val="0"/>
          <w:sz w:val="24"/>
          <w:szCs w:val="24"/>
          <w14:ligatures w14:val="none"/>
        </w:rPr>
        <w:t>The TDMHSAS</w:t>
      </w:r>
      <w:proofErr w:type="gramEnd"/>
      <w:r w:rsidRPr="004A0DEE">
        <w:rPr>
          <w:rFonts w:eastAsia="Times New Roman" w:cs="Open Sans"/>
          <w:kern w:val="0"/>
          <w:sz w:val="24"/>
          <w:szCs w:val="24"/>
          <w14:ligatures w14:val="none"/>
        </w:rPr>
        <w:t xml:space="preserve"> or RMHI may disclose PHI for treatment activities of a </w:t>
      </w:r>
      <w:r w:rsidRPr="004A0DEE">
        <w:rPr>
          <w:rFonts w:eastAsia="Times New Roman" w:cs="Open Sans"/>
          <w:kern w:val="0"/>
          <w:sz w:val="24"/>
          <w:szCs w:val="24"/>
          <w14:ligatures w14:val="none"/>
        </w:rPr>
        <w:tab/>
        <w:t>health care provider.</w:t>
      </w:r>
    </w:p>
    <w:p w14:paraId="17EA1AE2"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0D5E6DC7" w14:textId="77777777" w:rsid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2.6.3:</w:t>
      </w:r>
      <w:r w:rsidRPr="004A0DEE">
        <w:rPr>
          <w:rFonts w:eastAsia="Times New Roman" w:cs="Open Sans"/>
          <w:kern w:val="0"/>
          <w:sz w:val="24"/>
          <w:szCs w:val="24"/>
          <w14:ligatures w14:val="none"/>
        </w:rPr>
        <w:tab/>
        <w:t xml:space="preserve">The TDMHSAS or RMHI may disclose PHI to another covered entity or a </w:t>
      </w:r>
      <w:r w:rsidRPr="004A0DEE">
        <w:rPr>
          <w:rFonts w:eastAsia="Times New Roman" w:cs="Open Sans"/>
          <w:kern w:val="0"/>
          <w:sz w:val="24"/>
          <w:szCs w:val="24"/>
          <w14:ligatures w14:val="none"/>
        </w:rPr>
        <w:tab/>
        <w:t xml:space="preserve">health care provider for the payment activities of the entity that receives </w:t>
      </w:r>
      <w:r w:rsidRPr="004A0DEE">
        <w:rPr>
          <w:rFonts w:eastAsia="Times New Roman" w:cs="Open Sans"/>
          <w:kern w:val="0"/>
          <w:sz w:val="24"/>
          <w:szCs w:val="24"/>
          <w14:ligatures w14:val="none"/>
        </w:rPr>
        <w:tab/>
        <w:t xml:space="preserve">the information. </w:t>
      </w:r>
    </w:p>
    <w:p w14:paraId="501452F7" w14:textId="77777777" w:rsid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6F3889E2" w14:textId="31550199" w:rsidR="004A0DEE" w:rsidRPr="004A0DEE" w:rsidRDefault="004A0DEE" w:rsidP="004A0DEE">
      <w:pPr>
        <w:widowControl w:val="0"/>
        <w:tabs>
          <w:tab w:val="left" w:pos="839"/>
        </w:tabs>
        <w:spacing w:before="53" w:after="0" w:line="240" w:lineRule="auto"/>
        <w:ind w:left="2160" w:hanging="720"/>
        <w:jc w:val="both"/>
        <w:outlineLvl w:val="1"/>
        <w:rPr>
          <w:rFonts w:eastAsia="Times New Roman" w:cs="Open Sans"/>
          <w:kern w:val="0"/>
          <w:sz w:val="24"/>
          <w:szCs w:val="24"/>
          <w14:ligatures w14:val="none"/>
        </w:rPr>
      </w:pPr>
      <w:r>
        <w:rPr>
          <w:rFonts w:eastAsia="Times New Roman" w:cs="Open Sans"/>
          <w:kern w:val="0"/>
          <w:sz w:val="24"/>
          <w:szCs w:val="24"/>
          <w14:ligatures w14:val="none"/>
        </w:rPr>
        <w:tab/>
      </w:r>
      <w:r w:rsidRPr="004A0DEE">
        <w:rPr>
          <w:rFonts w:eastAsia="Times New Roman" w:cs="Open Sans"/>
          <w:kern w:val="0"/>
          <w:sz w:val="24"/>
          <w:szCs w:val="24"/>
          <w14:ligatures w14:val="none"/>
        </w:rPr>
        <w:t>2.6.4:</w:t>
      </w:r>
      <w:r w:rsidRPr="004A0DEE">
        <w:rPr>
          <w:rFonts w:eastAsia="Times New Roman" w:cs="Open Sans"/>
          <w:kern w:val="0"/>
          <w:sz w:val="24"/>
          <w:szCs w:val="24"/>
          <w14:ligatures w14:val="none"/>
        </w:rPr>
        <w:tab/>
        <w:t xml:space="preserve">The TDMHSAS or RMHI may disclose PHI to another covered entity for health care operations activities of the entity that receives the </w:t>
      </w:r>
      <w:proofErr w:type="gramStart"/>
      <w:r w:rsidRPr="004A0DEE">
        <w:rPr>
          <w:rFonts w:eastAsia="Times New Roman" w:cs="Open Sans"/>
          <w:kern w:val="0"/>
          <w:sz w:val="24"/>
          <w:szCs w:val="24"/>
          <w14:ligatures w14:val="none"/>
        </w:rPr>
        <w:t xml:space="preserve">information, </w:t>
      </w:r>
      <w:r>
        <w:rPr>
          <w:rFonts w:eastAsia="Times New Roman" w:cs="Open Sans"/>
          <w:kern w:val="0"/>
          <w:sz w:val="24"/>
          <w:szCs w:val="24"/>
          <w14:ligatures w14:val="none"/>
        </w:rPr>
        <w:t xml:space="preserve">  </w:t>
      </w:r>
      <w:proofErr w:type="gramEnd"/>
      <w:r w:rsidRPr="004A0DEE">
        <w:rPr>
          <w:rFonts w:eastAsia="Times New Roman" w:cs="Open Sans"/>
          <w:kern w:val="0"/>
          <w:sz w:val="24"/>
          <w:szCs w:val="24"/>
          <w14:ligatures w14:val="none"/>
        </w:rPr>
        <w:t>if each entity either has or had a relationship with the individual who is the subject of the PHI being requested, the PHI pertains to such relationship, and the disclosure is:</w:t>
      </w:r>
    </w:p>
    <w:p w14:paraId="670EA09B"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37343DBD" w14:textId="0CE29C04"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t>(a):</w:t>
      </w:r>
      <w:r>
        <w:rPr>
          <w:rFonts w:eastAsia="Times New Roman" w:cs="Open Sans"/>
          <w:kern w:val="0"/>
          <w:sz w:val="24"/>
          <w:szCs w:val="24"/>
          <w14:ligatures w14:val="none"/>
        </w:rPr>
        <w:t xml:space="preserve"> </w:t>
      </w:r>
      <w:r w:rsidRPr="004A0DEE">
        <w:rPr>
          <w:rFonts w:eastAsia="Times New Roman" w:cs="Open Sans"/>
          <w:kern w:val="0"/>
          <w:sz w:val="24"/>
          <w:szCs w:val="24"/>
          <w14:ligatures w14:val="none"/>
        </w:rPr>
        <w:t xml:space="preserve">For a purpose listed under HIPAA’s definition of health </w:t>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t>care operations as defined in TDMHSAS HIPAA Policy 3.1 (1.21).</w:t>
      </w:r>
    </w:p>
    <w:p w14:paraId="6A3156EC"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01E07EB8" w14:textId="1575F3C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t>(b):</w:t>
      </w:r>
      <w:r>
        <w:rPr>
          <w:rFonts w:eastAsia="Times New Roman" w:cs="Open Sans"/>
          <w:kern w:val="0"/>
          <w:sz w:val="24"/>
          <w:szCs w:val="24"/>
          <w14:ligatures w14:val="none"/>
        </w:rPr>
        <w:t xml:space="preserve"> </w:t>
      </w:r>
      <w:proofErr w:type="gramStart"/>
      <w:r w:rsidRPr="004A0DEE">
        <w:rPr>
          <w:rFonts w:eastAsia="Times New Roman" w:cs="Open Sans"/>
          <w:kern w:val="0"/>
          <w:sz w:val="24"/>
          <w:szCs w:val="24"/>
          <w14:ligatures w14:val="none"/>
        </w:rPr>
        <w:t>For the purpose of</w:t>
      </w:r>
      <w:proofErr w:type="gramEnd"/>
      <w:r w:rsidRPr="004A0DEE">
        <w:rPr>
          <w:rFonts w:eastAsia="Times New Roman" w:cs="Open Sans"/>
          <w:kern w:val="0"/>
          <w:sz w:val="24"/>
          <w:szCs w:val="24"/>
          <w14:ligatures w14:val="none"/>
        </w:rPr>
        <w:t xml:space="preserve"> health care fraud and abuse detection or </w:t>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r>
      <w:r w:rsidRPr="004A0DEE">
        <w:rPr>
          <w:rFonts w:eastAsia="Times New Roman" w:cs="Open Sans"/>
          <w:kern w:val="0"/>
          <w:sz w:val="24"/>
          <w:szCs w:val="24"/>
          <w14:ligatures w14:val="none"/>
        </w:rPr>
        <w:tab/>
        <w:t xml:space="preserve">compliance. </w:t>
      </w:r>
    </w:p>
    <w:p w14:paraId="1C6A0A4D" w14:textId="77777777" w:rsidR="004A0DEE" w:rsidRPr="004A0DEE" w:rsidRDefault="004A0DEE" w:rsidP="004A0DEE">
      <w:pPr>
        <w:widowControl w:val="0"/>
        <w:tabs>
          <w:tab w:val="left" w:pos="839"/>
        </w:tabs>
        <w:spacing w:before="53" w:after="0" w:line="240" w:lineRule="auto"/>
        <w:ind w:left="1440"/>
        <w:jc w:val="both"/>
        <w:outlineLvl w:val="1"/>
        <w:rPr>
          <w:rFonts w:eastAsia="Times New Roman" w:cs="Open Sans"/>
          <w:kern w:val="0"/>
          <w:sz w:val="24"/>
          <w:szCs w:val="24"/>
          <w14:ligatures w14:val="none"/>
        </w:rPr>
      </w:pPr>
    </w:p>
    <w:p w14:paraId="2DF1836E" w14:textId="77777777" w:rsidR="009F4423" w:rsidRDefault="004A0DEE" w:rsidP="009F4423">
      <w:pPr>
        <w:widowControl w:val="0"/>
        <w:tabs>
          <w:tab w:val="left" w:pos="839"/>
        </w:tabs>
        <w:spacing w:before="53" w:after="0" w:line="240" w:lineRule="auto"/>
        <w:ind w:left="2160" w:hanging="720"/>
        <w:outlineLvl w:val="1"/>
        <w:rPr>
          <w:rFonts w:eastAsia="Times New Roman" w:cs="Open Sans"/>
          <w:kern w:val="0"/>
          <w:sz w:val="24"/>
          <w:szCs w:val="24"/>
          <w14:ligatures w14:val="none"/>
        </w:rPr>
      </w:pPr>
      <w:r w:rsidRPr="004A0DEE">
        <w:rPr>
          <w:rFonts w:eastAsia="Times New Roman" w:cs="Open Sans"/>
          <w:kern w:val="0"/>
          <w:sz w:val="24"/>
          <w:szCs w:val="24"/>
          <w14:ligatures w14:val="none"/>
        </w:rPr>
        <w:tab/>
        <w:t>2.6.5:</w:t>
      </w:r>
      <w:r w:rsidRPr="004A0DEE">
        <w:rPr>
          <w:rFonts w:eastAsia="Times New Roman" w:cs="Open Sans"/>
          <w:kern w:val="0"/>
          <w:sz w:val="24"/>
          <w:szCs w:val="24"/>
          <w14:ligatures w14:val="none"/>
        </w:rPr>
        <w:tab/>
        <w:t>The TDMHSAS or RMHI may disclose an individual's PHI</w:t>
      </w:r>
      <w:r>
        <w:rPr>
          <w:rFonts w:eastAsia="Times New Roman" w:cs="Open Sans"/>
          <w:kern w:val="0"/>
          <w:sz w:val="24"/>
          <w:szCs w:val="24"/>
          <w14:ligatures w14:val="none"/>
        </w:rPr>
        <w:t xml:space="preserve"> </w:t>
      </w:r>
      <w:r w:rsidRPr="004A0DEE">
        <w:rPr>
          <w:rFonts w:eastAsia="Times New Roman" w:cs="Open Sans"/>
          <w:kern w:val="0"/>
          <w:sz w:val="24"/>
          <w:szCs w:val="24"/>
          <w14:ligatures w14:val="none"/>
        </w:rPr>
        <w:t xml:space="preserve">to a social services agency, community-based organization, home and community-based </w:t>
      </w:r>
      <w:r w:rsidRPr="004A0DEE">
        <w:rPr>
          <w:rFonts w:eastAsia="Times New Roman" w:cs="Open Sans"/>
          <w:kern w:val="0"/>
          <w:sz w:val="24"/>
          <w:szCs w:val="24"/>
          <w14:ligatures w14:val="none"/>
        </w:rPr>
        <w:lastRenderedPageBreak/>
        <w:t>services provider, or similar third party that provides health or human services to specific individuals for individual-level care coordination and case management activities (whether such activities constitute treatment or health care operations as those terms are defined in TDMHSAS HIPAA Policy 3.1) with respect to that individual.</w:t>
      </w:r>
    </w:p>
    <w:p w14:paraId="68393AA6" w14:textId="77777777" w:rsidR="009F4423" w:rsidRDefault="009F4423" w:rsidP="009F4423">
      <w:pPr>
        <w:widowControl w:val="0"/>
        <w:tabs>
          <w:tab w:val="left" w:pos="839"/>
        </w:tabs>
        <w:spacing w:before="53" w:after="0" w:line="240" w:lineRule="auto"/>
        <w:ind w:left="2160" w:hanging="720"/>
        <w:outlineLvl w:val="1"/>
        <w:rPr>
          <w:rFonts w:eastAsia="Times New Roman" w:cs="Open Sans"/>
          <w:kern w:val="0"/>
          <w:sz w:val="24"/>
          <w:szCs w:val="24"/>
          <w14:ligatures w14:val="none"/>
        </w:rPr>
      </w:pPr>
    </w:p>
    <w:p w14:paraId="67DB8C06" w14:textId="254BCE62" w:rsidR="004A0DEE" w:rsidRPr="009F4423" w:rsidRDefault="004A0DEE" w:rsidP="009F4423">
      <w:pPr>
        <w:pStyle w:val="Heading2"/>
      </w:pPr>
      <w:r w:rsidRPr="004A0DEE">
        <w:t>Procedure/ Responsibility</w:t>
      </w:r>
    </w:p>
    <w:p w14:paraId="6C97A11D" w14:textId="77777777" w:rsidR="004A0DEE" w:rsidRPr="004A0DEE" w:rsidRDefault="004A0DEE" w:rsidP="004A0DEE">
      <w:pPr>
        <w:widowControl w:val="0"/>
        <w:spacing w:before="53" w:after="0" w:line="240" w:lineRule="auto"/>
        <w:ind w:left="840"/>
        <w:jc w:val="both"/>
        <w:outlineLvl w:val="1"/>
        <w:rPr>
          <w:rFonts w:eastAsia="Times New Roman" w:cs="Open Sans"/>
          <w:kern w:val="0"/>
          <w:sz w:val="24"/>
          <w:szCs w:val="24"/>
          <w14:ligatures w14:val="none"/>
        </w:rPr>
      </w:pPr>
    </w:p>
    <w:p w14:paraId="100CB4B3"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3.1</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The</w:t>
      </w:r>
      <w:proofErr w:type="gramEnd"/>
      <w:r w:rsidRPr="004A0DEE">
        <w:rPr>
          <w:rFonts w:eastAsia="Calibri" w:cs="Open Sans"/>
          <w:kern w:val="0"/>
          <w:sz w:val="24"/>
          <w:szCs w:val="24"/>
          <w14:ligatures w14:val="none"/>
        </w:rPr>
        <w:t xml:space="preserve"> TDMHSAS Privacy Officer and the RMHI Privacy Officers are responsible for ensuring that the use or disclosure to carry out treatment, payment, or health care operations is followed </w:t>
      </w:r>
      <w:proofErr w:type="gramStart"/>
      <w:r w:rsidRPr="004A0DEE">
        <w:rPr>
          <w:rFonts w:eastAsia="Calibri" w:cs="Open Sans"/>
          <w:kern w:val="0"/>
          <w:sz w:val="24"/>
          <w:szCs w:val="24"/>
          <w14:ligatures w14:val="none"/>
        </w:rPr>
        <w:t>department-wide</w:t>
      </w:r>
      <w:proofErr w:type="gramEnd"/>
      <w:r w:rsidRPr="004A0DEE">
        <w:rPr>
          <w:rFonts w:eastAsia="Calibri" w:cs="Open Sans"/>
          <w:kern w:val="0"/>
          <w:sz w:val="24"/>
          <w:szCs w:val="24"/>
          <w14:ligatures w14:val="none"/>
        </w:rPr>
        <w:t xml:space="preserve">.  </w:t>
      </w:r>
    </w:p>
    <w:p w14:paraId="527CDE84"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p>
    <w:p w14:paraId="1B713D3B"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3.2</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The</w:t>
      </w:r>
      <w:proofErr w:type="gramEnd"/>
      <w:r w:rsidRPr="004A0DEE">
        <w:rPr>
          <w:rFonts w:eastAsia="Calibri" w:cs="Open Sans"/>
          <w:kern w:val="0"/>
          <w:sz w:val="24"/>
          <w:szCs w:val="24"/>
          <w14:ligatures w14:val="none"/>
        </w:rPr>
        <w:t xml:space="preserve"> RMHI Privacy Officers shall consult with the TDMSAS Privacy Officer on any questions about use or disclosure to carry out treatment, payment, or health care operations of PHI that is necessary for the purpose of the use, disclosure, or request.</w:t>
      </w:r>
    </w:p>
    <w:p w14:paraId="6246BAA7"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 </w:t>
      </w:r>
    </w:p>
    <w:p w14:paraId="4E7377AD"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3.3</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For</w:t>
      </w:r>
      <w:proofErr w:type="gramEnd"/>
      <w:r w:rsidRPr="004A0DEE">
        <w:rPr>
          <w:rFonts w:eastAsia="Calibri" w:cs="Open Sans"/>
          <w:kern w:val="0"/>
          <w:sz w:val="24"/>
          <w:szCs w:val="24"/>
          <w14:ligatures w14:val="none"/>
        </w:rPr>
        <w:t xml:space="preserve"> each disclosure request the TDMHSAS or the RMHIs receive, an employee should verify the identity of the requester consistent with TDMHSAS HIPAA policy 4.7 and look at the facts and circumstances surrounding the disclosure request and determine what amount of PHI is reasonably necessary to accomplish the purpose of the use or disclosure. Employees whose jobs require the use and disclosure of PHI must review each request and exclude any of the following direct identifiers to limit the use or disclosure to what is reasonably necessary. The following list is not exhaustive, and removal of these direct identifiers should be done in consultation with the TDMHSAS Privacy Officer or RMHI Privacy Officer, as applicable</w:t>
      </w:r>
    </w:p>
    <w:p w14:paraId="3EC30DFA" w14:textId="77777777" w:rsidR="004A0DEE" w:rsidRPr="004A0DEE" w:rsidRDefault="004A0DEE" w:rsidP="004A0DEE">
      <w:pPr>
        <w:widowControl w:val="0"/>
        <w:spacing w:after="0" w:line="240" w:lineRule="auto"/>
        <w:ind w:left="1440" w:hanging="720"/>
        <w:jc w:val="both"/>
        <w:rPr>
          <w:rFonts w:eastAsia="Calibri" w:cs="Open Sans"/>
          <w:kern w:val="0"/>
          <w:sz w:val="24"/>
          <w:szCs w:val="24"/>
          <w14:ligatures w14:val="none"/>
        </w:rPr>
      </w:pPr>
    </w:p>
    <w:p w14:paraId="5BFBF966"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3.3.1</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Full</w:t>
      </w:r>
      <w:proofErr w:type="gramEnd"/>
      <w:r w:rsidRPr="004A0DEE">
        <w:rPr>
          <w:rFonts w:eastAsia="Calibri" w:cs="Open Sans"/>
          <w:kern w:val="0"/>
          <w:sz w:val="24"/>
          <w:szCs w:val="24"/>
          <w14:ligatures w14:val="none"/>
        </w:rPr>
        <w:t xml:space="preserve"> name. If the name is necessary for use or the purpose of the disclosure, use the last name and first name initial. The use of first name and last name initial is acceptable in common areas of the RMHI (e.g., where names of service recipients are posted on room doors, etc.</w:t>
      </w:r>
      <w:proofErr w:type="gramStart"/>
      <w:r w:rsidRPr="004A0DEE">
        <w:rPr>
          <w:rFonts w:eastAsia="Calibri" w:cs="Open Sans"/>
          <w:kern w:val="0"/>
          <w:sz w:val="24"/>
          <w:szCs w:val="24"/>
          <w14:ligatures w14:val="none"/>
        </w:rPr>
        <w:t>);</w:t>
      </w:r>
      <w:proofErr w:type="gramEnd"/>
      <w:r w:rsidRPr="004A0DEE">
        <w:rPr>
          <w:rFonts w:eastAsia="Calibri" w:cs="Open Sans"/>
          <w:kern w:val="0"/>
          <w:sz w:val="24"/>
          <w:szCs w:val="24"/>
          <w14:ligatures w14:val="none"/>
        </w:rPr>
        <w:t xml:space="preserve">  </w:t>
      </w:r>
    </w:p>
    <w:p w14:paraId="6C9BA621"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2A41254B"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3.3.2</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Postal</w:t>
      </w:r>
      <w:proofErr w:type="gramEnd"/>
      <w:r w:rsidRPr="004A0DEE">
        <w:rPr>
          <w:rFonts w:eastAsia="Calibri" w:cs="Open Sans"/>
          <w:kern w:val="0"/>
          <w:sz w:val="24"/>
          <w:szCs w:val="24"/>
          <w14:ligatures w14:val="none"/>
        </w:rPr>
        <w:t xml:space="preserve"> address, telephone number, fax number, or e-mail </w:t>
      </w:r>
      <w:proofErr w:type="gramStart"/>
      <w:r w:rsidRPr="004A0DEE">
        <w:rPr>
          <w:rFonts w:eastAsia="Calibri" w:cs="Open Sans"/>
          <w:kern w:val="0"/>
          <w:sz w:val="24"/>
          <w:szCs w:val="24"/>
          <w14:ligatures w14:val="none"/>
        </w:rPr>
        <w:t>address;</w:t>
      </w:r>
      <w:proofErr w:type="gramEnd"/>
      <w:r w:rsidRPr="004A0DEE">
        <w:rPr>
          <w:rFonts w:eastAsia="Calibri" w:cs="Open Sans"/>
          <w:kern w:val="0"/>
          <w:sz w:val="24"/>
          <w:szCs w:val="24"/>
          <w14:ligatures w14:val="none"/>
        </w:rPr>
        <w:t xml:space="preserve">   </w:t>
      </w:r>
    </w:p>
    <w:p w14:paraId="204077E7"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6444A199"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3.3.3</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Social</w:t>
      </w:r>
      <w:proofErr w:type="gramEnd"/>
      <w:r w:rsidRPr="004A0DEE">
        <w:rPr>
          <w:rFonts w:eastAsia="Calibri" w:cs="Open Sans"/>
          <w:kern w:val="0"/>
          <w:sz w:val="24"/>
          <w:szCs w:val="24"/>
          <w14:ligatures w14:val="none"/>
        </w:rPr>
        <w:t xml:space="preserve"> security number, account numbers, health plan beneficiary number, medical record </w:t>
      </w:r>
      <w:proofErr w:type="gramStart"/>
      <w:r w:rsidRPr="004A0DEE">
        <w:rPr>
          <w:rFonts w:eastAsia="Calibri" w:cs="Open Sans"/>
          <w:kern w:val="0"/>
          <w:sz w:val="24"/>
          <w:szCs w:val="24"/>
          <w14:ligatures w14:val="none"/>
        </w:rPr>
        <w:t>numbers;</w:t>
      </w:r>
      <w:proofErr w:type="gramEnd"/>
      <w:r w:rsidRPr="004A0DEE">
        <w:rPr>
          <w:rFonts w:eastAsia="Calibri" w:cs="Open Sans"/>
          <w:kern w:val="0"/>
          <w:sz w:val="24"/>
          <w:szCs w:val="24"/>
          <w14:ligatures w14:val="none"/>
        </w:rPr>
        <w:t xml:space="preserve"> </w:t>
      </w:r>
    </w:p>
    <w:p w14:paraId="37F84BC4"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4B7F683B"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3.3.4</w:t>
      </w:r>
      <w:proofErr w:type="gramStart"/>
      <w:r w:rsidRPr="004A0DEE">
        <w:rPr>
          <w:rFonts w:eastAsia="Calibri" w:cs="Open Sans"/>
          <w:kern w:val="0"/>
          <w:sz w:val="24"/>
          <w:szCs w:val="24"/>
          <w14:ligatures w14:val="none"/>
        </w:rPr>
        <w:t xml:space="preserve">: </w:t>
      </w:r>
      <w:r w:rsidRPr="004A0DEE">
        <w:rPr>
          <w:rFonts w:eastAsia="Calibri" w:cs="Open Sans"/>
          <w:kern w:val="0"/>
          <w:sz w:val="24"/>
          <w:szCs w:val="24"/>
          <w14:ligatures w14:val="none"/>
        </w:rPr>
        <w:tab/>
        <w:t>Certificate</w:t>
      </w:r>
      <w:proofErr w:type="gramEnd"/>
      <w:r w:rsidRPr="004A0DEE">
        <w:rPr>
          <w:rFonts w:eastAsia="Calibri" w:cs="Open Sans"/>
          <w:kern w:val="0"/>
          <w:sz w:val="24"/>
          <w:szCs w:val="24"/>
          <w14:ligatures w14:val="none"/>
        </w:rPr>
        <w:t xml:space="preserve"> or license </w:t>
      </w:r>
      <w:proofErr w:type="gramStart"/>
      <w:r w:rsidRPr="004A0DEE">
        <w:rPr>
          <w:rFonts w:eastAsia="Calibri" w:cs="Open Sans"/>
          <w:kern w:val="0"/>
          <w:sz w:val="24"/>
          <w:szCs w:val="24"/>
          <w14:ligatures w14:val="none"/>
        </w:rPr>
        <w:t>numbers;</w:t>
      </w:r>
      <w:proofErr w:type="gramEnd"/>
      <w:r w:rsidRPr="004A0DEE">
        <w:rPr>
          <w:rFonts w:eastAsia="Calibri" w:cs="Open Sans"/>
          <w:kern w:val="0"/>
          <w:sz w:val="24"/>
          <w:szCs w:val="24"/>
          <w14:ligatures w14:val="none"/>
        </w:rPr>
        <w:t xml:space="preserve"> </w:t>
      </w:r>
    </w:p>
    <w:p w14:paraId="71CE8AF4"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1BB5A595"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3.3.5: Vehicle identifiers or serial numbers, including license plate </w:t>
      </w:r>
      <w:proofErr w:type="gramStart"/>
      <w:r w:rsidRPr="004A0DEE">
        <w:rPr>
          <w:rFonts w:eastAsia="Calibri" w:cs="Open Sans"/>
          <w:kern w:val="0"/>
          <w:sz w:val="24"/>
          <w:szCs w:val="24"/>
          <w14:ligatures w14:val="none"/>
        </w:rPr>
        <w:t>numbers;</w:t>
      </w:r>
      <w:proofErr w:type="gramEnd"/>
      <w:r w:rsidRPr="004A0DEE">
        <w:rPr>
          <w:rFonts w:eastAsia="Calibri" w:cs="Open Sans"/>
          <w:kern w:val="0"/>
          <w:sz w:val="24"/>
          <w:szCs w:val="24"/>
          <w14:ligatures w14:val="none"/>
        </w:rPr>
        <w:t xml:space="preserve"> </w:t>
      </w:r>
    </w:p>
    <w:p w14:paraId="229E112F"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2505F990" w14:textId="73B834AA"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lastRenderedPageBreak/>
        <w:t xml:space="preserve">3.3.6: Names, addresses, telephone numbers, fax number, or email addresses of relatives, </w:t>
      </w:r>
      <w:proofErr w:type="gramStart"/>
      <w:r w:rsidRPr="004A0DEE">
        <w:rPr>
          <w:rFonts w:eastAsia="Calibri" w:cs="Open Sans"/>
          <w:kern w:val="0"/>
          <w:sz w:val="24"/>
          <w:szCs w:val="24"/>
          <w14:ligatures w14:val="none"/>
        </w:rPr>
        <w:t>friends;</w:t>
      </w:r>
      <w:proofErr w:type="gramEnd"/>
    </w:p>
    <w:p w14:paraId="7143D9B5"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5303F122" w14:textId="4FAE6B96"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3.3.7: Full face photographic images and any comparable </w:t>
      </w:r>
      <w:proofErr w:type="gramStart"/>
      <w:r w:rsidRPr="004A0DEE">
        <w:rPr>
          <w:rFonts w:eastAsia="Calibri" w:cs="Open Sans"/>
          <w:kern w:val="0"/>
          <w:sz w:val="24"/>
          <w:szCs w:val="24"/>
          <w14:ligatures w14:val="none"/>
        </w:rPr>
        <w:t>images;</w:t>
      </w:r>
      <w:proofErr w:type="gramEnd"/>
      <w:r w:rsidRPr="004A0DEE">
        <w:rPr>
          <w:rFonts w:eastAsia="Calibri" w:cs="Open Sans"/>
          <w:kern w:val="0"/>
          <w:sz w:val="24"/>
          <w:szCs w:val="24"/>
          <w14:ligatures w14:val="none"/>
        </w:rPr>
        <w:t xml:space="preserve"> </w:t>
      </w:r>
    </w:p>
    <w:p w14:paraId="59469345"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038CA9D1" w14:textId="5EEADA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3.3.8: Biometric identifiers, including DNA, fingerprints, or voice prints; and </w:t>
      </w:r>
    </w:p>
    <w:p w14:paraId="465B720B"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3D32F5E6"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r w:rsidRPr="004A0DEE">
        <w:rPr>
          <w:rFonts w:eastAsia="Calibri" w:cs="Open Sans"/>
          <w:kern w:val="0"/>
          <w:sz w:val="24"/>
          <w:szCs w:val="24"/>
          <w14:ligatures w14:val="none"/>
        </w:rPr>
        <w:t>3.3.9:</w:t>
      </w:r>
      <w:r w:rsidRPr="004A0DEE">
        <w:rPr>
          <w:rFonts w:eastAsia="Calibri" w:cs="Open Sans"/>
          <w:kern w:val="0"/>
          <w:sz w:val="24"/>
          <w:szCs w:val="24"/>
          <w14:ligatures w14:val="none"/>
        </w:rPr>
        <w:tab/>
        <w:t xml:space="preserve">Web Universal Resource Locators (URLs) or Internet Protocol (IP) address numbers. </w:t>
      </w:r>
    </w:p>
    <w:p w14:paraId="67105397" w14:textId="77777777" w:rsidR="004A0DEE" w:rsidRPr="004A0DEE" w:rsidRDefault="004A0DEE" w:rsidP="004A0DEE">
      <w:pPr>
        <w:widowControl w:val="0"/>
        <w:spacing w:after="0" w:line="240" w:lineRule="auto"/>
        <w:ind w:left="2160" w:hanging="720"/>
        <w:jc w:val="both"/>
        <w:rPr>
          <w:rFonts w:eastAsia="Calibri" w:cs="Open Sans"/>
          <w:kern w:val="0"/>
          <w:sz w:val="24"/>
          <w:szCs w:val="24"/>
          <w14:ligatures w14:val="none"/>
        </w:rPr>
      </w:pPr>
    </w:p>
    <w:p w14:paraId="05DC5E9D" w14:textId="77777777" w:rsidR="009F4423" w:rsidRDefault="004A0DEE" w:rsidP="009F4423">
      <w:pPr>
        <w:widowControl w:val="0"/>
        <w:spacing w:after="0" w:line="240" w:lineRule="auto"/>
        <w:ind w:left="1440" w:hanging="720"/>
        <w:jc w:val="both"/>
        <w:rPr>
          <w:rFonts w:eastAsia="Calibri" w:cs="Open Sans"/>
          <w:kern w:val="0"/>
          <w:sz w:val="24"/>
          <w:szCs w:val="24"/>
          <w14:ligatures w14:val="none"/>
        </w:rPr>
      </w:pPr>
      <w:r w:rsidRPr="004A0DEE">
        <w:rPr>
          <w:rFonts w:eastAsia="Calibri" w:cs="Open Sans"/>
          <w:kern w:val="0"/>
          <w:sz w:val="24"/>
          <w:szCs w:val="24"/>
          <w14:ligatures w14:val="none"/>
        </w:rPr>
        <w:t xml:space="preserve">3.5: </w:t>
      </w:r>
      <w:r w:rsidRPr="004A0DEE">
        <w:rPr>
          <w:rFonts w:eastAsia="Calibri" w:cs="Open Sans"/>
          <w:kern w:val="0"/>
          <w:sz w:val="24"/>
          <w:szCs w:val="24"/>
          <w14:ligatures w14:val="none"/>
        </w:rPr>
        <w:tab/>
        <w:t xml:space="preserve">For any type of use, disclosure, request that the TDMHSAS or the RMHI receives or makes on a routine and recurring basis, the TDMHSAS Privacy Officer or the RMHI Privacy Officer shall work with the employees responding to or making such requests to implement policies or procedures (which may be standard protocols) that limit the PHI to the amount reasonably necessary to achieve the purpose of the use, disclosure, or request.  </w:t>
      </w:r>
    </w:p>
    <w:p w14:paraId="42BC3102" w14:textId="77777777" w:rsidR="009F4423" w:rsidRDefault="009F4423" w:rsidP="009F4423">
      <w:pPr>
        <w:widowControl w:val="0"/>
        <w:spacing w:after="0" w:line="240" w:lineRule="auto"/>
        <w:ind w:left="1440" w:hanging="720"/>
        <w:jc w:val="both"/>
        <w:rPr>
          <w:rFonts w:eastAsia="Calibri" w:cs="Open Sans"/>
          <w:kern w:val="0"/>
          <w:sz w:val="24"/>
          <w:szCs w:val="24"/>
          <w14:ligatures w14:val="none"/>
        </w:rPr>
      </w:pPr>
    </w:p>
    <w:p w14:paraId="36FE8BEE" w14:textId="490C1C9E" w:rsidR="004A0DEE" w:rsidRPr="009F4423" w:rsidRDefault="004A0DEE" w:rsidP="009F4423">
      <w:pPr>
        <w:pStyle w:val="Heading2"/>
        <w:rPr>
          <w:rFonts w:eastAsia="Calibri"/>
        </w:rPr>
      </w:pPr>
      <w:r w:rsidRPr="004A0DEE">
        <w:t>Other Considerations</w:t>
      </w:r>
    </w:p>
    <w:p w14:paraId="5E4B00E7" w14:textId="12EDBC8F" w:rsidR="004A0DEE" w:rsidRPr="004A0DEE" w:rsidRDefault="004A0DEE" w:rsidP="009F4423">
      <w:pPr>
        <w:widowControl w:val="0"/>
        <w:spacing w:before="53" w:after="0" w:line="240" w:lineRule="auto"/>
        <w:ind w:left="840"/>
        <w:jc w:val="both"/>
        <w:outlineLvl w:val="1"/>
        <w:rPr>
          <w:rFonts w:eastAsia="Times New Roman" w:cs="Open Sans"/>
          <w:kern w:val="0"/>
          <w:sz w:val="24"/>
          <w:szCs w:val="24"/>
          <w14:ligatures w14:val="none"/>
        </w:rPr>
      </w:pPr>
      <w:r w:rsidRPr="004A0DEE">
        <w:rPr>
          <w:rFonts w:eastAsia="Times New Roman" w:cs="Open Sans"/>
          <w:kern w:val="0"/>
          <w:sz w:val="24"/>
          <w:szCs w:val="24"/>
          <w14:ligatures w14:val="none"/>
        </w:rPr>
        <w:t>4.1: Authority</w:t>
      </w:r>
    </w:p>
    <w:p w14:paraId="7E6E76C8" w14:textId="77777777" w:rsidR="004A0DEE" w:rsidRPr="004A0DEE" w:rsidRDefault="004A0DEE" w:rsidP="004A0DEE">
      <w:pPr>
        <w:widowControl w:val="0"/>
        <w:spacing w:before="53" w:after="0" w:line="240" w:lineRule="auto"/>
        <w:ind w:left="840"/>
        <w:jc w:val="both"/>
        <w:outlineLvl w:val="1"/>
        <w:rPr>
          <w:rFonts w:eastAsia="Times New Roman" w:cs="Open Sans"/>
          <w:kern w:val="0"/>
          <w:sz w:val="24"/>
          <w:szCs w:val="24"/>
          <w14:ligatures w14:val="none"/>
        </w:rPr>
      </w:pPr>
    </w:p>
    <w:p w14:paraId="6ECFC0D4" w14:textId="77777777" w:rsidR="004A0DEE" w:rsidRPr="004A0DEE" w:rsidRDefault="004A0DEE" w:rsidP="004A0DEE">
      <w:pPr>
        <w:widowControl w:val="0"/>
        <w:spacing w:before="53" w:after="0" w:line="240" w:lineRule="auto"/>
        <w:ind w:left="1440"/>
        <w:jc w:val="both"/>
        <w:outlineLvl w:val="1"/>
        <w:rPr>
          <w:rFonts w:eastAsia="Times New Roman" w:cs="Open Sans"/>
          <w:b/>
          <w:bCs/>
          <w:kern w:val="0"/>
          <w:sz w:val="24"/>
          <w:szCs w:val="24"/>
          <w:u w:val="single"/>
          <w14:ligatures w14:val="none"/>
        </w:rPr>
      </w:pPr>
      <w:r w:rsidRPr="004A0DEE">
        <w:rPr>
          <w:rFonts w:eastAsia="Times New Roman" w:cs="Open Sans"/>
          <w:kern w:val="0"/>
          <w:sz w:val="24"/>
          <w:szCs w:val="24"/>
          <w14:ligatures w14:val="none"/>
        </w:rPr>
        <w:t>45 CFR §§ 164.502, 506, and 508.</w:t>
      </w:r>
    </w:p>
    <w:p w14:paraId="57B4E492" w14:textId="7C47D869" w:rsidR="00AE70B5" w:rsidRPr="004A0DEE" w:rsidRDefault="00030D5A" w:rsidP="004A0DEE">
      <w:pPr>
        <w:widowControl w:val="0"/>
        <w:spacing w:after="0" w:line="240" w:lineRule="auto"/>
        <w:jc w:val="both"/>
        <w:rPr>
          <w:rFonts w:eastAsia="Times New Roman" w:cs="Open Sans"/>
          <w:sz w:val="24"/>
          <w:szCs w:val="24"/>
        </w:rPr>
      </w:pPr>
      <w:r w:rsidRPr="00030D5A">
        <w:rPr>
          <w:rFonts w:cs="Open Sans"/>
          <w:noProof/>
        </w:rPr>
        <w:drawing>
          <wp:anchor distT="0" distB="0" distL="114300" distR="114300" simplePos="0" relativeHeight="251658240" behindDoc="1" locked="0" layoutInCell="1" allowOverlap="1" wp14:anchorId="0C18A01B" wp14:editId="1BD9F3B9">
            <wp:simplePos x="0" y="0"/>
            <wp:positionH relativeFrom="column">
              <wp:posOffset>708660</wp:posOffset>
            </wp:positionH>
            <wp:positionV relativeFrom="paragraph">
              <wp:posOffset>193675</wp:posOffset>
            </wp:positionV>
            <wp:extent cx="2514600" cy="1958975"/>
            <wp:effectExtent l="0" t="0" r="0" b="3175"/>
            <wp:wrapTight wrapText="bothSides">
              <wp:wrapPolygon edited="0">
                <wp:start x="0" y="0"/>
                <wp:lineTo x="0" y="21425"/>
                <wp:lineTo x="21436" y="21425"/>
                <wp:lineTo x="21436" y="0"/>
                <wp:lineTo x="0" y="0"/>
              </wp:wrapPolygon>
            </wp:wrapTight>
            <wp:docPr id="1948064606" name="Picture 1" descr="Signature page from 2023 version of the form showing signature of Commissioner Marie Williams and the date of January 23,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64606" name="Picture 1" descr="Signature page from 2023 version of the form showing signature of Commissioner Marie Williams and the date of January 23, 2023."/>
                    <pic:cNvPicPr/>
                  </pic:nvPicPr>
                  <pic:blipFill>
                    <a:blip r:embed="rId8">
                      <a:extLst>
                        <a:ext uri="{28A0092B-C50C-407E-A947-70E740481C1C}">
                          <a14:useLocalDpi xmlns:a14="http://schemas.microsoft.com/office/drawing/2010/main" val="0"/>
                        </a:ext>
                      </a:extLst>
                    </a:blip>
                    <a:stretch>
                      <a:fillRect/>
                    </a:stretch>
                  </pic:blipFill>
                  <pic:spPr>
                    <a:xfrm>
                      <a:off x="0" y="0"/>
                      <a:ext cx="2514600" cy="1958975"/>
                    </a:xfrm>
                    <a:prstGeom prst="rect">
                      <a:avLst/>
                    </a:prstGeom>
                  </pic:spPr>
                </pic:pic>
              </a:graphicData>
            </a:graphic>
            <wp14:sizeRelH relativeFrom="page">
              <wp14:pctWidth>0</wp14:pctWidth>
            </wp14:sizeRelH>
            <wp14:sizeRelV relativeFrom="page">
              <wp14:pctHeight>0</wp14:pctHeight>
            </wp14:sizeRelV>
          </wp:anchor>
        </w:drawing>
      </w:r>
    </w:p>
    <w:p w14:paraId="78999CC5" w14:textId="0AD72F8D" w:rsidR="00E55E0A" w:rsidRPr="004A0DEE" w:rsidRDefault="00E55E0A" w:rsidP="0075304D">
      <w:pPr>
        <w:jc w:val="both"/>
        <w:rPr>
          <w:rFonts w:cs="Open Sans"/>
        </w:rPr>
      </w:pPr>
    </w:p>
    <w:sectPr w:rsidR="00E55E0A" w:rsidRPr="004A0DEE"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4E79" w14:textId="77777777" w:rsidR="008A1F7C" w:rsidRDefault="008A1F7C" w:rsidP="00801079">
      <w:r>
        <w:separator/>
      </w:r>
    </w:p>
  </w:endnote>
  <w:endnote w:type="continuationSeparator" w:id="0">
    <w:p w14:paraId="13B9C144" w14:textId="77777777" w:rsidR="008A1F7C" w:rsidRDefault="008A1F7C"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1F9A425C"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4A0DEE">
      <w:rPr>
        <w:rFonts w:cs="Open Sans"/>
        <w:sz w:val="20"/>
        <w:szCs w:val="20"/>
      </w:rPr>
      <w:t>3</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415024" w:rsidRPr="00415024">
      <w:rPr>
        <w:rFonts w:cs="Open Sans"/>
        <w:sz w:val="20"/>
        <w:szCs w:val="20"/>
      </w:rPr>
      <w:t xml:space="preserve">Uses and Disclosures </w:t>
    </w:r>
    <w:r w:rsidR="004A0DEE">
      <w:rPr>
        <w:rFonts w:cs="Open Sans"/>
        <w:sz w:val="20"/>
        <w:szCs w:val="20"/>
      </w:rPr>
      <w:t>To Carry Out Treatment…</w:t>
    </w:r>
    <w:r w:rsid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4A0DEE">
      <w:rPr>
        <w:rFonts w:cs="Open Sans"/>
        <w:sz w:val="20"/>
        <w:szCs w:val="20"/>
      </w:rPr>
      <w:t>June 21</w:t>
    </w:r>
    <w:r w:rsidR="00415024">
      <w:rPr>
        <w:rFonts w:cs="Open Sans"/>
        <w:sz w:val="20"/>
        <w:szCs w:val="20"/>
      </w:rPr>
      <w:t>,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931B" w14:textId="77777777" w:rsidR="008A1F7C" w:rsidRDefault="008A1F7C" w:rsidP="00801079">
      <w:r>
        <w:separator/>
      </w:r>
    </w:p>
  </w:footnote>
  <w:footnote w:type="continuationSeparator" w:id="0">
    <w:p w14:paraId="18EDF5DE" w14:textId="77777777" w:rsidR="008A1F7C" w:rsidRDefault="008A1F7C"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59B2B4F"/>
    <w:multiLevelType w:val="hybridMultilevel"/>
    <w:tmpl w:val="39EA0E0C"/>
    <w:lvl w:ilvl="0" w:tplc="287EF58E">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0"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6515AB2"/>
    <w:multiLevelType w:val="multilevel"/>
    <w:tmpl w:val="D5803FD6"/>
    <w:lvl w:ilvl="0">
      <w:start w:val="1"/>
      <w:numFmt w:val="decimal"/>
      <w:lvlText w:val="%1."/>
      <w:lvlJc w:val="left"/>
      <w:pPr>
        <w:ind w:hanging="720"/>
      </w:pPr>
      <w:rPr>
        <w:rFonts w:ascii="Times New Roman" w:eastAsia="Times New Roman" w:hAnsi="Times New Roman" w:hint="default"/>
        <w:b/>
        <w:bCs/>
        <w:w w:val="99"/>
        <w:sz w:val="24"/>
        <w:szCs w:val="24"/>
      </w:rPr>
    </w:lvl>
    <w:lvl w:ilvl="1">
      <w:start w:val="1"/>
      <w:numFmt w:val="decimal"/>
      <w:lvlText w:val="%1.%2"/>
      <w:lvlJc w:val="left"/>
      <w:pPr>
        <w:ind w:hanging="720"/>
        <w:jc w:val="right"/>
      </w:pPr>
      <w:rPr>
        <w:rFonts w:ascii="Times New Roman" w:eastAsia="Times New Roman" w:hAnsi="Times New Roman" w:hint="default"/>
        <w:w w:val="99"/>
        <w:sz w:val="24"/>
        <w:szCs w:val="24"/>
      </w:rPr>
    </w:lvl>
    <w:lvl w:ilvl="2">
      <w:start w:val="1"/>
      <w:numFmt w:val="decimal"/>
      <w:lvlText w:val="%1.%2.%3"/>
      <w:lvlJc w:val="left"/>
      <w:pPr>
        <w:ind w:hanging="720"/>
      </w:pPr>
      <w:rPr>
        <w:rFonts w:ascii="Times New Roman" w:eastAsia="Times New Roman" w:hAnsi="Times New Roman"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3"/>
  </w:num>
  <w:num w:numId="2" w16cid:durableId="783118593">
    <w:abstractNumId w:val="16"/>
  </w:num>
  <w:num w:numId="3" w16cid:durableId="1505390476">
    <w:abstractNumId w:val="3"/>
  </w:num>
  <w:num w:numId="4" w16cid:durableId="1274096518">
    <w:abstractNumId w:val="12"/>
  </w:num>
  <w:num w:numId="5" w16cid:durableId="855191819">
    <w:abstractNumId w:val="4"/>
  </w:num>
  <w:num w:numId="6" w16cid:durableId="1329669013">
    <w:abstractNumId w:val="17"/>
  </w:num>
  <w:num w:numId="7" w16cid:durableId="1721434853">
    <w:abstractNumId w:val="18"/>
  </w:num>
  <w:num w:numId="8" w16cid:durableId="1150367029">
    <w:abstractNumId w:val="6"/>
  </w:num>
  <w:num w:numId="9" w16cid:durableId="2028869913">
    <w:abstractNumId w:val="1"/>
  </w:num>
  <w:num w:numId="10" w16cid:durableId="1115558235">
    <w:abstractNumId w:val="11"/>
  </w:num>
  <w:num w:numId="11" w16cid:durableId="1375544509">
    <w:abstractNumId w:val="15"/>
  </w:num>
  <w:num w:numId="12" w16cid:durableId="463891535">
    <w:abstractNumId w:val="8"/>
  </w:num>
  <w:num w:numId="13" w16cid:durableId="687878566">
    <w:abstractNumId w:val="9"/>
  </w:num>
  <w:num w:numId="14" w16cid:durableId="476453308">
    <w:abstractNumId w:val="0"/>
  </w:num>
  <w:num w:numId="15" w16cid:durableId="1974822128">
    <w:abstractNumId w:val="7"/>
  </w:num>
  <w:num w:numId="16" w16cid:durableId="525289569">
    <w:abstractNumId w:val="19"/>
  </w:num>
  <w:num w:numId="17" w16cid:durableId="1799374499">
    <w:abstractNumId w:val="10"/>
  </w:num>
  <w:num w:numId="18" w16cid:durableId="1959069171">
    <w:abstractNumId w:val="2"/>
  </w:num>
  <w:num w:numId="19" w16cid:durableId="346030901">
    <w:abstractNumId w:val="14"/>
  </w:num>
  <w:num w:numId="20" w16cid:durableId="30870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HlykGFhwQ9DaxX9Pcgaw0ebUnxXpLsoxqks792D94Y2wwIjKsCw/D2hAprcyKfoyQLeWUhiBEpt9z4TCHJHhMg==" w:salt="N/9RbXvFYNNPRWwPw3tA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0D5A"/>
    <w:rsid w:val="00050935"/>
    <w:rsid w:val="001F783E"/>
    <w:rsid w:val="00253217"/>
    <w:rsid w:val="00295159"/>
    <w:rsid w:val="0031236F"/>
    <w:rsid w:val="00350200"/>
    <w:rsid w:val="00391723"/>
    <w:rsid w:val="0039259F"/>
    <w:rsid w:val="00392FF6"/>
    <w:rsid w:val="003F4BA0"/>
    <w:rsid w:val="00411EE9"/>
    <w:rsid w:val="00415024"/>
    <w:rsid w:val="00490D6B"/>
    <w:rsid w:val="004A0DEE"/>
    <w:rsid w:val="0051764F"/>
    <w:rsid w:val="00524802"/>
    <w:rsid w:val="00532C95"/>
    <w:rsid w:val="00560396"/>
    <w:rsid w:val="005D6AB0"/>
    <w:rsid w:val="00601970"/>
    <w:rsid w:val="006B0DD9"/>
    <w:rsid w:val="00703739"/>
    <w:rsid w:val="007265A5"/>
    <w:rsid w:val="0073515C"/>
    <w:rsid w:val="0075304D"/>
    <w:rsid w:val="00771DEC"/>
    <w:rsid w:val="00792280"/>
    <w:rsid w:val="007A63C0"/>
    <w:rsid w:val="007E1006"/>
    <w:rsid w:val="007E7C66"/>
    <w:rsid w:val="007F2E06"/>
    <w:rsid w:val="00801079"/>
    <w:rsid w:val="00840187"/>
    <w:rsid w:val="00857933"/>
    <w:rsid w:val="0086073D"/>
    <w:rsid w:val="008760C5"/>
    <w:rsid w:val="008A1F7C"/>
    <w:rsid w:val="008C3DDF"/>
    <w:rsid w:val="008C5D30"/>
    <w:rsid w:val="008F5D3B"/>
    <w:rsid w:val="00916859"/>
    <w:rsid w:val="00943564"/>
    <w:rsid w:val="00951960"/>
    <w:rsid w:val="00956F9F"/>
    <w:rsid w:val="0097119D"/>
    <w:rsid w:val="009924FF"/>
    <w:rsid w:val="009A32FC"/>
    <w:rsid w:val="009B2129"/>
    <w:rsid w:val="009C7CAD"/>
    <w:rsid w:val="009F4423"/>
    <w:rsid w:val="00A15132"/>
    <w:rsid w:val="00A533CA"/>
    <w:rsid w:val="00AE70B5"/>
    <w:rsid w:val="00B077F2"/>
    <w:rsid w:val="00B422E9"/>
    <w:rsid w:val="00B5742C"/>
    <w:rsid w:val="00B6110B"/>
    <w:rsid w:val="00BD2C4F"/>
    <w:rsid w:val="00CC225E"/>
    <w:rsid w:val="00D52904"/>
    <w:rsid w:val="00D563C5"/>
    <w:rsid w:val="00D92C14"/>
    <w:rsid w:val="00DD1AD0"/>
    <w:rsid w:val="00E11485"/>
    <w:rsid w:val="00E55E0A"/>
    <w:rsid w:val="00E66B67"/>
    <w:rsid w:val="00E87684"/>
    <w:rsid w:val="00F0397D"/>
    <w:rsid w:val="00F7545B"/>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1"/>
    <w:unhideWhenUsed/>
    <w:qFormat/>
    <w:rsid w:val="009F4423"/>
    <w:pPr>
      <w:numPr>
        <w:numId w:val="20"/>
      </w:numPr>
      <w:ind w:left="720"/>
      <w:jc w:val="both"/>
      <w:outlineLvl w:val="1"/>
    </w:pPr>
    <w:rPr>
      <w:rFonts w:eastAsia="Times New Roman" w:cs="Open Sans"/>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F4423"/>
    <w:rPr>
      <w:rFonts w:ascii="Open Sans" w:eastAsia="Times New Roman" w:hAnsi="Open Sans" w:cs="Open Sans"/>
      <w:b/>
      <w:kern w:val="0"/>
      <w:sz w:val="24"/>
      <w:szCs w:val="24"/>
      <w14:ligatures w14:val="none"/>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7</TotalTime>
  <Pages>4</Pages>
  <Words>1016</Words>
  <Characters>5433</Characters>
  <Application>Microsoft Office Word</Application>
  <DocSecurity>8</DocSecurity>
  <Lines>134</Lines>
  <Paragraphs>41</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2026-04-01T18:48:00Z</dcterms:created>
  <dcterms:modified xsi:type="dcterms:W3CDTF">2026-04-02T18:47:00Z</dcterms:modified>
</cp:coreProperties>
</file>