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4640A156" w:rsidR="00295159" w:rsidRPr="00524802" w:rsidRDefault="00295159" w:rsidP="00BB4B3B">
      <w:pPr>
        <w:pStyle w:val="Heading1"/>
        <w:ind w:left="720" w:firstLine="720"/>
      </w:pPr>
      <w:r w:rsidRPr="00524802">
        <w:t>Subject:</w:t>
      </w:r>
      <w:r w:rsidR="00AE70B5" w:rsidRPr="00524802">
        <w:t xml:space="preserve"> </w:t>
      </w:r>
      <w:r w:rsidR="00524802" w:rsidRPr="00575B92">
        <w:t>Training the Workforce</w:t>
      </w:r>
    </w:p>
    <w:p w14:paraId="6D907FB4" w14:textId="454F3B13" w:rsidR="00295159" w:rsidRPr="00524802" w:rsidRDefault="00295159" w:rsidP="00E87684">
      <w:pPr>
        <w:ind w:left="1440"/>
        <w:jc w:val="both"/>
        <w:rPr>
          <w:rFonts w:cs="Open Sans"/>
        </w:rPr>
      </w:pPr>
      <w:r w:rsidRPr="00524802">
        <w:rPr>
          <w:rFonts w:cs="Open Sans"/>
        </w:rPr>
        <w:t>Policy Number:</w:t>
      </w:r>
      <w:r w:rsidR="00AE70B5" w:rsidRPr="00524802">
        <w:rPr>
          <w:rFonts w:cs="Open Sans"/>
        </w:rPr>
        <w:t xml:space="preserve"> HIPAA 3.</w:t>
      </w:r>
      <w:r w:rsidR="00524802" w:rsidRPr="00524802">
        <w:rPr>
          <w:rFonts w:cs="Open Sans"/>
        </w:rPr>
        <w:t>6</w:t>
      </w:r>
    </w:p>
    <w:p w14:paraId="5C31EC69" w14:textId="3FA1E85C" w:rsidR="00295159" w:rsidRPr="00524802" w:rsidRDefault="00295159" w:rsidP="00E87684">
      <w:pPr>
        <w:ind w:left="1440"/>
        <w:jc w:val="both"/>
        <w:rPr>
          <w:rFonts w:cs="Open Sans"/>
        </w:rPr>
      </w:pPr>
      <w:r w:rsidRPr="00524802">
        <w:rPr>
          <w:rFonts w:cs="Open Sans"/>
        </w:rPr>
        <w:t>Effective Date:</w:t>
      </w:r>
      <w:r w:rsidR="00AE70B5" w:rsidRPr="00524802">
        <w:rPr>
          <w:rFonts w:cs="Open Sans"/>
        </w:rPr>
        <w:t xml:space="preserve"> </w:t>
      </w:r>
      <w:r w:rsidR="00524802" w:rsidRPr="00524802">
        <w:rPr>
          <w:rFonts w:cs="Open Sans"/>
        </w:rPr>
        <w:t>7/10/04</w:t>
      </w:r>
    </w:p>
    <w:p w14:paraId="02476432" w14:textId="455A1852" w:rsidR="00295159" w:rsidRPr="00524802" w:rsidRDefault="00AE70B5" w:rsidP="00E87684">
      <w:pPr>
        <w:ind w:left="1440"/>
        <w:jc w:val="both"/>
        <w:rPr>
          <w:rFonts w:cs="Open Sans"/>
        </w:rPr>
      </w:pPr>
      <w:r w:rsidRPr="00524802">
        <w:rPr>
          <w:rFonts w:cs="Open Sans"/>
        </w:rPr>
        <w:t xml:space="preserve">Entity Responsible: Division of General Counsel </w:t>
      </w:r>
    </w:p>
    <w:p w14:paraId="0B357B2C" w14:textId="0EB6177F" w:rsidR="00295159" w:rsidRPr="00524802" w:rsidRDefault="00295159" w:rsidP="00E87684">
      <w:pPr>
        <w:ind w:left="1440"/>
        <w:jc w:val="both"/>
        <w:rPr>
          <w:rFonts w:cs="Open Sans"/>
        </w:rPr>
      </w:pPr>
      <w:r w:rsidRPr="00524802">
        <w:rPr>
          <w:rFonts w:cs="Open Sans"/>
        </w:rPr>
        <w:t>Last Review or Revision:</w:t>
      </w:r>
      <w:r w:rsidR="007265A5" w:rsidRPr="00524802">
        <w:rPr>
          <w:rFonts w:cs="Open Sans"/>
        </w:rPr>
        <w:t xml:space="preserve"> </w:t>
      </w:r>
      <w:r w:rsidR="006B7854">
        <w:rPr>
          <w:rFonts w:cs="Open Sans"/>
          <w:kern w:val="0"/>
          <w14:ligatures w14:val="none"/>
        </w:rPr>
        <w:t>1/18/23</w:t>
      </w:r>
    </w:p>
    <w:p w14:paraId="1DC2EDCA" w14:textId="7FD813B3" w:rsidR="00295159" w:rsidRPr="00524802" w:rsidRDefault="00295159" w:rsidP="00E87684">
      <w:pPr>
        <w:ind w:left="1440"/>
        <w:jc w:val="both"/>
        <w:rPr>
          <w:rFonts w:cs="Open Sans"/>
        </w:rPr>
      </w:pPr>
      <w:r w:rsidRPr="00524802">
        <w:rPr>
          <w:rFonts w:cs="Open Sans"/>
        </w:rPr>
        <w:t>Approved by:</w:t>
      </w:r>
      <w:r w:rsidR="007265A5" w:rsidRPr="00524802">
        <w:rPr>
          <w:rFonts w:cs="Open Sans"/>
        </w:rPr>
        <w:t xml:space="preserve"> Commissioner Marie Williams</w:t>
      </w:r>
    </w:p>
    <w:p w14:paraId="7F6E8483" w14:textId="6724F7A8" w:rsidR="00524802" w:rsidRPr="00524802" w:rsidRDefault="00524802" w:rsidP="00BB4B3B">
      <w:pPr>
        <w:pStyle w:val="Heading2"/>
      </w:pPr>
      <w:r w:rsidRPr="00BB4B3B">
        <w:t>Purpose</w:t>
      </w:r>
      <w:r w:rsidRPr="00524802">
        <w:t xml:space="preserve">: </w:t>
      </w:r>
    </w:p>
    <w:p w14:paraId="6CF78C20" w14:textId="77777777" w:rsidR="00BB4B3B" w:rsidRDefault="00524802" w:rsidP="00BB4B3B">
      <w:pPr>
        <w:ind w:left="720"/>
        <w:jc w:val="both"/>
        <w:rPr>
          <w:rFonts w:cs="Open Sans"/>
          <w:sz w:val="24"/>
          <w:szCs w:val="24"/>
        </w:rPr>
      </w:pPr>
      <w:r w:rsidRPr="00524802">
        <w:rPr>
          <w:rFonts w:cs="Open Sans"/>
          <w:sz w:val="24"/>
          <w:szCs w:val="24"/>
        </w:rPr>
        <w:t xml:space="preserve">To provide guidance and instruction on training the Tennessee Department of Mental Health and Substance Abuse Services (TDMHSAS) workforce on the Health Insurance Portability and Accountability Act of 1996 (HIPAA) and its accompanying regulations codified at 45 C.F.R. Parts 160 through 164, and other relevant federal and state laws, such as 42 U.S.C. 290dd-2 and its accompanying regulations codified at 42 C.F.R. Part 2, and Tenn. Code Ann. § 33-3-103. </w:t>
      </w:r>
    </w:p>
    <w:p w14:paraId="6E36C926" w14:textId="4EC4BF9B" w:rsidR="00524802" w:rsidRPr="00BB4B3B" w:rsidRDefault="00524802" w:rsidP="00BB4B3B">
      <w:pPr>
        <w:pStyle w:val="Heading2"/>
      </w:pPr>
      <w:r w:rsidRPr="00524802">
        <w:t>Policy:</w:t>
      </w:r>
    </w:p>
    <w:p w14:paraId="17645B7D" w14:textId="77777777" w:rsidR="00BB4B3B" w:rsidRDefault="00524802" w:rsidP="00BB4B3B">
      <w:pPr>
        <w:ind w:left="720"/>
        <w:jc w:val="both"/>
        <w:rPr>
          <w:rFonts w:cs="Open Sans"/>
          <w:sz w:val="24"/>
          <w:szCs w:val="24"/>
        </w:rPr>
      </w:pPr>
      <w:r w:rsidRPr="00524802">
        <w:rPr>
          <w:rFonts w:cs="Open Sans"/>
          <w:sz w:val="24"/>
          <w:szCs w:val="24"/>
        </w:rPr>
        <w:t>The TDMHSAS must train all members of its workforce on the privacy and security regulations of HIPAA, 42 C.F.R Part 2, and Tenn. Code Ann. 33-3-103.</w:t>
      </w:r>
    </w:p>
    <w:p w14:paraId="291FBFE3" w14:textId="0F06EAA4" w:rsidR="00524802" w:rsidRPr="00BB4B3B" w:rsidRDefault="00524802" w:rsidP="00BB4B3B">
      <w:pPr>
        <w:pStyle w:val="Heading2"/>
      </w:pPr>
      <w:r w:rsidRPr="00524802">
        <w:t xml:space="preserve">Procedure and Responsibility: </w:t>
      </w:r>
    </w:p>
    <w:p w14:paraId="4211328B" w14:textId="77777777" w:rsidR="00524802" w:rsidRPr="00524802" w:rsidRDefault="00524802" w:rsidP="00524802">
      <w:pPr>
        <w:ind w:left="1440" w:hanging="720"/>
        <w:jc w:val="both"/>
        <w:rPr>
          <w:rFonts w:cs="Open Sans"/>
          <w:sz w:val="24"/>
          <w:szCs w:val="24"/>
        </w:rPr>
      </w:pPr>
      <w:r w:rsidRPr="00524802">
        <w:rPr>
          <w:rFonts w:cs="Open Sans"/>
          <w:sz w:val="24"/>
          <w:szCs w:val="24"/>
        </w:rPr>
        <w:t xml:space="preserve">3.1: </w:t>
      </w:r>
      <w:r w:rsidRPr="00524802">
        <w:rPr>
          <w:rFonts w:cs="Open Sans"/>
          <w:sz w:val="24"/>
          <w:szCs w:val="24"/>
        </w:rPr>
        <w:tab/>
        <w:t xml:space="preserve">The TDMHSAS Privacy Officer must ensure that the Central Office workforce is trained on HIPAA and its accompanying regulations codified at 45 C.F.R. Parts 160 through 164, 42 U.S.C 290dd-2, and its accompanying regulations codified at 42 C.F.R. Part 2, and Tenn. Code Ann. § 33-3-103.  </w:t>
      </w:r>
    </w:p>
    <w:p w14:paraId="28CCD87D" w14:textId="77777777" w:rsidR="00524802" w:rsidRPr="00524802" w:rsidRDefault="00524802" w:rsidP="00524802">
      <w:pPr>
        <w:ind w:left="1440" w:hanging="720"/>
        <w:jc w:val="both"/>
        <w:rPr>
          <w:rFonts w:cs="Open Sans"/>
          <w:sz w:val="24"/>
          <w:szCs w:val="24"/>
        </w:rPr>
      </w:pPr>
      <w:r w:rsidRPr="00524802">
        <w:rPr>
          <w:rFonts w:cs="Open Sans"/>
          <w:sz w:val="24"/>
          <w:szCs w:val="24"/>
        </w:rPr>
        <w:t xml:space="preserve">3.2: </w:t>
      </w:r>
      <w:r w:rsidRPr="00524802">
        <w:rPr>
          <w:rFonts w:cs="Open Sans"/>
          <w:sz w:val="24"/>
          <w:szCs w:val="24"/>
        </w:rPr>
        <w:tab/>
        <w:t xml:space="preserve">Each RMHI Privacy Officer must ensure that their RMHI workforce is trained on HIPAA and its accompanying regulations codified at 45 C.F.R. Parts 160 through 164, 42 U.S.C 290dd-2 and its accompanying regulations codified at 42 C.F.R. Part 2, and Tenn. Code Ann. § 33-3-103. </w:t>
      </w:r>
    </w:p>
    <w:p w14:paraId="5599ECA8" w14:textId="77777777" w:rsidR="00524802" w:rsidRPr="00524802" w:rsidRDefault="00524802" w:rsidP="00524802">
      <w:pPr>
        <w:ind w:left="1440" w:hanging="720"/>
        <w:jc w:val="both"/>
        <w:rPr>
          <w:rFonts w:cs="Open Sans"/>
          <w:sz w:val="24"/>
          <w:szCs w:val="24"/>
        </w:rPr>
      </w:pPr>
      <w:r w:rsidRPr="00524802">
        <w:rPr>
          <w:rFonts w:cs="Open Sans"/>
          <w:sz w:val="24"/>
          <w:szCs w:val="24"/>
        </w:rPr>
        <w:t>3.3</w:t>
      </w:r>
      <w:proofErr w:type="gramStart"/>
      <w:r w:rsidRPr="00524802">
        <w:rPr>
          <w:rFonts w:cs="Open Sans"/>
          <w:sz w:val="24"/>
          <w:szCs w:val="24"/>
        </w:rPr>
        <w:t xml:space="preserve">: </w:t>
      </w:r>
      <w:r w:rsidRPr="00524802">
        <w:rPr>
          <w:rFonts w:cs="Open Sans"/>
          <w:sz w:val="24"/>
          <w:szCs w:val="24"/>
        </w:rPr>
        <w:tab/>
        <w:t>Each</w:t>
      </w:r>
      <w:proofErr w:type="gramEnd"/>
      <w:r w:rsidRPr="00524802">
        <w:rPr>
          <w:rFonts w:cs="Open Sans"/>
          <w:sz w:val="24"/>
          <w:szCs w:val="24"/>
        </w:rPr>
        <w:t xml:space="preserve"> new member of the TDMHSAS or RMHI workforce is to be trained after the person joins the workforce. This training should take place within a reasonable </w:t>
      </w:r>
      <w:proofErr w:type="gramStart"/>
      <w:r w:rsidRPr="00524802">
        <w:rPr>
          <w:rFonts w:cs="Open Sans"/>
          <w:sz w:val="24"/>
          <w:szCs w:val="24"/>
        </w:rPr>
        <w:t>period of time</w:t>
      </w:r>
      <w:proofErr w:type="gramEnd"/>
      <w:r w:rsidRPr="00524802">
        <w:rPr>
          <w:rFonts w:cs="Open Sans"/>
          <w:sz w:val="24"/>
          <w:szCs w:val="24"/>
        </w:rPr>
        <w:t xml:space="preserve"> after their hiring. </w:t>
      </w:r>
    </w:p>
    <w:p w14:paraId="0D18BA2F" w14:textId="2C548891" w:rsidR="00524802" w:rsidRPr="00524802" w:rsidRDefault="00524802" w:rsidP="00524802">
      <w:pPr>
        <w:ind w:left="1440" w:hanging="720"/>
        <w:jc w:val="both"/>
        <w:rPr>
          <w:rFonts w:cs="Open Sans"/>
          <w:sz w:val="24"/>
          <w:szCs w:val="24"/>
        </w:rPr>
      </w:pPr>
      <w:r w:rsidRPr="00524802">
        <w:rPr>
          <w:rFonts w:cs="Open Sans"/>
          <w:sz w:val="24"/>
          <w:szCs w:val="24"/>
        </w:rPr>
        <w:t>3.4</w:t>
      </w:r>
      <w:proofErr w:type="gramStart"/>
      <w:r w:rsidRPr="00524802">
        <w:rPr>
          <w:rFonts w:cs="Open Sans"/>
          <w:sz w:val="24"/>
          <w:szCs w:val="24"/>
        </w:rPr>
        <w:t xml:space="preserve">: </w:t>
      </w:r>
      <w:r w:rsidRPr="00524802">
        <w:rPr>
          <w:rFonts w:cs="Open Sans"/>
          <w:sz w:val="24"/>
          <w:szCs w:val="24"/>
        </w:rPr>
        <w:tab/>
        <w:t>If</w:t>
      </w:r>
      <w:proofErr w:type="gramEnd"/>
      <w:r w:rsidRPr="00524802">
        <w:rPr>
          <w:rFonts w:cs="Open Sans"/>
          <w:sz w:val="24"/>
          <w:szCs w:val="24"/>
        </w:rPr>
        <w:t xml:space="preserve"> there is a material change in the </w:t>
      </w:r>
      <w:r w:rsidR="00BB4B3B" w:rsidRPr="00524802">
        <w:rPr>
          <w:rFonts w:cs="Open Sans"/>
          <w:sz w:val="24"/>
          <w:szCs w:val="24"/>
        </w:rPr>
        <w:t>above-mentioned</w:t>
      </w:r>
      <w:r w:rsidRPr="00524802">
        <w:rPr>
          <w:rFonts w:cs="Open Sans"/>
          <w:sz w:val="24"/>
          <w:szCs w:val="24"/>
        </w:rPr>
        <w:t xml:space="preserve"> laws, regulations, policies, and procedures, the TDMHSAS or RMHI workforce whose functions are affected by such change shall be trained by the TDMHSAS Privacy Officer or the RMHI Privacy Officer on </w:t>
      </w:r>
      <w:r w:rsidRPr="00524802">
        <w:rPr>
          <w:rFonts w:cs="Open Sans"/>
          <w:sz w:val="24"/>
          <w:szCs w:val="24"/>
        </w:rPr>
        <w:lastRenderedPageBreak/>
        <w:t xml:space="preserve">the material change within a reasonable </w:t>
      </w:r>
      <w:proofErr w:type="gramStart"/>
      <w:r w:rsidRPr="00524802">
        <w:rPr>
          <w:rFonts w:cs="Open Sans"/>
          <w:sz w:val="24"/>
          <w:szCs w:val="24"/>
        </w:rPr>
        <w:t>period of time</w:t>
      </w:r>
      <w:proofErr w:type="gramEnd"/>
      <w:r w:rsidRPr="00524802">
        <w:rPr>
          <w:rFonts w:cs="Open Sans"/>
          <w:sz w:val="24"/>
          <w:szCs w:val="24"/>
        </w:rPr>
        <w:t xml:space="preserve"> after the change becomes effective. </w:t>
      </w:r>
    </w:p>
    <w:p w14:paraId="08AB45B0" w14:textId="77777777" w:rsidR="00524802" w:rsidRPr="00524802" w:rsidRDefault="00524802" w:rsidP="00524802">
      <w:pPr>
        <w:ind w:left="1440" w:hanging="720"/>
        <w:jc w:val="both"/>
        <w:rPr>
          <w:rFonts w:cs="Open Sans"/>
          <w:sz w:val="24"/>
          <w:szCs w:val="24"/>
        </w:rPr>
      </w:pPr>
      <w:r w:rsidRPr="00524802">
        <w:rPr>
          <w:rFonts w:cs="Open Sans"/>
          <w:sz w:val="24"/>
          <w:szCs w:val="24"/>
        </w:rPr>
        <w:t>3.5</w:t>
      </w:r>
      <w:proofErr w:type="gramStart"/>
      <w:r w:rsidRPr="00524802">
        <w:rPr>
          <w:rFonts w:cs="Open Sans"/>
          <w:sz w:val="24"/>
          <w:szCs w:val="24"/>
        </w:rPr>
        <w:t xml:space="preserve">: </w:t>
      </w:r>
      <w:r w:rsidRPr="00524802">
        <w:rPr>
          <w:rFonts w:cs="Open Sans"/>
          <w:sz w:val="24"/>
          <w:szCs w:val="24"/>
        </w:rPr>
        <w:tab/>
        <w:t>The</w:t>
      </w:r>
      <w:proofErr w:type="gramEnd"/>
      <w:r w:rsidRPr="00524802">
        <w:rPr>
          <w:rFonts w:cs="Open Sans"/>
          <w:sz w:val="24"/>
          <w:szCs w:val="24"/>
        </w:rPr>
        <w:t xml:space="preserve"> TDMHSAS Privacy Officer and each RMHI Privacy Officer must document that training has been provided. This documentation must be retained for as long as the individual works for the TDMHSAS or RMHI; however, no less than for six (6) years. </w:t>
      </w:r>
    </w:p>
    <w:p w14:paraId="2D9D35A6" w14:textId="77777777" w:rsidR="00524802" w:rsidRPr="00524802" w:rsidRDefault="00524802" w:rsidP="00524802">
      <w:pPr>
        <w:ind w:left="1440" w:hanging="720"/>
        <w:jc w:val="both"/>
        <w:rPr>
          <w:rFonts w:cs="Open Sans"/>
          <w:sz w:val="24"/>
          <w:szCs w:val="24"/>
        </w:rPr>
      </w:pPr>
      <w:r w:rsidRPr="00524802">
        <w:rPr>
          <w:rFonts w:cs="Open Sans"/>
          <w:sz w:val="24"/>
          <w:szCs w:val="24"/>
        </w:rPr>
        <w:t>3.6</w:t>
      </w:r>
      <w:proofErr w:type="gramStart"/>
      <w:r w:rsidRPr="00524802">
        <w:rPr>
          <w:rFonts w:cs="Open Sans"/>
          <w:sz w:val="24"/>
          <w:szCs w:val="24"/>
        </w:rPr>
        <w:t xml:space="preserve">: </w:t>
      </w:r>
      <w:r w:rsidRPr="00524802">
        <w:rPr>
          <w:rFonts w:cs="Open Sans"/>
          <w:sz w:val="24"/>
          <w:szCs w:val="24"/>
        </w:rPr>
        <w:tab/>
      </w:r>
      <w:bookmarkStart w:id="0" w:name="_Hlk54104650"/>
      <w:r w:rsidRPr="00524802">
        <w:rPr>
          <w:rFonts w:cs="Open Sans"/>
          <w:sz w:val="24"/>
          <w:szCs w:val="24"/>
        </w:rPr>
        <w:t>The</w:t>
      </w:r>
      <w:proofErr w:type="gramEnd"/>
      <w:r w:rsidRPr="00524802">
        <w:rPr>
          <w:rFonts w:cs="Open Sans"/>
          <w:sz w:val="24"/>
          <w:szCs w:val="24"/>
        </w:rPr>
        <w:t xml:space="preserve"> TDMHSAS Privacy Officer must advise the Central office workforce via a department-wide email when TDMHSAS HIPAA Policies and Procedures have been revised and posted on the TDMHSAS intranet website. The TDMHSAS Privacy Officer will notify the RMHI Privacy Officers of this, and the RMHI Privacy Officers shall notify the RMHI employees that the TDMHSAS HIPAA Policy and Procedures have been revised and </w:t>
      </w:r>
      <w:proofErr w:type="gramStart"/>
      <w:r w:rsidRPr="00524802">
        <w:rPr>
          <w:rFonts w:cs="Open Sans"/>
          <w:sz w:val="24"/>
          <w:szCs w:val="24"/>
        </w:rPr>
        <w:t>are posted</w:t>
      </w:r>
      <w:proofErr w:type="gramEnd"/>
      <w:r w:rsidRPr="00524802">
        <w:rPr>
          <w:rFonts w:cs="Open Sans"/>
          <w:sz w:val="24"/>
          <w:szCs w:val="24"/>
        </w:rPr>
        <w:t xml:space="preserve"> on the TDMHSAS intranet website. </w:t>
      </w:r>
      <w:bookmarkEnd w:id="0"/>
    </w:p>
    <w:p w14:paraId="031FEA70" w14:textId="77777777" w:rsidR="00524802" w:rsidRPr="00524802" w:rsidRDefault="00524802" w:rsidP="00524802">
      <w:pPr>
        <w:jc w:val="both"/>
        <w:rPr>
          <w:rFonts w:cs="Open Sans"/>
          <w:sz w:val="24"/>
          <w:szCs w:val="24"/>
        </w:rPr>
      </w:pPr>
    </w:p>
    <w:p w14:paraId="7A7188F3" w14:textId="606CE6CD" w:rsidR="00524802" w:rsidRPr="00524802" w:rsidRDefault="00524802" w:rsidP="00BB4B3B">
      <w:pPr>
        <w:pStyle w:val="Heading2"/>
      </w:pPr>
      <w:r w:rsidRPr="00524802">
        <w:t>Other Considerations:</w:t>
      </w:r>
    </w:p>
    <w:p w14:paraId="709FD04E" w14:textId="77777777" w:rsidR="00524802" w:rsidRPr="00524802" w:rsidRDefault="00524802" w:rsidP="00524802">
      <w:pPr>
        <w:jc w:val="both"/>
        <w:rPr>
          <w:rFonts w:cs="Open Sans"/>
          <w:sz w:val="24"/>
          <w:szCs w:val="24"/>
        </w:rPr>
      </w:pPr>
      <w:r w:rsidRPr="00524802">
        <w:rPr>
          <w:rFonts w:cs="Open Sans"/>
          <w:sz w:val="24"/>
          <w:szCs w:val="24"/>
        </w:rPr>
        <w:tab/>
        <w:t>4.1</w:t>
      </w:r>
      <w:proofErr w:type="gramStart"/>
      <w:r w:rsidRPr="00524802">
        <w:rPr>
          <w:rFonts w:cs="Open Sans"/>
          <w:sz w:val="24"/>
          <w:szCs w:val="24"/>
        </w:rPr>
        <w:t xml:space="preserve">: </w:t>
      </w:r>
      <w:r w:rsidRPr="00524802">
        <w:rPr>
          <w:rFonts w:cs="Open Sans"/>
          <w:sz w:val="24"/>
          <w:szCs w:val="24"/>
        </w:rPr>
        <w:tab/>
        <w:t>Authority</w:t>
      </w:r>
      <w:proofErr w:type="gramEnd"/>
      <w:r w:rsidRPr="00524802">
        <w:rPr>
          <w:rFonts w:cs="Open Sans"/>
          <w:sz w:val="24"/>
          <w:szCs w:val="24"/>
        </w:rPr>
        <w:t xml:space="preserve"> </w:t>
      </w:r>
    </w:p>
    <w:p w14:paraId="3E07452F" w14:textId="77777777" w:rsidR="00524802" w:rsidRPr="00524802" w:rsidRDefault="00524802" w:rsidP="00524802">
      <w:pPr>
        <w:jc w:val="both"/>
        <w:rPr>
          <w:rFonts w:cs="Open Sans"/>
          <w:sz w:val="24"/>
          <w:szCs w:val="24"/>
        </w:rPr>
      </w:pPr>
      <w:r w:rsidRPr="00524802">
        <w:rPr>
          <w:rFonts w:cs="Open Sans"/>
          <w:sz w:val="24"/>
          <w:szCs w:val="24"/>
        </w:rPr>
        <w:tab/>
      </w:r>
      <w:r w:rsidRPr="00524802">
        <w:rPr>
          <w:rFonts w:cs="Open Sans"/>
          <w:sz w:val="24"/>
          <w:szCs w:val="24"/>
        </w:rPr>
        <w:tab/>
        <w:t xml:space="preserve">45 C.F.R. §164.530(b); and 42 C.F.R. § 2.16(a). </w:t>
      </w:r>
    </w:p>
    <w:p w14:paraId="6C5A1A6E" w14:textId="2EE668EB" w:rsidR="00AE70B5" w:rsidRPr="00524802" w:rsidRDefault="007A1AB9" w:rsidP="0075304D">
      <w:pPr>
        <w:widowControl w:val="0"/>
        <w:spacing w:after="0" w:line="240" w:lineRule="auto"/>
        <w:ind w:left="2980"/>
        <w:jc w:val="both"/>
        <w:rPr>
          <w:rFonts w:eastAsia="Times New Roman" w:cs="Open Sans"/>
          <w:sz w:val="24"/>
          <w:szCs w:val="24"/>
        </w:rPr>
      </w:pPr>
      <w:r w:rsidRPr="007A1AB9">
        <w:rPr>
          <w:rFonts w:cs="Open Sans"/>
          <w:noProof/>
        </w:rPr>
        <w:drawing>
          <wp:anchor distT="0" distB="0" distL="114300" distR="114300" simplePos="0" relativeHeight="251658240" behindDoc="1" locked="0" layoutInCell="1" allowOverlap="1" wp14:anchorId="6F24877C" wp14:editId="722DA429">
            <wp:simplePos x="0" y="0"/>
            <wp:positionH relativeFrom="column">
              <wp:posOffset>579120</wp:posOffset>
            </wp:positionH>
            <wp:positionV relativeFrom="paragraph">
              <wp:posOffset>135255</wp:posOffset>
            </wp:positionV>
            <wp:extent cx="3731260" cy="2346960"/>
            <wp:effectExtent l="0" t="0" r="2540" b="0"/>
            <wp:wrapTight wrapText="bothSides">
              <wp:wrapPolygon edited="0">
                <wp:start x="0" y="0"/>
                <wp:lineTo x="0" y="21390"/>
                <wp:lineTo x="21504" y="21390"/>
                <wp:lineTo x="21504" y="0"/>
                <wp:lineTo x="0" y="0"/>
              </wp:wrapPolygon>
            </wp:wrapTight>
            <wp:docPr id="1480555804"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5804"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3731260" cy="2346960"/>
                    </a:xfrm>
                    <a:prstGeom prst="rect">
                      <a:avLst/>
                    </a:prstGeom>
                  </pic:spPr>
                </pic:pic>
              </a:graphicData>
            </a:graphic>
            <wp14:sizeRelH relativeFrom="page">
              <wp14:pctWidth>0</wp14:pctWidth>
            </wp14:sizeRelH>
            <wp14:sizeRelV relativeFrom="page">
              <wp14:pctHeight>0</wp14:pctHeight>
            </wp14:sizeRelV>
          </wp:anchor>
        </w:drawing>
      </w:r>
    </w:p>
    <w:p w14:paraId="57B4E492" w14:textId="048FA3E6" w:rsidR="00AE70B5" w:rsidRPr="00524802" w:rsidRDefault="00AE70B5" w:rsidP="0075304D">
      <w:pPr>
        <w:widowControl w:val="0"/>
        <w:spacing w:after="0" w:line="240" w:lineRule="auto"/>
        <w:ind w:left="2980"/>
        <w:jc w:val="both"/>
        <w:rPr>
          <w:rFonts w:eastAsia="Times New Roman" w:cs="Open Sans"/>
          <w:sz w:val="24"/>
          <w:szCs w:val="24"/>
        </w:rPr>
      </w:pPr>
    </w:p>
    <w:p w14:paraId="78999CC5" w14:textId="37C8D6D5" w:rsidR="00E55E0A" w:rsidRPr="00524802" w:rsidRDefault="00E55E0A" w:rsidP="0075304D">
      <w:pPr>
        <w:jc w:val="both"/>
        <w:rPr>
          <w:rFonts w:cs="Open Sans"/>
        </w:rPr>
      </w:pPr>
    </w:p>
    <w:sectPr w:rsidR="00E55E0A" w:rsidRPr="00524802"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9359" w14:textId="77777777" w:rsidR="009312C8" w:rsidRDefault="009312C8" w:rsidP="00801079">
      <w:r>
        <w:separator/>
      </w:r>
    </w:p>
  </w:endnote>
  <w:endnote w:type="continuationSeparator" w:id="0">
    <w:p w14:paraId="3150C74D" w14:textId="77777777" w:rsidR="009312C8" w:rsidRDefault="009312C8"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571B44E"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3.</w:t>
    </w:r>
    <w:r w:rsidR="00524802">
      <w:rPr>
        <w:rFonts w:cs="Open Sans"/>
        <w:sz w:val="20"/>
        <w:szCs w:val="20"/>
      </w:rPr>
      <w:t>6</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524802">
      <w:rPr>
        <w:rFonts w:cs="Open Sans"/>
        <w:sz w:val="20"/>
        <w:szCs w:val="20"/>
      </w:rPr>
      <w:t>Training the Workforce</w:t>
    </w:r>
    <w:r w:rsidR="007E7C66">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524802">
      <w:rPr>
        <w:rFonts w:cs="Open Sans"/>
        <w:sz w:val="20"/>
        <w:szCs w:val="20"/>
      </w:rPr>
      <w:t>July 10,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551B" w14:textId="77777777" w:rsidR="009312C8" w:rsidRDefault="009312C8" w:rsidP="00801079">
      <w:r>
        <w:separator/>
      </w:r>
    </w:p>
  </w:footnote>
  <w:footnote w:type="continuationSeparator" w:id="0">
    <w:p w14:paraId="0540B1A0" w14:textId="77777777" w:rsidR="009312C8" w:rsidRDefault="009312C8"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59716EB"/>
    <w:multiLevelType w:val="hybridMultilevel"/>
    <w:tmpl w:val="C95EA510"/>
    <w:lvl w:ilvl="0" w:tplc="CB2288FE">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2"/>
  </w:num>
  <w:num w:numId="2" w16cid:durableId="783118593">
    <w:abstractNumId w:val="14"/>
  </w:num>
  <w:num w:numId="3" w16cid:durableId="1505390476">
    <w:abstractNumId w:val="2"/>
  </w:num>
  <w:num w:numId="4" w16cid:durableId="1274096518">
    <w:abstractNumId w:val="11"/>
  </w:num>
  <w:num w:numId="5" w16cid:durableId="855191819">
    <w:abstractNumId w:val="3"/>
  </w:num>
  <w:num w:numId="6" w16cid:durableId="1329669013">
    <w:abstractNumId w:val="15"/>
  </w:num>
  <w:num w:numId="7" w16cid:durableId="1721434853">
    <w:abstractNumId w:val="16"/>
  </w:num>
  <w:num w:numId="8" w16cid:durableId="1150367029">
    <w:abstractNumId w:val="5"/>
  </w:num>
  <w:num w:numId="9" w16cid:durableId="2028869913">
    <w:abstractNumId w:val="1"/>
  </w:num>
  <w:num w:numId="10" w16cid:durableId="1115558235">
    <w:abstractNumId w:val="10"/>
  </w:num>
  <w:num w:numId="11" w16cid:durableId="1375544509">
    <w:abstractNumId w:val="13"/>
  </w:num>
  <w:num w:numId="12" w16cid:durableId="463891535">
    <w:abstractNumId w:val="7"/>
  </w:num>
  <w:num w:numId="13" w16cid:durableId="687878566">
    <w:abstractNumId w:val="8"/>
  </w:num>
  <w:num w:numId="14" w16cid:durableId="476453308">
    <w:abstractNumId w:val="0"/>
  </w:num>
  <w:num w:numId="15" w16cid:durableId="1974822128">
    <w:abstractNumId w:val="6"/>
  </w:num>
  <w:num w:numId="16" w16cid:durableId="525289569">
    <w:abstractNumId w:val="17"/>
  </w:num>
  <w:num w:numId="17" w16cid:durableId="1799374499">
    <w:abstractNumId w:val="9"/>
  </w:num>
  <w:num w:numId="18" w16cid:durableId="879976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n8hXRQx3aivQrENFCIF5mBpA854u2NBMkKLYY8ouFqbaFPvJy1oDZMDq7GaLJZT2eZf8v8t2Ex6VTcuna1NNQ==" w:salt="RVqgi5TrtkBf8c9CRs5o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1F783E"/>
    <w:rsid w:val="00295159"/>
    <w:rsid w:val="002D5DC4"/>
    <w:rsid w:val="0031236F"/>
    <w:rsid w:val="00350200"/>
    <w:rsid w:val="0039259F"/>
    <w:rsid w:val="00392FF6"/>
    <w:rsid w:val="00480503"/>
    <w:rsid w:val="00492DDD"/>
    <w:rsid w:val="004942AC"/>
    <w:rsid w:val="0051764F"/>
    <w:rsid w:val="00524802"/>
    <w:rsid w:val="00532C95"/>
    <w:rsid w:val="00560396"/>
    <w:rsid w:val="00575B92"/>
    <w:rsid w:val="005D6AB0"/>
    <w:rsid w:val="00601970"/>
    <w:rsid w:val="006B7854"/>
    <w:rsid w:val="00703739"/>
    <w:rsid w:val="007265A5"/>
    <w:rsid w:val="0073515C"/>
    <w:rsid w:val="00752DD4"/>
    <w:rsid w:val="0075304D"/>
    <w:rsid w:val="00771DEC"/>
    <w:rsid w:val="00792280"/>
    <w:rsid w:val="007A1AB9"/>
    <w:rsid w:val="007A63C0"/>
    <w:rsid w:val="007E7C66"/>
    <w:rsid w:val="007F2E06"/>
    <w:rsid w:val="00801079"/>
    <w:rsid w:val="00840187"/>
    <w:rsid w:val="00857933"/>
    <w:rsid w:val="0086073D"/>
    <w:rsid w:val="008760C5"/>
    <w:rsid w:val="008C3DDF"/>
    <w:rsid w:val="008C5D30"/>
    <w:rsid w:val="008F5D3B"/>
    <w:rsid w:val="00916859"/>
    <w:rsid w:val="009312C8"/>
    <w:rsid w:val="00943564"/>
    <w:rsid w:val="00951960"/>
    <w:rsid w:val="00956F9F"/>
    <w:rsid w:val="0097119D"/>
    <w:rsid w:val="009924FF"/>
    <w:rsid w:val="009A32FC"/>
    <w:rsid w:val="009B2129"/>
    <w:rsid w:val="00A15132"/>
    <w:rsid w:val="00AE70B5"/>
    <w:rsid w:val="00B077F2"/>
    <w:rsid w:val="00B5742C"/>
    <w:rsid w:val="00B6110B"/>
    <w:rsid w:val="00BB4B3B"/>
    <w:rsid w:val="00BD2C4F"/>
    <w:rsid w:val="00BF516A"/>
    <w:rsid w:val="00C23F1E"/>
    <w:rsid w:val="00CC225E"/>
    <w:rsid w:val="00CE44A2"/>
    <w:rsid w:val="00D52904"/>
    <w:rsid w:val="00D563C5"/>
    <w:rsid w:val="00D92C14"/>
    <w:rsid w:val="00E11485"/>
    <w:rsid w:val="00E55E0A"/>
    <w:rsid w:val="00E87684"/>
    <w:rsid w:val="00E91569"/>
    <w:rsid w:val="00F0397D"/>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BB4B3B"/>
    <w:pPr>
      <w:numPr>
        <w:numId w:val="18"/>
      </w:numPr>
      <w:ind w:left="720"/>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B4B3B"/>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8</TotalTime>
  <Pages>2</Pages>
  <Words>439</Words>
  <Characters>2328</Characters>
  <Application>Microsoft Office Word</Application>
  <DocSecurity>8</DocSecurity>
  <Lines>47</Lines>
  <Paragraphs>20</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8</cp:revision>
  <dcterms:created xsi:type="dcterms:W3CDTF">2026-04-01T18:01:00Z</dcterms:created>
  <dcterms:modified xsi:type="dcterms:W3CDTF">2026-04-02T18:45:00Z</dcterms:modified>
</cp:coreProperties>
</file>