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44856A90" w:rsidR="00295159" w:rsidRPr="0051764F" w:rsidRDefault="00295159" w:rsidP="000519DE">
      <w:pPr>
        <w:pStyle w:val="Heading1"/>
        <w:ind w:left="720" w:firstLine="720"/>
      </w:pPr>
      <w:r w:rsidRPr="0051764F">
        <w:t>Subject:</w:t>
      </w:r>
      <w:r w:rsidR="00AE70B5" w:rsidRPr="0051764F">
        <w:t xml:space="preserve"> </w:t>
      </w:r>
      <w:r w:rsidR="008760C5" w:rsidRPr="0051764F">
        <w:t xml:space="preserve">HIPAA </w:t>
      </w:r>
      <w:r w:rsidR="0051764F" w:rsidRPr="0051764F">
        <w:t>Sanctions</w:t>
      </w:r>
    </w:p>
    <w:p w14:paraId="6D907FB4" w14:textId="776BDCFF" w:rsidR="00295159" w:rsidRPr="0051764F" w:rsidRDefault="00295159" w:rsidP="00E87684">
      <w:pPr>
        <w:ind w:left="1440"/>
        <w:jc w:val="both"/>
        <w:rPr>
          <w:rFonts w:cs="Open Sans"/>
        </w:rPr>
      </w:pPr>
      <w:r w:rsidRPr="0051764F">
        <w:rPr>
          <w:rFonts w:cs="Open Sans"/>
        </w:rPr>
        <w:t>Policy Number:</w:t>
      </w:r>
      <w:r w:rsidR="00AE70B5" w:rsidRPr="0051764F">
        <w:rPr>
          <w:rFonts w:cs="Open Sans"/>
        </w:rPr>
        <w:t xml:space="preserve"> HIPAA 3.</w:t>
      </w:r>
      <w:r w:rsidR="0051764F" w:rsidRPr="0051764F">
        <w:rPr>
          <w:rFonts w:cs="Open Sans"/>
        </w:rPr>
        <w:t>4</w:t>
      </w:r>
    </w:p>
    <w:p w14:paraId="5C31EC69" w14:textId="20184195" w:rsidR="00295159" w:rsidRPr="0051764F" w:rsidRDefault="00295159" w:rsidP="00E87684">
      <w:pPr>
        <w:ind w:left="1440"/>
        <w:jc w:val="both"/>
        <w:rPr>
          <w:rFonts w:cs="Open Sans"/>
        </w:rPr>
      </w:pPr>
      <w:r w:rsidRPr="0051764F">
        <w:rPr>
          <w:rFonts w:cs="Open Sans"/>
        </w:rPr>
        <w:t>Effective Date:</w:t>
      </w:r>
      <w:r w:rsidR="00AE70B5" w:rsidRPr="0051764F">
        <w:rPr>
          <w:rFonts w:cs="Open Sans"/>
        </w:rPr>
        <w:t xml:space="preserve"> </w:t>
      </w:r>
      <w:r w:rsidR="00392FF6" w:rsidRPr="0051764F">
        <w:rPr>
          <w:rFonts w:cs="Open Sans"/>
        </w:rPr>
        <w:t>12/1</w:t>
      </w:r>
      <w:r w:rsidR="0051764F" w:rsidRPr="0051764F">
        <w:rPr>
          <w:rFonts w:cs="Open Sans"/>
        </w:rPr>
        <w:t>8</w:t>
      </w:r>
      <w:r w:rsidR="00392FF6" w:rsidRPr="0051764F">
        <w:rPr>
          <w:rFonts w:cs="Open Sans"/>
        </w:rPr>
        <w:t>/03</w:t>
      </w:r>
    </w:p>
    <w:p w14:paraId="02476432" w14:textId="455A1852" w:rsidR="00295159" w:rsidRPr="0051764F" w:rsidRDefault="00AE70B5" w:rsidP="00E87684">
      <w:pPr>
        <w:ind w:left="1440"/>
        <w:jc w:val="both"/>
        <w:rPr>
          <w:rFonts w:cs="Open Sans"/>
        </w:rPr>
      </w:pPr>
      <w:r w:rsidRPr="0051764F">
        <w:rPr>
          <w:rFonts w:cs="Open Sans"/>
        </w:rPr>
        <w:t xml:space="preserve">Entity Responsible: Division of General Counsel </w:t>
      </w:r>
    </w:p>
    <w:p w14:paraId="0B357B2C" w14:textId="5DC5BFFA" w:rsidR="00295159" w:rsidRPr="0051764F" w:rsidRDefault="00295159" w:rsidP="00E87684">
      <w:pPr>
        <w:ind w:left="1440"/>
        <w:jc w:val="both"/>
        <w:rPr>
          <w:rFonts w:cs="Open Sans"/>
        </w:rPr>
      </w:pPr>
      <w:r w:rsidRPr="0051764F">
        <w:rPr>
          <w:rFonts w:cs="Open Sans"/>
        </w:rPr>
        <w:t>Last Review or Revision:</w:t>
      </w:r>
      <w:r w:rsidR="007265A5" w:rsidRPr="0051764F">
        <w:rPr>
          <w:rFonts w:cs="Open Sans"/>
        </w:rPr>
        <w:t xml:space="preserve"> </w:t>
      </w:r>
      <w:r w:rsidR="00ED00D5">
        <w:rPr>
          <w:rFonts w:cs="Open Sans"/>
          <w:kern w:val="0"/>
          <w14:ligatures w14:val="none"/>
        </w:rPr>
        <w:t>1/18/23</w:t>
      </w:r>
    </w:p>
    <w:p w14:paraId="1DC2EDCA" w14:textId="7FD813B3" w:rsidR="00295159" w:rsidRPr="0051764F" w:rsidRDefault="00295159" w:rsidP="00E87684">
      <w:pPr>
        <w:ind w:left="1440"/>
        <w:jc w:val="both"/>
        <w:rPr>
          <w:rFonts w:cs="Open Sans"/>
        </w:rPr>
      </w:pPr>
      <w:r w:rsidRPr="0051764F">
        <w:rPr>
          <w:rFonts w:cs="Open Sans"/>
        </w:rPr>
        <w:t>Approved by:</w:t>
      </w:r>
      <w:r w:rsidR="007265A5" w:rsidRPr="0051764F">
        <w:rPr>
          <w:rFonts w:cs="Open Sans"/>
        </w:rPr>
        <w:t xml:space="preserve"> Commissioner Marie Williams</w:t>
      </w:r>
    </w:p>
    <w:p w14:paraId="5A292C69" w14:textId="77777777" w:rsidR="00295159" w:rsidRPr="0051764F" w:rsidRDefault="00295159" w:rsidP="0075304D">
      <w:pPr>
        <w:jc w:val="both"/>
        <w:rPr>
          <w:rFonts w:cs="Open Sans"/>
        </w:rPr>
      </w:pPr>
    </w:p>
    <w:p w14:paraId="2AF225C0" w14:textId="623A124D" w:rsidR="0051764F" w:rsidRPr="0051764F" w:rsidRDefault="0051764F" w:rsidP="000519DE">
      <w:pPr>
        <w:pStyle w:val="Heading2"/>
      </w:pPr>
      <w:r w:rsidRPr="000519DE">
        <w:t>Purpose</w:t>
      </w:r>
      <w:r w:rsidRPr="0051764F">
        <w:t xml:space="preserve">: </w:t>
      </w:r>
    </w:p>
    <w:p w14:paraId="269F0B45" w14:textId="77777777" w:rsidR="0051764F" w:rsidRPr="0051764F" w:rsidRDefault="0051764F" w:rsidP="0051764F">
      <w:pPr>
        <w:spacing w:after="0" w:line="240" w:lineRule="auto"/>
        <w:ind w:left="360"/>
        <w:jc w:val="both"/>
        <w:rPr>
          <w:rFonts w:cs="Open Sans"/>
          <w:b/>
          <w:sz w:val="24"/>
          <w:szCs w:val="24"/>
        </w:rPr>
      </w:pPr>
    </w:p>
    <w:p w14:paraId="47BAD061" w14:textId="77777777" w:rsidR="000519DE" w:rsidRDefault="0051764F" w:rsidP="000519DE">
      <w:pPr>
        <w:spacing w:after="0" w:line="240" w:lineRule="auto"/>
        <w:ind w:left="720"/>
        <w:jc w:val="both"/>
        <w:rPr>
          <w:rFonts w:cs="Open Sans"/>
          <w:sz w:val="24"/>
          <w:szCs w:val="24"/>
        </w:rPr>
      </w:pPr>
      <w:r w:rsidRPr="0051764F">
        <w:rPr>
          <w:rFonts w:cs="Open Sans"/>
          <w:sz w:val="24"/>
          <w:szCs w:val="24"/>
        </w:rPr>
        <w:t xml:space="preserve">To provide instructions to the staff of the Tennessee Department of Mental Health and Substance Abuse Services (TDMHSAS or Department) and the Regional Mental Health Institutes (RMHIs) on how to discipline a member of the TDMHSAS and RMHI workforce for failure to comply with Health Insurance Portability and Accountability Act of 1996 (HIPAA), as amended, and other state and federal laws or TDMHSAS HIPAA Policies and Procedures. </w:t>
      </w:r>
    </w:p>
    <w:p w14:paraId="713FDFF4" w14:textId="77777777" w:rsidR="000519DE" w:rsidRDefault="000519DE" w:rsidP="000519DE">
      <w:pPr>
        <w:spacing w:after="0" w:line="240" w:lineRule="auto"/>
        <w:ind w:left="720"/>
        <w:jc w:val="both"/>
        <w:rPr>
          <w:rFonts w:cs="Open Sans"/>
          <w:sz w:val="24"/>
          <w:szCs w:val="24"/>
        </w:rPr>
      </w:pPr>
    </w:p>
    <w:p w14:paraId="32894827" w14:textId="64D8EE6E" w:rsidR="0051764F" w:rsidRPr="000519DE" w:rsidRDefault="0051764F" w:rsidP="000519DE">
      <w:pPr>
        <w:pStyle w:val="Heading2"/>
      </w:pPr>
      <w:r w:rsidRPr="0051764F">
        <w:t xml:space="preserve">Policy: </w:t>
      </w:r>
    </w:p>
    <w:p w14:paraId="57A1DFC6" w14:textId="77777777" w:rsidR="0051764F" w:rsidRPr="0051764F" w:rsidRDefault="0051764F" w:rsidP="0051764F">
      <w:pPr>
        <w:spacing w:after="0" w:line="240" w:lineRule="auto"/>
        <w:jc w:val="both"/>
        <w:rPr>
          <w:rFonts w:cs="Open Sans"/>
          <w:b/>
          <w:sz w:val="24"/>
          <w:szCs w:val="24"/>
        </w:rPr>
      </w:pPr>
    </w:p>
    <w:p w14:paraId="156E3914" w14:textId="77777777" w:rsidR="000519DE" w:rsidRDefault="0051764F" w:rsidP="000519DE">
      <w:pPr>
        <w:spacing w:after="0" w:line="240" w:lineRule="auto"/>
        <w:ind w:left="720"/>
        <w:jc w:val="both"/>
        <w:rPr>
          <w:rFonts w:cs="Open Sans"/>
          <w:sz w:val="24"/>
          <w:szCs w:val="24"/>
        </w:rPr>
      </w:pPr>
      <w:r w:rsidRPr="0051764F">
        <w:rPr>
          <w:rFonts w:cs="Open Sans"/>
          <w:sz w:val="24"/>
          <w:szCs w:val="24"/>
        </w:rPr>
        <w:t>All members of the TDMHSAS and RMHI workforce are subject to discipline for failure to comply with federal or state law, rules, or regulations as related to privacy and the TDMHSAS HIPAA Policies and Procedures.</w:t>
      </w:r>
      <w:r w:rsidRPr="0051764F">
        <w:rPr>
          <w:rFonts w:cs="Open Sans"/>
        </w:rPr>
        <w:t xml:space="preserve"> </w:t>
      </w:r>
    </w:p>
    <w:p w14:paraId="7FCBCB7A" w14:textId="77777777" w:rsidR="000519DE" w:rsidRDefault="000519DE" w:rsidP="000519DE">
      <w:pPr>
        <w:spacing w:after="0" w:line="240" w:lineRule="auto"/>
        <w:ind w:left="720"/>
        <w:jc w:val="both"/>
        <w:rPr>
          <w:rFonts w:cs="Open Sans"/>
          <w:sz w:val="24"/>
          <w:szCs w:val="24"/>
        </w:rPr>
      </w:pPr>
    </w:p>
    <w:p w14:paraId="44422D67" w14:textId="40906DA9" w:rsidR="0051764F" w:rsidRPr="000519DE" w:rsidRDefault="0051764F" w:rsidP="000519DE">
      <w:pPr>
        <w:pStyle w:val="Heading2"/>
      </w:pPr>
      <w:r w:rsidRPr="0051764F">
        <w:t xml:space="preserve">Procedures/ Responsibilities: </w:t>
      </w:r>
    </w:p>
    <w:p w14:paraId="39D49F8F" w14:textId="77777777" w:rsidR="0051764F" w:rsidRPr="0051764F" w:rsidRDefault="0051764F" w:rsidP="0051764F">
      <w:pPr>
        <w:spacing w:after="0" w:line="240" w:lineRule="auto"/>
        <w:jc w:val="both"/>
        <w:rPr>
          <w:rFonts w:cs="Open Sans"/>
          <w:b/>
          <w:sz w:val="24"/>
          <w:szCs w:val="24"/>
        </w:rPr>
      </w:pPr>
    </w:p>
    <w:p w14:paraId="2CFA144E"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 xml:space="preserve">3.1: </w:t>
      </w:r>
      <w:r w:rsidRPr="0051764F">
        <w:rPr>
          <w:rFonts w:cs="Open Sans"/>
          <w:sz w:val="24"/>
          <w:szCs w:val="24"/>
        </w:rPr>
        <w:tab/>
        <w:t xml:space="preserve">The supervisor of any TDMHSAS or RMHI workforce member who is found to have violated HIPAA or TDMHSAS HIPAA Policies and Procedures is responsible for recommending the appropriate level of discipline in accordance with TDMHSAS’ personnel rules, policies, procedures, and guidelines.  </w:t>
      </w:r>
    </w:p>
    <w:p w14:paraId="10E9C8A2" w14:textId="77777777" w:rsidR="0051764F" w:rsidRPr="0051764F" w:rsidRDefault="0051764F" w:rsidP="0051764F">
      <w:pPr>
        <w:spacing w:after="0" w:line="240" w:lineRule="auto"/>
        <w:ind w:left="1440" w:hanging="720"/>
        <w:jc w:val="both"/>
        <w:rPr>
          <w:rFonts w:cs="Open Sans"/>
          <w:sz w:val="24"/>
          <w:szCs w:val="24"/>
        </w:rPr>
      </w:pPr>
    </w:p>
    <w:p w14:paraId="73C2AF96"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 xml:space="preserve">3.2: </w:t>
      </w:r>
      <w:r w:rsidRPr="0051764F">
        <w:rPr>
          <w:rFonts w:cs="Open Sans"/>
          <w:sz w:val="24"/>
          <w:szCs w:val="24"/>
        </w:rPr>
        <w:tab/>
        <w:t xml:space="preserve">Each new member of the TDMHSAS and the RMHIs workforce must be aware of and trained on HIPAA, Title 42, U.S.C., Section 290dd-2(g), T.C.A. Title 33 and TDMHSAS HIPAA Policies and Procedures. Additionally, all members of the TDMHSAS and the RMHIs workforce must be aware of and trained on material changes to HIPAA, other relevant state and federal laws, and TDMHSAS HIPAA Policies and Procedures. Employees who violate the above-mentioned laws, policies, and procedures may be warned (written or verbal), suspended, transferred, demoted, or terminated, depending on the nature or severity of the violation. </w:t>
      </w:r>
    </w:p>
    <w:p w14:paraId="0ED70B4D" w14:textId="77777777" w:rsidR="0051764F" w:rsidRPr="0051764F" w:rsidRDefault="0051764F" w:rsidP="0051764F">
      <w:pPr>
        <w:spacing w:after="0" w:line="240" w:lineRule="auto"/>
        <w:ind w:left="1440" w:hanging="720"/>
        <w:jc w:val="both"/>
        <w:rPr>
          <w:rFonts w:cs="Open Sans"/>
          <w:sz w:val="24"/>
          <w:szCs w:val="24"/>
        </w:rPr>
      </w:pPr>
    </w:p>
    <w:p w14:paraId="2AF93E35" w14:textId="77777777" w:rsidR="0051764F" w:rsidRDefault="0051764F" w:rsidP="0051764F">
      <w:pPr>
        <w:spacing w:after="0" w:line="240" w:lineRule="auto"/>
        <w:ind w:left="1440" w:hanging="720"/>
        <w:jc w:val="both"/>
        <w:rPr>
          <w:rFonts w:cs="Open Sans"/>
          <w:sz w:val="24"/>
          <w:szCs w:val="24"/>
        </w:rPr>
      </w:pPr>
    </w:p>
    <w:p w14:paraId="6AD93B8C" w14:textId="20DBCAA1"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 xml:space="preserve">3.3: </w:t>
      </w:r>
      <w:r w:rsidRPr="0051764F">
        <w:rPr>
          <w:rFonts w:cs="Open Sans"/>
          <w:sz w:val="24"/>
          <w:szCs w:val="24"/>
        </w:rPr>
        <w:tab/>
        <w:t>All members of the TDMHSAS workforce must also be trained on Tennessee’s confidentiality laws related to information identifying a service recipient or former service recipient receiving mental health services. Members who violate Tennessee’s confidentiality laws related to identifying information of a service recipient may be warned (written or verbal), suspended, transferred, demoted, or terminated, depending on the nature or severity of the violation. All workforce members must be taught that any disclosure of this confidential information in violation of T.C.A. §§33-3-103 through 33-3-115 is a Class C misdemeanor.</w:t>
      </w:r>
    </w:p>
    <w:p w14:paraId="2ACE5B01" w14:textId="77777777" w:rsidR="0051764F" w:rsidRPr="0051764F" w:rsidRDefault="0051764F" w:rsidP="0051764F">
      <w:pPr>
        <w:spacing w:after="0" w:line="240" w:lineRule="auto"/>
        <w:ind w:left="2880" w:hanging="720"/>
        <w:jc w:val="both"/>
        <w:rPr>
          <w:rFonts w:cs="Open Sans"/>
          <w:sz w:val="24"/>
          <w:szCs w:val="24"/>
        </w:rPr>
      </w:pPr>
    </w:p>
    <w:p w14:paraId="4985F3A1" w14:textId="7781CB51" w:rsidR="0051764F" w:rsidRPr="0051764F" w:rsidRDefault="0051764F" w:rsidP="0051764F">
      <w:pPr>
        <w:jc w:val="both"/>
        <w:rPr>
          <w:rFonts w:eastAsia="Times New Roman" w:cs="Open Sans"/>
          <w:sz w:val="24"/>
          <w:szCs w:val="24"/>
        </w:rPr>
      </w:pPr>
      <w:r w:rsidRPr="0051764F">
        <w:rPr>
          <w:rFonts w:cs="Open Sans"/>
          <w:sz w:val="24"/>
          <w:szCs w:val="24"/>
        </w:rPr>
        <w:tab/>
        <w:t xml:space="preserve">3.4: </w:t>
      </w:r>
      <w:r w:rsidRPr="0051764F">
        <w:rPr>
          <w:rFonts w:cs="Open Sans"/>
          <w:sz w:val="24"/>
          <w:szCs w:val="24"/>
        </w:rPr>
        <w:tab/>
        <w:t xml:space="preserve">The TDMHSAS </w:t>
      </w:r>
      <w:r w:rsidRPr="0051764F">
        <w:rPr>
          <w:rFonts w:eastAsia="Times New Roman" w:cs="Open Sans"/>
          <w:sz w:val="24"/>
          <w:szCs w:val="24"/>
        </w:rPr>
        <w:t xml:space="preserve">may not threaten, intimidate, coerce, harass, discriminate against, </w:t>
      </w:r>
      <w:r w:rsidRPr="0051764F">
        <w:rPr>
          <w:rFonts w:eastAsia="Times New Roman" w:cs="Open Sans"/>
          <w:sz w:val="24"/>
          <w:szCs w:val="24"/>
        </w:rPr>
        <w:tab/>
      </w:r>
      <w:r w:rsidRPr="0051764F">
        <w:rPr>
          <w:rFonts w:eastAsia="Times New Roman" w:cs="Open Sans"/>
          <w:sz w:val="24"/>
          <w:szCs w:val="24"/>
        </w:rPr>
        <w:tab/>
      </w:r>
      <w:r w:rsidR="00584739">
        <w:rPr>
          <w:rFonts w:eastAsia="Times New Roman" w:cs="Open Sans"/>
          <w:sz w:val="24"/>
          <w:szCs w:val="24"/>
        </w:rPr>
        <w:tab/>
      </w:r>
      <w:r w:rsidRPr="0051764F">
        <w:rPr>
          <w:rFonts w:eastAsia="Times New Roman" w:cs="Open Sans"/>
          <w:sz w:val="24"/>
          <w:szCs w:val="24"/>
        </w:rPr>
        <w:t>or take any other retaliatory action against any individual or other person for:</w:t>
      </w:r>
    </w:p>
    <w:p w14:paraId="32E03F28" w14:textId="2A870E62" w:rsidR="0051764F" w:rsidRPr="0051764F" w:rsidRDefault="0051764F" w:rsidP="0051764F">
      <w:pPr>
        <w:spacing w:after="0" w:line="240" w:lineRule="auto"/>
        <w:jc w:val="both"/>
        <w:rPr>
          <w:rFonts w:eastAsia="Times New Roman" w:cs="Open Sans"/>
          <w:sz w:val="24"/>
          <w:szCs w:val="24"/>
        </w:rPr>
      </w:pPr>
      <w:r w:rsidRPr="0051764F">
        <w:rPr>
          <w:rFonts w:eastAsia="Times New Roman" w:cs="Open Sans"/>
          <w:sz w:val="24"/>
          <w:szCs w:val="24"/>
        </w:rPr>
        <w:tab/>
      </w:r>
      <w:r w:rsidRPr="0051764F">
        <w:rPr>
          <w:rFonts w:eastAsia="Times New Roman" w:cs="Open Sans"/>
          <w:sz w:val="24"/>
          <w:szCs w:val="24"/>
        </w:rPr>
        <w:tab/>
        <w:t>(a): Filing of a complaint under HIPAA;</w:t>
      </w:r>
    </w:p>
    <w:p w14:paraId="5FE3A8F0" w14:textId="77777777" w:rsidR="0051764F" w:rsidRPr="0051764F" w:rsidRDefault="0051764F" w:rsidP="0051764F">
      <w:pPr>
        <w:spacing w:after="0" w:line="240" w:lineRule="auto"/>
        <w:jc w:val="both"/>
        <w:rPr>
          <w:rFonts w:eastAsia="Times New Roman" w:cs="Open Sans"/>
          <w:sz w:val="24"/>
          <w:szCs w:val="24"/>
        </w:rPr>
      </w:pPr>
      <w:r w:rsidRPr="0051764F">
        <w:rPr>
          <w:rFonts w:eastAsia="Times New Roman" w:cs="Open Sans"/>
          <w:sz w:val="24"/>
          <w:szCs w:val="24"/>
        </w:rPr>
        <w:tab/>
      </w:r>
      <w:r w:rsidRPr="0051764F">
        <w:rPr>
          <w:rFonts w:eastAsia="Times New Roman" w:cs="Open Sans"/>
          <w:sz w:val="24"/>
          <w:szCs w:val="24"/>
        </w:rPr>
        <w:tab/>
      </w:r>
    </w:p>
    <w:p w14:paraId="6AAE203B" w14:textId="77777777" w:rsidR="0051764F" w:rsidRDefault="0051764F" w:rsidP="0051764F">
      <w:pPr>
        <w:spacing w:after="0" w:line="240" w:lineRule="auto"/>
        <w:jc w:val="both"/>
        <w:rPr>
          <w:rFonts w:eastAsia="Times New Roman" w:cs="Open Sans"/>
          <w:sz w:val="24"/>
          <w:szCs w:val="24"/>
        </w:rPr>
      </w:pPr>
      <w:r w:rsidRPr="0051764F">
        <w:rPr>
          <w:rFonts w:eastAsia="Times New Roman" w:cs="Open Sans"/>
          <w:sz w:val="24"/>
          <w:szCs w:val="24"/>
        </w:rPr>
        <w:tab/>
      </w:r>
      <w:r w:rsidRPr="0051764F">
        <w:rPr>
          <w:rFonts w:eastAsia="Times New Roman" w:cs="Open Sans"/>
          <w:sz w:val="24"/>
          <w:szCs w:val="24"/>
        </w:rPr>
        <w:tab/>
        <w:t xml:space="preserve">(b): Testifying, assisting, or participating in an investigation, compliance </w:t>
      </w:r>
      <w:r w:rsidRPr="0051764F">
        <w:rPr>
          <w:rFonts w:eastAsia="Times New Roman" w:cs="Open Sans"/>
          <w:sz w:val="24"/>
          <w:szCs w:val="24"/>
        </w:rPr>
        <w:tab/>
      </w:r>
      <w:r w:rsidRPr="0051764F">
        <w:rPr>
          <w:rFonts w:eastAsia="Times New Roman" w:cs="Open Sans"/>
          <w:sz w:val="24"/>
          <w:szCs w:val="24"/>
        </w:rPr>
        <w:tab/>
      </w:r>
      <w:r w:rsidRPr="0051764F">
        <w:rPr>
          <w:rFonts w:eastAsia="Times New Roman" w:cs="Open Sans"/>
          <w:sz w:val="24"/>
          <w:szCs w:val="24"/>
        </w:rPr>
        <w:tab/>
      </w:r>
      <w:r w:rsidRPr="0051764F">
        <w:rPr>
          <w:rFonts w:eastAsia="Times New Roman" w:cs="Open Sans"/>
          <w:sz w:val="24"/>
          <w:szCs w:val="24"/>
        </w:rPr>
        <w:tab/>
        <w:t>review, proceeding, or hearing; or</w:t>
      </w:r>
    </w:p>
    <w:p w14:paraId="5F3BC68F" w14:textId="77777777" w:rsidR="0051764F" w:rsidRDefault="0051764F" w:rsidP="0051764F">
      <w:pPr>
        <w:spacing w:after="0" w:line="240" w:lineRule="auto"/>
        <w:jc w:val="both"/>
        <w:rPr>
          <w:rFonts w:eastAsia="Times New Roman" w:cs="Open Sans"/>
          <w:sz w:val="24"/>
          <w:szCs w:val="24"/>
        </w:rPr>
      </w:pPr>
    </w:p>
    <w:p w14:paraId="57FA0A93" w14:textId="75F30316" w:rsidR="0051764F" w:rsidRPr="0051764F" w:rsidRDefault="0051764F" w:rsidP="0051764F">
      <w:pPr>
        <w:spacing w:after="0" w:line="240" w:lineRule="auto"/>
        <w:ind w:left="1440"/>
        <w:jc w:val="both"/>
        <w:rPr>
          <w:rFonts w:eastAsia="Times New Roman" w:cs="Open Sans"/>
          <w:sz w:val="24"/>
          <w:szCs w:val="24"/>
        </w:rPr>
      </w:pPr>
      <w:r w:rsidRPr="0051764F">
        <w:rPr>
          <w:rFonts w:eastAsia="Times New Roman" w:cs="Open Sans"/>
          <w:sz w:val="24"/>
          <w:szCs w:val="24"/>
        </w:rPr>
        <w:t>(c): Opposing any act or practice made unlawful under HIPAA, provided the individual or person has a good faith belief that the practice opposed is unlawful,</w:t>
      </w:r>
      <w:r>
        <w:rPr>
          <w:rFonts w:eastAsia="Times New Roman" w:cs="Open Sans"/>
          <w:sz w:val="24"/>
          <w:szCs w:val="24"/>
        </w:rPr>
        <w:t xml:space="preserve"> </w:t>
      </w:r>
      <w:r w:rsidRPr="0051764F">
        <w:rPr>
          <w:rFonts w:eastAsia="Times New Roman" w:cs="Open Sans"/>
          <w:sz w:val="24"/>
          <w:szCs w:val="24"/>
        </w:rPr>
        <w:t>and the manner of opposition is reasonable and does not involve a disclosure of protected health information in violation of HIPAA.</w:t>
      </w:r>
    </w:p>
    <w:p w14:paraId="2E748BA2" w14:textId="77777777" w:rsidR="0051764F" w:rsidRPr="0051764F" w:rsidRDefault="0051764F" w:rsidP="0051764F">
      <w:pPr>
        <w:spacing w:after="0" w:line="240" w:lineRule="auto"/>
        <w:jc w:val="both"/>
        <w:rPr>
          <w:rFonts w:eastAsia="Times New Roman" w:cs="Open Sans"/>
          <w:color w:val="212121"/>
          <w:sz w:val="24"/>
          <w:szCs w:val="24"/>
        </w:rPr>
      </w:pPr>
    </w:p>
    <w:p w14:paraId="481DA4B6"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3.5</w:t>
      </w:r>
      <w:r w:rsidRPr="0051764F">
        <w:rPr>
          <w:rFonts w:cs="Open Sans"/>
          <w:sz w:val="24"/>
          <w:szCs w:val="24"/>
        </w:rPr>
        <w:tab/>
        <w:t>The TDMHSAS is not considered to have violated the requirements of HIPAA if a member of its workforce or a business associate discloses protected health information, provided that:</w:t>
      </w:r>
    </w:p>
    <w:p w14:paraId="3444B24F" w14:textId="77777777" w:rsidR="0051764F" w:rsidRPr="0051764F" w:rsidRDefault="0051764F" w:rsidP="0051764F">
      <w:pPr>
        <w:spacing w:after="0" w:line="240" w:lineRule="auto"/>
        <w:ind w:left="1440" w:hanging="720"/>
        <w:jc w:val="both"/>
        <w:rPr>
          <w:rFonts w:cs="Open Sans"/>
          <w:sz w:val="24"/>
          <w:szCs w:val="24"/>
        </w:rPr>
      </w:pPr>
    </w:p>
    <w:p w14:paraId="4A795285"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t>(</w:t>
      </w:r>
      <w:proofErr w:type="spellStart"/>
      <w:r w:rsidRPr="0051764F">
        <w:rPr>
          <w:rFonts w:cs="Open Sans"/>
          <w:sz w:val="24"/>
          <w:szCs w:val="24"/>
        </w:rPr>
        <w:t>i</w:t>
      </w:r>
      <w:proofErr w:type="spellEnd"/>
      <w:r w:rsidRPr="0051764F">
        <w:rPr>
          <w:rFonts w:cs="Open Sans"/>
          <w:sz w:val="24"/>
          <w:szCs w:val="24"/>
        </w:rPr>
        <w:t xml:space="preserve">): </w:t>
      </w:r>
      <w:r w:rsidRPr="0051764F">
        <w:rPr>
          <w:rFonts w:cs="Open Sans"/>
          <w:sz w:val="24"/>
          <w:szCs w:val="24"/>
        </w:rPr>
        <w:tab/>
        <w:t xml:space="preserve">The workforce member or business associate believes in good faith that </w:t>
      </w:r>
      <w:r w:rsidRPr="0051764F">
        <w:rPr>
          <w:rFonts w:cs="Open Sans"/>
          <w:sz w:val="24"/>
          <w:szCs w:val="24"/>
        </w:rPr>
        <w:tab/>
        <w:t xml:space="preserve">the covered entity has engaged in conduct that is unlawful or otherwise </w:t>
      </w:r>
      <w:r w:rsidRPr="0051764F">
        <w:rPr>
          <w:rFonts w:cs="Open Sans"/>
          <w:sz w:val="24"/>
          <w:szCs w:val="24"/>
        </w:rPr>
        <w:tab/>
        <w:t xml:space="preserve">violates professional or clinical standards, or that the care, services, or </w:t>
      </w:r>
      <w:r w:rsidRPr="0051764F">
        <w:rPr>
          <w:rFonts w:cs="Open Sans"/>
          <w:sz w:val="24"/>
          <w:szCs w:val="24"/>
        </w:rPr>
        <w:tab/>
        <w:t xml:space="preserve">conditions provided by the TDMHSAS potentially endangers one or more </w:t>
      </w:r>
      <w:r w:rsidRPr="0051764F">
        <w:rPr>
          <w:rFonts w:cs="Open Sans"/>
          <w:sz w:val="24"/>
          <w:szCs w:val="24"/>
        </w:rPr>
        <w:tab/>
        <w:t>patients, workers, or the public; and</w:t>
      </w:r>
    </w:p>
    <w:p w14:paraId="2B5F9FA5" w14:textId="77777777" w:rsidR="0051764F" w:rsidRPr="0051764F" w:rsidRDefault="0051764F" w:rsidP="0051764F">
      <w:pPr>
        <w:spacing w:after="0" w:line="240" w:lineRule="auto"/>
        <w:ind w:left="1440" w:hanging="720"/>
        <w:jc w:val="both"/>
        <w:rPr>
          <w:rFonts w:cs="Open Sans"/>
          <w:sz w:val="24"/>
          <w:szCs w:val="24"/>
        </w:rPr>
      </w:pPr>
    </w:p>
    <w:p w14:paraId="0E7C42EE"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t>(ii): </w:t>
      </w:r>
      <w:r w:rsidRPr="0051764F">
        <w:rPr>
          <w:rFonts w:cs="Open Sans"/>
          <w:sz w:val="24"/>
          <w:szCs w:val="24"/>
        </w:rPr>
        <w:tab/>
        <w:t>The disclosure is to:</w:t>
      </w:r>
    </w:p>
    <w:p w14:paraId="50204A99"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r>
    </w:p>
    <w:p w14:paraId="01DABAE2"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t>(A): </w:t>
      </w:r>
      <w:r w:rsidRPr="0051764F">
        <w:rPr>
          <w:rFonts w:cs="Open Sans"/>
          <w:sz w:val="24"/>
          <w:szCs w:val="24"/>
        </w:rPr>
        <w:tab/>
        <w:t xml:space="preserve">A health oversight agency or public health authority authorized by law to </w:t>
      </w:r>
      <w:r w:rsidRPr="0051764F">
        <w:rPr>
          <w:rFonts w:cs="Open Sans"/>
          <w:sz w:val="24"/>
          <w:szCs w:val="24"/>
        </w:rPr>
        <w:tab/>
      </w:r>
      <w:r w:rsidRPr="0051764F">
        <w:rPr>
          <w:rFonts w:cs="Open Sans"/>
          <w:sz w:val="24"/>
          <w:szCs w:val="24"/>
        </w:rPr>
        <w:tab/>
        <w:t xml:space="preserve">investigate or otherwise oversee the relevant conduct or conditions of the </w:t>
      </w:r>
      <w:r w:rsidRPr="0051764F">
        <w:rPr>
          <w:rFonts w:cs="Open Sans"/>
          <w:sz w:val="24"/>
          <w:szCs w:val="24"/>
        </w:rPr>
        <w:tab/>
        <w:t xml:space="preserve">TDMHSAS or to an appropriate health care accreditation organization for </w:t>
      </w:r>
      <w:r w:rsidRPr="0051764F">
        <w:rPr>
          <w:rFonts w:cs="Open Sans"/>
          <w:sz w:val="24"/>
          <w:szCs w:val="24"/>
        </w:rPr>
        <w:tab/>
        <w:t xml:space="preserve">the purpose of reporting the allegation of failure to meet professional </w:t>
      </w:r>
      <w:r w:rsidRPr="0051764F">
        <w:rPr>
          <w:rFonts w:cs="Open Sans"/>
          <w:sz w:val="24"/>
          <w:szCs w:val="24"/>
        </w:rPr>
        <w:tab/>
        <w:t>standards or misconduct by the covered entity; or</w:t>
      </w:r>
    </w:p>
    <w:p w14:paraId="3F4027C6" w14:textId="77777777" w:rsidR="0051764F" w:rsidRPr="0051764F" w:rsidRDefault="0051764F" w:rsidP="0051764F">
      <w:pPr>
        <w:spacing w:after="0" w:line="240" w:lineRule="auto"/>
        <w:ind w:left="1440" w:hanging="720"/>
        <w:jc w:val="both"/>
        <w:rPr>
          <w:rFonts w:cs="Open Sans"/>
          <w:sz w:val="24"/>
          <w:szCs w:val="24"/>
        </w:rPr>
      </w:pPr>
    </w:p>
    <w:p w14:paraId="1B42AF33" w14:textId="1CF03965"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t>(B): </w:t>
      </w:r>
      <w:r w:rsidRPr="0051764F">
        <w:rPr>
          <w:rFonts w:cs="Open Sans"/>
          <w:sz w:val="24"/>
          <w:szCs w:val="24"/>
        </w:rPr>
        <w:tab/>
        <w:t xml:space="preserve">An attorney retained by or on behalf of the workforce member or business </w:t>
      </w:r>
      <w:r w:rsidRPr="0051764F">
        <w:rPr>
          <w:rFonts w:cs="Open Sans"/>
          <w:sz w:val="24"/>
          <w:szCs w:val="24"/>
        </w:rPr>
        <w:tab/>
        <w:t xml:space="preserve">associate for the purpose of determining the legal options of the workforce </w:t>
      </w:r>
      <w:r w:rsidRPr="0051764F">
        <w:rPr>
          <w:rFonts w:cs="Open Sans"/>
          <w:sz w:val="24"/>
          <w:szCs w:val="24"/>
        </w:rPr>
        <w:tab/>
        <w:t xml:space="preserve">member or business associate with regard to the conduct described in </w:t>
      </w:r>
      <w:r w:rsidRPr="0051764F">
        <w:rPr>
          <w:rFonts w:cs="Open Sans"/>
          <w:sz w:val="24"/>
          <w:szCs w:val="24"/>
        </w:rPr>
        <w:tab/>
        <w:t>paragraph (</w:t>
      </w:r>
      <w:proofErr w:type="spellStart"/>
      <w:r w:rsidRPr="0051764F">
        <w:rPr>
          <w:rFonts w:cs="Open Sans"/>
          <w:sz w:val="24"/>
          <w:szCs w:val="24"/>
        </w:rPr>
        <w:t>i</w:t>
      </w:r>
      <w:proofErr w:type="spellEnd"/>
      <w:r w:rsidRPr="0051764F">
        <w:rPr>
          <w:rFonts w:cs="Open Sans"/>
          <w:sz w:val="24"/>
          <w:szCs w:val="24"/>
        </w:rPr>
        <w:t>) of this section.</w:t>
      </w:r>
    </w:p>
    <w:p w14:paraId="684800F4" w14:textId="78C6C5BD"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r>
    </w:p>
    <w:p w14:paraId="2D599125" w14:textId="53F8F514"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r>
      <w:r w:rsidRPr="0051764F">
        <w:rPr>
          <w:rFonts w:cs="Open Sans"/>
          <w:sz w:val="24"/>
          <w:szCs w:val="24"/>
        </w:rPr>
        <w:tab/>
        <w:t xml:space="preserve">(1): The TDMHSAS is not considered to have violated the </w:t>
      </w:r>
      <w:r w:rsidRPr="0051764F">
        <w:rPr>
          <w:rFonts w:cs="Open Sans"/>
          <w:sz w:val="24"/>
          <w:szCs w:val="24"/>
        </w:rPr>
        <w:tab/>
      </w:r>
      <w:r w:rsidRPr="0051764F">
        <w:rPr>
          <w:rFonts w:cs="Open Sans"/>
          <w:sz w:val="24"/>
          <w:szCs w:val="24"/>
        </w:rPr>
        <w:tab/>
      </w:r>
      <w:r w:rsidRPr="0051764F">
        <w:rPr>
          <w:rFonts w:cs="Open Sans"/>
          <w:sz w:val="24"/>
          <w:szCs w:val="24"/>
        </w:rPr>
        <w:tab/>
      </w:r>
      <w:r w:rsidRPr="0051764F">
        <w:rPr>
          <w:rFonts w:cs="Open Sans"/>
          <w:sz w:val="24"/>
          <w:szCs w:val="24"/>
        </w:rPr>
        <w:tab/>
        <w:t xml:space="preserve">requirements of HIPAA if a member of its workforce who is the </w:t>
      </w:r>
      <w:r w:rsidRPr="0051764F">
        <w:rPr>
          <w:rFonts w:cs="Open Sans"/>
          <w:sz w:val="24"/>
          <w:szCs w:val="24"/>
        </w:rPr>
        <w:tab/>
      </w:r>
      <w:r w:rsidRPr="0051764F">
        <w:rPr>
          <w:rFonts w:cs="Open Sans"/>
          <w:sz w:val="24"/>
          <w:szCs w:val="24"/>
        </w:rPr>
        <w:tab/>
      </w:r>
      <w:r w:rsidRPr="0051764F">
        <w:rPr>
          <w:rFonts w:cs="Open Sans"/>
          <w:sz w:val="24"/>
          <w:szCs w:val="24"/>
        </w:rPr>
        <w:tab/>
        <w:t xml:space="preserve">victim of a criminal act discloses protected health information to a </w:t>
      </w:r>
      <w:r w:rsidRPr="0051764F">
        <w:rPr>
          <w:rFonts w:cs="Open Sans"/>
          <w:sz w:val="24"/>
          <w:szCs w:val="24"/>
        </w:rPr>
        <w:tab/>
      </w:r>
      <w:r w:rsidRPr="0051764F">
        <w:rPr>
          <w:rFonts w:cs="Open Sans"/>
          <w:sz w:val="24"/>
          <w:szCs w:val="24"/>
        </w:rPr>
        <w:tab/>
      </w:r>
      <w:r w:rsidRPr="0051764F">
        <w:rPr>
          <w:rFonts w:cs="Open Sans"/>
          <w:sz w:val="24"/>
          <w:szCs w:val="24"/>
        </w:rPr>
        <w:tab/>
        <w:t>law enforcement official, provided that:</w:t>
      </w:r>
    </w:p>
    <w:p w14:paraId="6021FF9F" w14:textId="77777777" w:rsidR="0051764F" w:rsidRPr="0051764F" w:rsidRDefault="0051764F" w:rsidP="0051764F">
      <w:pPr>
        <w:spacing w:after="0" w:line="240" w:lineRule="auto"/>
        <w:ind w:left="1440" w:hanging="720"/>
        <w:jc w:val="both"/>
        <w:rPr>
          <w:rFonts w:cs="Open Sans"/>
          <w:sz w:val="24"/>
          <w:szCs w:val="24"/>
        </w:rPr>
      </w:pPr>
    </w:p>
    <w:p w14:paraId="13586609" w14:textId="72B32DB8"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r>
      <w:r w:rsidRPr="0051764F">
        <w:rPr>
          <w:rFonts w:cs="Open Sans"/>
          <w:sz w:val="24"/>
          <w:szCs w:val="24"/>
        </w:rPr>
        <w:tab/>
      </w:r>
      <w:r w:rsidRPr="0051764F">
        <w:rPr>
          <w:rFonts w:cs="Open Sans"/>
          <w:sz w:val="24"/>
          <w:szCs w:val="24"/>
        </w:rPr>
        <w:tab/>
        <w:t>(</w:t>
      </w:r>
      <w:proofErr w:type="spellStart"/>
      <w:r w:rsidRPr="0051764F">
        <w:rPr>
          <w:rFonts w:cs="Open Sans"/>
          <w:sz w:val="24"/>
          <w:szCs w:val="24"/>
        </w:rPr>
        <w:t>i</w:t>
      </w:r>
      <w:proofErr w:type="spellEnd"/>
      <w:r w:rsidRPr="0051764F">
        <w:rPr>
          <w:rFonts w:cs="Open Sans"/>
          <w:sz w:val="24"/>
          <w:szCs w:val="24"/>
        </w:rPr>
        <w:t xml:space="preserve">): The protected health information disclosed is about the </w:t>
      </w:r>
      <w:r w:rsidRPr="0051764F">
        <w:rPr>
          <w:rFonts w:cs="Open Sans"/>
          <w:sz w:val="24"/>
          <w:szCs w:val="24"/>
        </w:rPr>
        <w:tab/>
      </w:r>
      <w:r w:rsidRPr="0051764F">
        <w:rPr>
          <w:rFonts w:cs="Open Sans"/>
          <w:sz w:val="24"/>
          <w:szCs w:val="24"/>
        </w:rPr>
        <w:tab/>
      </w:r>
      <w:r w:rsidRPr="0051764F">
        <w:rPr>
          <w:rFonts w:cs="Open Sans"/>
          <w:sz w:val="24"/>
          <w:szCs w:val="24"/>
        </w:rPr>
        <w:tab/>
      </w:r>
      <w:r w:rsidRPr="0051764F">
        <w:rPr>
          <w:rFonts w:cs="Open Sans"/>
          <w:sz w:val="24"/>
          <w:szCs w:val="24"/>
        </w:rPr>
        <w:tab/>
        <w:t>suspected perpetrator of the criminal act; and</w:t>
      </w:r>
    </w:p>
    <w:p w14:paraId="414F10A1" w14:textId="77777777"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ab/>
      </w:r>
    </w:p>
    <w:p w14:paraId="0C0EB89A" w14:textId="1930E4F6" w:rsidR="0051764F" w:rsidRPr="0051764F" w:rsidRDefault="0051764F" w:rsidP="000519DE">
      <w:pPr>
        <w:spacing w:after="0" w:line="240" w:lineRule="auto"/>
        <w:ind w:left="1440" w:hanging="720"/>
        <w:jc w:val="both"/>
        <w:rPr>
          <w:rFonts w:cs="Open Sans"/>
          <w:sz w:val="24"/>
          <w:szCs w:val="24"/>
        </w:rPr>
      </w:pPr>
      <w:r w:rsidRPr="0051764F">
        <w:rPr>
          <w:rFonts w:cs="Open Sans"/>
          <w:sz w:val="24"/>
          <w:szCs w:val="24"/>
        </w:rPr>
        <w:tab/>
      </w:r>
      <w:r w:rsidRPr="0051764F">
        <w:rPr>
          <w:rFonts w:cs="Open Sans"/>
          <w:sz w:val="24"/>
          <w:szCs w:val="24"/>
        </w:rPr>
        <w:tab/>
      </w:r>
      <w:r w:rsidRPr="0051764F">
        <w:rPr>
          <w:rFonts w:cs="Open Sans"/>
          <w:sz w:val="24"/>
          <w:szCs w:val="24"/>
        </w:rPr>
        <w:tab/>
        <w:t>(ii):</w:t>
      </w:r>
      <w:r>
        <w:rPr>
          <w:rFonts w:cs="Open Sans"/>
          <w:sz w:val="24"/>
          <w:szCs w:val="24"/>
        </w:rPr>
        <w:t xml:space="preserve"> </w:t>
      </w:r>
      <w:r w:rsidRPr="0051764F">
        <w:rPr>
          <w:rFonts w:cs="Open Sans"/>
          <w:sz w:val="24"/>
          <w:szCs w:val="24"/>
        </w:rPr>
        <w:t xml:space="preserve">The protected health information disclosed is limited to the </w:t>
      </w:r>
      <w:r w:rsidRPr="0051764F">
        <w:rPr>
          <w:rFonts w:cs="Open Sans"/>
          <w:sz w:val="24"/>
          <w:szCs w:val="24"/>
        </w:rPr>
        <w:tab/>
      </w:r>
      <w:r w:rsidRPr="0051764F">
        <w:rPr>
          <w:rFonts w:cs="Open Sans"/>
          <w:sz w:val="24"/>
          <w:szCs w:val="24"/>
        </w:rPr>
        <w:tab/>
      </w:r>
      <w:r w:rsidRPr="0051764F">
        <w:rPr>
          <w:rFonts w:cs="Open Sans"/>
          <w:sz w:val="24"/>
          <w:szCs w:val="24"/>
        </w:rPr>
        <w:tab/>
      </w:r>
      <w:r w:rsidRPr="0051764F">
        <w:rPr>
          <w:rFonts w:cs="Open Sans"/>
          <w:sz w:val="24"/>
          <w:szCs w:val="24"/>
        </w:rPr>
        <w:tab/>
        <w:t>information listed in 45 CFR §164.512(f)(2)(</w:t>
      </w:r>
      <w:proofErr w:type="spellStart"/>
      <w:r w:rsidRPr="0051764F">
        <w:rPr>
          <w:rFonts w:cs="Open Sans"/>
          <w:sz w:val="24"/>
          <w:szCs w:val="24"/>
        </w:rPr>
        <w:t>i</w:t>
      </w:r>
      <w:proofErr w:type="spellEnd"/>
      <w:r w:rsidRPr="0051764F">
        <w:rPr>
          <w:rFonts w:cs="Open Sans"/>
          <w:sz w:val="24"/>
          <w:szCs w:val="24"/>
        </w:rPr>
        <w:t>).</w:t>
      </w:r>
    </w:p>
    <w:p w14:paraId="2BCCADF5" w14:textId="77777777" w:rsidR="0051764F" w:rsidRPr="0051764F" w:rsidRDefault="0051764F" w:rsidP="0051764F">
      <w:pPr>
        <w:spacing w:after="0" w:line="240" w:lineRule="auto"/>
        <w:jc w:val="both"/>
        <w:rPr>
          <w:rFonts w:cs="Open Sans"/>
          <w:sz w:val="24"/>
          <w:szCs w:val="24"/>
        </w:rPr>
      </w:pPr>
    </w:p>
    <w:p w14:paraId="663A6AD1" w14:textId="00F6D720" w:rsidR="0051764F" w:rsidRPr="0051764F" w:rsidRDefault="0051764F" w:rsidP="0051764F">
      <w:pPr>
        <w:spacing w:after="0" w:line="240" w:lineRule="auto"/>
        <w:ind w:left="1440" w:hanging="720"/>
        <w:jc w:val="both"/>
        <w:rPr>
          <w:rFonts w:cs="Open Sans"/>
          <w:sz w:val="24"/>
          <w:szCs w:val="24"/>
        </w:rPr>
      </w:pPr>
      <w:r w:rsidRPr="0051764F">
        <w:rPr>
          <w:rFonts w:cs="Open Sans"/>
          <w:sz w:val="24"/>
          <w:szCs w:val="24"/>
        </w:rPr>
        <w:t xml:space="preserve">3.6: </w:t>
      </w:r>
      <w:r w:rsidRPr="0051764F">
        <w:rPr>
          <w:rFonts w:cs="Open Sans"/>
          <w:sz w:val="24"/>
          <w:szCs w:val="24"/>
        </w:rPr>
        <w:tab/>
        <w:t>Incidents of any HIPAA policy or procedure violations and discipline taken against anyone in the TDMHSAS central-office workforce must be reported to the TDMHSAS Privacy Officer. Incidents of any policy or procedure violations and discipline taken against the RMHI workforce must be reported to the RMHI Privacy Officer, who will report this information to the TDMHSAS Privacy Officer</w:t>
      </w:r>
    </w:p>
    <w:p w14:paraId="6A20B375" w14:textId="77777777" w:rsidR="0051764F" w:rsidRPr="0051764F" w:rsidRDefault="0051764F" w:rsidP="0051764F">
      <w:pPr>
        <w:spacing w:after="0" w:line="240" w:lineRule="auto"/>
        <w:ind w:left="1440" w:hanging="720"/>
        <w:jc w:val="both"/>
        <w:rPr>
          <w:rFonts w:cs="Open Sans"/>
          <w:sz w:val="24"/>
          <w:szCs w:val="24"/>
        </w:rPr>
      </w:pPr>
    </w:p>
    <w:p w14:paraId="42CC15E8" w14:textId="77777777" w:rsidR="000519DE" w:rsidRDefault="0051764F" w:rsidP="000519DE">
      <w:pPr>
        <w:spacing w:after="0" w:line="240" w:lineRule="auto"/>
        <w:ind w:left="1440" w:hanging="720"/>
        <w:jc w:val="both"/>
        <w:rPr>
          <w:rFonts w:cs="Open Sans"/>
          <w:sz w:val="24"/>
          <w:szCs w:val="24"/>
        </w:rPr>
      </w:pPr>
      <w:r w:rsidRPr="0051764F">
        <w:rPr>
          <w:rFonts w:cs="Open Sans"/>
          <w:sz w:val="24"/>
          <w:szCs w:val="24"/>
        </w:rPr>
        <w:t xml:space="preserve">3.7: </w:t>
      </w:r>
      <w:r w:rsidRPr="0051764F">
        <w:rPr>
          <w:rFonts w:cs="Open Sans"/>
          <w:sz w:val="24"/>
          <w:szCs w:val="24"/>
        </w:rPr>
        <w:tab/>
        <w:t xml:space="preserve">Violations of TDMHSAS HIPAA policies and procedures and resulting discipline actions must be documented and maintained by either the TDMHSAS Privacy Officer or the RMHI Privacy Officer in a written or electronic log system for at least six (6) years from the date of any violation by the workforce member. </w:t>
      </w:r>
    </w:p>
    <w:p w14:paraId="52FFF76B" w14:textId="77777777" w:rsidR="000519DE" w:rsidRDefault="000519DE" w:rsidP="000519DE">
      <w:pPr>
        <w:spacing w:after="0" w:line="240" w:lineRule="auto"/>
        <w:ind w:left="1440" w:hanging="720"/>
        <w:jc w:val="both"/>
        <w:rPr>
          <w:rFonts w:cs="Open Sans"/>
          <w:sz w:val="24"/>
          <w:szCs w:val="24"/>
        </w:rPr>
      </w:pPr>
    </w:p>
    <w:p w14:paraId="475EA93A" w14:textId="3F24D903" w:rsidR="000519DE" w:rsidRDefault="0051764F" w:rsidP="000519DE">
      <w:pPr>
        <w:pStyle w:val="Heading2"/>
      </w:pPr>
      <w:r w:rsidRPr="0051764F">
        <w:t xml:space="preserve">Other Considerations: </w:t>
      </w:r>
    </w:p>
    <w:p w14:paraId="5498B4E1" w14:textId="77777777" w:rsidR="000519DE" w:rsidRPr="000519DE" w:rsidRDefault="000519DE" w:rsidP="000519DE"/>
    <w:p w14:paraId="7ACCA058" w14:textId="0079EC86" w:rsidR="0051764F" w:rsidRPr="0051764F" w:rsidRDefault="0051764F" w:rsidP="0051764F">
      <w:pPr>
        <w:jc w:val="both"/>
        <w:rPr>
          <w:rFonts w:cs="Open Sans"/>
          <w:sz w:val="24"/>
          <w:szCs w:val="24"/>
        </w:rPr>
      </w:pPr>
      <w:r w:rsidRPr="0051764F">
        <w:rPr>
          <w:rFonts w:cs="Open Sans"/>
          <w:b/>
          <w:sz w:val="24"/>
          <w:szCs w:val="24"/>
        </w:rPr>
        <w:tab/>
      </w:r>
      <w:r w:rsidRPr="0051764F">
        <w:rPr>
          <w:rFonts w:cs="Open Sans"/>
          <w:sz w:val="24"/>
          <w:szCs w:val="24"/>
        </w:rPr>
        <w:t xml:space="preserve">4.1: </w:t>
      </w:r>
      <w:r w:rsidRPr="0051764F">
        <w:rPr>
          <w:rFonts w:cs="Open Sans"/>
          <w:sz w:val="24"/>
          <w:szCs w:val="24"/>
        </w:rPr>
        <w:tab/>
        <w:t>Authority</w:t>
      </w:r>
    </w:p>
    <w:p w14:paraId="17304C21" w14:textId="6C3D292A" w:rsidR="0051764F" w:rsidRPr="0051764F" w:rsidRDefault="00F53992" w:rsidP="0051764F">
      <w:pPr>
        <w:ind w:left="1440"/>
        <w:jc w:val="both"/>
        <w:rPr>
          <w:rFonts w:cs="Open Sans"/>
          <w:sz w:val="24"/>
          <w:szCs w:val="24"/>
          <w:u w:val="double"/>
        </w:rPr>
      </w:pPr>
      <w:bookmarkStart w:id="0" w:name="_Hlk44923691"/>
      <w:r w:rsidRPr="00F53992">
        <w:rPr>
          <w:rFonts w:cs="Open Sans"/>
          <w:noProof/>
        </w:rPr>
        <w:drawing>
          <wp:anchor distT="0" distB="0" distL="114300" distR="114300" simplePos="0" relativeHeight="251658240" behindDoc="1" locked="0" layoutInCell="1" allowOverlap="1" wp14:anchorId="5A208AE5" wp14:editId="67518337">
            <wp:simplePos x="0" y="0"/>
            <wp:positionH relativeFrom="column">
              <wp:posOffset>891540</wp:posOffset>
            </wp:positionH>
            <wp:positionV relativeFrom="paragraph">
              <wp:posOffset>470535</wp:posOffset>
            </wp:positionV>
            <wp:extent cx="2148840" cy="1310640"/>
            <wp:effectExtent l="0" t="0" r="3810" b="3810"/>
            <wp:wrapTight wrapText="bothSides">
              <wp:wrapPolygon edited="0">
                <wp:start x="0" y="0"/>
                <wp:lineTo x="0" y="21349"/>
                <wp:lineTo x="21447" y="21349"/>
                <wp:lineTo x="21447" y="0"/>
                <wp:lineTo x="0" y="0"/>
              </wp:wrapPolygon>
            </wp:wrapTight>
            <wp:docPr id="189275162"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5162"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2148840" cy="1310640"/>
                    </a:xfrm>
                    <a:prstGeom prst="rect">
                      <a:avLst/>
                    </a:prstGeom>
                  </pic:spPr>
                </pic:pic>
              </a:graphicData>
            </a:graphic>
            <wp14:sizeRelH relativeFrom="page">
              <wp14:pctWidth>0</wp14:pctWidth>
            </wp14:sizeRelH>
            <wp14:sizeRelV relativeFrom="page">
              <wp14:pctHeight>0</wp14:pctHeight>
            </wp14:sizeRelV>
          </wp:anchor>
        </w:drawing>
      </w:r>
      <w:r w:rsidR="0051764F" w:rsidRPr="0051764F">
        <w:rPr>
          <w:rFonts w:cs="Open Sans"/>
          <w:sz w:val="24"/>
          <w:szCs w:val="24"/>
        </w:rPr>
        <w:t>45 C.F.R. §§</w:t>
      </w:r>
      <w:bookmarkEnd w:id="0"/>
      <w:r w:rsidR="0051764F" w:rsidRPr="0051764F">
        <w:rPr>
          <w:rFonts w:cs="Open Sans"/>
          <w:sz w:val="24"/>
          <w:szCs w:val="24"/>
        </w:rPr>
        <w:t xml:space="preserve">164.502(j), 164.530(b)(1), (e)(1), (g), (j)(1), 160.306; 42 C.F.R. Part 2; and T.C.A. § 33-3-103 through 115.  </w:t>
      </w:r>
    </w:p>
    <w:p w14:paraId="6C5A1A6E" w14:textId="0DE6D9C6" w:rsidR="00AE70B5" w:rsidRPr="0051764F" w:rsidRDefault="00AE70B5" w:rsidP="0075304D">
      <w:pPr>
        <w:widowControl w:val="0"/>
        <w:spacing w:after="0" w:line="240" w:lineRule="auto"/>
        <w:ind w:left="2980"/>
        <w:jc w:val="both"/>
        <w:rPr>
          <w:rFonts w:eastAsia="Times New Roman" w:cs="Open Sans"/>
          <w:sz w:val="24"/>
          <w:szCs w:val="24"/>
        </w:rPr>
      </w:pPr>
    </w:p>
    <w:p w14:paraId="57B4E492" w14:textId="7E6DB92D" w:rsidR="00AE70B5" w:rsidRPr="0051764F" w:rsidRDefault="00AE70B5" w:rsidP="0075304D">
      <w:pPr>
        <w:widowControl w:val="0"/>
        <w:spacing w:after="0" w:line="240" w:lineRule="auto"/>
        <w:ind w:left="2980"/>
        <w:jc w:val="both"/>
        <w:rPr>
          <w:rFonts w:eastAsia="Times New Roman" w:cs="Open Sans"/>
          <w:sz w:val="24"/>
          <w:szCs w:val="24"/>
        </w:rPr>
      </w:pPr>
    </w:p>
    <w:p w14:paraId="78999CC5" w14:textId="55382E1D" w:rsidR="00E55E0A" w:rsidRPr="0051764F" w:rsidRDefault="00E55E0A" w:rsidP="0075304D">
      <w:pPr>
        <w:jc w:val="both"/>
        <w:rPr>
          <w:rFonts w:cs="Open Sans"/>
        </w:rPr>
      </w:pPr>
    </w:p>
    <w:sectPr w:rsidR="00E55E0A" w:rsidRPr="0051764F" w:rsidSect="00E87684">
      <w:headerReference w:type="even" r:id="rId9"/>
      <w:headerReference w:type="default" r:id="rId10"/>
      <w:footerReference w:type="even" r:id="rId11"/>
      <w:footerReference w:type="default" r:id="rId12"/>
      <w:headerReference w:type="first" r:id="rId13"/>
      <w:footerReference w:type="first" r:id="rId14"/>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255D" w14:textId="77777777" w:rsidR="0005063D" w:rsidRDefault="0005063D" w:rsidP="00801079">
      <w:r>
        <w:separator/>
      </w:r>
    </w:p>
  </w:endnote>
  <w:endnote w:type="continuationSeparator" w:id="0">
    <w:p w14:paraId="785C17AD" w14:textId="77777777" w:rsidR="0005063D" w:rsidRDefault="0005063D"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70BC" w14:textId="77777777" w:rsidR="00054AB2" w:rsidRDefault="00054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543B507F"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3.</w:t>
    </w:r>
    <w:r w:rsidR="00054AB2">
      <w:rPr>
        <w:rFonts w:cs="Open Sans"/>
        <w:sz w:val="20"/>
        <w:szCs w:val="20"/>
      </w:rPr>
      <w:t>4</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HIPAA </w:t>
    </w:r>
    <w:r w:rsidR="00054AB2">
      <w:rPr>
        <w:rFonts w:cs="Open Sans"/>
        <w:sz w:val="20"/>
        <w:szCs w:val="20"/>
      </w:rPr>
      <w:t>Sanctions</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054AB2">
      <w:rPr>
        <w:rFonts w:cs="Open Sans"/>
        <w:sz w:val="20"/>
        <w:szCs w:val="20"/>
      </w:rPr>
      <w:t>December 18,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C91C" w14:textId="77777777" w:rsidR="00054AB2" w:rsidRDefault="0005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B0CB" w14:textId="77777777" w:rsidR="0005063D" w:rsidRDefault="0005063D" w:rsidP="00801079">
      <w:r>
        <w:separator/>
      </w:r>
    </w:p>
  </w:footnote>
  <w:footnote w:type="continuationSeparator" w:id="0">
    <w:p w14:paraId="5807E9AD" w14:textId="77777777" w:rsidR="0005063D" w:rsidRDefault="0005063D"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5554" w14:textId="77777777" w:rsidR="00054AB2" w:rsidRDefault="00054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92DB" w14:textId="77777777" w:rsidR="00054AB2" w:rsidRDefault="0005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0935F6"/>
    <w:multiLevelType w:val="hybridMultilevel"/>
    <w:tmpl w:val="0F74370E"/>
    <w:lvl w:ilvl="0" w:tplc="616605B8">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2"/>
  </w:num>
  <w:num w:numId="2" w16cid:durableId="783118593">
    <w:abstractNumId w:val="14"/>
  </w:num>
  <w:num w:numId="3" w16cid:durableId="1505390476">
    <w:abstractNumId w:val="3"/>
  </w:num>
  <w:num w:numId="4" w16cid:durableId="1274096518">
    <w:abstractNumId w:val="11"/>
  </w:num>
  <w:num w:numId="5" w16cid:durableId="855191819">
    <w:abstractNumId w:val="4"/>
  </w:num>
  <w:num w:numId="6" w16cid:durableId="1329669013">
    <w:abstractNumId w:val="15"/>
  </w:num>
  <w:num w:numId="7" w16cid:durableId="1721434853">
    <w:abstractNumId w:val="16"/>
  </w:num>
  <w:num w:numId="8" w16cid:durableId="1150367029">
    <w:abstractNumId w:val="5"/>
  </w:num>
  <w:num w:numId="9" w16cid:durableId="2028869913">
    <w:abstractNumId w:val="2"/>
  </w:num>
  <w:num w:numId="10" w16cid:durableId="1115558235">
    <w:abstractNumId w:val="10"/>
  </w:num>
  <w:num w:numId="11" w16cid:durableId="1375544509">
    <w:abstractNumId w:val="13"/>
  </w:num>
  <w:num w:numId="12" w16cid:durableId="463891535">
    <w:abstractNumId w:val="7"/>
  </w:num>
  <w:num w:numId="13" w16cid:durableId="687878566">
    <w:abstractNumId w:val="8"/>
  </w:num>
  <w:num w:numId="14" w16cid:durableId="476453308">
    <w:abstractNumId w:val="0"/>
  </w:num>
  <w:num w:numId="15" w16cid:durableId="1974822128">
    <w:abstractNumId w:val="6"/>
  </w:num>
  <w:num w:numId="16" w16cid:durableId="525289569">
    <w:abstractNumId w:val="17"/>
  </w:num>
  <w:num w:numId="17" w16cid:durableId="1799374499">
    <w:abstractNumId w:val="9"/>
  </w:num>
  <w:num w:numId="18" w16cid:durableId="20240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1" w:cryptProviderType="rsaAES" w:cryptAlgorithmClass="hash" w:cryptAlgorithmType="typeAny" w:cryptAlgorithmSid="14" w:cryptSpinCount="100000" w:hash="PKRISPb4wM4hqa3joeaXXJk9jh2yQRyCs42qEU5WGCdFCe89C1SdpEB6qbQuc92GETZH24aVz4w/sgs0EcjRqQ==" w:salt="vTkf4EBlAzuopCVlD3XQ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63D"/>
    <w:rsid w:val="00050935"/>
    <w:rsid w:val="000519DE"/>
    <w:rsid w:val="00054AB2"/>
    <w:rsid w:val="001E5BD2"/>
    <w:rsid w:val="001F783E"/>
    <w:rsid w:val="00295159"/>
    <w:rsid w:val="0031236F"/>
    <w:rsid w:val="00350200"/>
    <w:rsid w:val="0039259F"/>
    <w:rsid w:val="00392FF6"/>
    <w:rsid w:val="004A3757"/>
    <w:rsid w:val="004E2676"/>
    <w:rsid w:val="0051764F"/>
    <w:rsid w:val="00532C95"/>
    <w:rsid w:val="00560396"/>
    <w:rsid w:val="00584739"/>
    <w:rsid w:val="005D6AB0"/>
    <w:rsid w:val="005F75F0"/>
    <w:rsid w:val="00601970"/>
    <w:rsid w:val="00703739"/>
    <w:rsid w:val="007265A5"/>
    <w:rsid w:val="0073515C"/>
    <w:rsid w:val="0075304D"/>
    <w:rsid w:val="00771DEC"/>
    <w:rsid w:val="00792280"/>
    <w:rsid w:val="007A63C0"/>
    <w:rsid w:val="007F2E06"/>
    <w:rsid w:val="00801079"/>
    <w:rsid w:val="00822D0F"/>
    <w:rsid w:val="00824347"/>
    <w:rsid w:val="00840187"/>
    <w:rsid w:val="00857933"/>
    <w:rsid w:val="0086073D"/>
    <w:rsid w:val="008760C5"/>
    <w:rsid w:val="008C3DDF"/>
    <w:rsid w:val="008C5D30"/>
    <w:rsid w:val="008F0670"/>
    <w:rsid w:val="008F5D3B"/>
    <w:rsid w:val="00916859"/>
    <w:rsid w:val="00943564"/>
    <w:rsid w:val="00951960"/>
    <w:rsid w:val="00956F9F"/>
    <w:rsid w:val="0097119D"/>
    <w:rsid w:val="009924FF"/>
    <w:rsid w:val="009A32FC"/>
    <w:rsid w:val="009B2129"/>
    <w:rsid w:val="00A15132"/>
    <w:rsid w:val="00AE70B5"/>
    <w:rsid w:val="00B077F2"/>
    <w:rsid w:val="00B5742C"/>
    <w:rsid w:val="00B6110B"/>
    <w:rsid w:val="00B75630"/>
    <w:rsid w:val="00BD2C4F"/>
    <w:rsid w:val="00CC225E"/>
    <w:rsid w:val="00D52904"/>
    <w:rsid w:val="00D563C5"/>
    <w:rsid w:val="00D92C14"/>
    <w:rsid w:val="00E11485"/>
    <w:rsid w:val="00E44D99"/>
    <w:rsid w:val="00E55E0A"/>
    <w:rsid w:val="00E87684"/>
    <w:rsid w:val="00ED00D5"/>
    <w:rsid w:val="00F0397D"/>
    <w:rsid w:val="00F53992"/>
    <w:rsid w:val="00F70207"/>
    <w:rsid w:val="00F922AF"/>
    <w:rsid w:val="00F975F7"/>
    <w:rsid w:val="00FC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ListParagraph"/>
    <w:next w:val="Normal"/>
    <w:link w:val="Heading2Char"/>
    <w:autoRedefine/>
    <w:uiPriority w:val="9"/>
    <w:unhideWhenUsed/>
    <w:qFormat/>
    <w:rsid w:val="000519DE"/>
    <w:pPr>
      <w:numPr>
        <w:numId w:val="18"/>
      </w:numPr>
      <w:ind w:left="720"/>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19DE"/>
    <w:rPr>
      <w:rFonts w:ascii="Open Sans" w:hAnsi="Open Sans" w:cs="Open Sans"/>
      <w:b/>
      <w:kern w:val="0"/>
      <w:sz w:val="24"/>
      <w:szCs w:val="24"/>
      <w14:ligatures w14:val="none"/>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844\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9</TotalTime>
  <Pages>3</Pages>
  <Words>902</Words>
  <Characters>4694</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8</cp:revision>
  <dcterms:created xsi:type="dcterms:W3CDTF">2026-04-01T17:53:00Z</dcterms:created>
  <dcterms:modified xsi:type="dcterms:W3CDTF">2026-04-02T18:41:00Z</dcterms:modified>
</cp:coreProperties>
</file>