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1BB0">
      <w:pPr>
        <w:spacing w:line="194" w:lineRule="auto"/>
        <w:jc w:val="center"/>
        <w:rPr>
          <w:rFonts w:ascii="Bookman Old Style" w:hAnsi="Bookman Old Style" w:cs="Bookman Old Style"/>
          <w:b/>
          <w:bCs/>
          <w:spacing w:val="32"/>
          <w:w w:val="90"/>
          <w:sz w:val="55"/>
          <w:szCs w:val="55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pacing w:val="32"/>
          <w:w w:val="90"/>
          <w:sz w:val="55"/>
          <w:szCs w:val="55"/>
        </w:rPr>
        <w:t>POSITRON EMISSION</w:t>
      </w:r>
    </w:p>
    <w:p w:rsidR="00000000" w:rsidRDefault="00A31BB0">
      <w:pPr>
        <w:spacing w:before="216" w:line="194" w:lineRule="auto"/>
        <w:jc w:val="center"/>
        <w:rPr>
          <w:rFonts w:ascii="Bookman Old Style" w:hAnsi="Bookman Old Style" w:cs="Bookman Old Style"/>
          <w:b/>
          <w:bCs/>
          <w:spacing w:val="12"/>
          <w:w w:val="90"/>
          <w:sz w:val="55"/>
          <w:szCs w:val="55"/>
        </w:rPr>
      </w:pPr>
      <w:r>
        <w:rPr>
          <w:rFonts w:ascii="Bookman Old Style" w:hAnsi="Bookman Old Style" w:cs="Bookman Old Style"/>
          <w:b/>
          <w:bCs/>
          <w:spacing w:val="12"/>
          <w:w w:val="90"/>
          <w:sz w:val="55"/>
          <w:szCs w:val="55"/>
        </w:rPr>
        <w:t>TOMOGRAPHY</w:t>
      </w:r>
    </w:p>
    <w:p w:rsidR="00000000" w:rsidRDefault="00A31BB0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pgSz w:w="12240" w:h="15840"/>
          <w:pgMar w:top="6322" w:right="2969" w:bottom="7868" w:left="3031" w:header="720" w:footer="0" w:gutter="0"/>
          <w:cols w:space="720"/>
          <w:noEndnote/>
        </w:sectPr>
      </w:pPr>
    </w:p>
    <w:p w:rsidR="00000000" w:rsidRDefault="00A31BB0">
      <w:pPr>
        <w:spacing w:after="324"/>
        <w:ind w:left="72" w:right="1080"/>
        <w:rPr>
          <w:rFonts w:ascii="Arial" w:hAnsi="Arial" w:cs="Arial"/>
          <w:spacing w:val="4"/>
          <w:sz w:val="22"/>
          <w:szCs w:val="22"/>
        </w:rPr>
      </w:pPr>
      <w:r>
        <w:rPr>
          <w:rFonts w:ascii="Tahoma" w:hAnsi="Tahoma" w:cs="Tahoma"/>
          <w:b/>
          <w:bCs/>
          <w:spacing w:val="9"/>
          <w:sz w:val="22"/>
          <w:szCs w:val="22"/>
        </w:rPr>
        <w:lastRenderedPageBreak/>
        <w:t xml:space="preserve">APPENDIX A. </w:t>
      </w:r>
      <w:r>
        <w:rPr>
          <w:rFonts w:ascii="Arial" w:hAnsi="Arial" w:cs="Arial"/>
          <w:spacing w:val="-1"/>
          <w:sz w:val="22"/>
          <w:szCs w:val="22"/>
        </w:rPr>
        <w:t xml:space="preserve">Revised and Updated Standards and Criteria for Positron </w:t>
      </w:r>
      <w:r>
        <w:rPr>
          <w:rFonts w:ascii="Arial" w:hAnsi="Arial" w:cs="Arial"/>
          <w:spacing w:val="4"/>
          <w:sz w:val="22"/>
          <w:szCs w:val="22"/>
        </w:rPr>
        <w:t>Emission Tomography (PET) services</w:t>
      </w:r>
    </w:p>
    <w:p w:rsidR="00000000" w:rsidRDefault="00A31BB0">
      <w:pPr>
        <w:spacing w:line="201" w:lineRule="auto"/>
        <w:ind w:left="2304"/>
        <w:rPr>
          <w:b/>
          <w:bCs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1215390</wp:posOffset>
                </wp:positionH>
                <wp:positionV relativeFrom="page">
                  <wp:posOffset>1654810</wp:posOffset>
                </wp:positionV>
                <wp:extent cx="5469890" cy="125031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250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31B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7pt;margin-top:130.3pt;width:430.7pt;height:98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uzjAIAAB4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" o:allowincell="f" stroked="f">
                <v:fill opacity="0"/>
                <v:textbox inset="0,0,0,0">
                  <w:txbxContent>
                    <w:p w:rsidR="00000000" w:rsidRDefault="00A31BB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3084195</wp:posOffset>
                </wp:positionH>
                <wp:positionV relativeFrom="page">
                  <wp:posOffset>1654810</wp:posOffset>
                </wp:positionV>
                <wp:extent cx="1615440" cy="1012190"/>
                <wp:effectExtent l="0" t="0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12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31B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9250" cy="1009650"/>
                                  <wp:effectExtent l="0" t="0" r="0" b="0"/>
                                  <wp:docPr id="2" name="Picture 2" descr="_Pi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_Pic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2.85pt;margin-top:130.3pt;width:127.2pt;height:79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" o:allowincell="f" stroked="f">
                <v:fill opacity="0"/>
                <v:textbox inset="0,0,0,0">
                  <w:txbxContent>
                    <w:p w:rsidR="00000000" w:rsidRDefault="00A31B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19250" cy="1009650"/>
                            <wp:effectExtent l="0" t="0" r="0" b="0"/>
                            <wp:docPr id="2" name="Picture 2" descr="_Pic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_Pic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3648075</wp:posOffset>
                </wp:positionH>
                <wp:positionV relativeFrom="page">
                  <wp:posOffset>1654810</wp:posOffset>
                </wp:positionV>
                <wp:extent cx="490855" cy="426720"/>
                <wp:effectExtent l="0" t="0" r="0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31BB0">
                            <w:pPr>
                              <w:spacing w:line="112" w:lineRule="exact"/>
                              <w:ind w:left="216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........ .</w:t>
                            </w:r>
                          </w:p>
                          <w:p w:rsidR="00000000" w:rsidRDefault="00A31BB0">
                            <w:pPr>
                              <w:spacing w:before="288" w:line="316" w:lineRule="auto"/>
                              <w:jc w:val="center"/>
                              <w:rPr>
                                <w:spacing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pacing w:val="1"/>
                                <w:sz w:val="11"/>
                                <w:szCs w:val="11"/>
                              </w:rPr>
                              <w:t xml:space="preserve">AtRSITU,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;17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7.25pt;margin-top:130.3pt;width:38.65pt;height:3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31fAIAAAU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" o:allowincell="f" stroked="f">
                <v:textbox inset="0,0,0,0">
                  <w:txbxContent>
                    <w:p w:rsidR="00000000" w:rsidRDefault="00A31BB0">
                      <w:pPr>
                        <w:spacing w:line="112" w:lineRule="exact"/>
                        <w:ind w:left="216"/>
                        <w:rPr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spacing w:val="2"/>
                          <w:sz w:val="16"/>
                          <w:szCs w:val="16"/>
                        </w:rPr>
                        <w:t>........ .</w:t>
                      </w:r>
                    </w:p>
                    <w:p w:rsidR="00000000" w:rsidRDefault="00A31BB0">
                      <w:pPr>
                        <w:spacing w:before="288" w:line="316" w:lineRule="auto"/>
                        <w:jc w:val="center"/>
                        <w:rPr>
                          <w:spacing w:val="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pacing w:val="1"/>
                          <w:sz w:val="11"/>
                          <w:szCs w:val="11"/>
                        </w:rPr>
                        <w:t xml:space="preserve">AtRSITU, 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>;17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bCs/>
          <w:sz w:val="34"/>
          <w:szCs w:val="34"/>
        </w:rPr>
        <w:t>STATE HEALTH PLAN</w:t>
      </w:r>
    </w:p>
    <w:p w:rsidR="00000000" w:rsidRDefault="00A31BB0">
      <w:pPr>
        <w:spacing w:before="36" w:line="480" w:lineRule="auto"/>
        <w:jc w:val="center"/>
        <w:rPr>
          <w:i/>
          <w:iCs/>
          <w:w w:val="105"/>
          <w:sz w:val="22"/>
          <w:szCs w:val="22"/>
        </w:rPr>
      </w:pPr>
      <w:r>
        <w:rPr>
          <w:rFonts w:ascii="Garamond" w:hAnsi="Garamond" w:cs="Garamond"/>
          <w:spacing w:val="6"/>
          <w:sz w:val="23"/>
          <w:szCs w:val="23"/>
        </w:rPr>
        <w:t>CERTIFICATE OF NEED STANDARDS AND CRITERIA</w:t>
      </w:r>
      <w:r>
        <w:rPr>
          <w:rFonts w:ascii="Garamond" w:hAnsi="Garamond" w:cs="Garamond"/>
          <w:spacing w:val="6"/>
          <w:sz w:val="23"/>
          <w:szCs w:val="23"/>
        </w:rPr>
        <w:br/>
      </w:r>
      <w:r>
        <w:rPr>
          <w:i/>
          <w:iCs/>
          <w:w w:val="105"/>
          <w:sz w:val="22"/>
          <w:szCs w:val="22"/>
        </w:rPr>
        <w:t>FOR</w:t>
      </w:r>
    </w:p>
    <w:p w:rsidR="00000000" w:rsidRDefault="00A31BB0">
      <w:pPr>
        <w:spacing w:before="252" w:line="201" w:lineRule="auto"/>
        <w:jc w:val="center"/>
        <w:rPr>
          <w:b/>
          <w:bCs/>
          <w:spacing w:val="2"/>
          <w:sz w:val="34"/>
          <w:szCs w:val="34"/>
        </w:rPr>
      </w:pPr>
      <w:r>
        <w:rPr>
          <w:b/>
          <w:bCs/>
          <w:spacing w:val="2"/>
          <w:sz w:val="34"/>
          <w:szCs w:val="34"/>
        </w:rPr>
        <w:t>POSITRON EMISSION TOMOGRAPHY SERVICES</w:t>
      </w:r>
    </w:p>
    <w:p w:rsidR="00000000" w:rsidRDefault="00A31BB0">
      <w:pPr>
        <w:spacing w:before="288"/>
        <w:ind w:right="288"/>
        <w:jc w:val="both"/>
        <w:rPr>
          <w:spacing w:val="4"/>
          <w:sz w:val="22"/>
          <w:szCs w:val="22"/>
        </w:rPr>
      </w:pPr>
      <w:r>
        <w:rPr>
          <w:spacing w:val="7"/>
          <w:sz w:val="22"/>
          <w:szCs w:val="22"/>
        </w:rPr>
        <w:t xml:space="preserve">The Health Services and Development Agency (HSDA) may consider the following </w:t>
      </w:r>
      <w:r>
        <w:rPr>
          <w:spacing w:val="3"/>
          <w:sz w:val="22"/>
          <w:szCs w:val="22"/>
        </w:rPr>
        <w:t xml:space="preserve">standards and criteria for applications seeking to provide Positron Emission Tomography </w:t>
      </w:r>
      <w:r>
        <w:rPr>
          <w:spacing w:val="7"/>
          <w:sz w:val="22"/>
          <w:szCs w:val="22"/>
        </w:rPr>
        <w:t xml:space="preserve">(PET) services. Existing providers of PET services are not affected by these standards </w:t>
      </w:r>
      <w:r>
        <w:rPr>
          <w:spacing w:val="6"/>
          <w:sz w:val="22"/>
          <w:szCs w:val="22"/>
        </w:rPr>
        <w:t xml:space="preserve">and </w:t>
      </w:r>
      <w:r>
        <w:rPr>
          <w:spacing w:val="6"/>
          <w:sz w:val="22"/>
          <w:szCs w:val="22"/>
        </w:rPr>
        <w:t xml:space="preserve">criteria unless they take an action that requires a new certificate of need (CON) for </w:t>
      </w:r>
      <w:r>
        <w:rPr>
          <w:spacing w:val="4"/>
          <w:sz w:val="22"/>
          <w:szCs w:val="22"/>
        </w:rPr>
        <w:t>PET services.</w:t>
      </w:r>
    </w:p>
    <w:p w:rsidR="00000000" w:rsidRDefault="00A31BB0">
      <w:pPr>
        <w:spacing w:before="216"/>
        <w:ind w:right="288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These standards and criteria are effective immediately as of November 18, 2009, the date </w:t>
      </w:r>
      <w:r>
        <w:rPr>
          <w:spacing w:val="9"/>
          <w:sz w:val="22"/>
          <w:szCs w:val="22"/>
        </w:rPr>
        <w:t xml:space="preserve">of approval and adoption by the governor of the State Health Plan. Applications to </w:t>
      </w:r>
      <w:r>
        <w:rPr>
          <w:spacing w:val="5"/>
          <w:sz w:val="22"/>
          <w:szCs w:val="22"/>
        </w:rPr>
        <w:t>provide PET services that were deemed complete by HSDA prior to this date shall be considered under the Guidelines for Growth, 2000 Edition.</w:t>
      </w:r>
    </w:p>
    <w:p w:rsidR="00000000" w:rsidRDefault="00A31BB0">
      <w:pPr>
        <w:spacing w:before="576" w:line="206" w:lineRule="auto"/>
        <w:rPr>
          <w:b/>
          <w:bCs/>
          <w:w w:val="105"/>
          <w:sz w:val="25"/>
          <w:szCs w:val="25"/>
        </w:rPr>
      </w:pPr>
      <w:r>
        <w:rPr>
          <w:b/>
          <w:bCs/>
          <w:w w:val="105"/>
          <w:sz w:val="25"/>
          <w:szCs w:val="25"/>
        </w:rPr>
        <w:t>Definitions</w:t>
      </w:r>
    </w:p>
    <w:p w:rsidR="00000000" w:rsidRDefault="00A31BB0">
      <w:pPr>
        <w:spacing w:before="288"/>
        <w:ind w:right="288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2"/>
          <w:sz w:val="23"/>
          <w:szCs w:val="23"/>
        </w:rPr>
        <w:t>Positron Emission To</w:t>
      </w:r>
      <w:r>
        <w:rPr>
          <w:rFonts w:ascii="Garamond" w:hAnsi="Garamond" w:cs="Garamond"/>
          <w:spacing w:val="2"/>
          <w:sz w:val="23"/>
          <w:szCs w:val="23"/>
        </w:rPr>
        <w:t xml:space="preserve">mography (PET): </w:t>
      </w:r>
      <w:r>
        <w:rPr>
          <w:spacing w:val="12"/>
          <w:sz w:val="22"/>
          <w:szCs w:val="22"/>
        </w:rPr>
        <w:t xml:space="preserve">A noninvasive diagnostic imaging procedure </w:t>
      </w:r>
      <w:r>
        <w:rPr>
          <w:spacing w:val="3"/>
          <w:sz w:val="22"/>
          <w:szCs w:val="22"/>
        </w:rPr>
        <w:t xml:space="preserve">that assesses the level of metabolic activity and perfusion in various organ systems of the </w:t>
      </w:r>
      <w:r>
        <w:rPr>
          <w:spacing w:val="9"/>
          <w:sz w:val="22"/>
          <w:szCs w:val="22"/>
        </w:rPr>
        <w:t xml:space="preserve">human body (source: The Centers for Medicare and Medicaid Services). PET differs </w:t>
      </w:r>
      <w:r>
        <w:rPr>
          <w:spacing w:val="2"/>
          <w:sz w:val="22"/>
          <w:szCs w:val="22"/>
        </w:rPr>
        <w:t>from other nuclear medic</w:t>
      </w:r>
      <w:r>
        <w:rPr>
          <w:spacing w:val="2"/>
          <w:sz w:val="22"/>
          <w:szCs w:val="22"/>
        </w:rPr>
        <w:t xml:space="preserve">ine modalities in the type of radiation emitted and in the type of </w:t>
      </w:r>
      <w:r>
        <w:rPr>
          <w:spacing w:val="4"/>
          <w:sz w:val="22"/>
          <w:szCs w:val="22"/>
        </w:rPr>
        <w:t xml:space="preserve">scanner required to detect it. By measuring the distributions of certain radiotracers in the </w:t>
      </w:r>
      <w:r>
        <w:rPr>
          <w:spacing w:val="1"/>
          <w:sz w:val="22"/>
          <w:szCs w:val="22"/>
        </w:rPr>
        <w:t xml:space="preserve">body some time after they have been administered, PET can be used to diagnose physical </w:t>
      </w:r>
      <w:r>
        <w:rPr>
          <w:spacing w:val="4"/>
          <w:sz w:val="22"/>
          <w:szCs w:val="22"/>
        </w:rPr>
        <w:t>abnormali</w:t>
      </w:r>
      <w:r>
        <w:rPr>
          <w:spacing w:val="4"/>
          <w:sz w:val="22"/>
          <w:szCs w:val="22"/>
        </w:rPr>
        <w:t>ties and to study body functions in normal subjects.</w:t>
      </w:r>
    </w:p>
    <w:p w:rsidR="00000000" w:rsidRDefault="00A31BB0">
      <w:pPr>
        <w:spacing w:before="288" w:after="360"/>
        <w:ind w:right="288"/>
        <w:jc w:val="both"/>
        <w:rPr>
          <w:spacing w:val="11"/>
          <w:sz w:val="22"/>
          <w:szCs w:val="22"/>
        </w:rPr>
      </w:pPr>
      <w:r>
        <w:rPr>
          <w:rFonts w:ascii="Garamond" w:hAnsi="Garamond" w:cs="Garamond"/>
          <w:spacing w:val="-4"/>
          <w:sz w:val="23"/>
          <w:szCs w:val="23"/>
        </w:rPr>
        <w:t xml:space="preserve">PET Unit: </w:t>
      </w:r>
      <w:r>
        <w:rPr>
          <w:spacing w:val="6"/>
          <w:sz w:val="22"/>
          <w:szCs w:val="22"/>
        </w:rPr>
        <w:t xml:space="preserve">Diagnostic equipment (often referred to as a "scanner") that uses a positron </w:t>
      </w:r>
      <w:r>
        <w:rPr>
          <w:spacing w:val="2"/>
          <w:sz w:val="22"/>
          <w:szCs w:val="22"/>
        </w:rPr>
        <w:t xml:space="preserve">camera (tomograph) to produce cross-sectional tomographic images (this process is often </w:t>
      </w:r>
      <w:r>
        <w:rPr>
          <w:spacing w:val="9"/>
          <w:sz w:val="22"/>
          <w:szCs w:val="22"/>
        </w:rPr>
        <w:t>referred to as a "scan"). Th</w:t>
      </w:r>
      <w:r>
        <w:rPr>
          <w:spacing w:val="9"/>
          <w:sz w:val="22"/>
          <w:szCs w:val="22"/>
        </w:rPr>
        <w:t xml:space="preserve">e images are obtained from positron emitting radioactive </w:t>
      </w:r>
      <w:r>
        <w:rPr>
          <w:spacing w:val="8"/>
          <w:sz w:val="22"/>
          <w:szCs w:val="22"/>
        </w:rPr>
        <w:t xml:space="preserve">tracer substances (radiopharmaceuticals) such as 2-(F-18) Fluoro-D-Glucose (FDG) </w:t>
      </w:r>
      <w:r>
        <w:rPr>
          <w:spacing w:val="11"/>
          <w:sz w:val="22"/>
          <w:szCs w:val="22"/>
        </w:rPr>
        <w:t>which are administered intravenously to the patient. The radioactive tracers may be</w:t>
      </w:r>
    </w:p>
    <w:p w:rsidR="00000000" w:rsidRDefault="00A31BB0">
      <w:pPr>
        <w:spacing w:before="36"/>
        <w:ind w:right="172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10505" cy="0"/>
                <wp:effectExtent l="0" t="0" r="0" b="0"/>
                <wp:wrapSquare wrapText="bothSides"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18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eY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</w:t>
      </w:r>
      <w:r>
        <w:rPr>
          <w:sz w:val="19"/>
          <w:szCs w:val="19"/>
        </w:rPr>
        <w:t xml:space="preserve"> Criteria (Appendices A and B to the State Health Plan) Page 1</w:t>
      </w:r>
    </w:p>
    <w:p w:rsidR="00000000" w:rsidRDefault="00A31BB0">
      <w:pPr>
        <w:widowControl/>
        <w:kinsoku/>
        <w:autoSpaceDE w:val="0"/>
        <w:autoSpaceDN w:val="0"/>
        <w:adjustRightInd w:val="0"/>
        <w:sectPr w:rsidR="00000000">
          <w:footerReference w:type="default" r:id="rId10"/>
          <w:pgSz w:w="12240" w:h="15840"/>
          <w:pgMar w:top="1680" w:right="1652" w:bottom="770" w:left="1914" w:header="720" w:footer="0" w:gutter="0"/>
          <w:cols w:space="720"/>
          <w:noEndnote/>
        </w:sectPr>
      </w:pPr>
    </w:p>
    <w:p w:rsidR="00000000" w:rsidRDefault="00A31BB0">
      <w:pPr>
        <w:ind w:left="144" w:right="144"/>
        <w:jc w:val="both"/>
        <w:rPr>
          <w:spacing w:val="3"/>
          <w:sz w:val="22"/>
          <w:szCs w:val="22"/>
        </w:rPr>
      </w:pPr>
      <w:r>
        <w:rPr>
          <w:spacing w:val="4"/>
          <w:sz w:val="22"/>
          <w:szCs w:val="22"/>
        </w:rPr>
        <w:lastRenderedPageBreak/>
        <w:t xml:space="preserve">produced on-site, e.g. with a cyclotron, or may be ordered from commercial distributors. </w:t>
      </w:r>
      <w:r>
        <w:rPr>
          <w:spacing w:val="3"/>
          <w:sz w:val="22"/>
          <w:szCs w:val="22"/>
        </w:rPr>
        <w:t>As a result, factors such as equipment cost, geographic distribution and availabilit</w:t>
      </w:r>
      <w:r>
        <w:rPr>
          <w:spacing w:val="3"/>
          <w:sz w:val="22"/>
          <w:szCs w:val="22"/>
        </w:rPr>
        <w:t xml:space="preserve">y of </w:t>
      </w:r>
      <w:r>
        <w:rPr>
          <w:spacing w:val="5"/>
          <w:sz w:val="22"/>
          <w:szCs w:val="22"/>
        </w:rPr>
        <w:t xml:space="preserve">distributors, and other related factors (regulatory compliance/certification) should be </w:t>
      </w:r>
      <w:r>
        <w:rPr>
          <w:spacing w:val="3"/>
          <w:sz w:val="22"/>
          <w:szCs w:val="22"/>
        </w:rPr>
        <w:t>considered by the Agency in its review of all PET applications.</w:t>
      </w:r>
    </w:p>
    <w:p w:rsidR="00000000" w:rsidRDefault="00A31BB0">
      <w:pPr>
        <w:spacing w:before="288"/>
        <w:ind w:left="144" w:right="144"/>
        <w:jc w:val="both"/>
        <w:rPr>
          <w:spacing w:val="2"/>
          <w:sz w:val="22"/>
          <w:szCs w:val="22"/>
        </w:rPr>
      </w:pPr>
      <w:r>
        <w:rPr>
          <w:spacing w:val="5"/>
          <w:sz w:val="22"/>
          <w:szCs w:val="22"/>
        </w:rPr>
        <w:t xml:space="preserve">First developed in the 1970s, initial PET scanners were dedicated machines performing </w:t>
      </w:r>
      <w:r>
        <w:rPr>
          <w:spacing w:val="8"/>
          <w:sz w:val="22"/>
          <w:szCs w:val="22"/>
        </w:rPr>
        <w:t>only that ser</w:t>
      </w:r>
      <w:r>
        <w:rPr>
          <w:spacing w:val="8"/>
          <w:sz w:val="22"/>
          <w:szCs w:val="22"/>
        </w:rPr>
        <w:t xml:space="preserve">vice. PET scanners can be either fixed (stationary) or mobile. Current </w:t>
      </w:r>
      <w:r>
        <w:rPr>
          <w:spacing w:val="13"/>
          <w:sz w:val="22"/>
          <w:szCs w:val="22"/>
        </w:rPr>
        <w:t xml:space="preserve">technological adaptations include hybrid machines, such as combined PET-CT </w:t>
      </w:r>
      <w:r>
        <w:rPr>
          <w:spacing w:val="6"/>
          <w:sz w:val="22"/>
          <w:szCs w:val="22"/>
        </w:rPr>
        <w:t xml:space="preserve">(computed tomography) scanners that are capable of performing a variety of nuclear </w:t>
      </w:r>
      <w:r>
        <w:rPr>
          <w:spacing w:val="2"/>
          <w:sz w:val="22"/>
          <w:szCs w:val="22"/>
        </w:rPr>
        <w:t>medicine studies.</w:t>
      </w:r>
    </w:p>
    <w:p w:rsidR="00000000" w:rsidRDefault="00A31BB0">
      <w:pPr>
        <w:spacing w:before="288"/>
        <w:ind w:left="144" w:right="144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3"/>
        </w:rPr>
        <w:t xml:space="preserve">PET Procedure: </w:t>
      </w:r>
      <w:r>
        <w:rPr>
          <w:spacing w:val="3"/>
          <w:sz w:val="22"/>
          <w:szCs w:val="22"/>
        </w:rPr>
        <w:t xml:space="preserve">A PET diagnostic scan or combination of scans performed on a single </w:t>
      </w:r>
      <w:r>
        <w:rPr>
          <w:spacing w:val="8"/>
          <w:sz w:val="22"/>
          <w:szCs w:val="22"/>
        </w:rPr>
        <w:t xml:space="preserve">patient during a single visit. The Health Services and Development Agency (HSDA) </w:t>
      </w:r>
      <w:r>
        <w:rPr>
          <w:spacing w:val="3"/>
          <w:sz w:val="22"/>
          <w:szCs w:val="22"/>
        </w:rPr>
        <w:t>shall be responsible for setting reporting requirements consistent with this definition.</w:t>
      </w:r>
    </w:p>
    <w:p w:rsidR="00000000" w:rsidRDefault="00A31BB0">
      <w:pPr>
        <w:spacing w:before="288"/>
        <w:jc w:val="center"/>
        <w:rPr>
          <w:spacing w:val="5"/>
          <w:sz w:val="22"/>
          <w:szCs w:val="22"/>
        </w:rPr>
      </w:pPr>
      <w:r>
        <w:rPr>
          <w:rFonts w:ascii="Garamond" w:hAnsi="Garamond" w:cs="Garamond"/>
          <w:spacing w:val="5"/>
        </w:rPr>
        <w:t>Sta</w:t>
      </w:r>
      <w:r>
        <w:rPr>
          <w:rFonts w:ascii="Garamond" w:hAnsi="Garamond" w:cs="Garamond"/>
          <w:spacing w:val="5"/>
        </w:rPr>
        <w:t xml:space="preserve">tionary PET Unit: </w:t>
      </w:r>
      <w:r>
        <w:rPr>
          <w:spacing w:val="5"/>
          <w:sz w:val="22"/>
          <w:szCs w:val="22"/>
        </w:rPr>
        <w:t>A non-moveable PET unit housed at a single permanent location.</w:t>
      </w:r>
    </w:p>
    <w:p w:rsidR="00000000" w:rsidRDefault="00A31BB0">
      <w:pPr>
        <w:spacing w:before="216"/>
        <w:ind w:left="144" w:right="144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6"/>
        </w:rPr>
        <w:t xml:space="preserve">Mobile PET Unit: </w:t>
      </w:r>
      <w:r>
        <w:rPr>
          <w:spacing w:val="6"/>
          <w:sz w:val="22"/>
          <w:szCs w:val="22"/>
        </w:rPr>
        <w:t xml:space="preserve">A PET unit and transporting equipment that is moved to provide </w:t>
      </w:r>
      <w:r>
        <w:rPr>
          <w:spacing w:val="9"/>
          <w:sz w:val="22"/>
          <w:szCs w:val="22"/>
        </w:rPr>
        <w:t xml:space="preserve">services at two or more host facilities, including facilities located in adjoining or </w:t>
      </w:r>
      <w:r>
        <w:rPr>
          <w:spacing w:val="3"/>
          <w:sz w:val="22"/>
          <w:szCs w:val="22"/>
        </w:rPr>
        <w:t>contiguous states of the Continental United States.</w:t>
      </w:r>
    </w:p>
    <w:p w:rsidR="00000000" w:rsidRDefault="00A31BB0">
      <w:pPr>
        <w:spacing w:before="288"/>
        <w:ind w:left="144" w:right="144"/>
        <w:rPr>
          <w:spacing w:val="3"/>
          <w:sz w:val="22"/>
          <w:szCs w:val="22"/>
        </w:rPr>
      </w:pPr>
      <w:r>
        <w:rPr>
          <w:rFonts w:ascii="Garamond" w:hAnsi="Garamond" w:cs="Garamond"/>
          <w:spacing w:val="8"/>
        </w:rPr>
        <w:t xml:space="preserve">Capacity: </w:t>
      </w:r>
      <w:r>
        <w:rPr>
          <w:spacing w:val="8"/>
          <w:sz w:val="22"/>
          <w:szCs w:val="22"/>
        </w:rPr>
        <w:t xml:space="preserve">The measure of the maximum number of PET scans per PET unit per year </w:t>
      </w:r>
      <w:r>
        <w:rPr>
          <w:spacing w:val="3"/>
          <w:sz w:val="22"/>
          <w:szCs w:val="22"/>
        </w:rPr>
        <w:t>based upon the type of PET equipment to be used (i.e., stationary or mobile).</w:t>
      </w:r>
    </w:p>
    <w:p w:rsidR="00000000" w:rsidRDefault="00A31BB0">
      <w:pPr>
        <w:spacing w:before="252"/>
        <w:ind w:left="144" w:right="144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11"/>
        </w:rPr>
        <w:t xml:space="preserve">Stationary PET Unit Capacity: </w:t>
      </w:r>
      <w:r>
        <w:rPr>
          <w:spacing w:val="11"/>
          <w:sz w:val="22"/>
          <w:szCs w:val="22"/>
        </w:rPr>
        <w:t>Total capacity of</w:t>
      </w:r>
      <w:r>
        <w:rPr>
          <w:spacing w:val="11"/>
          <w:sz w:val="22"/>
          <w:szCs w:val="22"/>
        </w:rPr>
        <w:t xml:space="preserve"> a stationary PET unit is 2,000 </w:t>
      </w:r>
      <w:r>
        <w:rPr>
          <w:spacing w:val="2"/>
          <w:sz w:val="22"/>
          <w:szCs w:val="22"/>
        </w:rPr>
        <w:t xml:space="preserve">procedures per year and is based upon a daily operating efficiency of eight procedures per </w:t>
      </w:r>
      <w:r>
        <w:rPr>
          <w:spacing w:val="4"/>
          <w:sz w:val="22"/>
          <w:szCs w:val="22"/>
        </w:rPr>
        <w:t xml:space="preserve">day x 250 days of operation per year. The optimal efficiency for a stationary PET unit is </w:t>
      </w:r>
      <w:r>
        <w:rPr>
          <w:spacing w:val="3"/>
          <w:sz w:val="22"/>
          <w:szCs w:val="22"/>
        </w:rPr>
        <w:t>80 percent of total capacity, or 1,600 proc</w:t>
      </w:r>
      <w:r>
        <w:rPr>
          <w:spacing w:val="3"/>
          <w:sz w:val="22"/>
          <w:szCs w:val="22"/>
        </w:rPr>
        <w:t>edures per year.</w:t>
      </w:r>
    </w:p>
    <w:p w:rsidR="00000000" w:rsidRDefault="00A31BB0">
      <w:pPr>
        <w:spacing w:before="288"/>
        <w:ind w:left="144" w:right="144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8"/>
        </w:rPr>
        <w:t xml:space="preserve">Mobile PET Unit Capacity: </w:t>
      </w:r>
      <w:r>
        <w:rPr>
          <w:spacing w:val="8"/>
          <w:sz w:val="22"/>
          <w:szCs w:val="22"/>
        </w:rPr>
        <w:t xml:space="preserve">Total capacity of a mobile PET scanner is 400 annual </w:t>
      </w:r>
      <w:r>
        <w:rPr>
          <w:spacing w:val="5"/>
          <w:sz w:val="22"/>
          <w:szCs w:val="22"/>
        </w:rPr>
        <w:t xml:space="preserve">procedures per day of operation per week and is based upon a daily operating efficiency </w:t>
      </w:r>
      <w:r>
        <w:rPr>
          <w:spacing w:val="10"/>
          <w:sz w:val="22"/>
          <w:szCs w:val="22"/>
        </w:rPr>
        <w:t>of at least eight (8) procedures per day x number of days in operation p</w:t>
      </w:r>
      <w:r>
        <w:rPr>
          <w:spacing w:val="10"/>
          <w:sz w:val="22"/>
          <w:szCs w:val="22"/>
        </w:rPr>
        <w:t xml:space="preserve">er week x </w:t>
      </w:r>
      <w:r>
        <w:rPr>
          <w:spacing w:val="4"/>
          <w:sz w:val="22"/>
          <w:szCs w:val="22"/>
        </w:rPr>
        <w:t xml:space="preserve">approximately 50 weeks per year. The optimal efficiency of a mobile PET unit is based </w:t>
      </w:r>
      <w:r>
        <w:rPr>
          <w:spacing w:val="5"/>
          <w:sz w:val="22"/>
          <w:szCs w:val="22"/>
        </w:rPr>
        <w:t xml:space="preserve">upon the number of days per week that it is in operation. For each day of operation per </w:t>
      </w:r>
      <w:r>
        <w:rPr>
          <w:spacing w:val="3"/>
          <w:sz w:val="22"/>
          <w:szCs w:val="22"/>
        </w:rPr>
        <w:t>week, the optimal efficiency is 320 procedures per year, or 80 percent o</w:t>
      </w:r>
      <w:r>
        <w:rPr>
          <w:spacing w:val="3"/>
          <w:sz w:val="22"/>
          <w:szCs w:val="22"/>
        </w:rPr>
        <w:t>f total capacity.</w:t>
      </w:r>
    </w:p>
    <w:p w:rsidR="00000000" w:rsidRDefault="00A31BB0">
      <w:pPr>
        <w:spacing w:before="288"/>
        <w:ind w:left="144" w:right="144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8"/>
        </w:rPr>
        <w:t xml:space="preserve">PET Unit Service Area: </w:t>
      </w:r>
      <w:r>
        <w:rPr>
          <w:spacing w:val="8"/>
          <w:sz w:val="22"/>
          <w:szCs w:val="22"/>
        </w:rPr>
        <w:t xml:space="preserve">The counties, or portions thereof, representing a reasonable </w:t>
      </w:r>
      <w:r>
        <w:rPr>
          <w:spacing w:val="2"/>
          <w:sz w:val="22"/>
          <w:szCs w:val="22"/>
        </w:rPr>
        <w:t xml:space="preserve">area in which a health care institution intends to provide PET unit services, including, but </w:t>
      </w:r>
      <w:r>
        <w:rPr>
          <w:spacing w:val="6"/>
          <w:sz w:val="22"/>
          <w:szCs w:val="22"/>
        </w:rPr>
        <w:t>not limited to, oncology and cardiology diagnostic and treatm</w:t>
      </w:r>
      <w:r>
        <w:rPr>
          <w:spacing w:val="6"/>
          <w:sz w:val="22"/>
          <w:szCs w:val="22"/>
        </w:rPr>
        <w:t xml:space="preserve">ent services, and in which </w:t>
      </w:r>
      <w:r>
        <w:rPr>
          <w:spacing w:val="5"/>
          <w:sz w:val="22"/>
          <w:szCs w:val="22"/>
        </w:rPr>
        <w:t xml:space="preserve">at least 75% of its service recipients reside. A PET unit should be located at a site that </w:t>
      </w:r>
      <w:r>
        <w:rPr>
          <w:spacing w:val="3"/>
          <w:sz w:val="22"/>
          <w:szCs w:val="22"/>
        </w:rPr>
        <w:t>allows reasonable access for residents of the service area.</w:t>
      </w:r>
    </w:p>
    <w:p w:rsidR="00000000" w:rsidRDefault="00A31BB0">
      <w:pPr>
        <w:spacing w:before="252" w:after="468"/>
        <w:ind w:left="144" w:right="144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8"/>
        </w:rPr>
        <w:t xml:space="preserve">Service Area Capacity: </w:t>
      </w:r>
      <w:r>
        <w:rPr>
          <w:spacing w:val="8"/>
          <w:sz w:val="22"/>
          <w:szCs w:val="22"/>
        </w:rPr>
        <w:t>The estimate of the number of PET units needed in a giv</w:t>
      </w:r>
      <w:r>
        <w:rPr>
          <w:spacing w:val="8"/>
          <w:sz w:val="22"/>
          <w:szCs w:val="22"/>
        </w:rPr>
        <w:t xml:space="preserve">en </w:t>
      </w:r>
      <w:r>
        <w:rPr>
          <w:spacing w:val="6"/>
          <w:sz w:val="22"/>
          <w:szCs w:val="22"/>
        </w:rPr>
        <w:t xml:space="preserve">service area. The estimate is based upon an optimal efficiency of 1,600 procedures per </w:t>
      </w:r>
      <w:r>
        <w:rPr>
          <w:spacing w:val="3"/>
          <w:sz w:val="22"/>
          <w:szCs w:val="22"/>
        </w:rPr>
        <w:t xml:space="preserve">year for a stationary PET unit and an optimal efficiency of 320 annual procedures per day </w:t>
      </w:r>
      <w:r>
        <w:rPr>
          <w:spacing w:val="4"/>
          <w:sz w:val="22"/>
          <w:szCs w:val="22"/>
        </w:rPr>
        <w:t>of operation per week for a mobile PET unit, and the quantitative estimate o</w:t>
      </w:r>
      <w:r>
        <w:rPr>
          <w:spacing w:val="4"/>
          <w:sz w:val="22"/>
          <w:szCs w:val="22"/>
        </w:rPr>
        <w:t>f the number</w:t>
      </w:r>
    </w:p>
    <w:p w:rsidR="00000000" w:rsidRDefault="00A31BB0">
      <w:pPr>
        <w:spacing w:before="36" w:line="278" w:lineRule="auto"/>
        <w:ind w:left="144" w:right="1584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6985</wp:posOffset>
                </wp:positionV>
                <wp:extent cx="5310505" cy="0"/>
                <wp:effectExtent l="0" t="0" r="0" b="0"/>
                <wp:wrapSquare wrapText="bothSides"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95pt,.55pt" to="424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CfEgIAACk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rFonts w:ascii="Tahoma" w:hAnsi="Tahoma" w:cs="Tahoma"/>
          <w:spacing w:val="5"/>
          <w:sz w:val="16"/>
          <w:szCs w:val="16"/>
        </w:rPr>
        <w:t xml:space="preserve">Certificate of Need Standards and Criteria (Appendices A and B to the State Health Plan) </w:t>
      </w:r>
      <w:r>
        <w:rPr>
          <w:rFonts w:ascii="Tahoma" w:hAnsi="Tahoma" w:cs="Tahoma"/>
          <w:sz w:val="16"/>
          <w:szCs w:val="16"/>
        </w:rPr>
        <w:t>Page 2</w:t>
      </w:r>
    </w:p>
    <w:p w:rsidR="00000000" w:rsidRDefault="00A31BB0">
      <w:pPr>
        <w:widowControl/>
        <w:kinsoku/>
        <w:autoSpaceDE w:val="0"/>
        <w:autoSpaceDN w:val="0"/>
        <w:adjustRightInd w:val="0"/>
        <w:sectPr w:rsidR="00000000">
          <w:footerReference w:type="default" r:id="rId11"/>
          <w:pgSz w:w="12240" w:h="15840"/>
          <w:pgMar w:top="1680" w:right="1773" w:bottom="790" w:left="1793" w:header="720" w:footer="0" w:gutter="0"/>
          <w:cols w:space="720"/>
          <w:noEndnote/>
        </w:sectPr>
      </w:pPr>
    </w:p>
    <w:p w:rsidR="00000000" w:rsidRDefault="00A31BB0">
      <w:pPr>
        <w:ind w:left="144" w:right="144"/>
        <w:rPr>
          <w:spacing w:val="5"/>
          <w:sz w:val="22"/>
          <w:szCs w:val="22"/>
        </w:rPr>
      </w:pPr>
      <w:r>
        <w:rPr>
          <w:spacing w:val="3"/>
          <w:sz w:val="22"/>
          <w:szCs w:val="22"/>
        </w:rPr>
        <w:lastRenderedPageBreak/>
        <w:t xml:space="preserve">of patients who potentially could benefit from PET diagnostic services, especially those </w:t>
      </w:r>
      <w:r>
        <w:rPr>
          <w:spacing w:val="5"/>
          <w:sz w:val="22"/>
          <w:szCs w:val="22"/>
        </w:rPr>
        <w:t xml:space="preserve">patients pertaining to the following </w:t>
      </w:r>
      <w:r>
        <w:rPr>
          <w:spacing w:val="5"/>
          <w:sz w:val="22"/>
          <w:szCs w:val="22"/>
        </w:rPr>
        <w:t>categories:</w:t>
      </w:r>
    </w:p>
    <w:p w:rsidR="00000000" w:rsidRDefault="00A31BB0">
      <w:pPr>
        <w:numPr>
          <w:ilvl w:val="0"/>
          <w:numId w:val="1"/>
        </w:numPr>
        <w:tabs>
          <w:tab w:val="clear" w:pos="432"/>
          <w:tab w:val="num" w:pos="936"/>
        </w:tabs>
        <w:spacing w:before="252"/>
        <w:ind w:right="144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those patients where the use of PET unit services is essential to the diagnosis, </w:t>
      </w:r>
      <w:r>
        <w:rPr>
          <w:sz w:val="22"/>
          <w:szCs w:val="22"/>
        </w:rPr>
        <w:t xml:space="preserve">treatment, or surveillance of cancer, including, but not limited to, diagnosis codes </w:t>
      </w:r>
      <w:r>
        <w:rPr>
          <w:spacing w:val="5"/>
          <w:sz w:val="22"/>
          <w:szCs w:val="22"/>
        </w:rPr>
        <w:t>approved by the Centers for Medicare and Medicaid Services (CMS);</w:t>
      </w:r>
    </w:p>
    <w:p w:rsidR="00000000" w:rsidRDefault="00A31BB0">
      <w:pPr>
        <w:numPr>
          <w:ilvl w:val="0"/>
          <w:numId w:val="1"/>
        </w:numPr>
        <w:tabs>
          <w:tab w:val="clear" w:pos="432"/>
          <w:tab w:val="num" w:pos="936"/>
        </w:tabs>
        <w:spacing w:before="36"/>
        <w:ind w:right="144"/>
        <w:rPr>
          <w:spacing w:val="5"/>
          <w:sz w:val="22"/>
          <w:szCs w:val="22"/>
        </w:rPr>
      </w:pPr>
      <w:r>
        <w:rPr>
          <w:spacing w:val="2"/>
          <w:sz w:val="22"/>
          <w:szCs w:val="22"/>
        </w:rPr>
        <w:t>those pa</w:t>
      </w:r>
      <w:r>
        <w:rPr>
          <w:spacing w:val="2"/>
          <w:sz w:val="22"/>
          <w:szCs w:val="22"/>
        </w:rPr>
        <w:t xml:space="preserve">tients who are either non-emergent candidates for open heart surgery or </w:t>
      </w:r>
      <w:r>
        <w:rPr>
          <w:spacing w:val="5"/>
          <w:sz w:val="22"/>
          <w:szCs w:val="22"/>
        </w:rPr>
        <w:t>therapeutic cardiac catheterization procedures;</w:t>
      </w:r>
    </w:p>
    <w:p w:rsidR="00000000" w:rsidRDefault="00A31BB0">
      <w:pPr>
        <w:numPr>
          <w:ilvl w:val="0"/>
          <w:numId w:val="1"/>
        </w:numPr>
        <w:tabs>
          <w:tab w:val="clear" w:pos="432"/>
          <w:tab w:val="num" w:pos="936"/>
        </w:tabs>
        <w:ind w:right="144"/>
        <w:rPr>
          <w:spacing w:val="4"/>
          <w:sz w:val="22"/>
          <w:szCs w:val="22"/>
        </w:rPr>
      </w:pPr>
      <w:r>
        <w:rPr>
          <w:spacing w:val="5"/>
          <w:sz w:val="22"/>
          <w:szCs w:val="22"/>
        </w:rPr>
        <w:t xml:space="preserve">those patients with a diagnosis of partial complex epilepsy for whom surgical </w:t>
      </w:r>
      <w:r>
        <w:rPr>
          <w:spacing w:val="4"/>
          <w:sz w:val="22"/>
          <w:szCs w:val="22"/>
        </w:rPr>
        <w:t>intervention is being considered; and</w:t>
      </w:r>
    </w:p>
    <w:p w:rsidR="00000000" w:rsidRDefault="00A31BB0">
      <w:pPr>
        <w:numPr>
          <w:ilvl w:val="0"/>
          <w:numId w:val="1"/>
        </w:numPr>
        <w:tabs>
          <w:tab w:val="clear" w:pos="432"/>
          <w:tab w:val="num" w:pos="936"/>
        </w:tabs>
        <w:ind w:right="144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 xml:space="preserve">any other patient population that may benefit from the accessibility to stationary </w:t>
      </w:r>
      <w:r>
        <w:rPr>
          <w:spacing w:val="6"/>
          <w:sz w:val="22"/>
          <w:szCs w:val="22"/>
        </w:rPr>
        <w:t xml:space="preserve">or mobile PET unit services as a result of expanded clinical applications and </w:t>
      </w:r>
      <w:r>
        <w:rPr>
          <w:spacing w:val="7"/>
          <w:sz w:val="22"/>
          <w:szCs w:val="22"/>
        </w:rPr>
        <w:t xml:space="preserve">changes in the reimbursement of PET service by third party payors, including </w:t>
      </w:r>
      <w:r>
        <w:rPr>
          <w:spacing w:val="5"/>
          <w:sz w:val="22"/>
          <w:szCs w:val="22"/>
        </w:rPr>
        <w:t>those pertaining to programs administered by the CMS.</w:t>
      </w:r>
    </w:p>
    <w:p w:rsidR="00000000" w:rsidRDefault="00A31BB0">
      <w:pPr>
        <w:spacing w:before="324"/>
        <w:ind w:left="144" w:right="144"/>
        <w:jc w:val="both"/>
        <w:rPr>
          <w:spacing w:val="4"/>
          <w:sz w:val="22"/>
          <w:szCs w:val="22"/>
        </w:rPr>
      </w:pPr>
      <w:r>
        <w:rPr>
          <w:spacing w:val="1"/>
          <w:sz w:val="22"/>
          <w:szCs w:val="22"/>
        </w:rPr>
        <w:t xml:space="preserve">In addition to the above determinants of service area capacity, applicants should consider </w:t>
      </w:r>
      <w:r>
        <w:rPr>
          <w:spacing w:val="5"/>
          <w:sz w:val="22"/>
          <w:szCs w:val="22"/>
        </w:rPr>
        <w:t xml:space="preserve">demographic patterns, including the results of estimates of population health risk factors </w:t>
      </w:r>
      <w:r>
        <w:rPr>
          <w:spacing w:val="6"/>
          <w:sz w:val="22"/>
          <w:szCs w:val="22"/>
        </w:rPr>
        <w:t>and population-based</w:t>
      </w:r>
      <w:r>
        <w:rPr>
          <w:spacing w:val="6"/>
          <w:sz w:val="22"/>
          <w:szCs w:val="22"/>
        </w:rPr>
        <w:t xml:space="preserve"> cancer, heart disease, or other applicable clinical incidence rates. </w:t>
      </w:r>
      <w:r>
        <w:rPr>
          <w:spacing w:val="1"/>
          <w:sz w:val="22"/>
          <w:szCs w:val="22"/>
        </w:rPr>
        <w:t xml:space="preserve">The data should be consistent with data prepared by the Tennessee Department of Health. </w:t>
      </w:r>
      <w:r>
        <w:rPr>
          <w:spacing w:val="3"/>
          <w:sz w:val="22"/>
          <w:szCs w:val="22"/>
        </w:rPr>
        <w:t xml:space="preserve">Applicants should also document the extent, if any, of diagnostic oncology, cardiac and </w:t>
      </w:r>
      <w:r>
        <w:rPr>
          <w:spacing w:val="8"/>
          <w:sz w:val="22"/>
          <w:szCs w:val="22"/>
        </w:rPr>
        <w:t>neurologic</w:t>
      </w:r>
      <w:r>
        <w:rPr>
          <w:spacing w:val="8"/>
          <w:sz w:val="22"/>
          <w:szCs w:val="22"/>
        </w:rPr>
        <w:t xml:space="preserve">al medical services in the proposed service area in its determination of the </w:t>
      </w:r>
      <w:r>
        <w:rPr>
          <w:spacing w:val="4"/>
          <w:sz w:val="22"/>
          <w:szCs w:val="22"/>
        </w:rPr>
        <w:t>need for PET unit services.</w:t>
      </w:r>
    </w:p>
    <w:p w:rsidR="00000000" w:rsidRDefault="00A31BB0">
      <w:pPr>
        <w:spacing w:before="612" w:line="194" w:lineRule="auto"/>
        <w:ind w:left="144"/>
        <w:rPr>
          <w:rFonts w:ascii="Garamond" w:hAnsi="Garamond" w:cs="Garamond"/>
          <w:spacing w:val="10"/>
          <w:sz w:val="28"/>
          <w:szCs w:val="28"/>
        </w:rPr>
      </w:pPr>
      <w:r>
        <w:rPr>
          <w:rFonts w:ascii="Garamond" w:hAnsi="Garamond" w:cs="Garamond"/>
          <w:spacing w:val="10"/>
          <w:sz w:val="28"/>
          <w:szCs w:val="28"/>
        </w:rPr>
        <w:t>Standards and Criteria</w:t>
      </w:r>
    </w:p>
    <w:p w:rsidR="00000000" w:rsidRDefault="00A31BB0">
      <w:pPr>
        <w:numPr>
          <w:ilvl w:val="0"/>
          <w:numId w:val="2"/>
        </w:numPr>
        <w:tabs>
          <w:tab w:val="clear" w:pos="288"/>
          <w:tab w:val="num" w:pos="864"/>
        </w:tabs>
        <w:spacing w:before="288"/>
        <w:ind w:right="144"/>
        <w:jc w:val="both"/>
        <w:rPr>
          <w:spacing w:val="10"/>
          <w:sz w:val="22"/>
          <w:szCs w:val="22"/>
        </w:rPr>
      </w:pPr>
      <w:r>
        <w:rPr>
          <w:spacing w:val="5"/>
          <w:sz w:val="22"/>
          <w:szCs w:val="22"/>
        </w:rPr>
        <w:t xml:space="preserve">Applicants proposing a new stationary PET unit should project a minimum of at </w:t>
      </w:r>
      <w:r>
        <w:rPr>
          <w:spacing w:val="4"/>
          <w:sz w:val="22"/>
          <w:szCs w:val="22"/>
        </w:rPr>
        <w:t>least 1,000 PET procedures in the first year o</w:t>
      </w:r>
      <w:r>
        <w:rPr>
          <w:spacing w:val="4"/>
          <w:sz w:val="22"/>
          <w:szCs w:val="22"/>
        </w:rPr>
        <w:t xml:space="preserve">f service, building to a minimum of </w:t>
      </w:r>
      <w:r>
        <w:rPr>
          <w:spacing w:val="9"/>
          <w:sz w:val="22"/>
          <w:szCs w:val="22"/>
        </w:rPr>
        <w:t xml:space="preserve">1,600 procedures per year by the second year of service and for every year </w:t>
      </w:r>
      <w:r>
        <w:rPr>
          <w:spacing w:val="3"/>
          <w:sz w:val="22"/>
          <w:szCs w:val="22"/>
        </w:rPr>
        <w:t xml:space="preserve">thereafter. Providers proposing a mobile PET unit should project a minimum of at </w:t>
      </w:r>
      <w:r>
        <w:rPr>
          <w:spacing w:val="5"/>
          <w:sz w:val="22"/>
          <w:szCs w:val="22"/>
        </w:rPr>
        <w:t>least 133 mobile PET procedures in the first year of service per</w:t>
      </w:r>
      <w:r>
        <w:rPr>
          <w:spacing w:val="5"/>
          <w:sz w:val="22"/>
          <w:szCs w:val="22"/>
        </w:rPr>
        <w:t xml:space="preserve"> day of operation </w:t>
      </w:r>
      <w:r>
        <w:rPr>
          <w:spacing w:val="4"/>
          <w:sz w:val="22"/>
          <w:szCs w:val="22"/>
        </w:rPr>
        <w:t xml:space="preserve">per week, building to an annual minimum of 320 procedures per day of operation </w:t>
      </w:r>
      <w:r>
        <w:rPr>
          <w:spacing w:val="11"/>
          <w:sz w:val="22"/>
          <w:szCs w:val="22"/>
        </w:rPr>
        <w:t xml:space="preserve">per week by the second year of service and for every year thereafter. The </w:t>
      </w:r>
      <w:r>
        <w:rPr>
          <w:spacing w:val="7"/>
          <w:sz w:val="22"/>
          <w:szCs w:val="22"/>
        </w:rPr>
        <w:t xml:space="preserve">minimum number of procedures for a mobile PET unit should not exceed a total of 1600 </w:t>
      </w:r>
      <w:r>
        <w:rPr>
          <w:spacing w:val="7"/>
          <w:sz w:val="22"/>
          <w:szCs w:val="22"/>
        </w:rPr>
        <w:t xml:space="preserve">procedures per year if the unit is operated more than five (5) days per </w:t>
      </w:r>
      <w:r>
        <w:rPr>
          <w:spacing w:val="6"/>
          <w:sz w:val="22"/>
          <w:szCs w:val="22"/>
        </w:rPr>
        <w:t xml:space="preserve">week. The application for mobile and stationary units should include projections </w:t>
      </w:r>
      <w:r>
        <w:rPr>
          <w:spacing w:val="3"/>
          <w:sz w:val="22"/>
          <w:szCs w:val="22"/>
        </w:rPr>
        <w:t xml:space="preserve">of demographic patterns, including analysis of applicable population-based health </w:t>
      </w:r>
      <w:r>
        <w:rPr>
          <w:spacing w:val="8"/>
          <w:sz w:val="22"/>
          <w:szCs w:val="22"/>
        </w:rPr>
        <w:t>status factors and es</w:t>
      </w:r>
      <w:r>
        <w:rPr>
          <w:spacing w:val="8"/>
          <w:sz w:val="22"/>
          <w:szCs w:val="22"/>
        </w:rPr>
        <w:t xml:space="preserve">timated utilization by patient clinical diagnoses category </w:t>
      </w:r>
      <w:r>
        <w:rPr>
          <w:spacing w:val="10"/>
          <w:sz w:val="22"/>
          <w:szCs w:val="22"/>
        </w:rPr>
        <w:t>(ICD-9).</w:t>
      </w:r>
    </w:p>
    <w:p w:rsidR="00000000" w:rsidRDefault="00A31BB0">
      <w:pPr>
        <w:spacing w:before="396"/>
        <w:ind w:left="792" w:right="144"/>
        <w:rPr>
          <w:spacing w:val="5"/>
          <w:sz w:val="22"/>
          <w:szCs w:val="22"/>
        </w:rPr>
      </w:pPr>
      <w:r>
        <w:rPr>
          <w:spacing w:val="8"/>
          <w:sz w:val="22"/>
          <w:szCs w:val="22"/>
        </w:rPr>
        <w:t xml:space="preserve">For units with a combined utility, e.g., PET/CT units, only scans involving the </w:t>
      </w:r>
      <w:r>
        <w:rPr>
          <w:spacing w:val="5"/>
          <w:sz w:val="22"/>
          <w:szCs w:val="22"/>
        </w:rPr>
        <w:t>PET function will count towards the minimum number of procedures.</w:t>
      </w:r>
    </w:p>
    <w:p w:rsidR="00000000" w:rsidRDefault="00A31BB0">
      <w:pPr>
        <w:numPr>
          <w:ilvl w:val="0"/>
          <w:numId w:val="2"/>
        </w:numPr>
        <w:tabs>
          <w:tab w:val="clear" w:pos="288"/>
          <w:tab w:val="num" w:pos="864"/>
        </w:tabs>
        <w:spacing w:before="252" w:after="360"/>
        <w:ind w:right="144"/>
        <w:jc w:val="both"/>
        <w:rPr>
          <w:spacing w:val="8"/>
          <w:sz w:val="22"/>
          <w:szCs w:val="22"/>
        </w:rPr>
      </w:pPr>
      <w:r>
        <w:rPr>
          <w:spacing w:val="5"/>
          <w:sz w:val="22"/>
          <w:szCs w:val="22"/>
        </w:rPr>
        <w:t xml:space="preserve">All providers applying for a proposed </w:t>
      </w:r>
      <w:r>
        <w:rPr>
          <w:spacing w:val="5"/>
          <w:sz w:val="22"/>
          <w:szCs w:val="22"/>
        </w:rPr>
        <w:t xml:space="preserve">new PET unit should document that the </w:t>
      </w:r>
      <w:r>
        <w:rPr>
          <w:spacing w:val="9"/>
          <w:sz w:val="22"/>
          <w:szCs w:val="22"/>
        </w:rPr>
        <w:t xml:space="preserve">proposed location is accessible to approximately 75% of the service area's </w:t>
      </w:r>
      <w:r>
        <w:rPr>
          <w:spacing w:val="8"/>
          <w:sz w:val="22"/>
          <w:szCs w:val="22"/>
        </w:rPr>
        <w:t>population. Applications that include non-Tennessee counties in their proposed</w:t>
      </w:r>
    </w:p>
    <w:p w:rsidR="00000000" w:rsidRDefault="00A31BB0">
      <w:pPr>
        <w:spacing w:before="36"/>
        <w:ind w:left="144" w:right="1584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5080</wp:posOffset>
                </wp:positionV>
                <wp:extent cx="5304155" cy="0"/>
                <wp:effectExtent l="0" t="0" r="0" b="0"/>
                <wp:wrapSquare wrapText="bothSides"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3pt,.4pt" to="423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p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" o:allowincell="f" strokeweight=".7pt">
                <w10:wrap type="square"/>
              </v:line>
            </w:pict>
          </mc:Fallback>
        </mc:AlternateContent>
      </w:r>
      <w:r>
        <w:rPr>
          <w:sz w:val="19"/>
          <w:szCs w:val="19"/>
        </w:rPr>
        <w:t xml:space="preserve">Certificate of Need Standards and Criteria (Appendices A and B </w:t>
      </w:r>
      <w:r>
        <w:rPr>
          <w:sz w:val="19"/>
          <w:szCs w:val="19"/>
        </w:rPr>
        <w:t>to the State Health Plan) Page 3</w:t>
      </w:r>
    </w:p>
    <w:p w:rsidR="00000000" w:rsidRDefault="00A31BB0">
      <w:pPr>
        <w:widowControl/>
        <w:kinsoku/>
        <w:autoSpaceDE w:val="0"/>
        <w:autoSpaceDN w:val="0"/>
        <w:adjustRightInd w:val="0"/>
        <w:sectPr w:rsidR="00000000">
          <w:footerReference w:type="default" r:id="rId12"/>
          <w:pgSz w:w="12240" w:h="15840"/>
          <w:pgMar w:top="1680" w:right="1765" w:bottom="770" w:left="1801" w:header="720" w:footer="0" w:gutter="0"/>
          <w:cols w:space="720"/>
          <w:noEndnote/>
        </w:sectPr>
      </w:pPr>
    </w:p>
    <w:p w:rsidR="00000000" w:rsidRDefault="00A31BB0">
      <w:pPr>
        <w:ind w:left="864" w:right="144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lastRenderedPageBreak/>
        <w:t xml:space="preserve">service areas should provide evidence of the number of existing PET units that service the non-Tennessee counties and the impact on PET unit utilization in the </w:t>
      </w:r>
      <w:r>
        <w:rPr>
          <w:spacing w:val="6"/>
          <w:sz w:val="22"/>
          <w:szCs w:val="22"/>
        </w:rPr>
        <w:t>non-Tennessee counties, including the speci</w:t>
      </w:r>
      <w:r>
        <w:rPr>
          <w:spacing w:val="6"/>
          <w:sz w:val="22"/>
          <w:szCs w:val="22"/>
        </w:rPr>
        <w:t xml:space="preserve">fic location of those units located in </w:t>
      </w:r>
      <w:r>
        <w:rPr>
          <w:spacing w:val="5"/>
          <w:sz w:val="22"/>
          <w:szCs w:val="22"/>
        </w:rPr>
        <w:t>the non-Tennessee counties, their utilization rates, and their capacity.</w:t>
      </w:r>
    </w:p>
    <w:p w:rsidR="00000000" w:rsidRDefault="00A31BB0">
      <w:pPr>
        <w:numPr>
          <w:ilvl w:val="0"/>
          <w:numId w:val="3"/>
        </w:numPr>
        <w:tabs>
          <w:tab w:val="clear" w:pos="360"/>
          <w:tab w:val="num" w:pos="936"/>
        </w:tabs>
        <w:spacing w:before="288"/>
        <w:ind w:right="144"/>
        <w:jc w:val="both"/>
        <w:rPr>
          <w:spacing w:val="5"/>
          <w:sz w:val="22"/>
          <w:szCs w:val="22"/>
        </w:rPr>
      </w:pPr>
      <w:r>
        <w:rPr>
          <w:spacing w:val="6"/>
          <w:sz w:val="22"/>
          <w:szCs w:val="22"/>
        </w:rPr>
        <w:t xml:space="preserve">All providers should document that alternate shared services and lower cost </w:t>
      </w:r>
      <w:r>
        <w:rPr>
          <w:spacing w:val="5"/>
          <w:sz w:val="22"/>
          <w:szCs w:val="22"/>
        </w:rPr>
        <w:t>technology applications have been investigated and found less advantageous in terms of accessibility, availability, continuity, cost, and quality of care.</w:t>
      </w:r>
    </w:p>
    <w:p w:rsidR="00000000" w:rsidRDefault="00A31BB0">
      <w:pPr>
        <w:numPr>
          <w:ilvl w:val="0"/>
          <w:numId w:val="3"/>
        </w:numPr>
        <w:tabs>
          <w:tab w:val="clear" w:pos="360"/>
          <w:tab w:val="num" w:pos="936"/>
        </w:tabs>
        <w:spacing w:before="288"/>
        <w:ind w:right="144"/>
        <w:jc w:val="both"/>
        <w:rPr>
          <w:spacing w:val="10"/>
          <w:sz w:val="22"/>
          <w:szCs w:val="22"/>
        </w:rPr>
      </w:pPr>
      <w:r>
        <w:rPr>
          <w:spacing w:val="5"/>
          <w:sz w:val="22"/>
          <w:szCs w:val="22"/>
        </w:rPr>
        <w:t>Any provider proposing a new mobile PET unit should demonstrate that it offers or has established ref</w:t>
      </w:r>
      <w:r>
        <w:rPr>
          <w:spacing w:val="5"/>
          <w:sz w:val="22"/>
          <w:szCs w:val="22"/>
        </w:rPr>
        <w:t xml:space="preserve">erral agreements with providers that offer as a minimum, cancer treatment services, including radiation, medical and surgical oncology </w:t>
      </w:r>
      <w:r>
        <w:rPr>
          <w:spacing w:val="10"/>
          <w:sz w:val="22"/>
          <w:szCs w:val="22"/>
        </w:rPr>
        <w:t>services.</w:t>
      </w:r>
    </w:p>
    <w:p w:rsidR="00000000" w:rsidRDefault="00A31BB0">
      <w:pPr>
        <w:numPr>
          <w:ilvl w:val="0"/>
          <w:numId w:val="3"/>
        </w:numPr>
        <w:tabs>
          <w:tab w:val="clear" w:pos="360"/>
          <w:tab w:val="num" w:pos="936"/>
        </w:tabs>
        <w:spacing w:before="288"/>
        <w:ind w:right="144"/>
        <w:jc w:val="both"/>
        <w:rPr>
          <w:spacing w:val="5"/>
          <w:sz w:val="22"/>
          <w:szCs w:val="22"/>
        </w:rPr>
      </w:pPr>
      <w:r>
        <w:rPr>
          <w:spacing w:val="4"/>
          <w:sz w:val="22"/>
          <w:szCs w:val="22"/>
        </w:rPr>
        <w:t xml:space="preserve">A need likely exists for one additional stationary PET unit in a service area when </w:t>
      </w:r>
      <w:r>
        <w:rPr>
          <w:spacing w:val="3"/>
          <w:sz w:val="22"/>
          <w:szCs w:val="22"/>
        </w:rPr>
        <w:t>the combined average utiliza</w:t>
      </w:r>
      <w:r>
        <w:rPr>
          <w:spacing w:val="3"/>
          <w:sz w:val="22"/>
          <w:szCs w:val="22"/>
        </w:rPr>
        <w:t xml:space="preserve">tion of existing PET service providers is at or above </w:t>
      </w:r>
      <w:r>
        <w:rPr>
          <w:spacing w:val="7"/>
          <w:sz w:val="22"/>
          <w:szCs w:val="22"/>
        </w:rPr>
        <w:t>80% of the total capacity of 2,000 procedures during the most recent twelve</w:t>
      </w:r>
      <w:r>
        <w:rPr>
          <w:spacing w:val="7"/>
          <w:sz w:val="22"/>
          <w:szCs w:val="22"/>
        </w:rPr>
        <w:softHyphen/>
      </w:r>
      <w:r>
        <w:rPr>
          <w:spacing w:val="6"/>
          <w:sz w:val="22"/>
          <w:szCs w:val="22"/>
        </w:rPr>
        <w:t xml:space="preserve">month period reflected in the provider medical equipment report maintained by </w:t>
      </w:r>
      <w:r>
        <w:rPr>
          <w:spacing w:val="5"/>
          <w:sz w:val="22"/>
          <w:szCs w:val="22"/>
        </w:rPr>
        <w:t>the HSDA. The total capacity per PET unit is bas</w:t>
      </w:r>
      <w:r>
        <w:rPr>
          <w:spacing w:val="5"/>
          <w:sz w:val="22"/>
          <w:szCs w:val="22"/>
        </w:rPr>
        <w:t>ed upon the following formula:</w:t>
      </w:r>
    </w:p>
    <w:p w:rsidR="00000000" w:rsidRDefault="00A31BB0">
      <w:pPr>
        <w:spacing w:before="324"/>
        <w:ind w:left="864" w:right="144"/>
        <w:rPr>
          <w:spacing w:val="6"/>
          <w:sz w:val="22"/>
          <w:szCs w:val="22"/>
        </w:rPr>
      </w:pPr>
      <w:r>
        <w:rPr>
          <w:spacing w:val="20"/>
          <w:sz w:val="22"/>
          <w:szCs w:val="22"/>
        </w:rPr>
        <w:t xml:space="preserve">Stationary Units: Eight (8) procedures/day x 250 days/year = 2,000 </w:t>
      </w:r>
      <w:r>
        <w:rPr>
          <w:spacing w:val="6"/>
          <w:sz w:val="22"/>
          <w:szCs w:val="22"/>
        </w:rPr>
        <w:t>procedures/year</w:t>
      </w:r>
    </w:p>
    <w:p w:rsidR="00000000" w:rsidRDefault="00A31BB0">
      <w:pPr>
        <w:spacing w:before="288"/>
        <w:ind w:left="864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Mobile Units: Eight (8) procedures /day x 50 days/year= 400 procedures/year</w:t>
      </w:r>
    </w:p>
    <w:p w:rsidR="00000000" w:rsidRDefault="00A31BB0">
      <w:pPr>
        <w:spacing w:before="252"/>
        <w:ind w:left="864" w:right="144"/>
        <w:jc w:val="both"/>
        <w:rPr>
          <w:spacing w:val="6"/>
          <w:sz w:val="22"/>
          <w:szCs w:val="22"/>
        </w:rPr>
      </w:pPr>
      <w:r>
        <w:rPr>
          <w:spacing w:val="2"/>
          <w:sz w:val="22"/>
          <w:szCs w:val="22"/>
        </w:rPr>
        <w:t>The provider should demonstrate that its acquisition of an additio</w:t>
      </w:r>
      <w:r>
        <w:rPr>
          <w:spacing w:val="2"/>
          <w:sz w:val="22"/>
          <w:szCs w:val="22"/>
        </w:rPr>
        <w:t xml:space="preserve">nal stationary or </w:t>
      </w:r>
      <w:r>
        <w:rPr>
          <w:spacing w:val="8"/>
          <w:sz w:val="22"/>
          <w:szCs w:val="22"/>
        </w:rPr>
        <w:t xml:space="preserve">mobile PET unit in the service area has the means to perform at least 1,000 </w:t>
      </w:r>
      <w:r>
        <w:rPr>
          <w:spacing w:val="2"/>
          <w:sz w:val="22"/>
          <w:szCs w:val="22"/>
        </w:rPr>
        <w:t xml:space="preserve">stationary PET procedures or 133 mobile PET procedures per day of operation per </w:t>
      </w:r>
      <w:r>
        <w:rPr>
          <w:spacing w:val="5"/>
          <w:sz w:val="22"/>
          <w:szCs w:val="22"/>
        </w:rPr>
        <w:t xml:space="preserve">week in the first full one-year period of service operations, and at least 1,600 </w:t>
      </w:r>
      <w:r>
        <w:rPr>
          <w:spacing w:val="2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tationary PET procedures or 320 mobile PET procedures per day of operation per </w:t>
      </w:r>
      <w:r>
        <w:rPr>
          <w:spacing w:val="6"/>
          <w:sz w:val="22"/>
          <w:szCs w:val="22"/>
        </w:rPr>
        <w:t>week for every year thereafter.</w:t>
      </w:r>
    </w:p>
    <w:p w:rsidR="00000000" w:rsidRDefault="00A31BB0">
      <w:pPr>
        <w:numPr>
          <w:ilvl w:val="0"/>
          <w:numId w:val="3"/>
        </w:numPr>
        <w:tabs>
          <w:tab w:val="clear" w:pos="360"/>
          <w:tab w:val="num" w:pos="936"/>
        </w:tabs>
        <w:spacing w:before="324"/>
        <w:ind w:right="144"/>
        <w:rPr>
          <w:spacing w:val="4"/>
          <w:sz w:val="22"/>
          <w:szCs w:val="22"/>
        </w:rPr>
      </w:pPr>
      <w:r>
        <w:rPr>
          <w:spacing w:val="5"/>
          <w:sz w:val="22"/>
          <w:szCs w:val="22"/>
        </w:rPr>
        <w:t xml:space="preserve">The applicant should provide evidence that the PET unit is safe and effective for </w:t>
      </w:r>
      <w:r>
        <w:rPr>
          <w:spacing w:val="4"/>
          <w:sz w:val="22"/>
          <w:szCs w:val="22"/>
        </w:rPr>
        <w:t>its proposed use.</w:t>
      </w:r>
    </w:p>
    <w:p w:rsidR="00000000" w:rsidRDefault="00A31BB0">
      <w:pPr>
        <w:numPr>
          <w:ilvl w:val="0"/>
          <w:numId w:val="4"/>
        </w:numPr>
        <w:tabs>
          <w:tab w:val="clear" w:pos="360"/>
          <w:tab w:val="num" w:pos="1296"/>
        </w:tabs>
        <w:spacing w:before="288"/>
        <w:ind w:right="144"/>
        <w:rPr>
          <w:spacing w:val="4"/>
          <w:sz w:val="22"/>
          <w:szCs w:val="22"/>
        </w:rPr>
      </w:pPr>
      <w:r>
        <w:rPr>
          <w:spacing w:val="5"/>
          <w:sz w:val="22"/>
          <w:szCs w:val="22"/>
        </w:rPr>
        <w:t xml:space="preserve">The United States Food and Drug Administration (FDA) must certify the </w:t>
      </w:r>
      <w:r>
        <w:rPr>
          <w:spacing w:val="4"/>
          <w:sz w:val="22"/>
          <w:szCs w:val="22"/>
        </w:rPr>
        <w:t>proposed PET unit for clinical use.</w:t>
      </w:r>
    </w:p>
    <w:p w:rsidR="00000000" w:rsidRDefault="00A31BB0">
      <w:pPr>
        <w:numPr>
          <w:ilvl w:val="0"/>
          <w:numId w:val="4"/>
        </w:numPr>
        <w:tabs>
          <w:tab w:val="clear" w:pos="360"/>
          <w:tab w:val="num" w:pos="1296"/>
          <w:tab w:val="left" w:pos="2457"/>
          <w:tab w:val="left" w:pos="4185"/>
          <w:tab w:val="left" w:pos="5823"/>
          <w:tab w:val="left" w:pos="6471"/>
          <w:tab w:val="left" w:pos="7605"/>
        </w:tabs>
        <w:spacing w:before="288"/>
        <w:ind w:right="144"/>
        <w:rPr>
          <w:spacing w:val="4"/>
          <w:sz w:val="22"/>
          <w:szCs w:val="22"/>
        </w:rPr>
      </w:pPr>
      <w:r>
        <w:rPr>
          <w:spacing w:val="3"/>
          <w:sz w:val="22"/>
          <w:szCs w:val="22"/>
        </w:rPr>
        <w:t xml:space="preserve">The applicant should demonstrate that the proposed PET procedures will be </w:t>
      </w:r>
      <w:r>
        <w:rPr>
          <w:spacing w:val="10"/>
          <w:sz w:val="22"/>
          <w:szCs w:val="22"/>
        </w:rPr>
        <w:t xml:space="preserve">offered in a physical environment that conforms to applicable federal </w:t>
      </w:r>
      <w:r>
        <w:rPr>
          <w:spacing w:val="-6"/>
          <w:sz w:val="22"/>
          <w:szCs w:val="22"/>
        </w:rPr>
        <w:t>st</w:t>
      </w:r>
      <w:r>
        <w:rPr>
          <w:spacing w:val="-6"/>
          <w:sz w:val="22"/>
          <w:szCs w:val="22"/>
        </w:rPr>
        <w:t>andards,</w:t>
      </w:r>
      <w:r>
        <w:rPr>
          <w:spacing w:val="-6"/>
          <w:sz w:val="22"/>
          <w:szCs w:val="22"/>
        </w:rPr>
        <w:tab/>
      </w:r>
      <w:r>
        <w:rPr>
          <w:spacing w:val="2"/>
          <w:sz w:val="22"/>
          <w:szCs w:val="22"/>
        </w:rPr>
        <w:t>manufacturer's</w:t>
      </w:r>
      <w:r>
        <w:rPr>
          <w:spacing w:val="2"/>
          <w:sz w:val="22"/>
          <w:szCs w:val="22"/>
        </w:rPr>
        <w:tab/>
        <w:t>specifications,</w:t>
      </w:r>
      <w:r>
        <w:rPr>
          <w:spacing w:val="2"/>
          <w:sz w:val="22"/>
          <w:szCs w:val="22"/>
        </w:rPr>
        <w:tab/>
      </w:r>
      <w:r>
        <w:rPr>
          <w:spacing w:val="10"/>
          <w:sz w:val="22"/>
          <w:szCs w:val="22"/>
        </w:rPr>
        <w:t>and</w:t>
      </w:r>
      <w:r>
        <w:rPr>
          <w:spacing w:val="10"/>
          <w:sz w:val="22"/>
          <w:szCs w:val="22"/>
        </w:rPr>
        <w:tab/>
      </w:r>
      <w:r>
        <w:rPr>
          <w:sz w:val="22"/>
          <w:szCs w:val="22"/>
        </w:rPr>
        <w:t>licensing</w:t>
      </w:r>
      <w:r>
        <w:rPr>
          <w:sz w:val="22"/>
          <w:szCs w:val="22"/>
        </w:rPr>
        <w:tab/>
      </w:r>
      <w:r>
        <w:rPr>
          <w:spacing w:val="3"/>
          <w:sz w:val="22"/>
          <w:szCs w:val="22"/>
        </w:rPr>
        <w:t>agencies'</w:t>
      </w:r>
      <w:r>
        <w:rPr>
          <w:spacing w:val="3"/>
          <w:sz w:val="22"/>
          <w:szCs w:val="22"/>
        </w:rPr>
        <w:br/>
      </w:r>
      <w:r>
        <w:rPr>
          <w:spacing w:val="4"/>
          <w:sz w:val="22"/>
          <w:szCs w:val="22"/>
        </w:rPr>
        <w:t>requirements.</w:t>
      </w:r>
    </w:p>
    <w:p w:rsidR="00000000" w:rsidRDefault="00A31BB0">
      <w:pPr>
        <w:numPr>
          <w:ilvl w:val="0"/>
          <w:numId w:val="4"/>
        </w:numPr>
        <w:tabs>
          <w:tab w:val="clear" w:pos="360"/>
          <w:tab w:val="num" w:pos="1296"/>
        </w:tabs>
        <w:spacing w:before="288" w:after="720"/>
        <w:ind w:right="144"/>
        <w:rPr>
          <w:spacing w:val="5"/>
          <w:sz w:val="22"/>
          <w:szCs w:val="22"/>
        </w:rPr>
      </w:pPr>
      <w:r>
        <w:rPr>
          <w:spacing w:val="7"/>
          <w:sz w:val="22"/>
          <w:szCs w:val="22"/>
        </w:rPr>
        <w:t xml:space="preserve">The applicant should demonstrate how emergencies within the PET unit </w:t>
      </w:r>
      <w:r>
        <w:rPr>
          <w:spacing w:val="5"/>
          <w:sz w:val="22"/>
          <w:szCs w:val="22"/>
        </w:rPr>
        <w:t>facility will be managed in conformity with accepted medical practice.</w:t>
      </w:r>
    </w:p>
    <w:p w:rsidR="00000000" w:rsidRDefault="00A31BB0">
      <w:pPr>
        <w:spacing w:before="36"/>
        <w:ind w:left="144" w:right="1584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3810</wp:posOffset>
                </wp:positionV>
                <wp:extent cx="5322570" cy="0"/>
                <wp:effectExtent l="0" t="0" r="0" b="0"/>
                <wp:wrapSquare wrapText="bothSides"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2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8pt,.3pt" to="424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NM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" o:allowincell="f" strokeweight=".5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</w:t>
      </w:r>
      <w:r>
        <w:rPr>
          <w:sz w:val="19"/>
          <w:szCs w:val="19"/>
        </w:rPr>
        <w:t xml:space="preserve"> Criteria (Appendices A and B to the State Health Plan) Page 4</w:t>
      </w:r>
    </w:p>
    <w:p w:rsidR="00000000" w:rsidRDefault="00A31BB0">
      <w:pPr>
        <w:widowControl/>
        <w:kinsoku/>
        <w:autoSpaceDE w:val="0"/>
        <w:autoSpaceDN w:val="0"/>
        <w:adjustRightInd w:val="0"/>
        <w:sectPr w:rsidR="00000000">
          <w:footerReference w:type="default" r:id="rId13"/>
          <w:pgSz w:w="12240" w:h="15840"/>
          <w:pgMar w:top="1660" w:right="1780" w:bottom="790" w:left="1786" w:header="720" w:footer="0" w:gutter="0"/>
          <w:cols w:space="720"/>
          <w:noEndnote/>
        </w:sectPr>
      </w:pPr>
    </w:p>
    <w:p w:rsidR="00000000" w:rsidRDefault="00A31BB0">
      <w:pPr>
        <w:numPr>
          <w:ilvl w:val="0"/>
          <w:numId w:val="5"/>
        </w:numPr>
        <w:tabs>
          <w:tab w:val="clear" w:pos="360"/>
          <w:tab w:val="num" w:pos="1296"/>
        </w:tabs>
        <w:ind w:right="144"/>
        <w:jc w:val="both"/>
        <w:rPr>
          <w:spacing w:val="2"/>
          <w:sz w:val="22"/>
          <w:szCs w:val="22"/>
        </w:rPr>
      </w:pPr>
      <w:r>
        <w:rPr>
          <w:spacing w:val="6"/>
          <w:sz w:val="22"/>
          <w:szCs w:val="22"/>
        </w:rPr>
        <w:lastRenderedPageBreak/>
        <w:t xml:space="preserve">The applicant should establish protocols that assure that all clinical PET </w:t>
      </w:r>
      <w:r>
        <w:rPr>
          <w:spacing w:val="5"/>
          <w:sz w:val="22"/>
          <w:szCs w:val="22"/>
        </w:rPr>
        <w:t xml:space="preserve">procedures performed are medically necessary and will not unnecessarily </w:t>
      </w:r>
      <w:r>
        <w:rPr>
          <w:spacing w:val="2"/>
          <w:sz w:val="22"/>
          <w:szCs w:val="22"/>
        </w:rPr>
        <w:t>duplicate other services.</w:t>
      </w:r>
    </w:p>
    <w:p w:rsidR="00000000" w:rsidRDefault="00A31BB0">
      <w:pPr>
        <w:numPr>
          <w:ilvl w:val="0"/>
          <w:numId w:val="5"/>
        </w:numPr>
        <w:tabs>
          <w:tab w:val="clear" w:pos="360"/>
          <w:tab w:val="num" w:pos="1296"/>
        </w:tabs>
        <w:spacing w:before="252"/>
        <w:ind w:right="144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The PET unit should be under the medical direction of a licensed physician. </w:t>
      </w:r>
      <w:r>
        <w:rPr>
          <w:spacing w:val="6"/>
          <w:sz w:val="22"/>
          <w:szCs w:val="22"/>
        </w:rPr>
        <w:t xml:space="preserve">The applicant should provide documentation that attests to the nature and </w:t>
      </w:r>
      <w:r>
        <w:rPr>
          <w:spacing w:val="5"/>
          <w:sz w:val="22"/>
          <w:szCs w:val="22"/>
        </w:rPr>
        <w:t xml:space="preserve">scope of the duties and responsibilities of the physician medical director. </w:t>
      </w:r>
      <w:r>
        <w:rPr>
          <w:spacing w:val="12"/>
          <w:sz w:val="22"/>
          <w:szCs w:val="22"/>
        </w:rPr>
        <w:t>Clin</w:t>
      </w:r>
      <w:r>
        <w:rPr>
          <w:spacing w:val="12"/>
          <w:sz w:val="22"/>
          <w:szCs w:val="22"/>
        </w:rPr>
        <w:t xml:space="preserve">ical supervision and interpretation services must be provided by </w:t>
      </w:r>
      <w:r>
        <w:rPr>
          <w:spacing w:val="1"/>
          <w:sz w:val="22"/>
          <w:szCs w:val="22"/>
        </w:rPr>
        <w:t xml:space="preserve">physicians who are licensed to practice medicine in the state of Tennessee and </w:t>
      </w:r>
      <w:r>
        <w:rPr>
          <w:spacing w:val="4"/>
          <w:sz w:val="22"/>
          <w:szCs w:val="22"/>
        </w:rPr>
        <w:t>are board certified in Nuclear Medicine or Diagnostic Radiology. Licensure and oversight for the handling of med</w:t>
      </w:r>
      <w:r>
        <w:rPr>
          <w:spacing w:val="4"/>
          <w:sz w:val="22"/>
          <w:szCs w:val="22"/>
        </w:rPr>
        <w:t xml:space="preserve">ical isotopes and radiopharmaceuticals </w:t>
      </w:r>
      <w:r>
        <w:rPr>
          <w:sz w:val="22"/>
          <w:szCs w:val="22"/>
        </w:rPr>
        <w:t xml:space="preserve">by the Tennessee Board of Pharmacy and/or the Tennessee Board of Medical </w:t>
      </w:r>
      <w:r>
        <w:rPr>
          <w:spacing w:val="2"/>
          <w:sz w:val="22"/>
          <w:szCs w:val="22"/>
        </w:rPr>
        <w:t xml:space="preserve">Examiners—whichever is appropriate given the setting—is required. Those </w:t>
      </w:r>
      <w:r>
        <w:rPr>
          <w:spacing w:val="-2"/>
          <w:sz w:val="22"/>
          <w:szCs w:val="22"/>
        </w:rPr>
        <w:t>qualified physicians that provide interpretation services should have ad</w:t>
      </w:r>
      <w:r>
        <w:rPr>
          <w:spacing w:val="-2"/>
          <w:sz w:val="22"/>
          <w:szCs w:val="22"/>
        </w:rPr>
        <w:t xml:space="preserve">ditional </w:t>
      </w:r>
      <w:r>
        <w:rPr>
          <w:spacing w:val="3"/>
          <w:sz w:val="22"/>
          <w:szCs w:val="22"/>
        </w:rPr>
        <w:t xml:space="preserve">documented experience and training, credentialing, and/or board certification </w:t>
      </w:r>
      <w:r>
        <w:rPr>
          <w:spacing w:val="12"/>
          <w:sz w:val="22"/>
          <w:szCs w:val="22"/>
        </w:rPr>
        <w:t xml:space="preserve">in the appropriate specialty and in the use and interpretation of PET </w:t>
      </w:r>
      <w:r>
        <w:rPr>
          <w:sz w:val="22"/>
          <w:szCs w:val="22"/>
        </w:rPr>
        <w:t>procedures.</w:t>
      </w:r>
    </w:p>
    <w:p w:rsidR="00000000" w:rsidRDefault="00A31BB0">
      <w:pPr>
        <w:numPr>
          <w:ilvl w:val="0"/>
          <w:numId w:val="5"/>
        </w:numPr>
        <w:tabs>
          <w:tab w:val="clear" w:pos="360"/>
          <w:tab w:val="num" w:pos="1296"/>
        </w:tabs>
        <w:spacing w:before="396"/>
        <w:ind w:right="144"/>
        <w:jc w:val="both"/>
        <w:rPr>
          <w:spacing w:val="4"/>
          <w:sz w:val="22"/>
          <w:szCs w:val="22"/>
        </w:rPr>
      </w:pPr>
      <w:r>
        <w:rPr>
          <w:spacing w:val="1"/>
          <w:sz w:val="22"/>
          <w:szCs w:val="22"/>
        </w:rPr>
        <w:t xml:space="preserve">All applicants should seek and document emergency transfer agreements with </w:t>
      </w:r>
      <w:r>
        <w:rPr>
          <w:spacing w:val="6"/>
          <w:sz w:val="22"/>
          <w:szCs w:val="22"/>
        </w:rPr>
        <w:t>local area h</w:t>
      </w:r>
      <w:r>
        <w:rPr>
          <w:spacing w:val="6"/>
          <w:sz w:val="22"/>
          <w:szCs w:val="22"/>
        </w:rPr>
        <w:t xml:space="preserve">ospitals, as appropriate. An applicant's arrangements with its </w:t>
      </w:r>
      <w:r>
        <w:rPr>
          <w:spacing w:val="7"/>
          <w:sz w:val="22"/>
          <w:szCs w:val="22"/>
        </w:rPr>
        <w:t xml:space="preserve">physician medical director must specify that said physician be an active </w:t>
      </w:r>
      <w:r>
        <w:rPr>
          <w:spacing w:val="4"/>
          <w:sz w:val="22"/>
          <w:szCs w:val="22"/>
        </w:rPr>
        <w:t>member of the subject transfer agreement hospital medical staff.</w:t>
      </w:r>
    </w:p>
    <w:p w:rsidR="00000000" w:rsidRDefault="00A31BB0">
      <w:pPr>
        <w:numPr>
          <w:ilvl w:val="0"/>
          <w:numId w:val="6"/>
        </w:numPr>
        <w:tabs>
          <w:tab w:val="clear" w:pos="360"/>
          <w:tab w:val="num" w:pos="936"/>
        </w:tabs>
        <w:spacing w:before="324"/>
        <w:ind w:right="144"/>
        <w:rPr>
          <w:spacing w:val="4"/>
          <w:sz w:val="22"/>
          <w:szCs w:val="22"/>
        </w:rPr>
      </w:pPr>
      <w:r>
        <w:rPr>
          <w:spacing w:val="7"/>
          <w:sz w:val="22"/>
          <w:szCs w:val="22"/>
        </w:rPr>
        <w:t>The applicant should provide assurances that it wil</w:t>
      </w:r>
      <w:r>
        <w:rPr>
          <w:spacing w:val="7"/>
          <w:sz w:val="22"/>
          <w:szCs w:val="22"/>
        </w:rPr>
        <w:t xml:space="preserve">l submit data in a timely </w:t>
      </w:r>
      <w:r>
        <w:rPr>
          <w:spacing w:val="4"/>
          <w:sz w:val="22"/>
          <w:szCs w:val="22"/>
        </w:rPr>
        <w:t>fashion as requested by the HSDA to maintain the HSDA Equipment Registry.</w:t>
      </w:r>
    </w:p>
    <w:p w:rsidR="00000000" w:rsidRDefault="00A31BB0">
      <w:pPr>
        <w:numPr>
          <w:ilvl w:val="0"/>
          <w:numId w:val="6"/>
        </w:numPr>
        <w:tabs>
          <w:tab w:val="clear" w:pos="360"/>
          <w:tab w:val="num" w:pos="936"/>
        </w:tabs>
        <w:spacing w:before="288"/>
        <w:ind w:right="144"/>
        <w:jc w:val="both"/>
        <w:rPr>
          <w:spacing w:val="2"/>
          <w:sz w:val="22"/>
          <w:szCs w:val="22"/>
        </w:rPr>
      </w:pPr>
      <w:r>
        <w:rPr>
          <w:spacing w:val="3"/>
          <w:sz w:val="22"/>
          <w:szCs w:val="22"/>
        </w:rPr>
        <w:t xml:space="preserve">In light of Rule 0720-4-.01 (1), which lists the factors concerning need on which </w:t>
      </w:r>
      <w:r>
        <w:rPr>
          <w:spacing w:val="13"/>
          <w:sz w:val="22"/>
          <w:szCs w:val="22"/>
        </w:rPr>
        <w:t xml:space="preserve">an application may be evaluated, the HSDA may decide to give special </w:t>
      </w:r>
      <w:r>
        <w:rPr>
          <w:spacing w:val="2"/>
          <w:sz w:val="22"/>
          <w:szCs w:val="22"/>
        </w:rPr>
        <w:t>consi</w:t>
      </w:r>
      <w:r>
        <w:rPr>
          <w:spacing w:val="2"/>
          <w:sz w:val="22"/>
          <w:szCs w:val="22"/>
        </w:rPr>
        <w:t>deration to an applicant:</w:t>
      </w:r>
    </w:p>
    <w:p w:rsidR="00000000" w:rsidRDefault="00A31BB0">
      <w:pPr>
        <w:numPr>
          <w:ilvl w:val="0"/>
          <w:numId w:val="7"/>
        </w:numPr>
        <w:tabs>
          <w:tab w:val="clear" w:pos="360"/>
          <w:tab w:val="num" w:pos="1296"/>
        </w:tabs>
        <w:spacing w:before="288"/>
        <w:ind w:right="144"/>
        <w:rPr>
          <w:spacing w:val="4"/>
          <w:sz w:val="22"/>
          <w:szCs w:val="22"/>
        </w:rPr>
      </w:pPr>
      <w:r>
        <w:rPr>
          <w:spacing w:val="3"/>
          <w:sz w:val="22"/>
          <w:szCs w:val="22"/>
        </w:rPr>
        <w:t xml:space="preserve">Who is offering the service in a medically underserved area as designated by </w:t>
      </w:r>
      <w:r>
        <w:rPr>
          <w:spacing w:val="4"/>
          <w:sz w:val="22"/>
          <w:szCs w:val="22"/>
        </w:rPr>
        <w:t>the United States Health Resources and Services Administration;</w:t>
      </w:r>
    </w:p>
    <w:p w:rsidR="00000000" w:rsidRDefault="00A31BB0">
      <w:pPr>
        <w:numPr>
          <w:ilvl w:val="0"/>
          <w:numId w:val="7"/>
        </w:numPr>
        <w:tabs>
          <w:tab w:val="clear" w:pos="360"/>
          <w:tab w:val="num" w:pos="1296"/>
        </w:tabs>
        <w:spacing w:before="288"/>
        <w:ind w:right="144"/>
        <w:jc w:val="both"/>
        <w:rPr>
          <w:spacing w:val="4"/>
          <w:sz w:val="22"/>
          <w:szCs w:val="22"/>
        </w:rPr>
      </w:pPr>
      <w:r>
        <w:rPr>
          <w:spacing w:val="3"/>
          <w:sz w:val="22"/>
          <w:szCs w:val="22"/>
        </w:rPr>
        <w:t xml:space="preserve">Who documents that the service area population experiences a prevalence, </w:t>
      </w:r>
      <w:r>
        <w:rPr>
          <w:spacing w:val="14"/>
          <w:sz w:val="22"/>
          <w:szCs w:val="22"/>
        </w:rPr>
        <w:t>incidence an</w:t>
      </w:r>
      <w:r>
        <w:rPr>
          <w:spacing w:val="14"/>
          <w:sz w:val="22"/>
          <w:szCs w:val="22"/>
        </w:rPr>
        <w:t xml:space="preserve">d/or mortality from cancer, heart disease, neurological </w:t>
      </w:r>
      <w:r>
        <w:rPr>
          <w:spacing w:val="-1"/>
          <w:sz w:val="22"/>
          <w:szCs w:val="22"/>
        </w:rPr>
        <w:t xml:space="preserve">impairment or other clinical conditions applicable to PET unit services that is </w:t>
      </w:r>
      <w:r>
        <w:rPr>
          <w:spacing w:val="4"/>
          <w:sz w:val="22"/>
          <w:szCs w:val="22"/>
        </w:rPr>
        <w:t>substantially higher than the State of Tennessee average;</w:t>
      </w:r>
    </w:p>
    <w:p w:rsidR="00000000" w:rsidRDefault="00A31BB0">
      <w:pPr>
        <w:numPr>
          <w:ilvl w:val="0"/>
          <w:numId w:val="7"/>
        </w:numPr>
        <w:tabs>
          <w:tab w:val="clear" w:pos="360"/>
          <w:tab w:val="num" w:pos="1296"/>
        </w:tabs>
        <w:spacing w:before="288" w:after="1224"/>
        <w:ind w:right="144"/>
        <w:jc w:val="both"/>
        <w:rPr>
          <w:spacing w:val="4"/>
          <w:sz w:val="22"/>
          <w:szCs w:val="22"/>
        </w:rPr>
      </w:pPr>
      <w:r>
        <w:rPr>
          <w:spacing w:val="6"/>
          <w:sz w:val="22"/>
          <w:szCs w:val="22"/>
        </w:rPr>
        <w:t>Who is a "safety net hospital" or a "children's hospital" as d</w:t>
      </w:r>
      <w:r>
        <w:rPr>
          <w:spacing w:val="6"/>
          <w:sz w:val="22"/>
          <w:szCs w:val="22"/>
        </w:rPr>
        <w:t xml:space="preserve">efined by the </w:t>
      </w:r>
      <w:r>
        <w:rPr>
          <w:spacing w:val="1"/>
          <w:sz w:val="22"/>
          <w:szCs w:val="22"/>
        </w:rPr>
        <w:t xml:space="preserve">Bureau of TennCare Essential Access Hospital payment program and/or is a comprehensive cancer diagnosis and treatment program as designated by the </w:t>
      </w:r>
      <w:r>
        <w:rPr>
          <w:spacing w:val="-1"/>
          <w:sz w:val="22"/>
          <w:szCs w:val="22"/>
        </w:rPr>
        <w:t xml:space="preserve">Tennessee Department of Health and/or the Tennessee Comprehensive Cancer </w:t>
      </w:r>
      <w:r>
        <w:rPr>
          <w:spacing w:val="4"/>
          <w:sz w:val="22"/>
          <w:szCs w:val="22"/>
        </w:rPr>
        <w:t>Control Coalition; or</w:t>
      </w:r>
    </w:p>
    <w:p w:rsidR="00000000" w:rsidRDefault="00A31BB0">
      <w:pPr>
        <w:spacing w:before="36"/>
        <w:ind w:left="144" w:right="1584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5080</wp:posOffset>
                </wp:positionV>
                <wp:extent cx="5310505" cy="0"/>
                <wp:effectExtent l="0" t="0" r="0" b="0"/>
                <wp:wrapSquare wrapText="bothSides"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3pt,.4pt" to="42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A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" o:allowincell="f" strokeweight=".7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 (Appendices A and B to the State Health Plan) Page 5</w:t>
      </w:r>
    </w:p>
    <w:p w:rsidR="00000000" w:rsidRDefault="00A31BB0">
      <w:pPr>
        <w:widowControl/>
        <w:kinsoku/>
        <w:autoSpaceDE w:val="0"/>
        <w:autoSpaceDN w:val="0"/>
        <w:adjustRightInd w:val="0"/>
        <w:sectPr w:rsidR="00000000">
          <w:footerReference w:type="default" r:id="rId14"/>
          <w:pgSz w:w="12240" w:h="15840"/>
          <w:pgMar w:top="1700" w:right="1794" w:bottom="750" w:left="1772" w:header="720" w:footer="0" w:gutter="0"/>
          <w:cols w:space="720"/>
          <w:noEndnote/>
        </w:sectPr>
      </w:pPr>
    </w:p>
    <w:p w:rsidR="00000000" w:rsidRDefault="00A31BB0">
      <w:pPr>
        <w:ind w:left="1224" w:right="144" w:hanging="360"/>
        <w:jc w:val="both"/>
        <w:rPr>
          <w:spacing w:val="1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7954645</wp:posOffset>
                </wp:positionV>
                <wp:extent cx="539051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0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26.35pt" to="424.45pt,6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iS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" o:allowincell="f" strokeweight=".5pt">
                <w10:wrap type="square"/>
              </v:line>
            </w:pict>
          </mc:Fallback>
        </mc:AlternateContent>
      </w:r>
      <w:r>
        <w:rPr>
          <w:spacing w:val="3"/>
          <w:sz w:val="22"/>
          <w:szCs w:val="22"/>
        </w:rPr>
        <w:t>d. Who provides a written commitment of</w:t>
      </w:r>
      <w:r>
        <w:rPr>
          <w:spacing w:val="3"/>
          <w:sz w:val="22"/>
          <w:szCs w:val="22"/>
        </w:rPr>
        <w:t xml:space="preserve"> intention to contract with at least one </w:t>
      </w:r>
      <w:r>
        <w:rPr>
          <w:sz w:val="22"/>
          <w:szCs w:val="22"/>
        </w:rPr>
        <w:t xml:space="preserve">TennCare MCO and, if providing adult services, to participate in the Medicare </w:t>
      </w:r>
      <w:r>
        <w:rPr>
          <w:spacing w:val="10"/>
          <w:sz w:val="22"/>
          <w:szCs w:val="22"/>
        </w:rPr>
        <w:t>program.</w:t>
      </w:r>
    </w:p>
    <w:sectPr w:rsidR="00000000">
      <w:footerReference w:type="default" r:id="rId15"/>
      <w:footerReference w:type="first" r:id="rId16"/>
      <w:pgSz w:w="12240" w:h="15840"/>
      <w:pgMar w:top="1700" w:right="1765" w:bottom="1289" w:left="1801" w:header="720" w:footer="110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BB0">
      <w:r>
        <w:separator/>
      </w:r>
    </w:p>
  </w:endnote>
  <w:endnote w:type="continuationSeparator" w:id="0">
    <w:p w:rsidR="00000000" w:rsidRDefault="00A3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widowControl/>
      <w:kinsoku/>
      <w:autoSpaceDE w:val="0"/>
      <w:autoSpaceDN w:val="0"/>
      <w:adjustRightInd w:val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BB0">
    <w:pPr>
      <w:keepNext/>
      <w:keepLines/>
      <w:tabs>
        <w:tab w:val="left" w:pos="263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 xml:space="preserve">Certificate of Need Standards and Criteria (Appendices A and B to the State Health Plan) </w:t>
    </w:r>
  </w:p>
  <w:p w:rsidR="00000000" w:rsidRDefault="00A31BB0">
    <w:pPr>
      <w:keepNext/>
      <w:keepLines/>
      <w:tabs>
        <w:tab w:val="left" w:pos="263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>Page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BB0">
      <w:r>
        <w:separator/>
      </w:r>
    </w:p>
  </w:footnote>
  <w:footnote w:type="continuationSeparator" w:id="0">
    <w:p w:rsidR="00000000" w:rsidRDefault="00A3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91"/>
    <w:multiLevelType w:val="singleLevel"/>
    <w:tmpl w:val="297CCF13"/>
    <w:lvl w:ilvl="0">
      <w:numFmt w:val="bullet"/>
      <w:lvlText w:val="·"/>
      <w:lvlJc w:val="left"/>
      <w:pPr>
        <w:tabs>
          <w:tab w:val="num" w:pos="432"/>
        </w:tabs>
        <w:ind w:left="936" w:hanging="432"/>
      </w:pPr>
      <w:rPr>
        <w:rFonts w:ascii="Symbol" w:hAnsi="Symbol" w:cs="Symbol"/>
        <w:snapToGrid/>
        <w:spacing w:val="5"/>
        <w:sz w:val="22"/>
        <w:szCs w:val="22"/>
      </w:rPr>
    </w:lvl>
  </w:abstractNum>
  <w:abstractNum w:abstractNumId="1">
    <w:nsid w:val="018B206C"/>
    <w:multiLevelType w:val="singleLevel"/>
    <w:tmpl w:val="23453BEF"/>
    <w:lvl w:ilvl="0">
      <w:start w:val="7"/>
      <w:numFmt w:val="decimal"/>
      <w:lvlText w:val="%1."/>
      <w:lvlJc w:val="left"/>
      <w:pPr>
        <w:tabs>
          <w:tab w:val="num" w:pos="360"/>
        </w:tabs>
        <w:ind w:left="936" w:hanging="360"/>
      </w:pPr>
      <w:rPr>
        <w:snapToGrid/>
        <w:spacing w:val="7"/>
        <w:sz w:val="22"/>
        <w:szCs w:val="22"/>
      </w:rPr>
    </w:lvl>
  </w:abstractNum>
  <w:abstractNum w:abstractNumId="2">
    <w:nsid w:val="03FCF670"/>
    <w:multiLevelType w:val="singleLevel"/>
    <w:tmpl w:val="71B3002F"/>
    <w:lvl w:ilvl="0">
      <w:start w:val="1"/>
      <w:numFmt w:val="lowerLetter"/>
      <w:lvlText w:val="%1."/>
      <w:lvlJc w:val="left"/>
      <w:pPr>
        <w:tabs>
          <w:tab w:val="num" w:pos="360"/>
        </w:tabs>
        <w:ind w:left="1296" w:hanging="360"/>
      </w:pPr>
      <w:rPr>
        <w:snapToGrid/>
        <w:spacing w:val="3"/>
        <w:sz w:val="22"/>
        <w:szCs w:val="22"/>
      </w:rPr>
    </w:lvl>
  </w:abstractNum>
  <w:abstractNum w:abstractNumId="3">
    <w:nsid w:val="040F2E68"/>
    <w:multiLevelType w:val="singleLevel"/>
    <w:tmpl w:val="4525EE12"/>
    <w:lvl w:ilvl="0">
      <w:start w:val="1"/>
      <w:numFmt w:val="lowerLetter"/>
      <w:lvlText w:val="%1."/>
      <w:lvlJc w:val="left"/>
      <w:pPr>
        <w:tabs>
          <w:tab w:val="num" w:pos="360"/>
        </w:tabs>
        <w:ind w:left="1296" w:hanging="360"/>
      </w:pPr>
      <w:rPr>
        <w:snapToGrid/>
        <w:spacing w:val="5"/>
        <w:sz w:val="22"/>
        <w:szCs w:val="22"/>
      </w:rPr>
    </w:lvl>
  </w:abstractNum>
  <w:abstractNum w:abstractNumId="4">
    <w:nsid w:val="061DE865"/>
    <w:multiLevelType w:val="singleLevel"/>
    <w:tmpl w:val="2F15A4B2"/>
    <w:lvl w:ilvl="0">
      <w:start w:val="4"/>
      <w:numFmt w:val="lowerLetter"/>
      <w:lvlText w:val="%1."/>
      <w:lvlJc w:val="left"/>
      <w:pPr>
        <w:tabs>
          <w:tab w:val="num" w:pos="360"/>
        </w:tabs>
        <w:ind w:left="1296" w:hanging="360"/>
      </w:pPr>
      <w:rPr>
        <w:snapToGrid/>
        <w:spacing w:val="6"/>
        <w:sz w:val="22"/>
        <w:szCs w:val="22"/>
      </w:rPr>
    </w:lvl>
  </w:abstractNum>
  <w:abstractNum w:abstractNumId="5">
    <w:nsid w:val="0683A822"/>
    <w:multiLevelType w:val="singleLevel"/>
    <w:tmpl w:val="299780E7"/>
    <w:lvl w:ilvl="0">
      <w:start w:val="1"/>
      <w:numFmt w:val="decimal"/>
      <w:lvlText w:val="%1."/>
      <w:lvlJc w:val="left"/>
      <w:pPr>
        <w:tabs>
          <w:tab w:val="num" w:pos="288"/>
        </w:tabs>
        <w:ind w:left="864" w:hanging="288"/>
      </w:pPr>
      <w:rPr>
        <w:snapToGrid/>
        <w:spacing w:val="5"/>
        <w:sz w:val="22"/>
        <w:szCs w:val="22"/>
      </w:rPr>
    </w:lvl>
  </w:abstractNum>
  <w:abstractNum w:abstractNumId="6">
    <w:nsid w:val="07910200"/>
    <w:multiLevelType w:val="singleLevel"/>
    <w:tmpl w:val="511314B9"/>
    <w:lvl w:ilvl="0">
      <w:start w:val="3"/>
      <w:numFmt w:val="decimal"/>
      <w:lvlText w:val="%1."/>
      <w:lvlJc w:val="left"/>
      <w:pPr>
        <w:tabs>
          <w:tab w:val="num" w:pos="360"/>
        </w:tabs>
        <w:ind w:left="936" w:hanging="360"/>
      </w:pPr>
      <w:rPr>
        <w:snapToGrid/>
        <w:spacing w:val="6"/>
        <w:sz w:val="22"/>
        <w:szCs w:val="22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B0"/>
    <w:rsid w:val="00A3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2017-08-03T13:35:00Z</dcterms:created>
  <dcterms:modified xsi:type="dcterms:W3CDTF">2017-08-03T13:35:00Z</dcterms:modified>
</cp:coreProperties>
</file>