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9"/>
        </w:rPr>
      </w:pPr>
    </w:p>
    <w:p>
      <w:pPr>
        <w:pStyle w:val="BodyText"/>
        <w:ind w:left="4103"/>
        <w:rPr>
          <w:rFonts w:ascii="Times New Roman"/>
          <w:sz w:val="20"/>
        </w:rPr>
      </w:pPr>
      <w:r>
        <w:rPr>
          <w:rFonts w:ascii="Times New Roman"/>
          <w:sz w:val="20"/>
        </w:rPr>
        <w:drawing>
          <wp:inline distT="0" distB="0" distL="0" distR="0">
            <wp:extent cx="871098" cy="86410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71098" cy="864107"/>
                    </a:xfrm>
                    <a:prstGeom prst="rect">
                      <a:avLst/>
                    </a:prstGeom>
                  </pic:spPr>
                </pic:pic>
              </a:graphicData>
            </a:graphic>
          </wp:inline>
        </w:drawing>
      </w:r>
      <w:r>
        <w:rPr>
          <w:rFonts w:ascii="Times New Roman"/>
          <w:sz w:val="20"/>
        </w:rPr>
      </w:r>
    </w:p>
    <w:p>
      <w:pPr>
        <w:pStyle w:val="BodyText"/>
        <w:spacing w:before="8"/>
        <w:rPr>
          <w:rFonts w:ascii="Times New Roman"/>
          <w:sz w:val="24"/>
        </w:rPr>
      </w:pPr>
      <w:r>
        <w:rPr/>
        <w:drawing>
          <wp:anchor distT="0" distB="0" distL="0" distR="0" allowOverlap="1" layoutInCell="1" locked="0" behindDoc="0" simplePos="0" relativeHeight="0">
            <wp:simplePos x="0" y="0"/>
            <wp:positionH relativeFrom="page">
              <wp:posOffset>3077591</wp:posOffset>
            </wp:positionH>
            <wp:positionV relativeFrom="paragraph">
              <wp:posOffset>205186</wp:posOffset>
            </wp:positionV>
            <wp:extent cx="1708784" cy="193548"/>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708784" cy="193548"/>
                    </a:xfrm>
                    <a:prstGeom prst="rect">
                      <a:avLst/>
                    </a:prstGeom>
                  </pic:spPr>
                </pic:pic>
              </a:graphicData>
            </a:graphic>
          </wp:anchor>
        </w:drawing>
      </w:r>
      <w:r>
        <w:rPr/>
        <w:pict>
          <v:group style="position:absolute;margin-left:156.979996pt;margin-top:49.756443pt;width:305.1pt;height:41.3pt;mso-position-horizontal-relative:page;mso-position-vertical-relative:paragraph;z-index:-1000;mso-wrap-distance-left:0;mso-wrap-distance-right:0" coordorigin="3140,995" coordsize="6102,826">
            <v:shape style="position:absolute;left:4234;top:995;width:3994;height:456" type="#_x0000_t75" stroked="false">
              <v:imagedata r:id="rId8" o:title=""/>
            </v:shape>
            <v:shape style="position:absolute;left:3139;top:1515;width:6102;height:305" type="#_x0000_t75" stroked="false">
              <v:imagedata r:id="rId9" o:title=""/>
            </v:shape>
            <w10:wrap type="topAndBottom"/>
          </v:group>
        </w:pict>
      </w:r>
      <w:r>
        <w:rPr/>
        <w:drawing>
          <wp:anchor distT="0" distB="0" distL="0" distR="0" allowOverlap="1" layoutInCell="1" locked="0" behindDoc="0" simplePos="0" relativeHeight="2">
            <wp:simplePos x="0" y="0"/>
            <wp:positionH relativeFrom="page">
              <wp:posOffset>3732910</wp:posOffset>
            </wp:positionH>
            <wp:positionV relativeFrom="paragraph">
              <wp:posOffset>1406479</wp:posOffset>
            </wp:positionV>
            <wp:extent cx="410463" cy="193548"/>
            <wp:effectExtent l="0" t="0" r="0" b="0"/>
            <wp:wrapTopAndBottom/>
            <wp:docPr id="5" name="image5.png" descr=""/>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410463" cy="193548"/>
                    </a:xfrm>
                    <a:prstGeom prst="rect">
                      <a:avLst/>
                    </a:prstGeom>
                  </pic:spPr>
                </pic:pic>
              </a:graphicData>
            </a:graphic>
          </wp:anchor>
        </w:drawing>
      </w:r>
      <w:r>
        <w:rPr/>
        <w:pict>
          <v:group style="position:absolute;margin-left:114.620003pt;margin-top:144.346451pt;width:392.05pt;height:22.8pt;mso-position-horizontal-relative:page;mso-position-vertical-relative:paragraph;z-index:-952;mso-wrap-distance-left:0;mso-wrap-distance-right:0" coordorigin="2292,2887" coordsize="7841,456">
            <v:shape style="position:absolute;left:2292;top:2886;width:967;height:456" type="#_x0000_t75" stroked="false">
              <v:imagedata r:id="rId11" o:title=""/>
            </v:shape>
            <v:shape style="position:absolute;left:3017;top:2886;width:308;height:456" type="#_x0000_t75" stroked="false">
              <v:imagedata r:id="rId12" o:title=""/>
            </v:shape>
            <v:shape style="position:absolute;left:3170;top:2886;width:6963;height:456" type="#_x0000_t75" stroked="false">
              <v:imagedata r:id="rId13" o:title=""/>
            </v:shape>
            <w10:wrap type="topAndBottom"/>
          </v:group>
        </w:pict>
      </w:r>
    </w:p>
    <w:p>
      <w:pPr>
        <w:pStyle w:val="BodyText"/>
        <w:spacing w:before="1"/>
        <w:rPr>
          <w:rFonts w:ascii="Times New Roman"/>
          <w:sz w:val="25"/>
        </w:rPr>
      </w:pPr>
    </w:p>
    <w:p>
      <w:pPr>
        <w:pStyle w:val="BodyText"/>
        <w:spacing w:before="5"/>
        <w:rPr>
          <w:rFonts w:ascii="Times New Roman"/>
          <w:sz w:val="27"/>
        </w:rPr>
      </w:pPr>
    </w:p>
    <w:p>
      <w:pPr>
        <w:pStyle w:val="BodyText"/>
        <w:spacing w:before="1"/>
        <w:rPr>
          <w:rFonts w:ascii="Times New Roman"/>
          <w:sz w:val="25"/>
        </w:rPr>
      </w:pPr>
    </w:p>
    <w:p>
      <w:pPr>
        <w:pStyle w:val="BodyText"/>
        <w:spacing w:before="9"/>
        <w:rPr>
          <w:rFonts w:ascii="Times New Roman"/>
          <w:sz w:val="10"/>
        </w:rPr>
      </w:pPr>
    </w:p>
    <w:p>
      <w:pPr>
        <w:pStyle w:val="BodyText"/>
        <w:spacing w:line="276" w:lineRule="auto" w:before="101"/>
        <w:ind w:left="100" w:right="116"/>
        <w:jc w:val="both"/>
      </w:pPr>
      <w:r>
        <w:rPr/>
        <w:t>The Health Services Development Agency (HSDA) may consider the following standards and criteria for applicants seeking to establish Non-Residential Opioid Treatment Programs. Rationale</w:t>
      </w:r>
      <w:r>
        <w:rPr>
          <w:spacing w:val="-6"/>
        </w:rPr>
        <w:t> </w:t>
      </w:r>
      <w:r>
        <w:rPr/>
        <w:t>statements</w:t>
      </w:r>
      <w:r>
        <w:rPr>
          <w:spacing w:val="-6"/>
        </w:rPr>
        <w:t> </w:t>
      </w:r>
      <w:r>
        <w:rPr/>
        <w:t>are</w:t>
      </w:r>
      <w:r>
        <w:rPr>
          <w:spacing w:val="-5"/>
        </w:rPr>
        <w:t> </w:t>
      </w:r>
      <w:r>
        <w:rPr/>
        <w:t>provided</w:t>
      </w:r>
      <w:r>
        <w:rPr>
          <w:spacing w:val="-7"/>
        </w:rPr>
        <w:t> </w:t>
      </w:r>
      <w:r>
        <w:rPr/>
        <w:t>for</w:t>
      </w:r>
      <w:r>
        <w:rPr>
          <w:spacing w:val="-7"/>
        </w:rPr>
        <w:t> </w:t>
      </w:r>
      <w:r>
        <w:rPr/>
        <w:t>standards</w:t>
      </w:r>
      <w:r>
        <w:rPr>
          <w:spacing w:val="-6"/>
        </w:rPr>
        <w:t> </w:t>
      </w:r>
      <w:r>
        <w:rPr/>
        <w:t>to</w:t>
      </w:r>
      <w:r>
        <w:rPr>
          <w:spacing w:val="-7"/>
        </w:rPr>
        <w:t> </w:t>
      </w:r>
      <w:r>
        <w:rPr/>
        <w:t>explain</w:t>
      </w:r>
      <w:r>
        <w:rPr>
          <w:spacing w:val="-7"/>
        </w:rPr>
        <w:t> </w:t>
      </w:r>
      <w:r>
        <w:rPr/>
        <w:t>the</w:t>
      </w:r>
      <w:r>
        <w:rPr>
          <w:spacing w:val="-6"/>
        </w:rPr>
        <w:t> </w:t>
      </w:r>
      <w:r>
        <w:rPr/>
        <w:t>Division</w:t>
      </w:r>
      <w:r>
        <w:rPr>
          <w:spacing w:val="-8"/>
        </w:rPr>
        <w:t> </w:t>
      </w:r>
      <w:r>
        <w:rPr/>
        <w:t>of</w:t>
      </w:r>
      <w:r>
        <w:rPr>
          <w:spacing w:val="-7"/>
        </w:rPr>
        <w:t> </w:t>
      </w:r>
      <w:r>
        <w:rPr/>
        <w:t>Health</w:t>
      </w:r>
      <w:r>
        <w:rPr>
          <w:spacing w:val="-2"/>
        </w:rPr>
        <w:t> </w:t>
      </w:r>
      <w:r>
        <w:rPr/>
        <w:t>Planning’s underlying reasoning. Additionally, these rationale statements may assist stakeholders in responding to these Standards and may assist the HSDA in its assessment of applications. Existing Non-Residential Opioid Treatment Programs are not affected by these standards and criteria unless they take action that requires a new certificate of need (CON) for such services. These proposed standards and criteria will become effective immediately upon approval and adoption by the</w:t>
      </w:r>
      <w:r>
        <w:rPr>
          <w:spacing w:val="-8"/>
        </w:rPr>
        <w:t> </w:t>
      </w:r>
      <w:r>
        <w:rPr/>
        <w:t>governor.</w:t>
      </w:r>
    </w:p>
    <w:p>
      <w:pPr>
        <w:pStyle w:val="BodyText"/>
        <w:spacing w:line="276" w:lineRule="auto" w:before="202"/>
        <w:ind w:left="100" w:right="114"/>
        <w:jc w:val="both"/>
      </w:pPr>
      <w:r>
        <w:rPr/>
        <w:t>The Certificate of Need Standards and Criteria serve to uphold the Five Principles for Achieving Better Health set forth by the State Health Plan. These Principles were first developed for the 2010 edition and have been utilized as the overarching framework of the Plan</w:t>
      </w:r>
      <w:r>
        <w:rPr>
          <w:spacing w:val="-16"/>
        </w:rPr>
        <w:t> </w:t>
      </w:r>
      <w:r>
        <w:rPr/>
        <w:t>in</w:t>
      </w:r>
      <w:r>
        <w:rPr>
          <w:spacing w:val="-15"/>
        </w:rPr>
        <w:t> </w:t>
      </w:r>
      <w:r>
        <w:rPr/>
        <w:t>each</w:t>
      </w:r>
      <w:r>
        <w:rPr>
          <w:spacing w:val="-15"/>
        </w:rPr>
        <w:t> </w:t>
      </w:r>
      <w:r>
        <w:rPr/>
        <w:t>annual</w:t>
      </w:r>
      <w:r>
        <w:rPr>
          <w:spacing w:val="-16"/>
        </w:rPr>
        <w:t> </w:t>
      </w:r>
      <w:r>
        <w:rPr/>
        <w:t>update</w:t>
      </w:r>
      <w:r>
        <w:rPr>
          <w:spacing w:val="-13"/>
        </w:rPr>
        <w:t> </w:t>
      </w:r>
      <w:r>
        <w:rPr/>
        <w:t>that</w:t>
      </w:r>
      <w:r>
        <w:rPr>
          <w:spacing w:val="-16"/>
        </w:rPr>
        <w:t> </w:t>
      </w:r>
      <w:r>
        <w:rPr/>
        <w:t>has</w:t>
      </w:r>
      <w:r>
        <w:rPr>
          <w:spacing w:val="-14"/>
        </w:rPr>
        <w:t> </w:t>
      </w:r>
      <w:r>
        <w:rPr/>
        <w:t>followed.</w:t>
      </w:r>
      <w:r>
        <w:rPr>
          <w:spacing w:val="-16"/>
        </w:rPr>
        <w:t> </w:t>
      </w:r>
      <w:r>
        <w:rPr/>
        <w:t>Utilizing</w:t>
      </w:r>
      <w:r>
        <w:rPr>
          <w:spacing w:val="-15"/>
        </w:rPr>
        <w:t> </w:t>
      </w:r>
      <w:r>
        <w:rPr/>
        <w:t>the</w:t>
      </w:r>
      <w:r>
        <w:rPr>
          <w:spacing w:val="-13"/>
        </w:rPr>
        <w:t> </w:t>
      </w:r>
      <w:r>
        <w:rPr/>
        <w:t>Five</w:t>
      </w:r>
      <w:r>
        <w:rPr>
          <w:spacing w:val="-14"/>
        </w:rPr>
        <w:t> </w:t>
      </w:r>
      <w:r>
        <w:rPr/>
        <w:t>Principles</w:t>
      </w:r>
      <w:r>
        <w:rPr>
          <w:spacing w:val="-13"/>
        </w:rPr>
        <w:t> </w:t>
      </w:r>
      <w:r>
        <w:rPr/>
        <w:t>for</w:t>
      </w:r>
      <w:r>
        <w:rPr>
          <w:spacing w:val="-15"/>
        </w:rPr>
        <w:t> </w:t>
      </w:r>
      <w:r>
        <w:rPr/>
        <w:t>Achieving</w:t>
      </w:r>
      <w:r>
        <w:rPr>
          <w:spacing w:val="-16"/>
        </w:rPr>
        <w:t> </w:t>
      </w:r>
      <w:r>
        <w:rPr/>
        <w:t>Better Health during the development of the CON Standards and Criteria ensures the protection and promotion of the health of the people of Tennessee. The State Health Plan’s Five Principles for Achieving Better Health are as</w:t>
      </w:r>
      <w:r>
        <w:rPr>
          <w:spacing w:val="-3"/>
        </w:rPr>
        <w:t> </w:t>
      </w:r>
      <w:r>
        <w:rPr/>
        <w:t>follows:</w:t>
      </w:r>
    </w:p>
    <w:p>
      <w:pPr>
        <w:pStyle w:val="BodyText"/>
        <w:spacing w:before="3"/>
        <w:rPr>
          <w:sz w:val="25"/>
        </w:rPr>
      </w:pPr>
    </w:p>
    <w:p>
      <w:pPr>
        <w:pStyle w:val="ListParagraph"/>
        <w:numPr>
          <w:ilvl w:val="0"/>
          <w:numId w:val="1"/>
        </w:numPr>
        <w:tabs>
          <w:tab w:pos="821" w:val="left" w:leader="none"/>
        </w:tabs>
        <w:spacing w:line="276" w:lineRule="auto" w:before="0" w:after="0"/>
        <w:ind w:left="820" w:right="124" w:hanging="360"/>
        <w:jc w:val="left"/>
        <w:rPr>
          <w:sz w:val="22"/>
        </w:rPr>
      </w:pPr>
      <w:r>
        <w:rPr>
          <w:b/>
          <w:sz w:val="22"/>
        </w:rPr>
        <w:t>Healthy Lives: </w:t>
      </w:r>
      <w:r>
        <w:rPr>
          <w:sz w:val="22"/>
        </w:rPr>
        <w:t>The purpose of the State Health Plan is to improve the health of Tennesseans.</w:t>
      </w:r>
    </w:p>
    <w:p>
      <w:pPr>
        <w:pStyle w:val="ListParagraph"/>
        <w:numPr>
          <w:ilvl w:val="0"/>
          <w:numId w:val="1"/>
        </w:numPr>
        <w:tabs>
          <w:tab w:pos="821" w:val="left" w:leader="none"/>
        </w:tabs>
        <w:spacing w:line="299" w:lineRule="exact" w:before="0" w:after="0"/>
        <w:ind w:left="820" w:right="0" w:hanging="360"/>
        <w:jc w:val="left"/>
        <w:rPr>
          <w:sz w:val="22"/>
        </w:rPr>
      </w:pPr>
      <w:r>
        <w:rPr>
          <w:b/>
          <w:sz w:val="22"/>
        </w:rPr>
        <w:t>Access: </w:t>
      </w:r>
      <w:r>
        <w:rPr>
          <w:sz w:val="22"/>
        </w:rPr>
        <w:t>Every citizen should have reasonable access to health</w:t>
      </w:r>
      <w:r>
        <w:rPr>
          <w:spacing w:val="-13"/>
          <w:sz w:val="22"/>
        </w:rPr>
        <w:t> </w:t>
      </w:r>
      <w:r>
        <w:rPr>
          <w:sz w:val="22"/>
        </w:rPr>
        <w:t>care.</w:t>
      </w:r>
    </w:p>
    <w:p>
      <w:pPr>
        <w:spacing w:after="0" w:line="299" w:lineRule="exact"/>
        <w:jc w:val="left"/>
        <w:rPr>
          <w:sz w:val="22"/>
        </w:rPr>
        <w:sectPr>
          <w:footerReference w:type="default" r:id="rId5"/>
          <w:type w:val="continuous"/>
          <w:pgSz w:w="12240" w:h="15840"/>
          <w:pgMar w:footer="1014" w:top="1500" w:bottom="1200" w:left="1340" w:right="1320"/>
          <w:pgNumType w:start="1"/>
        </w:sectPr>
      </w:pPr>
    </w:p>
    <w:p>
      <w:pPr>
        <w:pStyle w:val="ListParagraph"/>
        <w:numPr>
          <w:ilvl w:val="0"/>
          <w:numId w:val="1"/>
        </w:numPr>
        <w:tabs>
          <w:tab w:pos="878" w:val="left" w:leader="none"/>
        </w:tabs>
        <w:spacing w:line="276" w:lineRule="auto" w:before="78" w:after="0"/>
        <w:ind w:left="820" w:right="120" w:hanging="360"/>
        <w:jc w:val="both"/>
        <w:rPr>
          <w:sz w:val="22"/>
        </w:rPr>
      </w:pPr>
      <w:r>
        <w:rPr/>
        <w:tab/>
      </w:r>
      <w:r>
        <w:rPr>
          <w:b/>
          <w:sz w:val="22"/>
        </w:rPr>
        <w:t>Economic Efficiencies: </w:t>
      </w:r>
      <w:r>
        <w:rPr>
          <w:sz w:val="22"/>
        </w:rPr>
        <w:t>The state’s health care resources should be developed to address</w:t>
      </w:r>
      <w:r>
        <w:rPr>
          <w:spacing w:val="-16"/>
          <w:sz w:val="22"/>
        </w:rPr>
        <w:t> </w:t>
      </w:r>
      <w:r>
        <w:rPr>
          <w:sz w:val="22"/>
        </w:rPr>
        <w:t>the</w:t>
      </w:r>
      <w:r>
        <w:rPr>
          <w:spacing w:val="-14"/>
          <w:sz w:val="22"/>
        </w:rPr>
        <w:t> </w:t>
      </w:r>
      <w:r>
        <w:rPr>
          <w:sz w:val="22"/>
        </w:rPr>
        <w:t>needs</w:t>
      </w:r>
      <w:r>
        <w:rPr>
          <w:spacing w:val="-16"/>
          <w:sz w:val="22"/>
        </w:rPr>
        <w:t> </w:t>
      </w:r>
      <w:r>
        <w:rPr>
          <w:sz w:val="22"/>
        </w:rPr>
        <w:t>of</w:t>
      </w:r>
      <w:r>
        <w:rPr>
          <w:spacing w:val="-17"/>
          <w:sz w:val="22"/>
        </w:rPr>
        <w:t> </w:t>
      </w:r>
      <w:r>
        <w:rPr>
          <w:sz w:val="22"/>
        </w:rPr>
        <w:t>Tennesseans</w:t>
      </w:r>
      <w:r>
        <w:rPr>
          <w:spacing w:val="-16"/>
          <w:sz w:val="22"/>
        </w:rPr>
        <w:t> </w:t>
      </w:r>
      <w:r>
        <w:rPr>
          <w:sz w:val="22"/>
        </w:rPr>
        <w:t>while</w:t>
      </w:r>
      <w:r>
        <w:rPr>
          <w:spacing w:val="-15"/>
          <w:sz w:val="22"/>
        </w:rPr>
        <w:t> </w:t>
      </w:r>
      <w:r>
        <w:rPr>
          <w:sz w:val="22"/>
        </w:rPr>
        <w:t>encouraging</w:t>
      </w:r>
      <w:r>
        <w:rPr>
          <w:spacing w:val="-15"/>
          <w:sz w:val="22"/>
        </w:rPr>
        <w:t> </w:t>
      </w:r>
      <w:r>
        <w:rPr>
          <w:sz w:val="22"/>
        </w:rPr>
        <w:t>competitive</w:t>
      </w:r>
      <w:r>
        <w:rPr>
          <w:spacing w:val="-13"/>
          <w:sz w:val="22"/>
        </w:rPr>
        <w:t> </w:t>
      </w:r>
      <w:r>
        <w:rPr>
          <w:sz w:val="22"/>
        </w:rPr>
        <w:t>markets,</w:t>
      </w:r>
      <w:r>
        <w:rPr>
          <w:spacing w:val="-15"/>
          <w:sz w:val="22"/>
        </w:rPr>
        <w:t> </w:t>
      </w:r>
      <w:r>
        <w:rPr>
          <w:sz w:val="22"/>
        </w:rPr>
        <w:t>economic efficiencies and the continued development of the state’s health care</w:t>
      </w:r>
      <w:r>
        <w:rPr>
          <w:spacing w:val="-21"/>
          <w:sz w:val="22"/>
        </w:rPr>
        <w:t> </w:t>
      </w:r>
      <w:r>
        <w:rPr>
          <w:sz w:val="22"/>
        </w:rPr>
        <w:t>system.</w:t>
      </w:r>
    </w:p>
    <w:p>
      <w:pPr>
        <w:pStyle w:val="ListParagraph"/>
        <w:numPr>
          <w:ilvl w:val="0"/>
          <w:numId w:val="1"/>
        </w:numPr>
        <w:tabs>
          <w:tab w:pos="877" w:val="left" w:leader="none"/>
          <w:tab w:pos="878" w:val="left" w:leader="none"/>
        </w:tabs>
        <w:spacing w:line="276" w:lineRule="auto" w:before="1" w:after="0"/>
        <w:ind w:left="820" w:right="116" w:hanging="360"/>
        <w:jc w:val="left"/>
        <w:rPr>
          <w:sz w:val="22"/>
        </w:rPr>
      </w:pPr>
      <w:r>
        <w:rPr/>
        <w:tab/>
      </w:r>
      <w:r>
        <w:rPr>
          <w:b/>
          <w:sz w:val="22"/>
        </w:rPr>
        <w:t>Quality</w:t>
      </w:r>
      <w:r>
        <w:rPr>
          <w:b/>
          <w:spacing w:val="-6"/>
          <w:sz w:val="22"/>
        </w:rPr>
        <w:t> </w:t>
      </w:r>
      <w:r>
        <w:rPr>
          <w:b/>
          <w:sz w:val="22"/>
        </w:rPr>
        <w:t>of</w:t>
      </w:r>
      <w:r>
        <w:rPr>
          <w:b/>
          <w:spacing w:val="-6"/>
          <w:sz w:val="22"/>
        </w:rPr>
        <w:t> </w:t>
      </w:r>
      <w:r>
        <w:rPr>
          <w:b/>
          <w:sz w:val="22"/>
        </w:rPr>
        <w:t>Care:</w:t>
      </w:r>
      <w:r>
        <w:rPr>
          <w:b/>
          <w:spacing w:val="-4"/>
          <w:sz w:val="22"/>
        </w:rPr>
        <w:t> </w:t>
      </w:r>
      <w:r>
        <w:rPr>
          <w:sz w:val="22"/>
        </w:rPr>
        <w:t>Every</w:t>
      </w:r>
      <w:r>
        <w:rPr>
          <w:spacing w:val="-8"/>
          <w:sz w:val="22"/>
        </w:rPr>
        <w:t> </w:t>
      </w:r>
      <w:r>
        <w:rPr>
          <w:sz w:val="22"/>
        </w:rPr>
        <w:t>citizen</w:t>
      </w:r>
      <w:r>
        <w:rPr>
          <w:spacing w:val="-5"/>
          <w:sz w:val="22"/>
        </w:rPr>
        <w:t> </w:t>
      </w:r>
      <w:r>
        <w:rPr>
          <w:sz w:val="22"/>
        </w:rPr>
        <w:t>should</w:t>
      </w:r>
      <w:r>
        <w:rPr>
          <w:spacing w:val="-5"/>
          <w:sz w:val="22"/>
        </w:rPr>
        <w:t> </w:t>
      </w:r>
      <w:r>
        <w:rPr>
          <w:sz w:val="22"/>
        </w:rPr>
        <w:t>have</w:t>
      </w:r>
      <w:r>
        <w:rPr>
          <w:spacing w:val="-4"/>
          <w:sz w:val="22"/>
        </w:rPr>
        <w:t> </w:t>
      </w:r>
      <w:r>
        <w:rPr>
          <w:sz w:val="22"/>
        </w:rPr>
        <w:t>confidence</w:t>
      </w:r>
      <w:r>
        <w:rPr>
          <w:spacing w:val="-3"/>
          <w:sz w:val="22"/>
        </w:rPr>
        <w:t> </w:t>
      </w:r>
      <w:r>
        <w:rPr>
          <w:sz w:val="22"/>
        </w:rPr>
        <w:t>that</w:t>
      </w:r>
      <w:r>
        <w:rPr>
          <w:spacing w:val="-6"/>
          <w:sz w:val="22"/>
        </w:rPr>
        <w:t> </w:t>
      </w:r>
      <w:r>
        <w:rPr>
          <w:sz w:val="22"/>
        </w:rPr>
        <w:t>the</w:t>
      </w:r>
      <w:r>
        <w:rPr>
          <w:spacing w:val="-4"/>
          <w:sz w:val="22"/>
        </w:rPr>
        <w:t> </w:t>
      </w:r>
      <w:r>
        <w:rPr>
          <w:sz w:val="22"/>
        </w:rPr>
        <w:t>quality</w:t>
      </w:r>
      <w:r>
        <w:rPr>
          <w:spacing w:val="-2"/>
          <w:sz w:val="22"/>
        </w:rPr>
        <w:t> </w:t>
      </w:r>
      <w:r>
        <w:rPr>
          <w:sz w:val="22"/>
        </w:rPr>
        <w:t>of</w:t>
      </w:r>
      <w:r>
        <w:rPr>
          <w:spacing w:val="-5"/>
          <w:sz w:val="22"/>
        </w:rPr>
        <w:t> </w:t>
      </w:r>
      <w:r>
        <w:rPr>
          <w:sz w:val="22"/>
        </w:rPr>
        <w:t>health</w:t>
      </w:r>
      <w:r>
        <w:rPr>
          <w:spacing w:val="-5"/>
          <w:sz w:val="22"/>
        </w:rPr>
        <w:t> </w:t>
      </w:r>
      <w:r>
        <w:rPr>
          <w:sz w:val="22"/>
        </w:rPr>
        <w:t>care is continually monitored and standards are adhered to by health care</w:t>
      </w:r>
      <w:r>
        <w:rPr>
          <w:spacing w:val="-25"/>
          <w:sz w:val="22"/>
        </w:rPr>
        <w:t> </w:t>
      </w:r>
      <w:r>
        <w:rPr>
          <w:sz w:val="22"/>
        </w:rPr>
        <w:t>providers.</w:t>
      </w:r>
    </w:p>
    <w:p>
      <w:pPr>
        <w:pStyle w:val="ListParagraph"/>
        <w:numPr>
          <w:ilvl w:val="0"/>
          <w:numId w:val="1"/>
        </w:numPr>
        <w:tabs>
          <w:tab w:pos="821" w:val="left" w:leader="none"/>
        </w:tabs>
        <w:spacing w:line="276" w:lineRule="auto" w:before="0" w:after="0"/>
        <w:ind w:left="820" w:right="118" w:hanging="360"/>
        <w:jc w:val="left"/>
        <w:rPr>
          <w:sz w:val="22"/>
        </w:rPr>
      </w:pPr>
      <w:r>
        <w:rPr>
          <w:b/>
          <w:sz w:val="22"/>
        </w:rPr>
        <w:t>Workforce:</w:t>
      </w:r>
      <w:r>
        <w:rPr>
          <w:b/>
          <w:spacing w:val="-9"/>
          <w:sz w:val="22"/>
        </w:rPr>
        <w:t> </w:t>
      </w:r>
      <w:r>
        <w:rPr>
          <w:sz w:val="22"/>
        </w:rPr>
        <w:t>The</w:t>
      </w:r>
      <w:r>
        <w:rPr>
          <w:spacing w:val="-8"/>
          <w:sz w:val="22"/>
        </w:rPr>
        <w:t> </w:t>
      </w:r>
      <w:r>
        <w:rPr>
          <w:sz w:val="22"/>
        </w:rPr>
        <w:t>state</w:t>
      </w:r>
      <w:r>
        <w:rPr>
          <w:spacing w:val="-9"/>
          <w:sz w:val="22"/>
        </w:rPr>
        <w:t> </w:t>
      </w:r>
      <w:r>
        <w:rPr>
          <w:sz w:val="22"/>
        </w:rPr>
        <w:t>should</w:t>
      </w:r>
      <w:r>
        <w:rPr>
          <w:spacing w:val="-9"/>
          <w:sz w:val="22"/>
        </w:rPr>
        <w:t> </w:t>
      </w:r>
      <w:r>
        <w:rPr>
          <w:sz w:val="22"/>
        </w:rPr>
        <w:t>support</w:t>
      </w:r>
      <w:r>
        <w:rPr>
          <w:spacing w:val="-10"/>
          <w:sz w:val="22"/>
        </w:rPr>
        <w:t> </w:t>
      </w:r>
      <w:r>
        <w:rPr>
          <w:sz w:val="22"/>
        </w:rPr>
        <w:t>the</w:t>
      </w:r>
      <w:r>
        <w:rPr>
          <w:spacing w:val="-7"/>
          <w:sz w:val="22"/>
        </w:rPr>
        <w:t> </w:t>
      </w:r>
      <w:r>
        <w:rPr>
          <w:sz w:val="22"/>
        </w:rPr>
        <w:t>development,</w:t>
      </w:r>
      <w:r>
        <w:rPr>
          <w:spacing w:val="-10"/>
          <w:sz w:val="22"/>
        </w:rPr>
        <w:t> </w:t>
      </w:r>
      <w:r>
        <w:rPr>
          <w:sz w:val="22"/>
        </w:rPr>
        <w:t>recruitment</w:t>
      </w:r>
      <w:r>
        <w:rPr>
          <w:spacing w:val="-9"/>
          <w:sz w:val="22"/>
        </w:rPr>
        <w:t> </w:t>
      </w:r>
      <w:r>
        <w:rPr>
          <w:sz w:val="22"/>
        </w:rPr>
        <w:t>and</w:t>
      </w:r>
      <w:r>
        <w:rPr>
          <w:spacing w:val="-10"/>
          <w:sz w:val="22"/>
        </w:rPr>
        <w:t> </w:t>
      </w:r>
      <w:r>
        <w:rPr>
          <w:sz w:val="22"/>
        </w:rPr>
        <w:t>retention</w:t>
      </w:r>
      <w:r>
        <w:rPr>
          <w:spacing w:val="-9"/>
          <w:sz w:val="22"/>
        </w:rPr>
        <w:t> </w:t>
      </w:r>
      <w:r>
        <w:rPr>
          <w:sz w:val="22"/>
        </w:rPr>
        <w:t>of a sufficient and quality health care</w:t>
      </w:r>
      <w:r>
        <w:rPr>
          <w:spacing w:val="-6"/>
          <w:sz w:val="22"/>
        </w:rPr>
        <w:t> </w:t>
      </w:r>
      <w:r>
        <w:rPr>
          <w:sz w:val="22"/>
        </w:rPr>
        <w:t>workforce.</w:t>
      </w:r>
    </w:p>
    <w:p>
      <w:pPr>
        <w:pStyle w:val="BodyText"/>
        <w:spacing w:before="6"/>
        <w:rPr>
          <w:sz w:val="37"/>
        </w:rPr>
      </w:pPr>
    </w:p>
    <w:p>
      <w:pPr>
        <w:pStyle w:val="Heading1"/>
      </w:pPr>
      <w:r>
        <w:rPr/>
        <w:t>Definitions</w:t>
      </w:r>
    </w:p>
    <w:p>
      <w:pPr>
        <w:spacing w:line="276" w:lineRule="auto" w:before="247"/>
        <w:ind w:left="100" w:right="225" w:firstLine="0"/>
        <w:jc w:val="left"/>
        <w:rPr>
          <w:sz w:val="22"/>
        </w:rPr>
      </w:pPr>
      <w:r>
        <w:rPr>
          <w:b/>
          <w:sz w:val="22"/>
        </w:rPr>
        <w:t>Non-Residential Opioid Treatment Programs or Nonresidential Substitution-based Treatment Centers for Opiate Addiction as referenced in TCA § 68-11-1607: </w:t>
      </w:r>
      <w:r>
        <w:rPr>
          <w:sz w:val="22"/>
        </w:rPr>
        <w:t>A non- residential opioid treatment program should provide adequate medical, counseling, vocational, educational, mental health assessment, and social services to patients enrolled in the opioid treatment program with the goal of treating the individual with opioid use disorder.</w:t>
      </w:r>
    </w:p>
    <w:p>
      <w:pPr>
        <w:pStyle w:val="Heading1"/>
        <w:spacing w:before="203"/>
      </w:pPr>
      <w:r>
        <w:rPr/>
        <w:t>Standards and Criteria</w:t>
      </w:r>
    </w:p>
    <w:p>
      <w:pPr>
        <w:pStyle w:val="ListParagraph"/>
        <w:numPr>
          <w:ilvl w:val="0"/>
          <w:numId w:val="2"/>
        </w:numPr>
        <w:tabs>
          <w:tab w:pos="821" w:val="left" w:leader="none"/>
        </w:tabs>
        <w:spacing w:line="276" w:lineRule="auto" w:before="244" w:after="0"/>
        <w:ind w:left="820" w:right="318" w:hanging="360"/>
        <w:jc w:val="left"/>
        <w:rPr>
          <w:sz w:val="22"/>
        </w:rPr>
      </w:pPr>
      <w:r>
        <w:rPr>
          <w:b/>
          <w:sz w:val="22"/>
        </w:rPr>
        <w:t>Determination of Need: </w:t>
      </w:r>
      <w:r>
        <w:rPr>
          <w:sz w:val="22"/>
        </w:rPr>
        <w:t>The need for non-residential opioid treatment programs should be based on information prepared by the applicant for a certificate of need that acknowledges the importance of considering the demand for services along with need while addressing and analyzing service problems as</w:t>
      </w:r>
      <w:r>
        <w:rPr>
          <w:spacing w:val="-13"/>
          <w:sz w:val="22"/>
        </w:rPr>
        <w:t> </w:t>
      </w:r>
      <w:r>
        <w:rPr>
          <w:sz w:val="22"/>
        </w:rPr>
        <w:t>well.</w:t>
      </w:r>
    </w:p>
    <w:p>
      <w:pPr>
        <w:pStyle w:val="BodyText"/>
        <w:spacing w:before="5"/>
        <w:rPr>
          <w:sz w:val="25"/>
        </w:rPr>
      </w:pPr>
    </w:p>
    <w:p>
      <w:pPr>
        <w:pStyle w:val="BodyText"/>
        <w:spacing w:line="276" w:lineRule="auto"/>
        <w:ind w:left="820" w:right="292"/>
      </w:pPr>
      <w:r>
        <w:rPr/>
        <w:t>The assessment should cover the proposed service area and include the utilization of existing opioid use disorder treatment providers, scope of services provided, patient origin, and patient mix.</w:t>
      </w:r>
    </w:p>
    <w:p>
      <w:pPr>
        <w:pStyle w:val="BodyText"/>
        <w:spacing w:before="6"/>
        <w:rPr>
          <w:sz w:val="25"/>
        </w:rPr>
      </w:pPr>
    </w:p>
    <w:p>
      <w:pPr>
        <w:pStyle w:val="BodyText"/>
        <w:spacing w:line="276" w:lineRule="auto"/>
        <w:ind w:left="820" w:right="417"/>
      </w:pPr>
      <w:r>
        <w:rPr/>
        <w:t>The assessment should consider the users of opioids as the clients at non- residential opioid treatment programs. Assessment data will be based on prevalence estimates of opioid and heroin use, narcotic-related offenses, opioid- related hospitalizations, deaths, substance abuse treatment admissions, and estimates of medication assisted treatment providers for opioid use disorder and their patient capacity.</w:t>
      </w:r>
    </w:p>
    <w:p>
      <w:pPr>
        <w:pStyle w:val="BodyText"/>
        <w:spacing w:before="2"/>
        <w:rPr>
          <w:sz w:val="25"/>
        </w:rPr>
      </w:pPr>
    </w:p>
    <w:p>
      <w:pPr>
        <w:pStyle w:val="BodyText"/>
        <w:spacing w:line="276" w:lineRule="auto" w:before="1"/>
        <w:ind w:left="820" w:right="746"/>
      </w:pPr>
      <w:r>
        <w:rPr>
          <w:b/>
        </w:rPr>
        <w:t>Need Formula: </w:t>
      </w:r>
      <w:r>
        <w:rPr/>
        <w:t>Need should be based on the following formula: The average unique patient count during a 1 (one) year period in existing programs serving individuals who are opiate dependent divided by the number of individuals</w:t>
      </w:r>
    </w:p>
    <w:p>
      <w:pPr>
        <w:spacing w:after="0" w:line="276" w:lineRule="auto"/>
        <w:sectPr>
          <w:pgSz w:w="12240" w:h="15840"/>
          <w:pgMar w:header="0" w:footer="1014" w:top="1360" w:bottom="1200" w:left="1340" w:right="1320"/>
        </w:sectPr>
      </w:pPr>
    </w:p>
    <w:p>
      <w:pPr>
        <w:pStyle w:val="BodyText"/>
        <w:spacing w:line="276" w:lineRule="auto" w:before="78"/>
        <w:ind w:left="820" w:right="586"/>
      </w:pPr>
      <w:r>
        <w:rPr/>
        <w:t>estimated to be opiate dependent. Counties with service providers meeting less than 20% of the need shall be considered high need counties.</w:t>
      </w:r>
    </w:p>
    <w:p>
      <w:pPr>
        <w:pStyle w:val="BodyText"/>
        <w:spacing w:before="4"/>
        <w:rPr>
          <w:sz w:val="25"/>
        </w:rPr>
      </w:pPr>
    </w:p>
    <w:p>
      <w:pPr>
        <w:pStyle w:val="BodyText"/>
        <w:spacing w:line="276" w:lineRule="auto" w:before="1"/>
        <w:ind w:left="820" w:right="310"/>
      </w:pPr>
      <w:r>
        <w:rPr/>
        <w:t>Applications for proposed service areas that fail to meet the 20% threshold should still be considered for approval. This need formula only designates </w:t>
      </w:r>
      <w:r>
        <w:rPr>
          <w:i/>
        </w:rPr>
        <w:t>high need </w:t>
      </w:r>
      <w:r>
        <w:rPr/>
        <w:t>counties that should be given special consideration. It does not indicate that high- quality applications for counties with lower demonstrated need should necessarily be denied.</w:t>
      </w:r>
    </w:p>
    <w:p>
      <w:pPr>
        <w:pStyle w:val="BodyText"/>
        <w:spacing w:before="3"/>
        <w:rPr>
          <w:sz w:val="25"/>
        </w:rPr>
      </w:pPr>
    </w:p>
    <w:p>
      <w:pPr>
        <w:spacing w:line="276" w:lineRule="auto" w:before="0"/>
        <w:ind w:left="820" w:right="190" w:firstLine="0"/>
        <w:jc w:val="left"/>
        <w:rPr>
          <w:i/>
          <w:sz w:val="22"/>
        </w:rPr>
      </w:pPr>
      <w:r>
        <w:rPr>
          <w:i/>
          <w:sz w:val="22"/>
        </w:rPr>
        <w:t>Note: The applicant shall use the prevalence estimates of persons with opioid (pain </w:t>
      </w:r>
      <w:r>
        <w:rPr>
          <w:i/>
          <w:sz w:val="22"/>
        </w:rPr>
        <w:t>reliever and heroin) use disorder using the most recent National Survey on Drug Use and Health (NSDUH) data published by the Substance Abuse and Mental Health Services Administration (SAMHSA). The applicant shall specify the percent of unmet treatment need that will be met by the proposed Non-Residential Opioid Treatment Programs.</w:t>
      </w:r>
    </w:p>
    <w:p>
      <w:pPr>
        <w:pStyle w:val="BodyText"/>
        <w:spacing w:before="4"/>
        <w:rPr>
          <w:i/>
          <w:sz w:val="25"/>
        </w:rPr>
      </w:pPr>
    </w:p>
    <w:p>
      <w:pPr>
        <w:spacing w:line="276" w:lineRule="auto" w:before="0"/>
        <w:ind w:left="820" w:right="426" w:firstLine="0"/>
        <w:jc w:val="left"/>
        <w:rPr>
          <w:i/>
          <w:sz w:val="22"/>
        </w:rPr>
      </w:pPr>
      <w:r>
        <w:rPr>
          <w:i/>
          <w:sz w:val="22"/>
        </w:rPr>
        <w:t>In determining need considerations may be given to alternative treatment modalities. </w:t>
      </w:r>
      <w:r>
        <w:rPr>
          <w:i/>
          <w:sz w:val="22"/>
        </w:rPr>
        <w:t>The applicant shall compare estimated need to the existing capacity of non-residential substance abuse treatment facilities including office-based opiate treatment, opioid treatment program, alcohol and drug rehabilitation treatment, and alcohol and drug detoxification facilities.</w:t>
      </w:r>
    </w:p>
    <w:p>
      <w:pPr>
        <w:pStyle w:val="BodyText"/>
        <w:spacing w:before="6"/>
        <w:rPr>
          <w:i/>
          <w:sz w:val="25"/>
        </w:rPr>
      </w:pPr>
    </w:p>
    <w:p>
      <w:pPr>
        <w:pStyle w:val="BodyText"/>
        <w:ind w:left="820"/>
      </w:pPr>
      <w:r>
        <w:rPr/>
        <w:t>The assessment should also include:</w:t>
      </w:r>
    </w:p>
    <w:p>
      <w:pPr>
        <w:pStyle w:val="BodyText"/>
        <w:spacing w:before="7"/>
        <w:rPr>
          <w:sz w:val="28"/>
        </w:rPr>
      </w:pPr>
    </w:p>
    <w:p>
      <w:pPr>
        <w:pStyle w:val="ListParagraph"/>
        <w:numPr>
          <w:ilvl w:val="1"/>
          <w:numId w:val="2"/>
        </w:numPr>
        <w:tabs>
          <w:tab w:pos="1541" w:val="left" w:leader="none"/>
        </w:tabs>
        <w:spacing w:line="240" w:lineRule="auto" w:before="1" w:after="0"/>
        <w:ind w:left="1540" w:right="0" w:hanging="360"/>
        <w:jc w:val="left"/>
        <w:rPr>
          <w:sz w:val="22"/>
        </w:rPr>
      </w:pPr>
      <w:r>
        <w:rPr>
          <w:sz w:val="22"/>
        </w:rPr>
        <w:t>A description of the geographic area to be served by the</w:t>
      </w:r>
      <w:r>
        <w:rPr>
          <w:spacing w:val="-13"/>
          <w:sz w:val="22"/>
        </w:rPr>
        <w:t> </w:t>
      </w:r>
      <w:r>
        <w:rPr>
          <w:sz w:val="22"/>
        </w:rPr>
        <w:t>program,</w:t>
      </w:r>
    </w:p>
    <w:p>
      <w:pPr>
        <w:pStyle w:val="ListParagraph"/>
        <w:numPr>
          <w:ilvl w:val="2"/>
          <w:numId w:val="2"/>
        </w:numPr>
        <w:tabs>
          <w:tab w:pos="2261" w:val="left" w:leader="none"/>
        </w:tabs>
        <w:spacing w:line="276" w:lineRule="auto" w:before="43" w:after="0"/>
        <w:ind w:left="2260" w:right="520" w:hanging="286"/>
        <w:jc w:val="left"/>
        <w:rPr>
          <w:rFonts w:ascii="Calibri"/>
          <w:sz w:val="22"/>
        </w:rPr>
      </w:pPr>
      <w:r>
        <w:rPr>
          <w:sz w:val="22"/>
        </w:rPr>
        <w:t>The applicant shall provide the number of patients projected to be served by county of residence in year one and year</w:t>
      </w:r>
      <w:r>
        <w:rPr>
          <w:spacing w:val="-15"/>
          <w:sz w:val="22"/>
        </w:rPr>
        <w:t> </w:t>
      </w:r>
      <w:r>
        <w:rPr>
          <w:sz w:val="22"/>
        </w:rPr>
        <w:t>two.</w:t>
      </w:r>
    </w:p>
    <w:p>
      <w:pPr>
        <w:pStyle w:val="BodyText"/>
        <w:spacing w:before="5"/>
        <w:rPr>
          <w:sz w:val="25"/>
        </w:rPr>
      </w:pPr>
    </w:p>
    <w:p>
      <w:pPr>
        <w:spacing w:line="276" w:lineRule="auto" w:before="0"/>
        <w:ind w:left="2260" w:right="229" w:firstLine="0"/>
        <w:jc w:val="left"/>
        <w:rPr>
          <w:i/>
          <w:sz w:val="22"/>
        </w:rPr>
      </w:pPr>
      <w:r>
        <w:rPr>
          <w:i/>
          <w:sz w:val="22"/>
        </w:rPr>
        <w:t>Please complete the following table to indicate patient origin by county in </w:t>
      </w:r>
      <w:r>
        <w:rPr>
          <w:i/>
          <w:sz w:val="22"/>
        </w:rPr>
        <w:t>year one and year two of the proposed project. Additional columns may be added to reflect the appropriate number of relevant counties.</w:t>
      </w:r>
    </w:p>
    <w:p>
      <w:pPr>
        <w:pStyle w:val="BodyText"/>
        <w:spacing w:before="6" w:after="1"/>
        <w:rPr>
          <w:i/>
          <w:sz w:val="25"/>
        </w:rPr>
      </w:pPr>
    </w:p>
    <w:tbl>
      <w:tblPr>
        <w:tblW w:w="0" w:type="auto"/>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1411"/>
        <w:gridCol w:w="1414"/>
        <w:gridCol w:w="1310"/>
        <w:gridCol w:w="1210"/>
        <w:gridCol w:w="929"/>
      </w:tblGrid>
      <w:tr>
        <w:trPr>
          <w:trHeight w:val="292" w:hRule="atLeast"/>
        </w:trPr>
        <w:tc>
          <w:tcPr>
            <w:tcW w:w="2038" w:type="dxa"/>
          </w:tcPr>
          <w:p>
            <w:pPr>
              <w:pStyle w:val="TableParagraph"/>
              <w:rPr>
                <w:rFonts w:ascii="Times New Roman"/>
                <w:sz w:val="20"/>
              </w:rPr>
            </w:pPr>
          </w:p>
        </w:tc>
        <w:tc>
          <w:tcPr>
            <w:tcW w:w="1411" w:type="dxa"/>
          </w:tcPr>
          <w:p>
            <w:pPr>
              <w:pStyle w:val="TableParagraph"/>
              <w:spacing w:line="265" w:lineRule="exact"/>
              <w:ind w:left="304"/>
              <w:rPr>
                <w:rFonts w:ascii="Calibri"/>
                <w:sz w:val="22"/>
              </w:rPr>
            </w:pPr>
            <w:r>
              <w:rPr>
                <w:rFonts w:ascii="Calibri"/>
                <w:sz w:val="22"/>
              </w:rPr>
              <w:t>County 1</w:t>
            </w:r>
          </w:p>
        </w:tc>
        <w:tc>
          <w:tcPr>
            <w:tcW w:w="1414" w:type="dxa"/>
          </w:tcPr>
          <w:p>
            <w:pPr>
              <w:pStyle w:val="TableParagraph"/>
              <w:spacing w:line="265" w:lineRule="exact"/>
              <w:ind w:left="304"/>
              <w:rPr>
                <w:rFonts w:ascii="Calibri"/>
                <w:sz w:val="22"/>
              </w:rPr>
            </w:pPr>
            <w:r>
              <w:rPr>
                <w:rFonts w:ascii="Calibri"/>
                <w:sz w:val="22"/>
              </w:rPr>
              <w:t>County 2</w:t>
            </w:r>
          </w:p>
        </w:tc>
        <w:tc>
          <w:tcPr>
            <w:tcW w:w="1310" w:type="dxa"/>
          </w:tcPr>
          <w:p>
            <w:pPr>
              <w:pStyle w:val="TableParagraph"/>
              <w:spacing w:line="265" w:lineRule="exact"/>
              <w:ind w:left="252"/>
              <w:rPr>
                <w:rFonts w:ascii="Calibri"/>
                <w:sz w:val="22"/>
              </w:rPr>
            </w:pPr>
            <w:r>
              <w:rPr>
                <w:rFonts w:ascii="Calibri"/>
                <w:sz w:val="22"/>
              </w:rPr>
              <w:t>County 3</w:t>
            </w:r>
          </w:p>
        </w:tc>
        <w:tc>
          <w:tcPr>
            <w:tcW w:w="1210" w:type="dxa"/>
          </w:tcPr>
          <w:p>
            <w:pPr>
              <w:pStyle w:val="TableParagraph"/>
              <w:spacing w:line="265" w:lineRule="exact"/>
              <w:ind w:left="202"/>
              <w:rPr>
                <w:rFonts w:ascii="Calibri"/>
                <w:sz w:val="22"/>
              </w:rPr>
            </w:pPr>
            <w:r>
              <w:rPr>
                <w:rFonts w:ascii="Calibri"/>
                <w:sz w:val="22"/>
              </w:rPr>
              <w:t>County 4</w:t>
            </w:r>
          </w:p>
        </w:tc>
        <w:tc>
          <w:tcPr>
            <w:tcW w:w="929" w:type="dxa"/>
          </w:tcPr>
          <w:p>
            <w:pPr>
              <w:pStyle w:val="TableParagraph"/>
              <w:spacing w:line="265" w:lineRule="exact"/>
              <w:ind w:left="231"/>
              <w:rPr>
                <w:rFonts w:ascii="Calibri"/>
                <w:b/>
                <w:sz w:val="22"/>
              </w:rPr>
            </w:pPr>
            <w:r>
              <w:rPr>
                <w:rFonts w:ascii="Calibri"/>
                <w:b/>
                <w:sz w:val="22"/>
              </w:rPr>
              <w:t>Total</w:t>
            </w:r>
          </w:p>
        </w:tc>
      </w:tr>
      <w:tr>
        <w:trPr>
          <w:trHeight w:val="311" w:hRule="atLeast"/>
        </w:trPr>
        <w:tc>
          <w:tcPr>
            <w:tcW w:w="2038" w:type="dxa"/>
          </w:tcPr>
          <w:p>
            <w:pPr>
              <w:pStyle w:val="TableParagraph"/>
              <w:spacing w:line="265" w:lineRule="exact"/>
              <w:ind w:left="107"/>
              <w:rPr>
                <w:rFonts w:ascii="Calibri"/>
                <w:sz w:val="22"/>
              </w:rPr>
            </w:pPr>
            <w:r>
              <w:rPr>
                <w:rFonts w:ascii="Calibri"/>
                <w:sz w:val="22"/>
              </w:rPr>
              <w:t>Patients Year 1</w:t>
            </w:r>
          </w:p>
        </w:tc>
        <w:tc>
          <w:tcPr>
            <w:tcW w:w="1411" w:type="dxa"/>
          </w:tcPr>
          <w:p>
            <w:pPr>
              <w:pStyle w:val="TableParagraph"/>
              <w:rPr>
                <w:rFonts w:ascii="Times New Roman"/>
                <w:sz w:val="22"/>
              </w:rPr>
            </w:pPr>
          </w:p>
        </w:tc>
        <w:tc>
          <w:tcPr>
            <w:tcW w:w="1414" w:type="dxa"/>
          </w:tcPr>
          <w:p>
            <w:pPr>
              <w:pStyle w:val="TableParagraph"/>
              <w:rPr>
                <w:rFonts w:ascii="Times New Roman"/>
                <w:sz w:val="22"/>
              </w:rPr>
            </w:pPr>
          </w:p>
        </w:tc>
        <w:tc>
          <w:tcPr>
            <w:tcW w:w="1310" w:type="dxa"/>
          </w:tcPr>
          <w:p>
            <w:pPr>
              <w:pStyle w:val="TableParagraph"/>
              <w:rPr>
                <w:rFonts w:ascii="Times New Roman"/>
                <w:sz w:val="22"/>
              </w:rPr>
            </w:pPr>
          </w:p>
        </w:tc>
        <w:tc>
          <w:tcPr>
            <w:tcW w:w="1210" w:type="dxa"/>
          </w:tcPr>
          <w:p>
            <w:pPr>
              <w:pStyle w:val="TableParagraph"/>
              <w:rPr>
                <w:rFonts w:ascii="Times New Roman"/>
                <w:sz w:val="22"/>
              </w:rPr>
            </w:pPr>
          </w:p>
        </w:tc>
        <w:tc>
          <w:tcPr>
            <w:tcW w:w="929" w:type="dxa"/>
          </w:tcPr>
          <w:p>
            <w:pPr>
              <w:pStyle w:val="TableParagraph"/>
              <w:rPr>
                <w:rFonts w:ascii="Times New Roman"/>
                <w:sz w:val="22"/>
              </w:rPr>
            </w:pPr>
          </w:p>
        </w:tc>
      </w:tr>
      <w:tr>
        <w:trPr>
          <w:trHeight w:val="313" w:hRule="atLeast"/>
        </w:trPr>
        <w:tc>
          <w:tcPr>
            <w:tcW w:w="2038" w:type="dxa"/>
          </w:tcPr>
          <w:p>
            <w:pPr>
              <w:pStyle w:val="TableParagraph"/>
              <w:spacing w:line="265" w:lineRule="exact"/>
              <w:ind w:left="107"/>
              <w:rPr>
                <w:rFonts w:ascii="Calibri"/>
                <w:sz w:val="22"/>
              </w:rPr>
            </w:pPr>
            <w:r>
              <w:rPr>
                <w:rFonts w:ascii="Calibri"/>
                <w:sz w:val="22"/>
              </w:rPr>
              <w:t>Patients Year 2</w:t>
            </w:r>
          </w:p>
        </w:tc>
        <w:tc>
          <w:tcPr>
            <w:tcW w:w="1411" w:type="dxa"/>
          </w:tcPr>
          <w:p>
            <w:pPr>
              <w:pStyle w:val="TableParagraph"/>
              <w:rPr>
                <w:rFonts w:ascii="Times New Roman"/>
                <w:sz w:val="22"/>
              </w:rPr>
            </w:pPr>
          </w:p>
        </w:tc>
        <w:tc>
          <w:tcPr>
            <w:tcW w:w="1414" w:type="dxa"/>
          </w:tcPr>
          <w:p>
            <w:pPr>
              <w:pStyle w:val="TableParagraph"/>
              <w:rPr>
                <w:rFonts w:ascii="Times New Roman"/>
                <w:sz w:val="22"/>
              </w:rPr>
            </w:pPr>
          </w:p>
        </w:tc>
        <w:tc>
          <w:tcPr>
            <w:tcW w:w="1310" w:type="dxa"/>
          </w:tcPr>
          <w:p>
            <w:pPr>
              <w:pStyle w:val="TableParagraph"/>
              <w:rPr>
                <w:rFonts w:ascii="Times New Roman"/>
                <w:sz w:val="22"/>
              </w:rPr>
            </w:pPr>
          </w:p>
        </w:tc>
        <w:tc>
          <w:tcPr>
            <w:tcW w:w="1210" w:type="dxa"/>
          </w:tcPr>
          <w:p>
            <w:pPr>
              <w:pStyle w:val="TableParagraph"/>
              <w:rPr>
                <w:rFonts w:ascii="Times New Roman"/>
                <w:sz w:val="22"/>
              </w:rPr>
            </w:pPr>
          </w:p>
        </w:tc>
        <w:tc>
          <w:tcPr>
            <w:tcW w:w="929" w:type="dxa"/>
          </w:tcPr>
          <w:p>
            <w:pPr>
              <w:pStyle w:val="TableParagraph"/>
              <w:rPr>
                <w:rFonts w:ascii="Times New Roman"/>
                <w:sz w:val="22"/>
              </w:rPr>
            </w:pPr>
          </w:p>
        </w:tc>
      </w:tr>
    </w:tbl>
    <w:p>
      <w:pPr>
        <w:pStyle w:val="BodyText"/>
        <w:spacing w:before="5"/>
        <w:rPr>
          <w:i/>
        </w:rPr>
      </w:pPr>
    </w:p>
    <w:p>
      <w:pPr>
        <w:pStyle w:val="ListParagraph"/>
        <w:numPr>
          <w:ilvl w:val="2"/>
          <w:numId w:val="2"/>
        </w:numPr>
        <w:tabs>
          <w:tab w:pos="2261" w:val="left" w:leader="none"/>
        </w:tabs>
        <w:spacing w:line="276" w:lineRule="auto" w:before="0" w:after="0"/>
        <w:ind w:left="2260" w:right="207" w:hanging="350"/>
        <w:jc w:val="left"/>
        <w:rPr>
          <w:sz w:val="22"/>
        </w:rPr>
      </w:pPr>
      <w:r>
        <w:rPr>
          <w:sz w:val="22"/>
        </w:rPr>
        <w:t>At least 90% of the projected patients in year one and year two reside within a 60 mile radius of the proposed program site or less than a one hour drive time to </w:t>
      </w:r>
      <w:r>
        <w:rPr>
          <w:spacing w:val="-2"/>
          <w:sz w:val="22"/>
        </w:rPr>
        <w:t>the </w:t>
      </w:r>
      <w:r>
        <w:rPr>
          <w:sz w:val="22"/>
        </w:rPr>
        <w:t>proposed program</w:t>
      </w:r>
      <w:r>
        <w:rPr>
          <w:spacing w:val="1"/>
          <w:sz w:val="22"/>
        </w:rPr>
        <w:t> </w:t>
      </w:r>
      <w:r>
        <w:rPr>
          <w:sz w:val="22"/>
        </w:rPr>
        <w:t>site.</w:t>
      </w:r>
    </w:p>
    <w:p>
      <w:pPr>
        <w:spacing w:after="0" w:line="276" w:lineRule="auto"/>
        <w:jc w:val="left"/>
        <w:rPr>
          <w:sz w:val="22"/>
        </w:rPr>
        <w:sectPr>
          <w:pgSz w:w="12240" w:h="15840"/>
          <w:pgMar w:header="0" w:footer="1014" w:top="1360" w:bottom="1200" w:left="1340" w:right="1320"/>
        </w:sectPr>
      </w:pPr>
    </w:p>
    <w:p>
      <w:pPr>
        <w:pStyle w:val="ListParagraph"/>
        <w:numPr>
          <w:ilvl w:val="2"/>
          <w:numId w:val="2"/>
        </w:numPr>
        <w:tabs>
          <w:tab w:pos="2261" w:val="left" w:leader="none"/>
        </w:tabs>
        <w:spacing w:line="276" w:lineRule="auto" w:before="78" w:after="0"/>
        <w:ind w:left="2260" w:right="284" w:hanging="406"/>
        <w:jc w:val="left"/>
        <w:rPr>
          <w:sz w:val="22"/>
        </w:rPr>
      </w:pPr>
      <w:r>
        <w:rPr>
          <w:sz w:val="22"/>
        </w:rPr>
        <w:t>The applicant shall provide an analysis of driving distances by county from the proposed clinic location site in comparison to the closest existing OTP</w:t>
      </w:r>
      <w:r>
        <w:rPr>
          <w:spacing w:val="-2"/>
          <w:sz w:val="22"/>
        </w:rPr>
        <w:t> </w:t>
      </w:r>
      <w:r>
        <w:rPr>
          <w:sz w:val="22"/>
        </w:rPr>
        <w:t>clinic.</w:t>
      </w:r>
    </w:p>
    <w:p>
      <w:pPr>
        <w:pStyle w:val="BodyText"/>
        <w:spacing w:before="3"/>
        <w:rPr>
          <w:sz w:val="25"/>
        </w:rPr>
      </w:pPr>
    </w:p>
    <w:p>
      <w:pPr>
        <w:spacing w:line="276" w:lineRule="auto" w:before="0"/>
        <w:ind w:left="2260" w:right="144" w:firstLine="0"/>
        <w:jc w:val="left"/>
        <w:rPr>
          <w:i/>
          <w:sz w:val="22"/>
        </w:rPr>
      </w:pPr>
      <w:r>
        <w:rPr>
          <w:i/>
          <w:sz w:val="22"/>
        </w:rPr>
        <w:t>Please complete the following table to demonstrate the driving distances </w:t>
      </w:r>
      <w:r>
        <w:rPr>
          <w:i/>
          <w:sz w:val="22"/>
        </w:rPr>
        <w:t>from the counties in the proposed service area to the proposed site and to existing non-residential opioid treatment programs within a 180 minute drive time. This should include programs located in neighboring states.</w:t>
      </w:r>
    </w:p>
    <w:p>
      <w:pPr>
        <w:spacing w:line="276" w:lineRule="auto" w:before="0"/>
        <w:ind w:left="2260" w:right="549" w:firstLine="0"/>
        <w:jc w:val="left"/>
        <w:rPr>
          <w:i/>
          <w:sz w:val="22"/>
        </w:rPr>
      </w:pPr>
      <w:r>
        <w:rPr>
          <w:i/>
          <w:sz w:val="22"/>
        </w:rPr>
        <w:t>Additional columns and rows may be added to reflect the appropriate </w:t>
      </w:r>
      <w:r>
        <w:rPr>
          <w:i/>
          <w:sz w:val="22"/>
        </w:rPr>
        <w:t>number of existing programs and affected counties.</w:t>
      </w:r>
    </w:p>
    <w:p>
      <w:pPr>
        <w:pStyle w:val="BodyText"/>
        <w:spacing w:before="7" w:after="1"/>
        <w:rPr>
          <w:i/>
          <w:sz w:val="25"/>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6"/>
        <w:gridCol w:w="1918"/>
        <w:gridCol w:w="1800"/>
        <w:gridCol w:w="1798"/>
        <w:gridCol w:w="1800"/>
      </w:tblGrid>
      <w:tr>
        <w:trPr>
          <w:trHeight w:val="376" w:hRule="atLeast"/>
        </w:trPr>
        <w:tc>
          <w:tcPr>
            <w:tcW w:w="1766" w:type="dxa"/>
          </w:tcPr>
          <w:p>
            <w:pPr>
              <w:pStyle w:val="TableParagraph"/>
              <w:rPr>
                <w:rFonts w:ascii="Times New Roman"/>
                <w:sz w:val="22"/>
              </w:rPr>
            </w:pPr>
          </w:p>
        </w:tc>
        <w:tc>
          <w:tcPr>
            <w:tcW w:w="1918" w:type="dxa"/>
          </w:tcPr>
          <w:p>
            <w:pPr>
              <w:pStyle w:val="TableParagraph"/>
              <w:spacing w:line="297" w:lineRule="exact"/>
              <w:ind w:left="105"/>
              <w:rPr>
                <w:sz w:val="22"/>
              </w:rPr>
            </w:pPr>
            <w:r>
              <w:rPr>
                <w:sz w:val="22"/>
              </w:rPr>
              <w:t>Proposed OTP</w:t>
            </w:r>
          </w:p>
        </w:tc>
        <w:tc>
          <w:tcPr>
            <w:tcW w:w="1800" w:type="dxa"/>
          </w:tcPr>
          <w:p>
            <w:pPr>
              <w:pStyle w:val="TableParagraph"/>
              <w:spacing w:line="297" w:lineRule="exact"/>
              <w:ind w:left="108"/>
              <w:rPr>
                <w:sz w:val="22"/>
              </w:rPr>
            </w:pPr>
            <w:r>
              <w:rPr>
                <w:sz w:val="22"/>
              </w:rPr>
              <w:t>Existing OTP 1</w:t>
            </w:r>
          </w:p>
        </w:tc>
        <w:tc>
          <w:tcPr>
            <w:tcW w:w="1798" w:type="dxa"/>
          </w:tcPr>
          <w:p>
            <w:pPr>
              <w:pStyle w:val="TableParagraph"/>
              <w:spacing w:line="297" w:lineRule="exact"/>
              <w:ind w:left="106"/>
              <w:rPr>
                <w:sz w:val="22"/>
              </w:rPr>
            </w:pPr>
            <w:r>
              <w:rPr>
                <w:sz w:val="22"/>
              </w:rPr>
              <w:t>Existing OTP 2</w:t>
            </w:r>
          </w:p>
        </w:tc>
        <w:tc>
          <w:tcPr>
            <w:tcW w:w="1800" w:type="dxa"/>
          </w:tcPr>
          <w:p>
            <w:pPr>
              <w:pStyle w:val="TableParagraph"/>
              <w:spacing w:line="297" w:lineRule="exact"/>
              <w:ind w:left="108"/>
              <w:rPr>
                <w:sz w:val="22"/>
              </w:rPr>
            </w:pPr>
            <w:r>
              <w:rPr>
                <w:sz w:val="22"/>
              </w:rPr>
              <w:t>Existing OTP 3</w:t>
            </w:r>
          </w:p>
        </w:tc>
      </w:tr>
      <w:tr>
        <w:trPr>
          <w:trHeight w:val="304" w:hRule="atLeast"/>
        </w:trPr>
        <w:tc>
          <w:tcPr>
            <w:tcW w:w="1766" w:type="dxa"/>
          </w:tcPr>
          <w:p>
            <w:pPr>
              <w:pStyle w:val="TableParagraph"/>
              <w:spacing w:line="284" w:lineRule="exact"/>
              <w:ind w:left="107"/>
              <w:rPr>
                <w:sz w:val="22"/>
              </w:rPr>
            </w:pPr>
            <w:r>
              <w:rPr>
                <w:sz w:val="22"/>
              </w:rPr>
              <w:t>County 1</w:t>
            </w:r>
          </w:p>
        </w:tc>
        <w:tc>
          <w:tcPr>
            <w:tcW w:w="1918" w:type="dxa"/>
          </w:tcPr>
          <w:p>
            <w:pPr>
              <w:pStyle w:val="TableParagraph"/>
              <w:rPr>
                <w:rFonts w:ascii="Times New Roman"/>
                <w:sz w:val="22"/>
              </w:rPr>
            </w:pPr>
          </w:p>
        </w:tc>
        <w:tc>
          <w:tcPr>
            <w:tcW w:w="1800" w:type="dxa"/>
          </w:tcPr>
          <w:p>
            <w:pPr>
              <w:pStyle w:val="TableParagraph"/>
              <w:rPr>
                <w:rFonts w:ascii="Times New Roman"/>
                <w:sz w:val="22"/>
              </w:rPr>
            </w:pPr>
          </w:p>
        </w:tc>
        <w:tc>
          <w:tcPr>
            <w:tcW w:w="1798" w:type="dxa"/>
          </w:tcPr>
          <w:p>
            <w:pPr>
              <w:pStyle w:val="TableParagraph"/>
              <w:rPr>
                <w:rFonts w:ascii="Times New Roman"/>
                <w:sz w:val="22"/>
              </w:rPr>
            </w:pPr>
          </w:p>
        </w:tc>
        <w:tc>
          <w:tcPr>
            <w:tcW w:w="1800" w:type="dxa"/>
          </w:tcPr>
          <w:p>
            <w:pPr>
              <w:pStyle w:val="TableParagraph"/>
              <w:rPr>
                <w:rFonts w:ascii="Times New Roman"/>
                <w:sz w:val="22"/>
              </w:rPr>
            </w:pPr>
          </w:p>
        </w:tc>
      </w:tr>
      <w:tr>
        <w:trPr>
          <w:trHeight w:val="318" w:hRule="atLeast"/>
        </w:trPr>
        <w:tc>
          <w:tcPr>
            <w:tcW w:w="1766" w:type="dxa"/>
          </w:tcPr>
          <w:p>
            <w:pPr>
              <w:pStyle w:val="TableParagraph"/>
              <w:spacing w:line="297" w:lineRule="exact"/>
              <w:ind w:left="107"/>
              <w:rPr>
                <w:sz w:val="22"/>
              </w:rPr>
            </w:pPr>
            <w:r>
              <w:rPr>
                <w:sz w:val="22"/>
              </w:rPr>
              <w:t>County 2</w:t>
            </w:r>
          </w:p>
        </w:tc>
        <w:tc>
          <w:tcPr>
            <w:tcW w:w="1918" w:type="dxa"/>
          </w:tcPr>
          <w:p>
            <w:pPr>
              <w:pStyle w:val="TableParagraph"/>
              <w:rPr>
                <w:rFonts w:ascii="Times New Roman"/>
                <w:sz w:val="22"/>
              </w:rPr>
            </w:pPr>
          </w:p>
        </w:tc>
        <w:tc>
          <w:tcPr>
            <w:tcW w:w="1800" w:type="dxa"/>
          </w:tcPr>
          <w:p>
            <w:pPr>
              <w:pStyle w:val="TableParagraph"/>
              <w:rPr>
                <w:rFonts w:ascii="Times New Roman"/>
                <w:sz w:val="22"/>
              </w:rPr>
            </w:pPr>
          </w:p>
        </w:tc>
        <w:tc>
          <w:tcPr>
            <w:tcW w:w="1798" w:type="dxa"/>
          </w:tcPr>
          <w:p>
            <w:pPr>
              <w:pStyle w:val="TableParagraph"/>
              <w:rPr>
                <w:rFonts w:ascii="Times New Roman"/>
                <w:sz w:val="22"/>
              </w:rPr>
            </w:pPr>
          </w:p>
        </w:tc>
        <w:tc>
          <w:tcPr>
            <w:tcW w:w="1800" w:type="dxa"/>
          </w:tcPr>
          <w:p>
            <w:pPr>
              <w:pStyle w:val="TableParagraph"/>
              <w:rPr>
                <w:rFonts w:ascii="Times New Roman"/>
                <w:sz w:val="22"/>
              </w:rPr>
            </w:pPr>
          </w:p>
        </w:tc>
      </w:tr>
      <w:tr>
        <w:trPr>
          <w:trHeight w:val="304" w:hRule="atLeast"/>
        </w:trPr>
        <w:tc>
          <w:tcPr>
            <w:tcW w:w="1766" w:type="dxa"/>
          </w:tcPr>
          <w:p>
            <w:pPr>
              <w:pStyle w:val="TableParagraph"/>
              <w:spacing w:line="284" w:lineRule="exact"/>
              <w:ind w:left="107"/>
              <w:rPr>
                <w:sz w:val="22"/>
              </w:rPr>
            </w:pPr>
            <w:r>
              <w:rPr>
                <w:sz w:val="22"/>
              </w:rPr>
              <w:t>County 3</w:t>
            </w:r>
          </w:p>
        </w:tc>
        <w:tc>
          <w:tcPr>
            <w:tcW w:w="1918" w:type="dxa"/>
          </w:tcPr>
          <w:p>
            <w:pPr>
              <w:pStyle w:val="TableParagraph"/>
              <w:rPr>
                <w:rFonts w:ascii="Times New Roman"/>
                <w:sz w:val="22"/>
              </w:rPr>
            </w:pPr>
          </w:p>
        </w:tc>
        <w:tc>
          <w:tcPr>
            <w:tcW w:w="1800" w:type="dxa"/>
          </w:tcPr>
          <w:p>
            <w:pPr>
              <w:pStyle w:val="TableParagraph"/>
              <w:rPr>
                <w:rFonts w:ascii="Times New Roman"/>
                <w:sz w:val="22"/>
              </w:rPr>
            </w:pPr>
          </w:p>
        </w:tc>
        <w:tc>
          <w:tcPr>
            <w:tcW w:w="1798" w:type="dxa"/>
          </w:tcPr>
          <w:p>
            <w:pPr>
              <w:pStyle w:val="TableParagraph"/>
              <w:rPr>
                <w:rFonts w:ascii="Times New Roman"/>
                <w:sz w:val="22"/>
              </w:rPr>
            </w:pPr>
          </w:p>
        </w:tc>
        <w:tc>
          <w:tcPr>
            <w:tcW w:w="1800" w:type="dxa"/>
          </w:tcPr>
          <w:p>
            <w:pPr>
              <w:pStyle w:val="TableParagraph"/>
              <w:rPr>
                <w:rFonts w:ascii="Times New Roman"/>
                <w:sz w:val="22"/>
              </w:rPr>
            </w:pPr>
          </w:p>
        </w:tc>
      </w:tr>
      <w:tr>
        <w:trPr>
          <w:trHeight w:val="338" w:hRule="atLeast"/>
        </w:trPr>
        <w:tc>
          <w:tcPr>
            <w:tcW w:w="1766" w:type="dxa"/>
          </w:tcPr>
          <w:p>
            <w:pPr>
              <w:pStyle w:val="TableParagraph"/>
              <w:spacing w:line="297" w:lineRule="exact"/>
              <w:ind w:left="107"/>
              <w:rPr>
                <w:sz w:val="22"/>
              </w:rPr>
            </w:pPr>
            <w:r>
              <w:rPr>
                <w:sz w:val="22"/>
              </w:rPr>
              <w:t>County 4</w:t>
            </w:r>
          </w:p>
        </w:tc>
        <w:tc>
          <w:tcPr>
            <w:tcW w:w="1918" w:type="dxa"/>
          </w:tcPr>
          <w:p>
            <w:pPr>
              <w:pStyle w:val="TableParagraph"/>
              <w:rPr>
                <w:rFonts w:ascii="Times New Roman"/>
                <w:sz w:val="22"/>
              </w:rPr>
            </w:pPr>
          </w:p>
        </w:tc>
        <w:tc>
          <w:tcPr>
            <w:tcW w:w="1800" w:type="dxa"/>
          </w:tcPr>
          <w:p>
            <w:pPr>
              <w:pStyle w:val="TableParagraph"/>
              <w:rPr>
                <w:rFonts w:ascii="Times New Roman"/>
                <w:sz w:val="22"/>
              </w:rPr>
            </w:pPr>
          </w:p>
        </w:tc>
        <w:tc>
          <w:tcPr>
            <w:tcW w:w="1798" w:type="dxa"/>
          </w:tcPr>
          <w:p>
            <w:pPr>
              <w:pStyle w:val="TableParagraph"/>
              <w:rPr>
                <w:rFonts w:ascii="Times New Roman"/>
                <w:sz w:val="22"/>
              </w:rPr>
            </w:pPr>
          </w:p>
        </w:tc>
        <w:tc>
          <w:tcPr>
            <w:tcW w:w="1800" w:type="dxa"/>
          </w:tcPr>
          <w:p>
            <w:pPr>
              <w:pStyle w:val="TableParagraph"/>
              <w:rPr>
                <w:rFonts w:ascii="Times New Roman"/>
                <w:sz w:val="22"/>
              </w:rPr>
            </w:pPr>
          </w:p>
        </w:tc>
      </w:tr>
    </w:tbl>
    <w:p>
      <w:pPr>
        <w:pStyle w:val="BodyText"/>
        <w:spacing w:before="2"/>
        <w:rPr>
          <w:i/>
          <w:sz w:val="25"/>
        </w:rPr>
      </w:pPr>
    </w:p>
    <w:p>
      <w:pPr>
        <w:pStyle w:val="ListParagraph"/>
        <w:numPr>
          <w:ilvl w:val="1"/>
          <w:numId w:val="2"/>
        </w:numPr>
        <w:tabs>
          <w:tab w:pos="1541" w:val="left" w:leader="none"/>
        </w:tabs>
        <w:spacing w:line="240" w:lineRule="auto" w:before="0" w:after="0"/>
        <w:ind w:left="1540" w:right="0" w:hanging="360"/>
        <w:jc w:val="left"/>
        <w:rPr>
          <w:sz w:val="22"/>
        </w:rPr>
      </w:pPr>
      <w:r>
        <w:rPr>
          <w:sz w:val="22"/>
        </w:rPr>
        <w:t>Population of the area to be served,</w:t>
      </w:r>
      <w:r>
        <w:rPr>
          <w:spacing w:val="-2"/>
          <w:sz w:val="22"/>
        </w:rPr>
        <w:t> </w:t>
      </w:r>
      <w:r>
        <w:rPr>
          <w:sz w:val="22"/>
        </w:rPr>
        <w:t>and</w:t>
      </w:r>
    </w:p>
    <w:p>
      <w:pPr>
        <w:pStyle w:val="ListParagraph"/>
        <w:numPr>
          <w:ilvl w:val="1"/>
          <w:numId w:val="2"/>
        </w:numPr>
        <w:tabs>
          <w:tab w:pos="1541" w:val="left" w:leader="none"/>
        </w:tabs>
        <w:spacing w:line="276" w:lineRule="auto" w:before="44" w:after="0"/>
        <w:ind w:left="1540" w:right="600" w:hanging="360"/>
        <w:jc w:val="left"/>
        <w:rPr>
          <w:sz w:val="22"/>
        </w:rPr>
      </w:pPr>
      <w:r>
        <w:rPr>
          <w:sz w:val="22"/>
        </w:rPr>
        <w:t>The estimated number of persons, in the described area, with opioid </w:t>
      </w:r>
      <w:r>
        <w:rPr>
          <w:spacing w:val="-2"/>
          <w:sz w:val="22"/>
        </w:rPr>
        <w:t>use </w:t>
      </w:r>
      <w:r>
        <w:rPr>
          <w:sz w:val="22"/>
        </w:rPr>
        <w:t>disorder and an explanation of the basis of the</w:t>
      </w:r>
      <w:r>
        <w:rPr>
          <w:spacing w:val="-12"/>
          <w:sz w:val="22"/>
        </w:rPr>
        <w:t> </w:t>
      </w:r>
      <w:r>
        <w:rPr>
          <w:sz w:val="22"/>
        </w:rPr>
        <w:t>estimate.</w:t>
      </w:r>
    </w:p>
    <w:p>
      <w:pPr>
        <w:pStyle w:val="ListParagraph"/>
        <w:numPr>
          <w:ilvl w:val="1"/>
          <w:numId w:val="2"/>
        </w:numPr>
        <w:tabs>
          <w:tab w:pos="1541" w:val="left" w:leader="none"/>
        </w:tabs>
        <w:spacing w:line="276" w:lineRule="auto" w:before="3" w:after="0"/>
        <w:ind w:left="1540" w:right="139" w:hanging="360"/>
        <w:jc w:val="left"/>
        <w:rPr>
          <w:sz w:val="22"/>
        </w:rPr>
      </w:pPr>
      <w:r>
        <w:rPr>
          <w:sz w:val="22"/>
        </w:rPr>
        <w:t>The applicant shall provide the projected rate of intake per week</w:t>
      </w:r>
      <w:r>
        <w:rPr>
          <w:spacing w:val="-42"/>
          <w:sz w:val="22"/>
        </w:rPr>
        <w:t> </w:t>
      </w:r>
      <w:r>
        <w:rPr>
          <w:sz w:val="22"/>
        </w:rPr>
        <w:t>for year one of the proposed project along with factors controlling</w:t>
      </w:r>
      <w:r>
        <w:rPr>
          <w:spacing w:val="-10"/>
          <w:sz w:val="22"/>
        </w:rPr>
        <w:t> </w:t>
      </w:r>
      <w:r>
        <w:rPr>
          <w:sz w:val="22"/>
        </w:rPr>
        <w:t>intake.</w:t>
      </w:r>
    </w:p>
    <w:p>
      <w:pPr>
        <w:pStyle w:val="ListParagraph"/>
        <w:numPr>
          <w:ilvl w:val="1"/>
          <w:numId w:val="2"/>
        </w:numPr>
        <w:tabs>
          <w:tab w:pos="1541" w:val="left" w:leader="none"/>
        </w:tabs>
        <w:spacing w:line="276" w:lineRule="auto" w:before="0" w:after="0"/>
        <w:ind w:left="1540" w:right="127" w:hanging="360"/>
        <w:jc w:val="left"/>
        <w:rPr>
          <w:sz w:val="22"/>
        </w:rPr>
      </w:pPr>
      <w:r>
        <w:rPr>
          <w:sz w:val="22"/>
        </w:rPr>
        <w:t>The applicant shall contact the Tennessee State Opioid Treatment Authority to obtain the current patient caseload and capacity of Non-Residential Opioid Treatment Providers providing care to patients in the proposed service area. The list shall delineate </w:t>
      </w:r>
      <w:r>
        <w:rPr>
          <w:spacing w:val="-2"/>
          <w:sz w:val="22"/>
        </w:rPr>
        <w:t>the </w:t>
      </w:r>
      <w:r>
        <w:rPr>
          <w:sz w:val="22"/>
        </w:rPr>
        <w:t>number of patients receiving methadone treatment and buprenorphine</w:t>
      </w:r>
      <w:r>
        <w:rPr>
          <w:spacing w:val="-3"/>
          <w:sz w:val="22"/>
        </w:rPr>
        <w:t> </w:t>
      </w:r>
      <w:r>
        <w:rPr>
          <w:sz w:val="22"/>
        </w:rPr>
        <w:t>treatment.</w:t>
      </w:r>
    </w:p>
    <w:p>
      <w:pPr>
        <w:pStyle w:val="BodyText"/>
        <w:spacing w:before="2"/>
        <w:rPr>
          <w:sz w:val="25"/>
        </w:rPr>
      </w:pPr>
    </w:p>
    <w:p>
      <w:pPr>
        <w:pStyle w:val="BodyText"/>
        <w:spacing w:line="276" w:lineRule="auto" w:before="1"/>
        <w:ind w:left="820" w:right="550"/>
      </w:pPr>
      <w:r>
        <w:rPr/>
        <w:t>Consideration should be given to the reality that existing facilities can expand or reduce their capacity to maintain or treat patients without large changes in overhead.</w:t>
      </w:r>
    </w:p>
    <w:p>
      <w:pPr>
        <w:pStyle w:val="BodyText"/>
        <w:spacing w:before="4"/>
        <w:rPr>
          <w:sz w:val="25"/>
        </w:rPr>
      </w:pPr>
    </w:p>
    <w:p>
      <w:pPr>
        <w:pStyle w:val="ListParagraph"/>
        <w:numPr>
          <w:ilvl w:val="0"/>
          <w:numId w:val="2"/>
        </w:numPr>
        <w:tabs>
          <w:tab w:pos="821" w:val="left" w:leader="none"/>
        </w:tabs>
        <w:spacing w:line="276" w:lineRule="auto" w:before="0" w:after="0"/>
        <w:ind w:left="820" w:right="341" w:hanging="360"/>
        <w:jc w:val="both"/>
        <w:rPr>
          <w:sz w:val="22"/>
        </w:rPr>
      </w:pPr>
      <w:r>
        <w:rPr>
          <w:b/>
          <w:sz w:val="22"/>
        </w:rPr>
        <w:t>Assurance of Resources: </w:t>
      </w:r>
      <w:r>
        <w:rPr>
          <w:sz w:val="22"/>
        </w:rPr>
        <w:t>The proposal’s estimate of the number of patients to</w:t>
      </w:r>
      <w:r>
        <w:rPr>
          <w:spacing w:val="-40"/>
          <w:sz w:val="22"/>
        </w:rPr>
        <w:t> </w:t>
      </w:r>
      <w:r>
        <w:rPr>
          <w:sz w:val="22"/>
        </w:rPr>
        <w:t>be treated, anticipated revenue from the proposed project, and the program funding source with description of the organizational structure of the program delineating the person(s) responsible for the program, should be</w:t>
      </w:r>
      <w:r>
        <w:rPr>
          <w:spacing w:val="-9"/>
          <w:sz w:val="22"/>
        </w:rPr>
        <w:t> </w:t>
      </w:r>
      <w:r>
        <w:rPr>
          <w:sz w:val="22"/>
        </w:rPr>
        <w:t>considered.</w:t>
      </w:r>
    </w:p>
    <w:p>
      <w:pPr>
        <w:spacing w:after="0" w:line="276" w:lineRule="auto"/>
        <w:jc w:val="both"/>
        <w:rPr>
          <w:sz w:val="22"/>
        </w:rPr>
        <w:sectPr>
          <w:pgSz w:w="12240" w:h="15840"/>
          <w:pgMar w:header="0" w:footer="1014" w:top="1360" w:bottom="1200" w:left="1340" w:right="1320"/>
        </w:sectPr>
      </w:pPr>
    </w:p>
    <w:p>
      <w:pPr>
        <w:pStyle w:val="ListParagraph"/>
        <w:numPr>
          <w:ilvl w:val="0"/>
          <w:numId w:val="2"/>
        </w:numPr>
        <w:tabs>
          <w:tab w:pos="821" w:val="left" w:leader="none"/>
        </w:tabs>
        <w:spacing w:line="276" w:lineRule="auto" w:before="78" w:after="0"/>
        <w:ind w:left="820" w:right="190" w:hanging="360"/>
        <w:jc w:val="left"/>
        <w:rPr>
          <w:sz w:val="22"/>
        </w:rPr>
      </w:pPr>
      <w:r>
        <w:rPr>
          <w:b/>
          <w:sz w:val="22"/>
        </w:rPr>
        <w:t>Charity Care: </w:t>
      </w:r>
      <w:r>
        <w:rPr>
          <w:sz w:val="22"/>
        </w:rPr>
        <w:t>The proposal should address the program’s ability to provide for indigent</w:t>
      </w:r>
      <w:r>
        <w:rPr>
          <w:spacing w:val="-4"/>
          <w:sz w:val="22"/>
        </w:rPr>
        <w:t> </w:t>
      </w:r>
      <w:r>
        <w:rPr>
          <w:sz w:val="22"/>
        </w:rPr>
        <w:t>and</w:t>
      </w:r>
      <w:r>
        <w:rPr>
          <w:spacing w:val="-3"/>
          <w:sz w:val="22"/>
        </w:rPr>
        <w:t> </w:t>
      </w:r>
      <w:r>
        <w:rPr>
          <w:sz w:val="22"/>
        </w:rPr>
        <w:t>charity</w:t>
      </w:r>
      <w:r>
        <w:rPr>
          <w:spacing w:val="-3"/>
          <w:sz w:val="22"/>
        </w:rPr>
        <w:t> </w:t>
      </w:r>
      <w:r>
        <w:rPr>
          <w:sz w:val="22"/>
        </w:rPr>
        <w:t>care.</w:t>
      </w:r>
      <w:r>
        <w:rPr>
          <w:spacing w:val="-3"/>
          <w:sz w:val="22"/>
        </w:rPr>
        <w:t> </w:t>
      </w:r>
      <w:r>
        <w:rPr>
          <w:sz w:val="22"/>
        </w:rPr>
        <w:t>The</w:t>
      </w:r>
      <w:r>
        <w:rPr>
          <w:spacing w:val="-3"/>
          <w:sz w:val="22"/>
        </w:rPr>
        <w:t> </w:t>
      </w:r>
      <w:r>
        <w:rPr>
          <w:sz w:val="22"/>
        </w:rPr>
        <w:t>applicant</w:t>
      </w:r>
      <w:r>
        <w:rPr>
          <w:spacing w:val="-3"/>
          <w:sz w:val="22"/>
        </w:rPr>
        <w:t> </w:t>
      </w:r>
      <w:r>
        <w:rPr>
          <w:sz w:val="22"/>
        </w:rPr>
        <w:t>shall</w:t>
      </w:r>
      <w:r>
        <w:rPr>
          <w:spacing w:val="-2"/>
          <w:sz w:val="22"/>
        </w:rPr>
        <w:t> </w:t>
      </w:r>
      <w:r>
        <w:rPr>
          <w:sz w:val="22"/>
        </w:rPr>
        <w:t>provide</w:t>
      </w:r>
      <w:r>
        <w:rPr>
          <w:spacing w:val="-2"/>
          <w:sz w:val="22"/>
        </w:rPr>
        <w:t> </w:t>
      </w:r>
      <w:r>
        <w:rPr>
          <w:sz w:val="22"/>
        </w:rPr>
        <w:t>the</w:t>
      </w:r>
      <w:r>
        <w:rPr>
          <w:spacing w:val="-4"/>
          <w:sz w:val="22"/>
        </w:rPr>
        <w:t> </w:t>
      </w:r>
      <w:r>
        <w:rPr>
          <w:sz w:val="22"/>
        </w:rPr>
        <w:t>rate</w:t>
      </w:r>
      <w:r>
        <w:rPr>
          <w:spacing w:val="-5"/>
          <w:sz w:val="22"/>
        </w:rPr>
        <w:t> </w:t>
      </w:r>
      <w:r>
        <w:rPr>
          <w:sz w:val="22"/>
        </w:rPr>
        <w:t>of</w:t>
      </w:r>
      <w:r>
        <w:rPr>
          <w:spacing w:val="-2"/>
          <w:sz w:val="22"/>
        </w:rPr>
        <w:t> </w:t>
      </w:r>
      <w:r>
        <w:rPr>
          <w:sz w:val="22"/>
        </w:rPr>
        <w:t>charity</w:t>
      </w:r>
      <w:r>
        <w:rPr>
          <w:spacing w:val="-3"/>
          <w:sz w:val="22"/>
        </w:rPr>
        <w:t> </w:t>
      </w:r>
      <w:r>
        <w:rPr>
          <w:sz w:val="22"/>
        </w:rPr>
        <w:t>care</w:t>
      </w:r>
      <w:r>
        <w:rPr>
          <w:spacing w:val="-4"/>
          <w:sz w:val="22"/>
        </w:rPr>
        <w:t> </w:t>
      </w:r>
      <w:r>
        <w:rPr>
          <w:sz w:val="22"/>
        </w:rPr>
        <w:t>of</w:t>
      </w:r>
      <w:r>
        <w:rPr>
          <w:spacing w:val="-2"/>
          <w:sz w:val="22"/>
        </w:rPr>
        <w:t> </w:t>
      </w:r>
      <w:r>
        <w:rPr>
          <w:sz w:val="22"/>
        </w:rPr>
        <w:t>total gross revenue in year one and year two, including the total number of charity care patients to be served.</w:t>
      </w:r>
    </w:p>
    <w:p>
      <w:pPr>
        <w:pStyle w:val="BodyText"/>
        <w:spacing w:before="4"/>
        <w:rPr>
          <w:sz w:val="25"/>
        </w:rPr>
      </w:pPr>
    </w:p>
    <w:p>
      <w:pPr>
        <w:spacing w:line="276" w:lineRule="auto" w:before="0"/>
        <w:ind w:left="820" w:right="297" w:firstLine="0"/>
        <w:jc w:val="left"/>
        <w:rPr>
          <w:i/>
          <w:sz w:val="22"/>
        </w:rPr>
      </w:pPr>
      <w:r>
        <w:rPr>
          <w:i/>
          <w:sz w:val="22"/>
        </w:rPr>
        <w:t>Please complete the following table to demonstrate projected charity care in year 1 and </w:t>
      </w:r>
      <w:r>
        <w:rPr>
          <w:i/>
          <w:sz w:val="22"/>
        </w:rPr>
        <w:t>year 2.</w:t>
      </w:r>
    </w:p>
    <w:p>
      <w:pPr>
        <w:pStyle w:val="BodyText"/>
        <w:spacing w:before="5"/>
        <w:rPr>
          <w:i/>
          <w:sz w:val="25"/>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1756"/>
        <w:gridCol w:w="1725"/>
        <w:gridCol w:w="1728"/>
        <w:gridCol w:w="1747"/>
      </w:tblGrid>
      <w:tr>
        <w:trPr>
          <w:trHeight w:val="599" w:hRule="atLeast"/>
        </w:trPr>
        <w:tc>
          <w:tcPr>
            <w:tcW w:w="1673" w:type="dxa"/>
          </w:tcPr>
          <w:p>
            <w:pPr>
              <w:pStyle w:val="TableParagraph"/>
              <w:rPr>
                <w:rFonts w:ascii="Times New Roman"/>
                <w:sz w:val="22"/>
              </w:rPr>
            </w:pPr>
          </w:p>
        </w:tc>
        <w:tc>
          <w:tcPr>
            <w:tcW w:w="1756" w:type="dxa"/>
          </w:tcPr>
          <w:p>
            <w:pPr>
              <w:pStyle w:val="TableParagraph"/>
              <w:ind w:left="110"/>
              <w:rPr>
                <w:sz w:val="22"/>
              </w:rPr>
            </w:pPr>
            <w:r>
              <w:rPr>
                <w:sz w:val="22"/>
              </w:rPr>
              <w:t>Gross Revenue</w:t>
            </w:r>
          </w:p>
        </w:tc>
        <w:tc>
          <w:tcPr>
            <w:tcW w:w="1725" w:type="dxa"/>
          </w:tcPr>
          <w:p>
            <w:pPr>
              <w:pStyle w:val="TableParagraph"/>
              <w:spacing w:line="298" w:lineRule="exact"/>
              <w:ind w:left="151" w:right="143"/>
              <w:jc w:val="center"/>
              <w:rPr>
                <w:sz w:val="22"/>
              </w:rPr>
            </w:pPr>
            <w:r>
              <w:rPr>
                <w:sz w:val="22"/>
              </w:rPr>
              <w:t>Gross Charge</w:t>
            </w:r>
          </w:p>
          <w:p>
            <w:pPr>
              <w:pStyle w:val="TableParagraph"/>
              <w:spacing w:line="281" w:lineRule="exact"/>
              <w:ind w:left="151" w:right="141"/>
              <w:jc w:val="center"/>
              <w:rPr>
                <w:sz w:val="22"/>
              </w:rPr>
            </w:pPr>
            <w:r>
              <w:rPr>
                <w:sz w:val="22"/>
              </w:rPr>
              <w:t>Per Patient</w:t>
            </w:r>
          </w:p>
        </w:tc>
        <w:tc>
          <w:tcPr>
            <w:tcW w:w="1728" w:type="dxa"/>
          </w:tcPr>
          <w:p>
            <w:pPr>
              <w:pStyle w:val="TableParagraph"/>
              <w:spacing w:line="298" w:lineRule="exact"/>
              <w:ind w:left="213" w:right="203"/>
              <w:jc w:val="center"/>
              <w:rPr>
                <w:sz w:val="22"/>
              </w:rPr>
            </w:pPr>
            <w:r>
              <w:rPr>
                <w:sz w:val="22"/>
              </w:rPr>
              <w:t>Charity Care</w:t>
            </w:r>
          </w:p>
          <w:p>
            <w:pPr>
              <w:pStyle w:val="TableParagraph"/>
              <w:spacing w:line="281" w:lineRule="exact"/>
              <w:ind w:left="213" w:right="201"/>
              <w:jc w:val="center"/>
              <w:rPr>
                <w:sz w:val="22"/>
              </w:rPr>
            </w:pPr>
            <w:r>
              <w:rPr>
                <w:sz w:val="22"/>
              </w:rPr>
              <w:t>Total</w:t>
            </w:r>
          </w:p>
        </w:tc>
        <w:tc>
          <w:tcPr>
            <w:tcW w:w="1747" w:type="dxa"/>
          </w:tcPr>
          <w:p>
            <w:pPr>
              <w:pStyle w:val="TableParagraph"/>
              <w:spacing w:line="298" w:lineRule="exact"/>
              <w:ind w:left="225"/>
              <w:rPr>
                <w:sz w:val="22"/>
              </w:rPr>
            </w:pPr>
            <w:r>
              <w:rPr>
                <w:sz w:val="22"/>
              </w:rPr>
              <w:t>Total</w:t>
            </w:r>
            <w:r>
              <w:rPr>
                <w:spacing w:val="-5"/>
                <w:sz w:val="22"/>
              </w:rPr>
              <w:t> </w:t>
            </w:r>
            <w:r>
              <w:rPr>
                <w:sz w:val="22"/>
              </w:rPr>
              <w:t>Charity</w:t>
            </w:r>
          </w:p>
          <w:p>
            <w:pPr>
              <w:pStyle w:val="TableParagraph"/>
              <w:spacing w:line="281" w:lineRule="exact"/>
              <w:ind w:left="194"/>
              <w:rPr>
                <w:sz w:val="22"/>
              </w:rPr>
            </w:pPr>
            <w:r>
              <w:rPr>
                <w:sz w:val="22"/>
              </w:rPr>
              <w:t>Care</w:t>
            </w:r>
            <w:r>
              <w:rPr>
                <w:spacing w:val="-4"/>
                <w:sz w:val="22"/>
              </w:rPr>
              <w:t> </w:t>
            </w:r>
            <w:r>
              <w:rPr>
                <w:sz w:val="22"/>
              </w:rPr>
              <w:t>Patients</w:t>
            </w:r>
          </w:p>
        </w:tc>
      </w:tr>
      <w:tr>
        <w:trPr>
          <w:trHeight w:val="300" w:hRule="atLeast"/>
        </w:trPr>
        <w:tc>
          <w:tcPr>
            <w:tcW w:w="1673" w:type="dxa"/>
          </w:tcPr>
          <w:p>
            <w:pPr>
              <w:pStyle w:val="TableParagraph"/>
              <w:spacing w:line="280" w:lineRule="exact"/>
              <w:ind w:left="107"/>
              <w:rPr>
                <w:sz w:val="22"/>
              </w:rPr>
            </w:pPr>
            <w:r>
              <w:rPr>
                <w:sz w:val="22"/>
              </w:rPr>
              <w:t>Year 1</w:t>
            </w:r>
          </w:p>
        </w:tc>
        <w:tc>
          <w:tcPr>
            <w:tcW w:w="1756" w:type="dxa"/>
          </w:tcPr>
          <w:p>
            <w:pPr>
              <w:pStyle w:val="TableParagraph"/>
              <w:rPr>
                <w:rFonts w:ascii="Times New Roman"/>
                <w:sz w:val="22"/>
              </w:rPr>
            </w:pPr>
          </w:p>
        </w:tc>
        <w:tc>
          <w:tcPr>
            <w:tcW w:w="1725" w:type="dxa"/>
          </w:tcPr>
          <w:p>
            <w:pPr>
              <w:pStyle w:val="TableParagraph"/>
              <w:rPr>
                <w:rFonts w:ascii="Times New Roman"/>
                <w:sz w:val="22"/>
              </w:rPr>
            </w:pPr>
          </w:p>
        </w:tc>
        <w:tc>
          <w:tcPr>
            <w:tcW w:w="1728" w:type="dxa"/>
          </w:tcPr>
          <w:p>
            <w:pPr>
              <w:pStyle w:val="TableParagraph"/>
              <w:rPr>
                <w:rFonts w:ascii="Times New Roman"/>
                <w:sz w:val="22"/>
              </w:rPr>
            </w:pPr>
          </w:p>
        </w:tc>
        <w:tc>
          <w:tcPr>
            <w:tcW w:w="1747" w:type="dxa"/>
          </w:tcPr>
          <w:p>
            <w:pPr>
              <w:pStyle w:val="TableParagraph"/>
              <w:rPr>
                <w:rFonts w:ascii="Times New Roman"/>
                <w:sz w:val="22"/>
              </w:rPr>
            </w:pPr>
          </w:p>
        </w:tc>
      </w:tr>
      <w:tr>
        <w:trPr>
          <w:trHeight w:val="299" w:hRule="atLeast"/>
        </w:trPr>
        <w:tc>
          <w:tcPr>
            <w:tcW w:w="1673" w:type="dxa"/>
          </w:tcPr>
          <w:p>
            <w:pPr>
              <w:pStyle w:val="TableParagraph"/>
              <w:spacing w:line="280" w:lineRule="exact"/>
              <w:ind w:left="107"/>
              <w:rPr>
                <w:sz w:val="22"/>
              </w:rPr>
            </w:pPr>
            <w:r>
              <w:rPr>
                <w:sz w:val="22"/>
              </w:rPr>
              <w:t>Year 2</w:t>
            </w:r>
          </w:p>
        </w:tc>
        <w:tc>
          <w:tcPr>
            <w:tcW w:w="1756" w:type="dxa"/>
          </w:tcPr>
          <w:p>
            <w:pPr>
              <w:pStyle w:val="TableParagraph"/>
              <w:rPr>
                <w:rFonts w:ascii="Times New Roman"/>
                <w:sz w:val="22"/>
              </w:rPr>
            </w:pPr>
          </w:p>
        </w:tc>
        <w:tc>
          <w:tcPr>
            <w:tcW w:w="1725" w:type="dxa"/>
          </w:tcPr>
          <w:p>
            <w:pPr>
              <w:pStyle w:val="TableParagraph"/>
              <w:rPr>
                <w:rFonts w:ascii="Times New Roman"/>
                <w:sz w:val="22"/>
              </w:rPr>
            </w:pPr>
          </w:p>
        </w:tc>
        <w:tc>
          <w:tcPr>
            <w:tcW w:w="1728" w:type="dxa"/>
          </w:tcPr>
          <w:p>
            <w:pPr>
              <w:pStyle w:val="TableParagraph"/>
              <w:rPr>
                <w:rFonts w:ascii="Times New Roman"/>
                <w:sz w:val="22"/>
              </w:rPr>
            </w:pPr>
          </w:p>
        </w:tc>
        <w:tc>
          <w:tcPr>
            <w:tcW w:w="1747" w:type="dxa"/>
          </w:tcPr>
          <w:p>
            <w:pPr>
              <w:pStyle w:val="TableParagraph"/>
              <w:rPr>
                <w:rFonts w:ascii="Times New Roman"/>
                <w:sz w:val="22"/>
              </w:rPr>
            </w:pPr>
          </w:p>
        </w:tc>
      </w:tr>
    </w:tbl>
    <w:p>
      <w:pPr>
        <w:pStyle w:val="BodyText"/>
        <w:rPr>
          <w:i/>
          <w:sz w:val="30"/>
        </w:rPr>
      </w:pPr>
    </w:p>
    <w:p>
      <w:pPr>
        <w:pStyle w:val="BodyText"/>
        <w:spacing w:before="7"/>
        <w:rPr>
          <w:i/>
          <w:sz w:val="20"/>
        </w:rPr>
      </w:pPr>
    </w:p>
    <w:p>
      <w:pPr>
        <w:pStyle w:val="ListParagraph"/>
        <w:numPr>
          <w:ilvl w:val="0"/>
          <w:numId w:val="2"/>
        </w:numPr>
        <w:tabs>
          <w:tab w:pos="821" w:val="left" w:leader="none"/>
        </w:tabs>
        <w:spacing w:line="276" w:lineRule="auto" w:before="1" w:after="0"/>
        <w:ind w:left="820" w:right="150" w:hanging="360"/>
        <w:jc w:val="left"/>
        <w:rPr>
          <w:sz w:val="22"/>
        </w:rPr>
      </w:pPr>
      <w:r>
        <w:rPr>
          <w:b/>
          <w:sz w:val="22"/>
        </w:rPr>
        <w:t>Special Populations: </w:t>
      </w:r>
      <w:r>
        <w:rPr>
          <w:sz w:val="22"/>
        </w:rPr>
        <w:t>The applicant shall address how the proposed program will serve patients who are pregnant, HIV positive, Hepatitis C positive, and patients who are incarcerated and/or facing risk of incarceration. The applicant should also discuss its ability, willingness, and plan to provide care to women who are pregnant but cannot afford the</w:t>
      </w:r>
      <w:r>
        <w:rPr>
          <w:spacing w:val="-4"/>
          <w:sz w:val="22"/>
        </w:rPr>
        <w:t> </w:t>
      </w:r>
      <w:r>
        <w:rPr>
          <w:sz w:val="22"/>
        </w:rPr>
        <w:t>services.</w:t>
      </w:r>
    </w:p>
    <w:p>
      <w:pPr>
        <w:pStyle w:val="BodyText"/>
        <w:spacing w:before="3"/>
        <w:rPr>
          <w:sz w:val="25"/>
        </w:rPr>
      </w:pPr>
    </w:p>
    <w:p>
      <w:pPr>
        <w:pStyle w:val="ListParagraph"/>
        <w:numPr>
          <w:ilvl w:val="0"/>
          <w:numId w:val="2"/>
        </w:numPr>
        <w:tabs>
          <w:tab w:pos="821" w:val="left" w:leader="none"/>
        </w:tabs>
        <w:spacing w:line="276" w:lineRule="auto" w:before="0" w:after="0"/>
        <w:ind w:left="820" w:right="114" w:hanging="360"/>
        <w:jc w:val="both"/>
        <w:rPr>
          <w:sz w:val="22"/>
        </w:rPr>
      </w:pPr>
      <w:r>
        <w:rPr>
          <w:b/>
          <w:sz w:val="22"/>
        </w:rPr>
        <w:t>Adequate</w:t>
      </w:r>
      <w:r>
        <w:rPr>
          <w:b/>
          <w:spacing w:val="-16"/>
          <w:sz w:val="22"/>
        </w:rPr>
        <w:t> </w:t>
      </w:r>
      <w:r>
        <w:rPr>
          <w:b/>
          <w:sz w:val="22"/>
        </w:rPr>
        <w:t>Staffing:</w:t>
      </w:r>
      <w:r>
        <w:rPr>
          <w:b/>
          <w:spacing w:val="-14"/>
          <w:sz w:val="22"/>
        </w:rPr>
        <w:t> </w:t>
      </w:r>
      <w:r>
        <w:rPr>
          <w:sz w:val="22"/>
        </w:rPr>
        <w:t>An</w:t>
      </w:r>
      <w:r>
        <w:rPr>
          <w:spacing w:val="-18"/>
          <w:sz w:val="22"/>
        </w:rPr>
        <w:t> </w:t>
      </w:r>
      <w:r>
        <w:rPr>
          <w:sz w:val="22"/>
        </w:rPr>
        <w:t>applicant</w:t>
      </w:r>
      <w:r>
        <w:rPr>
          <w:spacing w:val="-16"/>
          <w:sz w:val="22"/>
        </w:rPr>
        <w:t> </w:t>
      </w:r>
      <w:r>
        <w:rPr>
          <w:sz w:val="22"/>
        </w:rPr>
        <w:t>shall</w:t>
      </w:r>
      <w:r>
        <w:rPr>
          <w:spacing w:val="-12"/>
          <w:sz w:val="22"/>
        </w:rPr>
        <w:t> </w:t>
      </w:r>
      <w:r>
        <w:rPr>
          <w:sz w:val="22"/>
        </w:rPr>
        <w:t>document</w:t>
      </w:r>
      <w:r>
        <w:rPr>
          <w:spacing w:val="-16"/>
          <w:sz w:val="22"/>
        </w:rPr>
        <w:t> </w:t>
      </w:r>
      <w:r>
        <w:rPr>
          <w:sz w:val="22"/>
        </w:rPr>
        <w:t>a</w:t>
      </w:r>
      <w:r>
        <w:rPr>
          <w:spacing w:val="-15"/>
          <w:sz w:val="22"/>
        </w:rPr>
        <w:t> </w:t>
      </w:r>
      <w:r>
        <w:rPr>
          <w:sz w:val="22"/>
        </w:rPr>
        <w:t>plan</w:t>
      </w:r>
      <w:r>
        <w:rPr>
          <w:spacing w:val="-15"/>
          <w:sz w:val="22"/>
        </w:rPr>
        <w:t> </w:t>
      </w:r>
      <w:r>
        <w:rPr>
          <w:sz w:val="22"/>
        </w:rPr>
        <w:t>demonstrating</w:t>
      </w:r>
      <w:r>
        <w:rPr>
          <w:spacing w:val="-16"/>
          <w:sz w:val="22"/>
        </w:rPr>
        <w:t> </w:t>
      </w:r>
      <w:r>
        <w:rPr>
          <w:sz w:val="22"/>
        </w:rPr>
        <w:t>the</w:t>
      </w:r>
      <w:r>
        <w:rPr>
          <w:spacing w:val="-13"/>
          <w:sz w:val="22"/>
        </w:rPr>
        <w:t> </w:t>
      </w:r>
      <w:r>
        <w:rPr>
          <w:sz w:val="22"/>
        </w:rPr>
        <w:t>intent</w:t>
      </w:r>
      <w:r>
        <w:rPr>
          <w:spacing w:val="-16"/>
          <w:sz w:val="22"/>
        </w:rPr>
        <w:t> </w:t>
      </w:r>
      <w:r>
        <w:rPr>
          <w:sz w:val="22"/>
        </w:rPr>
        <w:t>and ability to recruit, hire, train, assess competencies of, supervise, and retain the appropriate numbers of qualified personnel to provide the services described in the application and that such personnel are available in the proposed service area. The applicant should provide evidence of planned staffing patterns that adhere to relevant TDMHSAS licensing</w:t>
      </w:r>
      <w:r>
        <w:rPr>
          <w:spacing w:val="-5"/>
          <w:sz w:val="22"/>
        </w:rPr>
        <w:t> </w:t>
      </w:r>
      <w:r>
        <w:rPr>
          <w:sz w:val="22"/>
        </w:rPr>
        <w:t>standards.</w:t>
      </w:r>
    </w:p>
    <w:p>
      <w:pPr>
        <w:pStyle w:val="BodyText"/>
        <w:spacing w:before="4"/>
        <w:rPr>
          <w:sz w:val="25"/>
        </w:rPr>
      </w:pPr>
    </w:p>
    <w:p>
      <w:pPr>
        <w:pStyle w:val="ListParagraph"/>
        <w:numPr>
          <w:ilvl w:val="0"/>
          <w:numId w:val="2"/>
        </w:numPr>
        <w:tabs>
          <w:tab w:pos="821" w:val="left" w:leader="none"/>
        </w:tabs>
        <w:spacing w:line="276" w:lineRule="auto" w:before="1" w:after="0"/>
        <w:ind w:left="820" w:right="117" w:hanging="360"/>
        <w:jc w:val="both"/>
        <w:rPr>
          <w:sz w:val="22"/>
        </w:rPr>
      </w:pPr>
      <w:r>
        <w:rPr>
          <w:b/>
          <w:sz w:val="22"/>
        </w:rPr>
        <w:t>Licensure and Quality Considerations: </w:t>
      </w:r>
      <w:r>
        <w:rPr>
          <w:sz w:val="22"/>
        </w:rPr>
        <w:t>Any existing applicant for this CON service category shall be in compliance, or have a plan for compliance, with the appropriate rules of the Tennessee Department of Health (TDH) and</w:t>
      </w:r>
      <w:r>
        <w:rPr>
          <w:spacing w:val="-15"/>
          <w:sz w:val="22"/>
        </w:rPr>
        <w:t> </w:t>
      </w:r>
      <w:r>
        <w:rPr>
          <w:sz w:val="22"/>
        </w:rPr>
        <w:t>TDMHSAS.</w:t>
      </w:r>
    </w:p>
    <w:p>
      <w:pPr>
        <w:pStyle w:val="BodyText"/>
        <w:spacing w:before="4"/>
        <w:rPr>
          <w:sz w:val="25"/>
        </w:rPr>
      </w:pPr>
    </w:p>
    <w:p>
      <w:pPr>
        <w:pStyle w:val="BodyText"/>
        <w:spacing w:line="276" w:lineRule="auto"/>
        <w:ind w:left="820"/>
      </w:pPr>
      <w:r>
        <w:rPr>
          <w:b/>
        </w:rPr>
        <w:t>Rationale:</w:t>
      </w:r>
      <w:r>
        <w:rPr>
          <w:b/>
          <w:spacing w:val="-16"/>
        </w:rPr>
        <w:t> </w:t>
      </w:r>
      <w:r>
        <w:rPr/>
        <w:t>This</w:t>
      </w:r>
      <w:r>
        <w:rPr>
          <w:spacing w:val="-19"/>
        </w:rPr>
        <w:t> </w:t>
      </w:r>
      <w:r>
        <w:rPr/>
        <w:t>section</w:t>
      </w:r>
      <w:r>
        <w:rPr>
          <w:spacing w:val="-18"/>
        </w:rPr>
        <w:t> </w:t>
      </w:r>
      <w:r>
        <w:rPr/>
        <w:t>supports</w:t>
      </w:r>
      <w:r>
        <w:rPr>
          <w:spacing w:val="-16"/>
        </w:rPr>
        <w:t> </w:t>
      </w:r>
      <w:r>
        <w:rPr/>
        <w:t>the</w:t>
      </w:r>
      <w:r>
        <w:rPr>
          <w:spacing w:val="-17"/>
        </w:rPr>
        <w:t> </w:t>
      </w:r>
      <w:r>
        <w:rPr/>
        <w:t>State</w:t>
      </w:r>
      <w:r>
        <w:rPr>
          <w:spacing w:val="-15"/>
        </w:rPr>
        <w:t> </w:t>
      </w:r>
      <w:r>
        <w:rPr/>
        <w:t>Health</w:t>
      </w:r>
      <w:r>
        <w:rPr>
          <w:spacing w:val="-17"/>
        </w:rPr>
        <w:t> </w:t>
      </w:r>
      <w:r>
        <w:rPr/>
        <w:t>Plan’s</w:t>
      </w:r>
      <w:r>
        <w:rPr>
          <w:spacing w:val="-15"/>
        </w:rPr>
        <w:t> </w:t>
      </w:r>
      <w:r>
        <w:rPr/>
        <w:t>Fourth</w:t>
      </w:r>
      <w:r>
        <w:rPr>
          <w:spacing w:val="-17"/>
        </w:rPr>
        <w:t> </w:t>
      </w:r>
      <w:r>
        <w:rPr/>
        <w:t>Principle</w:t>
      </w:r>
      <w:r>
        <w:rPr>
          <w:spacing w:val="-18"/>
        </w:rPr>
        <w:t> </w:t>
      </w:r>
      <w:r>
        <w:rPr/>
        <w:t>for</w:t>
      </w:r>
      <w:r>
        <w:rPr>
          <w:spacing w:val="-15"/>
        </w:rPr>
        <w:t> </w:t>
      </w:r>
      <w:r>
        <w:rPr/>
        <w:t>Achieving Better Health regarding quality of</w:t>
      </w:r>
      <w:r>
        <w:rPr>
          <w:spacing w:val="-3"/>
        </w:rPr>
        <w:t> </w:t>
      </w:r>
      <w:r>
        <w:rPr/>
        <w:t>care.</w:t>
      </w:r>
    </w:p>
    <w:p>
      <w:pPr>
        <w:pStyle w:val="BodyText"/>
        <w:spacing w:before="4"/>
        <w:rPr>
          <w:sz w:val="25"/>
        </w:rPr>
      </w:pPr>
    </w:p>
    <w:p>
      <w:pPr>
        <w:pStyle w:val="ListParagraph"/>
        <w:numPr>
          <w:ilvl w:val="0"/>
          <w:numId w:val="2"/>
        </w:numPr>
        <w:tabs>
          <w:tab w:pos="821" w:val="left" w:leader="none"/>
        </w:tabs>
        <w:spacing w:line="276" w:lineRule="auto" w:before="1" w:after="0"/>
        <w:ind w:left="820" w:right="117" w:hanging="360"/>
        <w:jc w:val="both"/>
        <w:rPr>
          <w:sz w:val="22"/>
        </w:rPr>
      </w:pPr>
      <w:r>
        <w:rPr>
          <w:b/>
          <w:sz w:val="22"/>
        </w:rPr>
        <w:t>Data Requirements: </w:t>
      </w:r>
      <w:r>
        <w:rPr>
          <w:sz w:val="22"/>
        </w:rPr>
        <w:t>Applicants shall agree to provide the TDH, TDMHSAS, and/or the</w:t>
      </w:r>
      <w:r>
        <w:rPr>
          <w:spacing w:val="-12"/>
          <w:sz w:val="22"/>
        </w:rPr>
        <w:t> </w:t>
      </w:r>
      <w:r>
        <w:rPr>
          <w:sz w:val="22"/>
        </w:rPr>
        <w:t>HSDA</w:t>
      </w:r>
      <w:r>
        <w:rPr>
          <w:spacing w:val="-13"/>
          <w:sz w:val="22"/>
        </w:rPr>
        <w:t> </w:t>
      </w:r>
      <w:r>
        <w:rPr>
          <w:sz w:val="22"/>
        </w:rPr>
        <w:t>with</w:t>
      </w:r>
      <w:r>
        <w:rPr>
          <w:spacing w:val="-13"/>
          <w:sz w:val="22"/>
        </w:rPr>
        <w:t> </w:t>
      </w:r>
      <w:r>
        <w:rPr>
          <w:sz w:val="22"/>
        </w:rPr>
        <w:t>all</w:t>
      </w:r>
      <w:r>
        <w:rPr>
          <w:spacing w:val="-13"/>
          <w:sz w:val="22"/>
        </w:rPr>
        <w:t> </w:t>
      </w:r>
      <w:r>
        <w:rPr>
          <w:sz w:val="22"/>
        </w:rPr>
        <w:t>reasonably</w:t>
      </w:r>
      <w:r>
        <w:rPr>
          <w:spacing w:val="-14"/>
          <w:sz w:val="22"/>
        </w:rPr>
        <w:t> </w:t>
      </w:r>
      <w:r>
        <w:rPr>
          <w:sz w:val="22"/>
        </w:rPr>
        <w:t>requested</w:t>
      </w:r>
      <w:r>
        <w:rPr>
          <w:spacing w:val="-13"/>
          <w:sz w:val="22"/>
        </w:rPr>
        <w:t> </w:t>
      </w:r>
      <w:r>
        <w:rPr>
          <w:sz w:val="22"/>
        </w:rPr>
        <w:t>information</w:t>
      </w:r>
      <w:r>
        <w:rPr>
          <w:spacing w:val="-14"/>
          <w:sz w:val="22"/>
        </w:rPr>
        <w:t> </w:t>
      </w:r>
      <w:r>
        <w:rPr>
          <w:sz w:val="22"/>
        </w:rPr>
        <w:t>and</w:t>
      </w:r>
      <w:r>
        <w:rPr>
          <w:spacing w:val="-13"/>
          <w:sz w:val="22"/>
        </w:rPr>
        <w:t> </w:t>
      </w:r>
      <w:r>
        <w:rPr>
          <w:sz w:val="22"/>
        </w:rPr>
        <w:t>statistical</w:t>
      </w:r>
      <w:r>
        <w:rPr>
          <w:spacing w:val="-14"/>
          <w:sz w:val="22"/>
        </w:rPr>
        <w:t> </w:t>
      </w:r>
      <w:r>
        <w:rPr>
          <w:sz w:val="22"/>
        </w:rPr>
        <w:t>data</w:t>
      </w:r>
      <w:r>
        <w:rPr>
          <w:spacing w:val="-12"/>
          <w:sz w:val="22"/>
        </w:rPr>
        <w:t> </w:t>
      </w:r>
      <w:r>
        <w:rPr>
          <w:sz w:val="22"/>
        </w:rPr>
        <w:t>related</w:t>
      </w:r>
      <w:r>
        <w:rPr>
          <w:spacing w:val="-14"/>
          <w:sz w:val="22"/>
        </w:rPr>
        <w:t> </w:t>
      </w:r>
      <w:r>
        <w:rPr>
          <w:sz w:val="22"/>
        </w:rPr>
        <w:t>to</w:t>
      </w:r>
      <w:r>
        <w:rPr>
          <w:spacing w:val="-12"/>
          <w:sz w:val="22"/>
        </w:rPr>
        <w:t> </w:t>
      </w:r>
      <w:r>
        <w:rPr>
          <w:sz w:val="22"/>
        </w:rPr>
        <w:t>the operation</w:t>
      </w:r>
      <w:r>
        <w:rPr>
          <w:spacing w:val="16"/>
          <w:sz w:val="22"/>
        </w:rPr>
        <w:t> </w:t>
      </w:r>
      <w:r>
        <w:rPr>
          <w:sz w:val="22"/>
        </w:rPr>
        <w:t>and</w:t>
      </w:r>
      <w:r>
        <w:rPr>
          <w:spacing w:val="16"/>
          <w:sz w:val="22"/>
        </w:rPr>
        <w:t> </w:t>
      </w:r>
      <w:r>
        <w:rPr>
          <w:sz w:val="22"/>
        </w:rPr>
        <w:t>provision</w:t>
      </w:r>
      <w:r>
        <w:rPr>
          <w:spacing w:val="16"/>
          <w:sz w:val="22"/>
        </w:rPr>
        <w:t> </w:t>
      </w:r>
      <w:r>
        <w:rPr>
          <w:sz w:val="22"/>
        </w:rPr>
        <w:t>of</w:t>
      </w:r>
      <w:r>
        <w:rPr>
          <w:spacing w:val="17"/>
          <w:sz w:val="22"/>
        </w:rPr>
        <w:t> </w:t>
      </w:r>
      <w:r>
        <w:rPr>
          <w:sz w:val="22"/>
        </w:rPr>
        <w:t>services</w:t>
      </w:r>
      <w:r>
        <w:rPr>
          <w:spacing w:val="15"/>
          <w:sz w:val="22"/>
        </w:rPr>
        <w:t> </w:t>
      </w:r>
      <w:r>
        <w:rPr>
          <w:sz w:val="22"/>
        </w:rPr>
        <w:t>and</w:t>
      </w:r>
      <w:r>
        <w:rPr>
          <w:spacing w:val="16"/>
          <w:sz w:val="22"/>
        </w:rPr>
        <w:t> </w:t>
      </w:r>
      <w:r>
        <w:rPr>
          <w:sz w:val="22"/>
        </w:rPr>
        <w:t>to</w:t>
      </w:r>
      <w:r>
        <w:rPr>
          <w:spacing w:val="15"/>
          <w:sz w:val="22"/>
        </w:rPr>
        <w:t> </w:t>
      </w:r>
      <w:r>
        <w:rPr>
          <w:sz w:val="22"/>
        </w:rPr>
        <w:t>report</w:t>
      </w:r>
      <w:r>
        <w:rPr>
          <w:spacing w:val="16"/>
          <w:sz w:val="22"/>
        </w:rPr>
        <w:t> </w:t>
      </w:r>
      <w:r>
        <w:rPr>
          <w:sz w:val="22"/>
        </w:rPr>
        <w:t>that</w:t>
      </w:r>
      <w:r>
        <w:rPr>
          <w:spacing w:val="16"/>
          <w:sz w:val="22"/>
        </w:rPr>
        <w:t> </w:t>
      </w:r>
      <w:r>
        <w:rPr>
          <w:sz w:val="22"/>
        </w:rPr>
        <w:t>data</w:t>
      </w:r>
      <w:r>
        <w:rPr>
          <w:spacing w:val="16"/>
          <w:sz w:val="22"/>
        </w:rPr>
        <w:t> </w:t>
      </w:r>
      <w:r>
        <w:rPr>
          <w:sz w:val="22"/>
        </w:rPr>
        <w:t>in</w:t>
      </w:r>
      <w:r>
        <w:rPr>
          <w:spacing w:val="15"/>
          <w:sz w:val="22"/>
        </w:rPr>
        <w:t> </w:t>
      </w:r>
      <w:r>
        <w:rPr>
          <w:sz w:val="22"/>
        </w:rPr>
        <w:t>the</w:t>
      </w:r>
      <w:r>
        <w:rPr>
          <w:spacing w:val="18"/>
          <w:sz w:val="22"/>
        </w:rPr>
        <w:t> </w:t>
      </w:r>
      <w:r>
        <w:rPr>
          <w:sz w:val="22"/>
        </w:rPr>
        <w:t>time</w:t>
      </w:r>
      <w:r>
        <w:rPr>
          <w:spacing w:val="16"/>
          <w:sz w:val="22"/>
        </w:rPr>
        <w:t> </w:t>
      </w:r>
      <w:r>
        <w:rPr>
          <w:sz w:val="22"/>
        </w:rPr>
        <w:t>and</w:t>
      </w:r>
      <w:r>
        <w:rPr>
          <w:spacing w:val="16"/>
          <w:sz w:val="22"/>
        </w:rPr>
        <w:t> </w:t>
      </w:r>
      <w:r>
        <w:rPr>
          <w:sz w:val="22"/>
        </w:rPr>
        <w:t>format</w:t>
      </w:r>
    </w:p>
    <w:p>
      <w:pPr>
        <w:spacing w:after="0" w:line="276" w:lineRule="auto"/>
        <w:jc w:val="both"/>
        <w:rPr>
          <w:sz w:val="22"/>
        </w:rPr>
        <w:sectPr>
          <w:pgSz w:w="12240" w:h="15840"/>
          <w:pgMar w:header="0" w:footer="1014" w:top="1360" w:bottom="1200" w:left="1340" w:right="1320"/>
        </w:sectPr>
      </w:pPr>
    </w:p>
    <w:p>
      <w:pPr>
        <w:pStyle w:val="BodyText"/>
        <w:spacing w:line="276" w:lineRule="auto" w:before="78"/>
        <w:ind w:left="820" w:right="43"/>
        <w:rPr>
          <w:b/>
        </w:rPr>
      </w:pPr>
      <w:r>
        <w:rPr/>
        <w:t>requested. As a standard practice, existing data reporting streams will be relied upon and adapted over time to collect all needed information</w:t>
      </w:r>
      <w:r>
        <w:rPr>
          <w:b/>
        </w:rPr>
        <w:t>.</w:t>
      </w:r>
    </w:p>
    <w:p>
      <w:pPr>
        <w:pStyle w:val="BodyText"/>
        <w:spacing w:before="4"/>
        <w:rPr>
          <w:b/>
          <w:sz w:val="25"/>
        </w:rPr>
      </w:pPr>
    </w:p>
    <w:p>
      <w:pPr>
        <w:pStyle w:val="ListParagraph"/>
        <w:numPr>
          <w:ilvl w:val="0"/>
          <w:numId w:val="2"/>
        </w:numPr>
        <w:tabs>
          <w:tab w:pos="821" w:val="left" w:leader="none"/>
        </w:tabs>
        <w:spacing w:line="276" w:lineRule="auto" w:before="1" w:after="0"/>
        <w:ind w:left="820" w:right="243" w:hanging="360"/>
        <w:jc w:val="left"/>
        <w:rPr>
          <w:sz w:val="22"/>
        </w:rPr>
      </w:pPr>
      <w:r>
        <w:rPr>
          <w:b/>
          <w:sz w:val="22"/>
        </w:rPr>
        <w:t>Community Linkage Plan: </w:t>
      </w:r>
      <w:r>
        <w:rPr>
          <w:sz w:val="22"/>
        </w:rPr>
        <w:t>The applicant shall describe its participation, if any, in a community linkage plan, including its relationships with appropriate health care system providers/services and working agreements with other related community services assuring continuity of care. The applicant is encouraged to include primary prevention initiatives in the community linkage plan that would address risk factors leading to increased opioid dependency. Applicants should document plans for satisfying TDMHSAS Administrative Rule 0940-05-42-.28, related to community education.</w:t>
      </w:r>
    </w:p>
    <w:p>
      <w:pPr>
        <w:pStyle w:val="BodyText"/>
        <w:spacing w:before="4"/>
        <w:rPr>
          <w:sz w:val="25"/>
        </w:rPr>
      </w:pPr>
    </w:p>
    <w:p>
      <w:pPr>
        <w:pStyle w:val="BodyText"/>
        <w:spacing w:line="276" w:lineRule="auto"/>
        <w:ind w:left="820" w:right="190"/>
      </w:pPr>
      <w:r>
        <w:rPr>
          <w:b/>
        </w:rPr>
        <w:t>Rationale: </w:t>
      </w:r>
      <w:r>
        <w:rPr/>
        <w:t>The State Health Plan moved from a primary emphasis of health care to an emphasis on “health protection and promotion”. The development of primary prevention initiatives for the community advances the mission of the State Health Plan.</w:t>
      </w:r>
    </w:p>
    <w:sectPr>
      <w:pgSz w:w="12240" w:h="15840"/>
      <w:pgMar w:header="0" w:footer="1014" w:top="136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Open Sans">
    <w:altName w:val="Open Sans"/>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2.580017pt;margin-top:730.280029pt;width:9.6pt;height:13.05pt;mso-position-horizontal-relative:page;mso-position-vertical-relative:page;z-index:-8824" type="#_x0000_t202" filled="false" stroked="false">
          <v:textbox inset="0,0,0,0">
            <w:txbxContent>
              <w:p>
                <w:pPr>
                  <w:pStyle w:val="BodyText"/>
                  <w:spacing w:line="245" w:lineRule="exact"/>
                  <w:ind w:left="40"/>
                  <w:rPr>
                    <w:rFonts w:ascii="Calibri"/>
                  </w:rPr>
                </w:pPr>
                <w:r>
                  <w:rPr/>
                  <w:fldChar w:fldCharType="begin"/>
                </w:r>
                <w:r>
                  <w:rPr>
                    <w:rFonts w:ascii="Calibri"/>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0" w:hanging="360"/>
        <w:jc w:val="left"/>
      </w:pPr>
      <w:rPr>
        <w:rFonts w:hint="default"/>
        <w:w w:val="100"/>
        <w:lang w:val="en-us" w:eastAsia="en-us" w:bidi="en-us"/>
      </w:rPr>
    </w:lvl>
    <w:lvl w:ilvl="1">
      <w:start w:val="1"/>
      <w:numFmt w:val="lowerLetter"/>
      <w:lvlText w:val="%2."/>
      <w:lvlJc w:val="left"/>
      <w:pPr>
        <w:ind w:left="1540" w:hanging="360"/>
        <w:jc w:val="left"/>
      </w:pPr>
      <w:rPr>
        <w:rFonts w:hint="default" w:ascii="Open Sans" w:hAnsi="Open Sans" w:eastAsia="Open Sans" w:cs="Open Sans"/>
        <w:spacing w:val="-1"/>
        <w:w w:val="100"/>
        <w:sz w:val="22"/>
        <w:szCs w:val="22"/>
        <w:lang w:val="en-us" w:eastAsia="en-us" w:bidi="en-us"/>
      </w:rPr>
    </w:lvl>
    <w:lvl w:ilvl="2">
      <w:start w:val="1"/>
      <w:numFmt w:val="lowerRoman"/>
      <w:lvlText w:val="%3."/>
      <w:lvlJc w:val="left"/>
      <w:pPr>
        <w:ind w:left="2260" w:hanging="286"/>
        <w:jc w:val="right"/>
      </w:pPr>
      <w:rPr>
        <w:rFonts w:hint="default"/>
        <w:spacing w:val="-1"/>
        <w:w w:val="100"/>
        <w:lang w:val="en-us" w:eastAsia="en-us" w:bidi="en-us"/>
      </w:rPr>
    </w:lvl>
    <w:lvl w:ilvl="3">
      <w:start w:val="0"/>
      <w:numFmt w:val="bullet"/>
      <w:lvlText w:val="•"/>
      <w:lvlJc w:val="left"/>
      <w:pPr>
        <w:ind w:left="3175" w:hanging="286"/>
      </w:pPr>
      <w:rPr>
        <w:rFonts w:hint="default"/>
        <w:lang w:val="en-us" w:eastAsia="en-us" w:bidi="en-us"/>
      </w:rPr>
    </w:lvl>
    <w:lvl w:ilvl="4">
      <w:start w:val="0"/>
      <w:numFmt w:val="bullet"/>
      <w:lvlText w:val="•"/>
      <w:lvlJc w:val="left"/>
      <w:pPr>
        <w:ind w:left="4090" w:hanging="286"/>
      </w:pPr>
      <w:rPr>
        <w:rFonts w:hint="default"/>
        <w:lang w:val="en-us" w:eastAsia="en-us" w:bidi="en-us"/>
      </w:rPr>
    </w:lvl>
    <w:lvl w:ilvl="5">
      <w:start w:val="0"/>
      <w:numFmt w:val="bullet"/>
      <w:lvlText w:val="•"/>
      <w:lvlJc w:val="left"/>
      <w:pPr>
        <w:ind w:left="5005" w:hanging="286"/>
      </w:pPr>
      <w:rPr>
        <w:rFonts w:hint="default"/>
        <w:lang w:val="en-us" w:eastAsia="en-us" w:bidi="en-us"/>
      </w:rPr>
    </w:lvl>
    <w:lvl w:ilvl="6">
      <w:start w:val="0"/>
      <w:numFmt w:val="bullet"/>
      <w:lvlText w:val="•"/>
      <w:lvlJc w:val="left"/>
      <w:pPr>
        <w:ind w:left="5920" w:hanging="286"/>
      </w:pPr>
      <w:rPr>
        <w:rFonts w:hint="default"/>
        <w:lang w:val="en-us" w:eastAsia="en-us" w:bidi="en-us"/>
      </w:rPr>
    </w:lvl>
    <w:lvl w:ilvl="7">
      <w:start w:val="0"/>
      <w:numFmt w:val="bullet"/>
      <w:lvlText w:val="•"/>
      <w:lvlJc w:val="left"/>
      <w:pPr>
        <w:ind w:left="6835" w:hanging="286"/>
      </w:pPr>
      <w:rPr>
        <w:rFonts w:hint="default"/>
        <w:lang w:val="en-us" w:eastAsia="en-us" w:bidi="en-us"/>
      </w:rPr>
    </w:lvl>
    <w:lvl w:ilvl="8">
      <w:start w:val="0"/>
      <w:numFmt w:val="bullet"/>
      <w:lvlText w:val="•"/>
      <w:lvlJc w:val="left"/>
      <w:pPr>
        <w:ind w:left="7750" w:hanging="286"/>
      </w:pPr>
      <w:rPr>
        <w:rFonts w:hint="default"/>
        <w:lang w:val="en-us" w:eastAsia="en-us" w:bidi="en-us"/>
      </w:rPr>
    </w:lvl>
  </w:abstractNum>
  <w:abstractNum w:abstractNumId="0">
    <w:multiLevelType w:val="hybridMultilevel"/>
    <w:lvl w:ilvl="0">
      <w:start w:val="1"/>
      <w:numFmt w:val="decimal"/>
      <w:lvlText w:val="%1."/>
      <w:lvlJc w:val="left"/>
      <w:pPr>
        <w:ind w:left="820" w:hanging="360"/>
        <w:jc w:val="left"/>
      </w:pPr>
      <w:rPr>
        <w:rFonts w:hint="default" w:ascii="Open Sans" w:hAnsi="Open Sans" w:eastAsia="Open Sans" w:cs="Open Sans"/>
        <w:w w:val="100"/>
        <w:sz w:val="22"/>
        <w:szCs w:val="22"/>
        <w:lang w:val="en-us" w:eastAsia="en-us" w:bidi="en-us"/>
      </w:rPr>
    </w:lvl>
    <w:lvl w:ilvl="1">
      <w:start w:val="0"/>
      <w:numFmt w:val="bullet"/>
      <w:lvlText w:val="•"/>
      <w:lvlJc w:val="left"/>
      <w:pPr>
        <w:ind w:left="1696" w:hanging="360"/>
      </w:pPr>
      <w:rPr>
        <w:rFonts w:hint="default"/>
        <w:lang w:val="en-us" w:eastAsia="en-us" w:bidi="en-us"/>
      </w:rPr>
    </w:lvl>
    <w:lvl w:ilvl="2">
      <w:start w:val="0"/>
      <w:numFmt w:val="bullet"/>
      <w:lvlText w:val="•"/>
      <w:lvlJc w:val="left"/>
      <w:pPr>
        <w:ind w:left="2572" w:hanging="360"/>
      </w:pPr>
      <w:rPr>
        <w:rFonts w:hint="default"/>
        <w:lang w:val="en-us" w:eastAsia="en-us" w:bidi="en-us"/>
      </w:rPr>
    </w:lvl>
    <w:lvl w:ilvl="3">
      <w:start w:val="0"/>
      <w:numFmt w:val="bullet"/>
      <w:lvlText w:val="•"/>
      <w:lvlJc w:val="left"/>
      <w:pPr>
        <w:ind w:left="3448" w:hanging="360"/>
      </w:pPr>
      <w:rPr>
        <w:rFonts w:hint="default"/>
        <w:lang w:val="en-us" w:eastAsia="en-us" w:bidi="en-us"/>
      </w:rPr>
    </w:lvl>
    <w:lvl w:ilvl="4">
      <w:start w:val="0"/>
      <w:numFmt w:val="bullet"/>
      <w:lvlText w:val="•"/>
      <w:lvlJc w:val="left"/>
      <w:pPr>
        <w:ind w:left="4324" w:hanging="360"/>
      </w:pPr>
      <w:rPr>
        <w:rFonts w:hint="default"/>
        <w:lang w:val="en-us" w:eastAsia="en-us" w:bidi="en-us"/>
      </w:rPr>
    </w:lvl>
    <w:lvl w:ilvl="5">
      <w:start w:val="0"/>
      <w:numFmt w:val="bullet"/>
      <w:lvlText w:val="•"/>
      <w:lvlJc w:val="left"/>
      <w:pPr>
        <w:ind w:left="5200" w:hanging="360"/>
      </w:pPr>
      <w:rPr>
        <w:rFonts w:hint="default"/>
        <w:lang w:val="en-us" w:eastAsia="en-us" w:bidi="en-us"/>
      </w:rPr>
    </w:lvl>
    <w:lvl w:ilvl="6">
      <w:start w:val="0"/>
      <w:numFmt w:val="bullet"/>
      <w:lvlText w:val="•"/>
      <w:lvlJc w:val="left"/>
      <w:pPr>
        <w:ind w:left="6076" w:hanging="360"/>
      </w:pPr>
      <w:rPr>
        <w:rFonts w:hint="default"/>
        <w:lang w:val="en-us" w:eastAsia="en-us" w:bidi="en-us"/>
      </w:rPr>
    </w:lvl>
    <w:lvl w:ilvl="7">
      <w:start w:val="0"/>
      <w:numFmt w:val="bullet"/>
      <w:lvlText w:val="•"/>
      <w:lvlJc w:val="left"/>
      <w:pPr>
        <w:ind w:left="6952" w:hanging="360"/>
      </w:pPr>
      <w:rPr>
        <w:rFonts w:hint="default"/>
        <w:lang w:val="en-us" w:eastAsia="en-us" w:bidi="en-us"/>
      </w:rPr>
    </w:lvl>
    <w:lvl w:ilvl="8">
      <w:start w:val="0"/>
      <w:numFmt w:val="bullet"/>
      <w:lvlText w:val="•"/>
      <w:lvlJc w:val="left"/>
      <w:pPr>
        <w:ind w:left="7828"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en-us"/>
    </w:rPr>
  </w:style>
  <w:style w:styleId="BodyText" w:type="paragraph">
    <w:name w:val="Body Text"/>
    <w:basedOn w:val="Normal"/>
    <w:uiPriority w:val="1"/>
    <w:qFormat/>
    <w:pPr/>
    <w:rPr>
      <w:rFonts w:ascii="Open Sans" w:hAnsi="Open Sans" w:eastAsia="Open Sans" w:cs="Open Sans"/>
      <w:sz w:val="22"/>
      <w:szCs w:val="22"/>
      <w:lang w:val="en-us" w:eastAsia="en-us" w:bidi="en-us"/>
    </w:rPr>
  </w:style>
  <w:style w:styleId="Heading1" w:type="paragraph">
    <w:name w:val="Heading 1"/>
    <w:basedOn w:val="Normal"/>
    <w:uiPriority w:val="1"/>
    <w:qFormat/>
    <w:pPr>
      <w:spacing w:before="1"/>
      <w:ind w:left="100"/>
      <w:outlineLvl w:val="1"/>
    </w:pPr>
    <w:rPr>
      <w:rFonts w:ascii="Open Sans" w:hAnsi="Open Sans" w:eastAsia="Open Sans" w:cs="Open Sans"/>
      <w:b/>
      <w:bCs/>
      <w:sz w:val="24"/>
      <w:szCs w:val="24"/>
      <w:lang w:val="en-us" w:eastAsia="en-us" w:bidi="en-us"/>
    </w:rPr>
  </w:style>
  <w:style w:styleId="ListParagraph" w:type="paragraph">
    <w:name w:val="List Paragraph"/>
    <w:basedOn w:val="Normal"/>
    <w:uiPriority w:val="1"/>
    <w:qFormat/>
    <w:pPr>
      <w:ind w:left="820" w:hanging="360"/>
    </w:pPr>
    <w:rPr>
      <w:rFonts w:ascii="Open Sans" w:hAnsi="Open Sans" w:eastAsia="Open Sans" w:cs="Open Sans"/>
      <w:lang w:val="en-us" w:eastAsia="en-us" w:bidi="en-us"/>
    </w:rPr>
  </w:style>
  <w:style w:styleId="TableParagraph" w:type="paragraph">
    <w:name w:val="Table Paragraph"/>
    <w:basedOn w:val="Normal"/>
    <w:uiPriority w:val="1"/>
    <w:qFormat/>
    <w:pPr/>
    <w:rPr>
      <w:rFonts w:ascii="Open Sans" w:hAnsi="Open Sans" w:eastAsia="Open Sans" w:cs="Open Sans"/>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Jones</dc:creator>
  <dcterms:created xsi:type="dcterms:W3CDTF">2019-07-19T14:53:22Z</dcterms:created>
  <dcterms:modified xsi:type="dcterms:W3CDTF">2019-07-19T14:53:22Z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2013</vt:lpwstr>
  </property>
  <property fmtid="{D5CDD505-2E9C-101B-9397-08002B2CF9AE}" pid="4" name="LastSaved">
    <vt:filetime>2019-07-19T00:00:00Z</vt:filetime>
  </property>
</Properties>
</file>