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2.xml" ContentType="application/vnd.openxmlformats-officedocument.wordprocessingml.foot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drawings/drawing4.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drawings/drawing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drawings/drawing6.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drawings/drawing7.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drawings/drawing8.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9.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drawings/drawing10.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drawings/drawing11.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drawings/drawing12.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13.xml" ContentType="application/vnd.openxmlformats-officedocument.drawingml.chartshapes+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227060421"/>
        <w:docPartObj>
          <w:docPartGallery w:val="Cover Pages"/>
          <w:docPartUnique/>
        </w:docPartObj>
      </w:sdtPr>
      <w:sdtEndPr>
        <w:rPr>
          <w:rFonts w:asciiTheme="minorHAnsi" w:eastAsiaTheme="minorEastAsia" w:hAnsiTheme="minorHAnsi" w:cstheme="minorBidi"/>
          <w:caps w:val="0"/>
          <w:sz w:val="40"/>
          <w:szCs w:val="40"/>
        </w:rPr>
      </w:sdtEndPr>
      <w:sdtContent>
        <w:tbl>
          <w:tblPr>
            <w:tblW w:w="5000" w:type="pct"/>
            <w:jc w:val="center"/>
            <w:tblLook w:val="04A0" w:firstRow="1" w:lastRow="0" w:firstColumn="1" w:lastColumn="0" w:noHBand="0" w:noVBand="1"/>
          </w:tblPr>
          <w:tblGrid>
            <w:gridCol w:w="13896"/>
          </w:tblGrid>
          <w:tr w:rsidR="00E25105">
            <w:trPr>
              <w:trHeight w:val="2880"/>
              <w:jc w:val="center"/>
            </w:trPr>
            <w:tc>
              <w:tcPr>
                <w:tcW w:w="5000" w:type="pct"/>
              </w:tcPr>
              <w:p w:rsidR="00E25105" w:rsidRDefault="00685F68" w:rsidP="00E25105">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bidi="ar-SA"/>
                  </w:rPr>
                  <w:drawing>
                    <wp:inline distT="0" distB="0" distL="0" distR="0" wp14:anchorId="5ECDC082" wp14:editId="165F331D">
                      <wp:extent cx="1493520" cy="1493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pic:spPr>
                          </pic:pic>
                        </a:graphicData>
                      </a:graphic>
                    </wp:inline>
                  </w:drawing>
                </w:r>
              </w:p>
              <w:p w:rsidR="00E25105" w:rsidRDefault="00E25105" w:rsidP="00E25105">
                <w:pPr>
                  <w:pStyle w:val="NoSpacing"/>
                  <w:jc w:val="center"/>
                  <w:rPr>
                    <w:rFonts w:asciiTheme="majorHAnsi" w:eastAsiaTheme="majorEastAsia" w:hAnsiTheme="majorHAnsi" w:cstheme="majorBidi"/>
                    <w:caps/>
                  </w:rPr>
                </w:pPr>
              </w:p>
              <w:p w:rsidR="00E25105" w:rsidRDefault="00E25105" w:rsidP="00E25105">
                <w:pPr>
                  <w:pStyle w:val="NoSpacing"/>
                  <w:jc w:val="center"/>
                  <w:rPr>
                    <w:rFonts w:asciiTheme="majorHAnsi" w:eastAsiaTheme="majorEastAsia" w:hAnsiTheme="majorHAnsi" w:cstheme="majorBidi"/>
                    <w:caps/>
                  </w:rPr>
                </w:pPr>
              </w:p>
              <w:p w:rsidR="00E25105" w:rsidRDefault="00E25105" w:rsidP="00685F68">
                <w:pPr>
                  <w:pStyle w:val="NoSpacing"/>
                  <w:jc w:val="center"/>
                  <w:rPr>
                    <w:rFonts w:asciiTheme="majorHAnsi" w:eastAsiaTheme="majorEastAsia" w:hAnsiTheme="majorHAnsi" w:cstheme="majorBidi"/>
                    <w:caps/>
                  </w:rPr>
                </w:pPr>
              </w:p>
            </w:tc>
          </w:tr>
          <w:tr w:rsidR="00E25105" w:rsidTr="000A4762">
            <w:trPr>
              <w:trHeight w:val="1539"/>
              <w:jc w:val="center"/>
            </w:trPr>
            <w:sdt>
              <w:sdtPr>
                <w:rPr>
                  <w:rFonts w:asciiTheme="majorHAnsi" w:eastAsiaTheme="majorEastAsia" w:hAnsiTheme="majorHAnsi" w:cstheme="majorBidi"/>
                  <w:b/>
                  <w:color w:val="14415C" w:themeColor="accent3" w:themeShade="BF"/>
                  <w:sz w:val="96"/>
                  <w:szCs w:val="80"/>
                  <w14:shadow w14:blurRad="50800" w14:dist="38100" w14:dir="0" w14:sx="100000" w14:sy="100000" w14:kx="0" w14:ky="0" w14:algn="l">
                    <w14:srgbClr w14:val="000000">
                      <w14:alpha w14:val="60000"/>
                    </w14:srgbClr>
                  </w14:shadow>
                  <w14:textOutline w14:w="12700" w14:cap="rnd" w14:cmpd="sng" w14:algn="ctr">
                    <w14:solidFill>
                      <w14:srgbClr w14:val="FF0000"/>
                    </w14:solidFill>
                    <w14:prstDash w14:val="solid"/>
                    <w14:bevel/>
                  </w14:textOutline>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E25105" w:rsidRDefault="001568CE" w:rsidP="00E25105">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b/>
                        <w:color w:val="14415C" w:themeColor="accent3" w:themeShade="BF"/>
                        <w:sz w:val="96"/>
                        <w:szCs w:val="80"/>
                        <w14:shadow w14:blurRad="50800" w14:dist="38100" w14:dir="0" w14:sx="100000" w14:sy="100000" w14:kx="0" w14:ky="0" w14:algn="l">
                          <w14:srgbClr w14:val="000000">
                            <w14:alpha w14:val="60000"/>
                          </w14:srgbClr>
                        </w14:shadow>
                        <w14:textOutline w14:w="12700" w14:cap="rnd" w14:cmpd="sng" w14:algn="ctr">
                          <w14:solidFill>
                            <w14:srgbClr w14:val="FF0000"/>
                          </w14:solidFill>
                          <w14:prstDash w14:val="solid"/>
                          <w14:bevel/>
                        </w14:textOutline>
                      </w:rPr>
                      <w:t>CANCER IN TENNESSEE</w:t>
                    </w:r>
                  </w:p>
                </w:tc>
              </w:sdtContent>
            </w:sdt>
          </w:tr>
          <w:tr w:rsidR="00E25105" w:rsidTr="000A4762">
            <w:trPr>
              <w:trHeight w:val="720"/>
              <w:jc w:val="center"/>
            </w:trPr>
            <w:sdt>
              <w:sdtPr>
                <w:rPr>
                  <w:rFonts w:asciiTheme="majorHAnsi" w:eastAsiaTheme="majorEastAsia" w:hAnsiTheme="majorHAnsi" w:cstheme="majorBidi"/>
                  <w:b/>
                  <w:color w:val="14415C" w:themeColor="accent3" w:themeShade="BF"/>
                  <w:sz w:val="72"/>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rsidR="00E25105" w:rsidRDefault="001568CE" w:rsidP="00E25105">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b/>
                        <w:color w:val="14415C" w:themeColor="accent3" w:themeShade="BF"/>
                        <w:sz w:val="72"/>
                        <w:szCs w:val="44"/>
                      </w:rPr>
                      <w:t>2008-2012</w:t>
                    </w:r>
                  </w:p>
                </w:tc>
              </w:sdtContent>
            </w:sdt>
          </w:tr>
          <w:tr w:rsidR="00E25105">
            <w:trPr>
              <w:trHeight w:val="360"/>
              <w:jc w:val="center"/>
            </w:trPr>
            <w:tc>
              <w:tcPr>
                <w:tcW w:w="5000" w:type="pct"/>
                <w:vAlign w:val="center"/>
              </w:tcPr>
              <w:p w:rsidR="00E25105" w:rsidRDefault="00E25105">
                <w:pPr>
                  <w:pStyle w:val="NoSpacing"/>
                  <w:jc w:val="center"/>
                </w:pPr>
              </w:p>
            </w:tc>
          </w:tr>
          <w:tr w:rsidR="00E25105">
            <w:trPr>
              <w:trHeight w:val="360"/>
              <w:jc w:val="center"/>
            </w:trPr>
            <w:tc>
              <w:tcPr>
                <w:tcW w:w="5000" w:type="pct"/>
                <w:vAlign w:val="center"/>
              </w:tcPr>
              <w:p w:rsidR="00E25105" w:rsidRPr="00685F68" w:rsidRDefault="00082E7D" w:rsidP="00E25105">
                <w:pPr>
                  <w:pStyle w:val="NoSpacing"/>
                  <w:jc w:val="center"/>
                  <w:rPr>
                    <w:b/>
                    <w:bCs/>
                    <w:sz w:val="32"/>
                  </w:rPr>
                </w:pPr>
                <w:r>
                  <w:rPr>
                    <w:b/>
                    <w:bCs/>
                    <w:sz w:val="32"/>
                  </w:rPr>
                  <w:t>January</w:t>
                </w:r>
                <w:r w:rsidR="00E25105" w:rsidRPr="00685F68">
                  <w:rPr>
                    <w:b/>
                    <w:bCs/>
                    <w:sz w:val="32"/>
                  </w:rPr>
                  <w:t xml:space="preserve"> 201</w:t>
                </w:r>
                <w:r>
                  <w:rPr>
                    <w:b/>
                    <w:bCs/>
                    <w:sz w:val="32"/>
                  </w:rPr>
                  <w:t>6</w:t>
                </w:r>
                <w:bookmarkStart w:id="0" w:name="_GoBack"/>
                <w:bookmarkEnd w:id="0"/>
              </w:p>
              <w:p w:rsidR="008464D4" w:rsidRDefault="008464D4" w:rsidP="00E25105">
                <w:pPr>
                  <w:pStyle w:val="NoSpacing"/>
                  <w:jc w:val="center"/>
                  <w:rPr>
                    <w:b/>
                    <w:bCs/>
                    <w:sz w:val="32"/>
                  </w:rPr>
                </w:pPr>
                <w:r w:rsidRPr="003C4857">
                  <w:rPr>
                    <w:rFonts w:ascii="Open Sans" w:eastAsia="SimSun" w:hAnsi="Open Sans" w:cs="Open Sans"/>
                    <w:b/>
                    <w:bCs/>
                    <w:caps/>
                    <w:noProof/>
                    <w:color w:val="000000"/>
                    <w:spacing w:val="-2"/>
                    <w:sz w:val="16"/>
                    <w:szCs w:val="16"/>
                    <w:lang w:bidi="ar-SA"/>
                  </w:rPr>
                  <w:drawing>
                    <wp:inline distT="0" distB="0" distL="0" distR="0" wp14:anchorId="5D38AAFD" wp14:editId="62048260">
                      <wp:extent cx="937260" cy="510540"/>
                      <wp:effectExtent l="0" t="0" r="0" b="0"/>
                      <wp:docPr id="138" name="Picture 1" descr="cid:image001.png@01D0AAAF.AF350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AAAF.AF3502B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37260" cy="510540"/>
                              </a:xfrm>
                              <a:prstGeom prst="rect">
                                <a:avLst/>
                              </a:prstGeom>
                              <a:noFill/>
                              <a:ln>
                                <a:noFill/>
                              </a:ln>
                            </pic:spPr>
                          </pic:pic>
                        </a:graphicData>
                      </a:graphic>
                    </wp:inline>
                  </w:drawing>
                </w:r>
              </w:p>
              <w:p w:rsidR="00E25105" w:rsidRDefault="00E25105" w:rsidP="00E25105">
                <w:pPr>
                  <w:pStyle w:val="NoSpacing"/>
                  <w:jc w:val="center"/>
                  <w:rPr>
                    <w:b/>
                    <w:bCs/>
                    <w:sz w:val="32"/>
                  </w:rPr>
                </w:pPr>
                <w:r w:rsidRPr="00685F68">
                  <w:rPr>
                    <w:b/>
                    <w:bCs/>
                    <w:sz w:val="32"/>
                  </w:rPr>
                  <w:t>Division of Policy, Planning, and Assessment</w:t>
                </w:r>
              </w:p>
              <w:p w:rsidR="006F6C5A" w:rsidRDefault="006F6C5A" w:rsidP="00E25105">
                <w:pPr>
                  <w:pStyle w:val="NoSpacing"/>
                  <w:jc w:val="center"/>
                  <w:rPr>
                    <w:b/>
                    <w:bCs/>
                  </w:rPr>
                </w:pPr>
                <w:r>
                  <w:rPr>
                    <w:b/>
                    <w:bCs/>
                    <w:sz w:val="32"/>
                  </w:rPr>
                  <w:t>Office of Cancer Surveillance</w:t>
                </w:r>
              </w:p>
            </w:tc>
          </w:tr>
          <w:tr w:rsidR="00E25105">
            <w:trPr>
              <w:trHeight w:val="360"/>
              <w:jc w:val="center"/>
            </w:trPr>
            <w:tc>
              <w:tcPr>
                <w:tcW w:w="5000" w:type="pct"/>
                <w:vAlign w:val="center"/>
              </w:tcPr>
              <w:p w:rsidR="00E25105" w:rsidRDefault="00E25105">
                <w:pPr>
                  <w:pStyle w:val="NoSpacing"/>
                  <w:jc w:val="center"/>
                  <w:rPr>
                    <w:b/>
                    <w:bCs/>
                  </w:rPr>
                </w:pPr>
              </w:p>
            </w:tc>
          </w:tr>
        </w:tbl>
        <w:p w:rsidR="00E25105" w:rsidRDefault="00685F68">
          <w:r>
            <w:rPr>
              <w:noProof/>
              <w:lang w:bidi="ar-SA"/>
            </w:rPr>
            <mc:AlternateContent>
              <mc:Choice Requires="wps">
                <w:drawing>
                  <wp:anchor distT="0" distB="0" distL="114300" distR="114300" simplePos="0" relativeHeight="251924480" behindDoc="0" locked="0" layoutInCell="1" allowOverlap="1" wp14:anchorId="620A8E3D" wp14:editId="49FFB38B">
                    <wp:simplePos x="0" y="0"/>
                    <wp:positionH relativeFrom="column">
                      <wp:posOffset>2159846</wp:posOffset>
                    </wp:positionH>
                    <wp:positionV relativeFrom="paragraph">
                      <wp:posOffset>81280</wp:posOffset>
                    </wp:positionV>
                    <wp:extent cx="4513580" cy="417195"/>
                    <wp:effectExtent l="0" t="0" r="1270" b="1905"/>
                    <wp:wrapNone/>
                    <wp:docPr id="10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10C" w:rsidRPr="005E6E65" w:rsidRDefault="00CF610C" w:rsidP="005E6E65">
                                <w:pPr>
                                  <w:jc w:val="center"/>
                                  <w:rPr>
                                    <w:sz w:val="16"/>
                                    <w:szCs w:val="16"/>
                                  </w:rPr>
                                </w:pPr>
                                <w:r>
                                  <w:rPr>
                                    <w:sz w:val="16"/>
                                    <w:szCs w:val="16"/>
                                  </w:rPr>
                                  <w:t xml:space="preserve">Department of Health. </w:t>
                                </w:r>
                                <w:r w:rsidRPr="005E6E65">
                                  <w:rPr>
                                    <w:sz w:val="16"/>
                                    <w:szCs w:val="16"/>
                                  </w:rPr>
                                  <w:t xml:space="preserve">Authorization No. </w:t>
                                </w:r>
                                <w:r>
                                  <w:rPr>
                                    <w:sz w:val="16"/>
                                    <w:szCs w:val="16"/>
                                  </w:rPr>
                                  <w:t>343837</w:t>
                                </w:r>
                                <w:r w:rsidRPr="005E6E65">
                                  <w:rPr>
                                    <w:sz w:val="16"/>
                                    <w:szCs w:val="16"/>
                                  </w:rPr>
                                  <w:t>, 01/1</w:t>
                                </w:r>
                                <w:r>
                                  <w:rPr>
                                    <w:sz w:val="16"/>
                                    <w:szCs w:val="16"/>
                                  </w:rPr>
                                  <w:t>5</w:t>
                                </w:r>
                                <w:r w:rsidRPr="005E6E65">
                                  <w:rPr>
                                    <w:sz w:val="16"/>
                                    <w:szCs w:val="16"/>
                                  </w:rPr>
                                  <w:t xml:space="preserve"> Website Only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9" o:spid="_x0000_s1026" type="#_x0000_t202" style="position:absolute;margin-left:170.05pt;margin-top:6.4pt;width:355.4pt;height:32.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" stroked="f">
                    <v:textbox>
                      <w:txbxContent>
                        <w:p w:rsidR="00CF610C" w:rsidRPr="005E6E65" w:rsidRDefault="00CF610C" w:rsidP="005E6E65">
                          <w:pPr>
                            <w:jc w:val="center"/>
                            <w:rPr>
                              <w:sz w:val="16"/>
                              <w:szCs w:val="16"/>
                            </w:rPr>
                          </w:pPr>
                          <w:r>
                            <w:rPr>
                              <w:sz w:val="16"/>
                              <w:szCs w:val="16"/>
                            </w:rPr>
                            <w:t xml:space="preserve">Department of Health. </w:t>
                          </w:r>
                          <w:r w:rsidRPr="005E6E65">
                            <w:rPr>
                              <w:sz w:val="16"/>
                              <w:szCs w:val="16"/>
                            </w:rPr>
                            <w:t xml:space="preserve">Authorization No. </w:t>
                          </w:r>
                          <w:r>
                            <w:rPr>
                              <w:sz w:val="16"/>
                              <w:szCs w:val="16"/>
                            </w:rPr>
                            <w:t>343837</w:t>
                          </w:r>
                          <w:r w:rsidRPr="005E6E65">
                            <w:rPr>
                              <w:sz w:val="16"/>
                              <w:szCs w:val="16"/>
                            </w:rPr>
                            <w:t>, 01/1</w:t>
                          </w:r>
                          <w:r>
                            <w:rPr>
                              <w:sz w:val="16"/>
                              <w:szCs w:val="16"/>
                            </w:rPr>
                            <w:t>5</w:t>
                          </w:r>
                          <w:r w:rsidRPr="005E6E65">
                            <w:rPr>
                              <w:sz w:val="16"/>
                              <w:szCs w:val="16"/>
                            </w:rPr>
                            <w:t xml:space="preserve"> Website Only</w:t>
                          </w:r>
                        </w:p>
                      </w:txbxContent>
                    </v:textbox>
                  </v:shape>
                </w:pict>
              </mc:Fallback>
            </mc:AlternateContent>
          </w:r>
        </w:p>
        <w:p w:rsidR="00E25105" w:rsidRDefault="00E25105"/>
        <w:tbl>
          <w:tblPr>
            <w:tblpPr w:leftFromText="187" w:rightFromText="187" w:horzAnchor="margin" w:tblpXSpec="center" w:tblpYSpec="bottom"/>
            <w:tblW w:w="5000" w:type="pct"/>
            <w:tblLook w:val="04A0" w:firstRow="1" w:lastRow="0" w:firstColumn="1" w:lastColumn="0" w:noHBand="0" w:noVBand="1"/>
          </w:tblPr>
          <w:tblGrid>
            <w:gridCol w:w="13896"/>
          </w:tblGrid>
          <w:tr w:rsidR="00E25105">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E25105" w:rsidRDefault="001568CE" w:rsidP="006F6C5A">
                    <w:pPr>
                      <w:pStyle w:val="NoSpacing"/>
                      <w:jc w:val="both"/>
                    </w:pPr>
                    <w:r>
                      <w:t>This document presents cancer incidence and mortality information for the entire state of Tennessee focusing on the five-year period between 2008 and 2012, with comparisons to national rates. The report is made possible through data collected by the Tennessee Cancer Registry (TCR) as well as cancer registries nationwide. The TCR is dedicated to the collection and use of quality data for the purpose of decreasing the incidence and mortality of cancer in Tennessee.</w:t>
                    </w:r>
                  </w:p>
                </w:tc>
              </w:sdtContent>
            </w:sdt>
          </w:tr>
        </w:tbl>
        <w:p w:rsidR="00D01AC2" w:rsidRPr="00595273" w:rsidRDefault="00D01AC2" w:rsidP="00D01AC2">
          <w:pPr>
            <w:rPr>
              <w:sz w:val="40"/>
              <w:szCs w:val="40"/>
            </w:rPr>
          </w:pPr>
          <w:r>
            <w:rPr>
              <w:noProof/>
              <w:sz w:val="22"/>
              <w:lang w:bidi="ar-SA"/>
            </w:rPr>
            <w:lastRenderedPageBreak/>
            <mc:AlternateContent>
              <mc:Choice Requires="wps">
                <w:drawing>
                  <wp:anchor distT="0" distB="0" distL="114300" distR="114300" simplePos="0" relativeHeight="252316672" behindDoc="0" locked="0" layoutInCell="1" allowOverlap="1" wp14:anchorId="7197BF39" wp14:editId="658FE4D7">
                    <wp:simplePos x="0" y="0"/>
                    <wp:positionH relativeFrom="column">
                      <wp:posOffset>0</wp:posOffset>
                    </wp:positionH>
                    <wp:positionV relativeFrom="paragraph">
                      <wp:posOffset>-59267</wp:posOffset>
                    </wp:positionV>
                    <wp:extent cx="8639175" cy="0"/>
                    <wp:effectExtent l="0" t="0" r="9525" b="19050"/>
                    <wp:wrapNone/>
                    <wp:docPr id="102" name="Straight Connector 102"/>
                    <wp:cNvGraphicFramePr/>
                    <a:graphic xmlns:a="http://schemas.openxmlformats.org/drawingml/2006/main">
                      <a:graphicData uri="http://schemas.microsoft.com/office/word/2010/wordprocessingShape">
                        <wps:wsp>
                          <wps:cNvCnPr/>
                          <wps:spPr>
                            <a:xfrm>
                              <a:off x="0" y="0"/>
                              <a:ext cx="863917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680.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" strokecolor="#1b587c [3206]" strokeweight="1pt"/>
                </w:pict>
              </mc:Fallback>
            </mc:AlternateContent>
          </w:r>
          <w:r w:rsidRPr="00BB614C">
            <w:rPr>
              <w:rFonts w:asciiTheme="majorHAnsi" w:hAnsiTheme="majorHAnsi" w:cstheme="minorHAnsi"/>
              <w:b/>
              <w:caps/>
              <w:color w:val="000000"/>
              <w:sz w:val="28"/>
              <w:szCs w:val="32"/>
            </w:rPr>
            <w:t>Prepared by:</w:t>
          </w:r>
        </w:p>
        <w:p w:rsidR="00D01AC2" w:rsidRPr="00D01AC2" w:rsidRDefault="00D01AC2" w:rsidP="008A7576">
          <w:pPr>
            <w:pStyle w:val="ListParagraph"/>
            <w:numPr>
              <w:ilvl w:val="0"/>
              <w:numId w:val="35"/>
            </w:numPr>
            <w:autoSpaceDE w:val="0"/>
            <w:autoSpaceDN w:val="0"/>
            <w:adjustRightInd w:val="0"/>
            <w:spacing w:before="0"/>
            <w:rPr>
              <w:rFonts w:cs="Times New Roman"/>
              <w:color w:val="000000"/>
            </w:rPr>
          </w:pPr>
          <w:r w:rsidRPr="00D01AC2">
            <w:rPr>
              <w:rFonts w:cs="Times New Roman"/>
              <w:color w:val="000000"/>
            </w:rPr>
            <w:t>Jake Richards, MBA</w:t>
          </w:r>
        </w:p>
        <w:p w:rsidR="00D01AC2" w:rsidRPr="006F6C5A" w:rsidRDefault="00D01AC2" w:rsidP="006F6C5A">
          <w:pPr>
            <w:pStyle w:val="ListParagraph"/>
            <w:numPr>
              <w:ilvl w:val="0"/>
              <w:numId w:val="35"/>
            </w:numPr>
            <w:autoSpaceDE w:val="0"/>
            <w:autoSpaceDN w:val="0"/>
            <w:adjustRightInd w:val="0"/>
            <w:spacing w:before="0"/>
            <w:rPr>
              <w:rFonts w:cs="Times New Roman"/>
              <w:color w:val="000000"/>
            </w:rPr>
          </w:pPr>
          <w:r w:rsidRPr="00D01AC2">
            <w:rPr>
              <w:rFonts w:cs="Times New Roman"/>
              <w:color w:val="000000"/>
            </w:rPr>
            <w:t xml:space="preserve">Martin Whiteside, </w:t>
          </w:r>
          <w:r w:rsidRPr="00E34F04">
            <w:rPr>
              <w:noProof/>
              <w:lang w:bidi="ar-SA"/>
            </w:rPr>
            <w:t>DC, PhD, MSPH</w:t>
          </w:r>
        </w:p>
        <w:p w:rsidR="00D01AC2" w:rsidRDefault="00D01AC2" w:rsidP="00D01AC2">
          <w:pPr>
            <w:spacing w:after="120"/>
            <w:rPr>
              <w:rFonts w:asciiTheme="majorHAnsi" w:hAnsiTheme="majorHAnsi" w:cs="Times New Roman"/>
              <w:b/>
              <w:bCs/>
              <w:caps/>
              <w:color w:val="000000"/>
              <w:sz w:val="28"/>
            </w:rPr>
          </w:pPr>
        </w:p>
        <w:p w:rsidR="00D01AC2" w:rsidRPr="00BB614C" w:rsidRDefault="00D01AC2" w:rsidP="00D01AC2">
          <w:pPr>
            <w:spacing w:after="120"/>
            <w:rPr>
              <w:rFonts w:asciiTheme="majorHAnsi" w:hAnsiTheme="majorHAnsi" w:cs="Times New Roman"/>
              <w:b/>
              <w:bCs/>
              <w:caps/>
              <w:color w:val="000000"/>
              <w:sz w:val="28"/>
            </w:rPr>
          </w:pPr>
          <w:r w:rsidRPr="00BB614C">
            <w:rPr>
              <w:rFonts w:asciiTheme="majorHAnsi" w:hAnsiTheme="majorHAnsi" w:cs="Times New Roman"/>
              <w:b/>
              <w:bCs/>
              <w:caps/>
              <w:color w:val="000000"/>
              <w:sz w:val="28"/>
            </w:rPr>
            <w:t>Acknowledgments</w:t>
          </w:r>
        </w:p>
        <w:p w:rsidR="00D01AC2" w:rsidRPr="00C644F8" w:rsidRDefault="00D01AC2" w:rsidP="00D34E8A">
          <w:pPr>
            <w:spacing w:before="120" w:after="120"/>
            <w:jc w:val="both"/>
            <w:rPr>
              <w:rFonts w:cs="Times New Roman"/>
              <w:color w:val="000000"/>
              <w:sz w:val="24"/>
              <w:szCs w:val="24"/>
            </w:rPr>
          </w:pPr>
          <w:r w:rsidRPr="00C644F8">
            <w:rPr>
              <w:rFonts w:cs="Times New Roman"/>
              <w:color w:val="000000"/>
              <w:sz w:val="24"/>
              <w:szCs w:val="24"/>
            </w:rPr>
            <w:t>The Office of Cancer Surveillance acknowledges the contributions of the following organizations and individuals in making the publication of this report possible:</w:t>
          </w:r>
        </w:p>
        <w:p w:rsidR="00D01AC2" w:rsidRPr="00D01AC2" w:rsidRDefault="00D01AC2" w:rsidP="00D34E8A">
          <w:pPr>
            <w:pStyle w:val="ListParagraph"/>
            <w:numPr>
              <w:ilvl w:val="0"/>
              <w:numId w:val="36"/>
            </w:numPr>
            <w:spacing w:before="0" w:after="0"/>
            <w:jc w:val="both"/>
            <w:rPr>
              <w:rFonts w:cs="Times New Roman"/>
              <w:color w:val="000000"/>
            </w:rPr>
          </w:pPr>
          <w:r w:rsidRPr="00D01AC2">
            <w:rPr>
              <w:rFonts w:cs="Times New Roman"/>
              <w:color w:val="000000"/>
            </w:rPr>
            <w:t xml:space="preserve">Cancer registrars from healthcare facilities throughout the State of Tennessee who completed the large majority of cancer abstracts available in the TCR database.  </w:t>
          </w:r>
        </w:p>
        <w:p w:rsidR="00D01AC2" w:rsidRPr="00D01AC2" w:rsidRDefault="00D01AC2" w:rsidP="00D34E8A">
          <w:pPr>
            <w:pStyle w:val="ListParagraph"/>
            <w:numPr>
              <w:ilvl w:val="0"/>
              <w:numId w:val="36"/>
            </w:numPr>
            <w:spacing w:before="0" w:after="0"/>
            <w:jc w:val="both"/>
            <w:rPr>
              <w:rFonts w:cs="Times New Roman"/>
              <w:color w:val="000000"/>
            </w:rPr>
          </w:pPr>
          <w:r w:rsidRPr="00D01AC2">
            <w:rPr>
              <w:rFonts w:cs="Times New Roman"/>
              <w:color w:val="000000"/>
            </w:rPr>
            <w:t xml:space="preserve">The staff of the Office of Health Statistics, Tennessee Department of Health (TDH), for providing cancer mortality data. </w:t>
          </w:r>
        </w:p>
        <w:p w:rsidR="00D01AC2" w:rsidRPr="00D01AC2" w:rsidRDefault="00D01AC2" w:rsidP="00D34E8A">
          <w:pPr>
            <w:pStyle w:val="ListParagraph"/>
            <w:numPr>
              <w:ilvl w:val="0"/>
              <w:numId w:val="36"/>
            </w:numPr>
            <w:spacing w:before="0" w:after="0"/>
            <w:jc w:val="both"/>
            <w:rPr>
              <w:rFonts w:cs="Times New Roman"/>
              <w:color w:val="000000"/>
            </w:rPr>
          </w:pPr>
          <w:r w:rsidRPr="00D01AC2">
            <w:rPr>
              <w:rFonts w:cs="Times New Roman"/>
              <w:color w:val="000000"/>
            </w:rPr>
            <w:t>The staff of the Tennessee Cancer Registry (TCR)</w:t>
          </w:r>
          <w:r w:rsidR="006F6C5A">
            <w:rPr>
              <w:rFonts w:cs="Times New Roman"/>
              <w:color w:val="000000"/>
            </w:rPr>
            <w:t>; Office of Cancer Surveillance;</w:t>
          </w:r>
          <w:r w:rsidRPr="00D01AC2">
            <w:rPr>
              <w:rFonts w:cs="Times New Roman"/>
              <w:color w:val="000000"/>
            </w:rPr>
            <w:t xml:space="preserve"> </w:t>
          </w:r>
          <w:r w:rsidR="006F6C5A">
            <w:rPr>
              <w:rFonts w:cs="Times New Roman"/>
              <w:color w:val="000000"/>
            </w:rPr>
            <w:t>Division of Policy</w:t>
          </w:r>
          <w:r w:rsidRPr="00D01AC2">
            <w:rPr>
              <w:rFonts w:cs="Times New Roman"/>
              <w:color w:val="000000"/>
            </w:rPr>
            <w:t>,</w:t>
          </w:r>
          <w:r w:rsidR="006F6C5A">
            <w:rPr>
              <w:rFonts w:cs="Times New Roman"/>
              <w:color w:val="000000"/>
            </w:rPr>
            <w:t xml:space="preserve"> Planning and Assessment; TDH.  These dedicated individuals labored tirelessly to </w:t>
          </w:r>
          <w:r w:rsidRPr="00D01AC2">
            <w:rPr>
              <w:rFonts w:cs="Times New Roman"/>
              <w:color w:val="000000"/>
            </w:rPr>
            <w:t>ensure the quality and completeness of TCR data.</w:t>
          </w:r>
        </w:p>
        <w:p w:rsidR="00D01AC2" w:rsidRDefault="00D01AC2" w:rsidP="00D01AC2">
          <w:pPr>
            <w:autoSpaceDE w:val="0"/>
            <w:autoSpaceDN w:val="0"/>
            <w:adjustRightInd w:val="0"/>
            <w:spacing w:before="120" w:after="120"/>
            <w:rPr>
              <w:rFonts w:cs="Times New Roman"/>
              <w:color w:val="000000"/>
              <w:sz w:val="24"/>
              <w:szCs w:val="24"/>
            </w:rPr>
          </w:pPr>
        </w:p>
        <w:p w:rsidR="00D01AC2" w:rsidRPr="000A26AA" w:rsidRDefault="00D01AC2" w:rsidP="00D01AC2">
          <w:pPr>
            <w:autoSpaceDE w:val="0"/>
            <w:autoSpaceDN w:val="0"/>
            <w:adjustRightInd w:val="0"/>
            <w:spacing w:before="120" w:after="120"/>
            <w:rPr>
              <w:rFonts w:asciiTheme="majorHAnsi" w:hAnsiTheme="majorHAnsi" w:cs="Times New Roman"/>
              <w:b/>
              <w:color w:val="000000"/>
              <w:sz w:val="28"/>
              <w:szCs w:val="24"/>
            </w:rPr>
          </w:pPr>
          <w:r w:rsidRPr="000A26AA">
            <w:rPr>
              <w:rFonts w:asciiTheme="majorHAnsi" w:hAnsiTheme="majorHAnsi" w:cs="Times New Roman"/>
              <w:b/>
              <w:color w:val="000000"/>
              <w:sz w:val="28"/>
              <w:szCs w:val="24"/>
            </w:rPr>
            <w:t>SUGGESTED CITATION</w:t>
          </w:r>
        </w:p>
        <w:p w:rsidR="00D01AC2" w:rsidRDefault="00D01AC2" w:rsidP="00D01AC2">
          <w:pPr>
            <w:autoSpaceDE w:val="0"/>
            <w:autoSpaceDN w:val="0"/>
            <w:adjustRightInd w:val="0"/>
            <w:spacing w:before="120" w:after="120"/>
            <w:jc w:val="both"/>
            <w:rPr>
              <w:rFonts w:cs="Times New Roman"/>
              <w:color w:val="000000"/>
              <w:sz w:val="24"/>
              <w:szCs w:val="24"/>
            </w:rPr>
          </w:pPr>
          <w:r w:rsidRPr="00C644F8">
            <w:rPr>
              <w:rFonts w:cs="Times New Roman"/>
              <w:color w:val="000000"/>
              <w:sz w:val="24"/>
              <w:szCs w:val="24"/>
            </w:rPr>
            <w:t xml:space="preserve">Richards J.E., Whiteside M.A. </w:t>
          </w:r>
          <w:r w:rsidRPr="00C644F8">
            <w:rPr>
              <w:rFonts w:cs="Times New Roman"/>
              <w:i/>
              <w:iCs/>
              <w:color w:val="000000"/>
              <w:sz w:val="24"/>
              <w:szCs w:val="24"/>
            </w:rPr>
            <w:t>Cancer in Tennessee. 2008-2012</w:t>
          </w:r>
          <w:r w:rsidRPr="00C644F8">
            <w:rPr>
              <w:rFonts w:cs="Times New Roman"/>
              <w:color w:val="000000"/>
              <w:sz w:val="24"/>
              <w:szCs w:val="24"/>
            </w:rPr>
            <w:t>. Tennessee Department of Health: Division of Policy, Planning &amp; Assessment</w:t>
          </w:r>
          <w:r>
            <w:rPr>
              <w:rFonts w:cs="Times New Roman"/>
              <w:color w:val="000000"/>
              <w:sz w:val="24"/>
              <w:szCs w:val="24"/>
            </w:rPr>
            <w:t xml:space="preserve"> – Office of Cancer Surveillance</w:t>
          </w:r>
          <w:r w:rsidRPr="00C644F8">
            <w:rPr>
              <w:rFonts w:cs="Times New Roman"/>
              <w:color w:val="000000"/>
              <w:sz w:val="24"/>
              <w:szCs w:val="24"/>
            </w:rPr>
            <w:t xml:space="preserve">. Nashville, Tennessee, </w:t>
          </w:r>
          <w:r w:rsidR="006F6C5A">
            <w:rPr>
              <w:rFonts w:cs="Times New Roman"/>
              <w:color w:val="000000"/>
              <w:sz w:val="24"/>
              <w:szCs w:val="24"/>
            </w:rPr>
            <w:t>Decem</w:t>
          </w:r>
          <w:r w:rsidR="00D34E8A">
            <w:rPr>
              <w:rFonts w:cs="Times New Roman"/>
              <w:color w:val="000000"/>
              <w:sz w:val="24"/>
              <w:szCs w:val="24"/>
            </w:rPr>
            <w:t>ber</w:t>
          </w:r>
          <w:r w:rsidRPr="00C644F8">
            <w:rPr>
              <w:rFonts w:cs="Times New Roman"/>
              <w:color w:val="000000"/>
              <w:sz w:val="24"/>
              <w:szCs w:val="24"/>
            </w:rPr>
            <w:t xml:space="preserve"> 2015.</w:t>
          </w:r>
        </w:p>
        <w:p w:rsidR="00D01AC2" w:rsidRDefault="00D01AC2" w:rsidP="00D01AC2">
          <w:pPr>
            <w:spacing w:before="120" w:after="120"/>
            <w:rPr>
              <w:rFonts w:asciiTheme="majorHAnsi" w:hAnsiTheme="majorHAnsi" w:cs="Times New Roman"/>
              <w:b/>
              <w:color w:val="000000"/>
              <w:sz w:val="28"/>
              <w:szCs w:val="24"/>
            </w:rPr>
          </w:pPr>
        </w:p>
        <w:p w:rsidR="00D01AC2" w:rsidRPr="00BB614C" w:rsidRDefault="00D01AC2" w:rsidP="00D01AC2">
          <w:pPr>
            <w:spacing w:before="120" w:after="120"/>
            <w:rPr>
              <w:rFonts w:asciiTheme="majorHAnsi" w:hAnsiTheme="majorHAnsi" w:cs="Times New Roman"/>
              <w:b/>
              <w:color w:val="000000"/>
              <w:sz w:val="28"/>
              <w:szCs w:val="24"/>
            </w:rPr>
          </w:pPr>
          <w:r w:rsidRPr="00BB614C">
            <w:rPr>
              <w:rFonts w:asciiTheme="majorHAnsi" w:hAnsiTheme="majorHAnsi" w:cs="Times New Roman"/>
              <w:b/>
              <w:color w:val="000000"/>
              <w:sz w:val="28"/>
              <w:szCs w:val="24"/>
            </w:rPr>
            <w:t>COPYRIGHT INFORMATION</w:t>
          </w:r>
        </w:p>
        <w:p w:rsidR="002414D2" w:rsidRDefault="00962D9B" w:rsidP="00D01AC2">
          <w:pPr>
            <w:rPr>
              <w:noProof/>
              <w:sz w:val="22"/>
              <w:lang w:bidi="ar-SA"/>
            </w:rPr>
          </w:pPr>
          <w:r>
            <w:rPr>
              <w:noProof/>
              <w:sz w:val="22"/>
              <w:lang w:bidi="ar-SA"/>
            </w:rPr>
            <mc:AlternateContent>
              <mc:Choice Requires="wps">
                <w:drawing>
                  <wp:anchor distT="0" distB="0" distL="114300" distR="114300" simplePos="0" relativeHeight="252431360" behindDoc="0" locked="0" layoutInCell="1" allowOverlap="1" wp14:anchorId="5C4B04F7" wp14:editId="450A510C">
                    <wp:simplePos x="0" y="0"/>
                    <wp:positionH relativeFrom="column">
                      <wp:posOffset>1270</wp:posOffset>
                    </wp:positionH>
                    <wp:positionV relativeFrom="paragraph">
                      <wp:posOffset>1038225</wp:posOffset>
                    </wp:positionV>
                    <wp:extent cx="8639175" cy="0"/>
                    <wp:effectExtent l="0" t="0" r="9525" b="19050"/>
                    <wp:wrapNone/>
                    <wp:docPr id="46" name="Straight Connector 46"/>
                    <wp:cNvGraphicFramePr/>
                    <a:graphic xmlns:a="http://schemas.openxmlformats.org/drawingml/2006/main">
                      <a:graphicData uri="http://schemas.microsoft.com/office/word/2010/wordprocessingShape">
                        <wps:wsp>
                          <wps:cNvCnPr/>
                          <wps:spPr>
                            <a:xfrm>
                              <a:off x="0" y="0"/>
                              <a:ext cx="863917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81.75pt" to="680.3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" strokecolor="#1b587c [3206]" strokeweight="1pt"/>
                </w:pict>
              </mc:Fallback>
            </mc:AlternateContent>
          </w:r>
          <w:r w:rsidR="00D01AC2" w:rsidRPr="002414D2">
            <w:rPr>
              <w:rFonts w:cs="Times New Roman"/>
              <w:color w:val="000000"/>
              <w:sz w:val="24"/>
              <w:szCs w:val="22"/>
            </w:rPr>
            <w:t xml:space="preserve">This publication was supported by cooperative agreement grant number 5U58DP003901 from the Centers for Disease Control and </w:t>
          </w:r>
          <w:r w:rsidR="00D01AC2" w:rsidRPr="002414D2">
            <w:rPr>
              <w:rStyle w:val="NoSpacingChar"/>
              <w:sz w:val="24"/>
              <w:szCs w:val="22"/>
            </w:rPr>
            <w:t>Prevention (CDC). Its contents are solely the responsibility of the authors and do not necessarily represent the views or opinions of the CDC. All materials in this report are in the public domain and may be reproduced or copied without permission; citation as to source, however, is appreciated.</w:t>
          </w:r>
          <w:r w:rsidRPr="00962D9B">
            <w:rPr>
              <w:noProof/>
              <w:sz w:val="22"/>
              <w:lang w:bidi="ar-SA"/>
            </w:rPr>
            <w:t xml:space="preserve"> </w:t>
          </w:r>
        </w:p>
        <w:p w:rsidR="006F6C5A" w:rsidRDefault="006F6C5A" w:rsidP="00D01AC2">
          <w:pPr>
            <w:rPr>
              <w:rStyle w:val="NoSpacingChar"/>
              <w:sz w:val="24"/>
              <w:szCs w:val="22"/>
            </w:rPr>
          </w:pPr>
        </w:p>
        <w:sdt>
          <w:sdtPr>
            <w:rPr>
              <w:rFonts w:asciiTheme="minorHAnsi" w:hAnsiTheme="minorHAnsi"/>
              <w:b w:val="0"/>
              <w:bCs w:val="0"/>
              <w:caps w:val="0"/>
              <w:color w:val="auto"/>
              <w:spacing w:val="0"/>
              <w:sz w:val="20"/>
              <w:szCs w:val="20"/>
            </w:rPr>
            <w:id w:val="780928971"/>
            <w:docPartObj>
              <w:docPartGallery w:val="Table of Contents"/>
              <w:docPartUnique/>
            </w:docPartObj>
          </w:sdtPr>
          <w:sdtEndPr>
            <w:rPr>
              <w:noProof/>
            </w:rPr>
          </w:sdtEndPr>
          <w:sdtContent>
            <w:p w:rsidR="00B60D20" w:rsidRDefault="00B60D20">
              <w:pPr>
                <w:pStyle w:val="TOCHeading"/>
              </w:pPr>
              <w:r>
                <w:t>Contents</w:t>
              </w:r>
            </w:p>
            <w:p w:rsidR="006B6637" w:rsidRDefault="00B60D20">
              <w:pPr>
                <w:pStyle w:val="TOC2"/>
                <w:tabs>
                  <w:tab w:val="right" w:leader="dot" w:pos="13670"/>
                </w:tabs>
                <w:rPr>
                  <w:rFonts w:cstheme="minorBidi"/>
                  <w:smallCaps w:val="0"/>
                  <w:noProof/>
                  <w:sz w:val="22"/>
                  <w:szCs w:val="22"/>
                  <w:lang w:bidi="ar-SA"/>
                </w:rPr>
              </w:pPr>
              <w:r>
                <w:fldChar w:fldCharType="begin"/>
              </w:r>
              <w:r>
                <w:instrText xml:space="preserve"> TOC \o "1-3" \h \z \u </w:instrText>
              </w:r>
              <w:r>
                <w:fldChar w:fldCharType="separate"/>
              </w:r>
              <w:hyperlink w:anchor="_Toc439918813" w:history="1">
                <w:r w:rsidR="006B6637" w:rsidRPr="003D4918">
                  <w:rPr>
                    <w:rStyle w:val="Hyperlink"/>
                    <w:noProof/>
                  </w:rPr>
                  <w:t>Executive Summary</w:t>
                </w:r>
                <w:r w:rsidR="006B6637">
                  <w:rPr>
                    <w:noProof/>
                    <w:webHidden/>
                  </w:rPr>
                  <w:tab/>
                </w:r>
                <w:r w:rsidR="006B6637">
                  <w:rPr>
                    <w:noProof/>
                    <w:webHidden/>
                  </w:rPr>
                  <w:fldChar w:fldCharType="begin"/>
                </w:r>
                <w:r w:rsidR="006B6637">
                  <w:rPr>
                    <w:noProof/>
                    <w:webHidden/>
                  </w:rPr>
                  <w:instrText xml:space="preserve"> PAGEREF _Toc439918813 \h </w:instrText>
                </w:r>
                <w:r w:rsidR="006B6637">
                  <w:rPr>
                    <w:noProof/>
                    <w:webHidden/>
                  </w:rPr>
                </w:r>
                <w:r w:rsidR="006B6637">
                  <w:rPr>
                    <w:noProof/>
                    <w:webHidden/>
                  </w:rPr>
                  <w:fldChar w:fldCharType="separate"/>
                </w:r>
                <w:r w:rsidR="006B6637">
                  <w:rPr>
                    <w:noProof/>
                    <w:webHidden/>
                  </w:rPr>
                  <w:t>vi</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14" w:history="1">
                <w:r w:rsidR="006B6637" w:rsidRPr="003D4918">
                  <w:rPr>
                    <w:rStyle w:val="Hyperlink"/>
                    <w:noProof/>
                  </w:rPr>
                  <w:t>Preface</w:t>
                </w:r>
                <w:r w:rsidR="006B6637">
                  <w:rPr>
                    <w:noProof/>
                    <w:webHidden/>
                  </w:rPr>
                  <w:tab/>
                </w:r>
                <w:r w:rsidR="006B6637">
                  <w:rPr>
                    <w:noProof/>
                    <w:webHidden/>
                  </w:rPr>
                  <w:fldChar w:fldCharType="begin"/>
                </w:r>
                <w:r w:rsidR="006B6637">
                  <w:rPr>
                    <w:noProof/>
                    <w:webHidden/>
                  </w:rPr>
                  <w:instrText xml:space="preserve"> PAGEREF _Toc439918814 \h </w:instrText>
                </w:r>
                <w:r w:rsidR="006B6637">
                  <w:rPr>
                    <w:noProof/>
                    <w:webHidden/>
                  </w:rPr>
                </w:r>
                <w:r w:rsidR="006B6637">
                  <w:rPr>
                    <w:noProof/>
                    <w:webHidden/>
                  </w:rPr>
                  <w:fldChar w:fldCharType="separate"/>
                </w:r>
                <w:r w:rsidR="006B6637">
                  <w:rPr>
                    <w:noProof/>
                    <w:webHidden/>
                  </w:rPr>
                  <w:t>vii</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15" w:history="1">
                <w:r w:rsidR="006B6637" w:rsidRPr="003D4918">
                  <w:rPr>
                    <w:rStyle w:val="Hyperlink"/>
                    <w:noProof/>
                  </w:rPr>
                  <w:t>History of the Tennessee Cancer Registry</w:t>
                </w:r>
                <w:r w:rsidR="006B6637">
                  <w:rPr>
                    <w:noProof/>
                    <w:webHidden/>
                  </w:rPr>
                  <w:tab/>
                </w:r>
                <w:r w:rsidR="006B6637">
                  <w:rPr>
                    <w:noProof/>
                    <w:webHidden/>
                  </w:rPr>
                  <w:fldChar w:fldCharType="begin"/>
                </w:r>
                <w:r w:rsidR="006B6637">
                  <w:rPr>
                    <w:noProof/>
                    <w:webHidden/>
                  </w:rPr>
                  <w:instrText xml:space="preserve"> PAGEREF _Toc439918815 \h </w:instrText>
                </w:r>
                <w:r w:rsidR="006B6637">
                  <w:rPr>
                    <w:noProof/>
                    <w:webHidden/>
                  </w:rPr>
                </w:r>
                <w:r w:rsidR="006B6637">
                  <w:rPr>
                    <w:noProof/>
                    <w:webHidden/>
                  </w:rPr>
                  <w:fldChar w:fldCharType="separate"/>
                </w:r>
                <w:r w:rsidR="006B6637">
                  <w:rPr>
                    <w:noProof/>
                    <w:webHidden/>
                  </w:rPr>
                  <w:t>vii</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16" w:history="1">
                <w:r w:rsidR="006B6637" w:rsidRPr="003D4918">
                  <w:rPr>
                    <w:rStyle w:val="Hyperlink"/>
                    <w:noProof/>
                  </w:rPr>
                  <w:t>Purpose of the Tennessee Cancer Registry</w:t>
                </w:r>
                <w:r w:rsidR="006B6637">
                  <w:rPr>
                    <w:noProof/>
                    <w:webHidden/>
                  </w:rPr>
                  <w:tab/>
                </w:r>
                <w:r w:rsidR="006B6637">
                  <w:rPr>
                    <w:noProof/>
                    <w:webHidden/>
                  </w:rPr>
                  <w:fldChar w:fldCharType="begin"/>
                </w:r>
                <w:r w:rsidR="006B6637">
                  <w:rPr>
                    <w:noProof/>
                    <w:webHidden/>
                  </w:rPr>
                  <w:instrText xml:space="preserve"> PAGEREF _Toc439918816 \h </w:instrText>
                </w:r>
                <w:r w:rsidR="006B6637">
                  <w:rPr>
                    <w:noProof/>
                    <w:webHidden/>
                  </w:rPr>
                </w:r>
                <w:r w:rsidR="006B6637">
                  <w:rPr>
                    <w:noProof/>
                    <w:webHidden/>
                  </w:rPr>
                  <w:fldChar w:fldCharType="separate"/>
                </w:r>
                <w:r w:rsidR="006B6637">
                  <w:rPr>
                    <w:noProof/>
                    <w:webHidden/>
                  </w:rPr>
                  <w:t>vii</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17" w:history="1">
                <w:r w:rsidR="006B6637" w:rsidRPr="003D4918">
                  <w:rPr>
                    <w:rStyle w:val="Hyperlink"/>
                    <w:noProof/>
                  </w:rPr>
                  <w:t>Confidentiality of Patient Data</w:t>
                </w:r>
                <w:r w:rsidR="006B6637">
                  <w:rPr>
                    <w:noProof/>
                    <w:webHidden/>
                  </w:rPr>
                  <w:tab/>
                </w:r>
                <w:r w:rsidR="006B6637">
                  <w:rPr>
                    <w:noProof/>
                    <w:webHidden/>
                  </w:rPr>
                  <w:fldChar w:fldCharType="begin"/>
                </w:r>
                <w:r w:rsidR="006B6637">
                  <w:rPr>
                    <w:noProof/>
                    <w:webHidden/>
                  </w:rPr>
                  <w:instrText xml:space="preserve"> PAGEREF _Toc439918817 \h </w:instrText>
                </w:r>
                <w:r w:rsidR="006B6637">
                  <w:rPr>
                    <w:noProof/>
                    <w:webHidden/>
                  </w:rPr>
                </w:r>
                <w:r w:rsidR="006B6637">
                  <w:rPr>
                    <w:noProof/>
                    <w:webHidden/>
                  </w:rPr>
                  <w:fldChar w:fldCharType="separate"/>
                </w:r>
                <w:r w:rsidR="006B6637">
                  <w:rPr>
                    <w:noProof/>
                    <w:webHidden/>
                  </w:rPr>
                  <w:t>viii</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18" w:history="1">
                <w:r w:rsidR="006B6637" w:rsidRPr="003D4918">
                  <w:rPr>
                    <w:rStyle w:val="Hyperlink"/>
                    <w:noProof/>
                  </w:rPr>
                  <w:t>Tennessee Cancer Registry</w:t>
                </w:r>
                <w:r w:rsidR="006B6637">
                  <w:rPr>
                    <w:noProof/>
                    <w:webHidden/>
                  </w:rPr>
                  <w:tab/>
                </w:r>
                <w:r w:rsidR="006B6637">
                  <w:rPr>
                    <w:noProof/>
                    <w:webHidden/>
                  </w:rPr>
                  <w:fldChar w:fldCharType="begin"/>
                </w:r>
                <w:r w:rsidR="006B6637">
                  <w:rPr>
                    <w:noProof/>
                    <w:webHidden/>
                  </w:rPr>
                  <w:instrText xml:space="preserve"> PAGEREF _Toc439918818 \h </w:instrText>
                </w:r>
                <w:r w:rsidR="006B6637">
                  <w:rPr>
                    <w:noProof/>
                    <w:webHidden/>
                  </w:rPr>
                </w:r>
                <w:r w:rsidR="006B6637">
                  <w:rPr>
                    <w:noProof/>
                    <w:webHidden/>
                  </w:rPr>
                  <w:fldChar w:fldCharType="separate"/>
                </w:r>
                <w:r w:rsidR="006B6637">
                  <w:rPr>
                    <w:noProof/>
                    <w:webHidden/>
                  </w:rPr>
                  <w:t>viii</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19" w:history="1">
                <w:r w:rsidR="006B6637" w:rsidRPr="003D4918">
                  <w:rPr>
                    <w:rStyle w:val="Hyperlink"/>
                    <w:noProof/>
                  </w:rPr>
                  <w:t>Overview</w:t>
                </w:r>
                <w:r w:rsidR="006B6637">
                  <w:rPr>
                    <w:noProof/>
                    <w:webHidden/>
                  </w:rPr>
                  <w:tab/>
                </w:r>
                <w:r w:rsidR="006B6637">
                  <w:rPr>
                    <w:noProof/>
                    <w:webHidden/>
                  </w:rPr>
                  <w:fldChar w:fldCharType="begin"/>
                </w:r>
                <w:r w:rsidR="006B6637">
                  <w:rPr>
                    <w:noProof/>
                    <w:webHidden/>
                  </w:rPr>
                  <w:instrText xml:space="preserve"> PAGEREF _Toc439918819 \h </w:instrText>
                </w:r>
                <w:r w:rsidR="006B6637">
                  <w:rPr>
                    <w:noProof/>
                    <w:webHidden/>
                  </w:rPr>
                </w:r>
                <w:r w:rsidR="006B6637">
                  <w:rPr>
                    <w:noProof/>
                    <w:webHidden/>
                  </w:rPr>
                  <w:fldChar w:fldCharType="separate"/>
                </w:r>
                <w:r w:rsidR="006B6637">
                  <w:rPr>
                    <w:noProof/>
                    <w:webHidden/>
                  </w:rPr>
                  <w:t>- 1 -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20" w:history="1">
                <w:r w:rsidR="006B6637" w:rsidRPr="003D4918">
                  <w:rPr>
                    <w:rStyle w:val="Hyperlink"/>
                    <w:noProof/>
                  </w:rPr>
                  <w:t>Introduction</w:t>
                </w:r>
                <w:r w:rsidR="006B6637">
                  <w:rPr>
                    <w:noProof/>
                    <w:webHidden/>
                  </w:rPr>
                  <w:tab/>
                </w:r>
                <w:r w:rsidR="006B6637">
                  <w:rPr>
                    <w:noProof/>
                    <w:webHidden/>
                  </w:rPr>
                  <w:fldChar w:fldCharType="begin"/>
                </w:r>
                <w:r w:rsidR="006B6637">
                  <w:rPr>
                    <w:noProof/>
                    <w:webHidden/>
                  </w:rPr>
                  <w:instrText xml:space="preserve"> PAGEREF _Toc439918820 \h </w:instrText>
                </w:r>
                <w:r w:rsidR="006B6637">
                  <w:rPr>
                    <w:noProof/>
                    <w:webHidden/>
                  </w:rPr>
                </w:r>
                <w:r w:rsidR="006B6637">
                  <w:rPr>
                    <w:noProof/>
                    <w:webHidden/>
                  </w:rPr>
                  <w:fldChar w:fldCharType="separate"/>
                </w:r>
                <w:r w:rsidR="006B6637">
                  <w:rPr>
                    <w:noProof/>
                    <w:webHidden/>
                  </w:rPr>
                  <w:t>- 1 -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21" w:history="1">
                <w:r w:rsidR="006B6637" w:rsidRPr="003D4918">
                  <w:rPr>
                    <w:rStyle w:val="Hyperlink"/>
                    <w:noProof/>
                  </w:rPr>
                  <w:t>Impact of Cancer</w:t>
                </w:r>
                <w:r w:rsidR="006B6637">
                  <w:rPr>
                    <w:noProof/>
                    <w:webHidden/>
                  </w:rPr>
                  <w:tab/>
                </w:r>
                <w:r w:rsidR="006B6637">
                  <w:rPr>
                    <w:noProof/>
                    <w:webHidden/>
                  </w:rPr>
                  <w:fldChar w:fldCharType="begin"/>
                </w:r>
                <w:r w:rsidR="006B6637">
                  <w:rPr>
                    <w:noProof/>
                    <w:webHidden/>
                  </w:rPr>
                  <w:instrText xml:space="preserve"> PAGEREF _Toc439918821 \h </w:instrText>
                </w:r>
                <w:r w:rsidR="006B6637">
                  <w:rPr>
                    <w:noProof/>
                    <w:webHidden/>
                  </w:rPr>
                </w:r>
                <w:r w:rsidR="006B6637">
                  <w:rPr>
                    <w:noProof/>
                    <w:webHidden/>
                  </w:rPr>
                  <w:fldChar w:fldCharType="separate"/>
                </w:r>
                <w:r w:rsidR="006B6637">
                  <w:rPr>
                    <w:noProof/>
                    <w:webHidden/>
                  </w:rPr>
                  <w:t>- 1 -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22" w:history="1">
                <w:r w:rsidR="006B6637" w:rsidRPr="003D4918">
                  <w:rPr>
                    <w:rStyle w:val="Hyperlink"/>
                    <w:noProof/>
                  </w:rPr>
                  <w:t>Tennessee Demographics</w:t>
                </w:r>
                <w:r w:rsidR="006B6637">
                  <w:rPr>
                    <w:noProof/>
                    <w:webHidden/>
                  </w:rPr>
                  <w:tab/>
                </w:r>
                <w:r w:rsidR="006B6637">
                  <w:rPr>
                    <w:noProof/>
                    <w:webHidden/>
                  </w:rPr>
                  <w:fldChar w:fldCharType="begin"/>
                </w:r>
                <w:r w:rsidR="006B6637">
                  <w:rPr>
                    <w:noProof/>
                    <w:webHidden/>
                  </w:rPr>
                  <w:instrText xml:space="preserve"> PAGEREF _Toc439918822 \h </w:instrText>
                </w:r>
                <w:r w:rsidR="006B6637">
                  <w:rPr>
                    <w:noProof/>
                    <w:webHidden/>
                  </w:rPr>
                </w:r>
                <w:r w:rsidR="006B6637">
                  <w:rPr>
                    <w:noProof/>
                    <w:webHidden/>
                  </w:rPr>
                  <w:fldChar w:fldCharType="separate"/>
                </w:r>
                <w:r w:rsidR="006B6637">
                  <w:rPr>
                    <w:noProof/>
                    <w:webHidden/>
                  </w:rPr>
                  <w:t>- 2 -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23" w:history="1">
                <w:r w:rsidR="006B6637" w:rsidRPr="003D4918">
                  <w:rPr>
                    <w:rStyle w:val="Hyperlink"/>
                    <w:noProof/>
                  </w:rPr>
                  <w:t>Cancer Incidence and Mortality in Tennessee</w:t>
                </w:r>
                <w:r w:rsidR="006B6637">
                  <w:rPr>
                    <w:noProof/>
                    <w:webHidden/>
                  </w:rPr>
                  <w:tab/>
                </w:r>
                <w:r w:rsidR="006B6637">
                  <w:rPr>
                    <w:noProof/>
                    <w:webHidden/>
                  </w:rPr>
                  <w:fldChar w:fldCharType="begin"/>
                </w:r>
                <w:r w:rsidR="006B6637">
                  <w:rPr>
                    <w:noProof/>
                    <w:webHidden/>
                  </w:rPr>
                  <w:instrText xml:space="preserve"> PAGEREF _Toc439918823 \h </w:instrText>
                </w:r>
                <w:r w:rsidR="006B6637">
                  <w:rPr>
                    <w:noProof/>
                    <w:webHidden/>
                  </w:rPr>
                </w:r>
                <w:r w:rsidR="006B6637">
                  <w:rPr>
                    <w:noProof/>
                    <w:webHidden/>
                  </w:rPr>
                  <w:fldChar w:fldCharType="separate"/>
                </w:r>
                <w:r w:rsidR="006B6637">
                  <w:rPr>
                    <w:noProof/>
                    <w:webHidden/>
                  </w:rPr>
                  <w:t>- 2 -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24" w:history="1">
                <w:r w:rsidR="006B6637" w:rsidRPr="003D4918">
                  <w:rPr>
                    <w:rStyle w:val="Hyperlink"/>
                    <w:noProof/>
                  </w:rPr>
                  <w:t>Regional and County Differences in Cancer</w:t>
                </w:r>
                <w:r w:rsidR="006B6637">
                  <w:rPr>
                    <w:noProof/>
                    <w:webHidden/>
                  </w:rPr>
                  <w:tab/>
                </w:r>
                <w:r w:rsidR="006B6637">
                  <w:rPr>
                    <w:noProof/>
                    <w:webHidden/>
                  </w:rPr>
                  <w:fldChar w:fldCharType="begin"/>
                </w:r>
                <w:r w:rsidR="006B6637">
                  <w:rPr>
                    <w:noProof/>
                    <w:webHidden/>
                  </w:rPr>
                  <w:instrText xml:space="preserve"> PAGEREF _Toc439918824 \h </w:instrText>
                </w:r>
                <w:r w:rsidR="006B6637">
                  <w:rPr>
                    <w:noProof/>
                    <w:webHidden/>
                  </w:rPr>
                </w:r>
                <w:r w:rsidR="006B6637">
                  <w:rPr>
                    <w:noProof/>
                    <w:webHidden/>
                  </w:rPr>
                  <w:fldChar w:fldCharType="separate"/>
                </w:r>
                <w:r w:rsidR="006B6637">
                  <w:rPr>
                    <w:noProof/>
                    <w:webHidden/>
                  </w:rPr>
                  <w:t>- 2 -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25" w:history="1">
                <w:r w:rsidR="006B6637" w:rsidRPr="003D4918">
                  <w:rPr>
                    <w:rStyle w:val="Hyperlink"/>
                    <w:noProof/>
                  </w:rPr>
                  <w:t>10 Most Common Sites of Cancer Incidence</w:t>
                </w:r>
                <w:r w:rsidR="006B6637">
                  <w:rPr>
                    <w:noProof/>
                    <w:webHidden/>
                  </w:rPr>
                  <w:tab/>
                </w:r>
                <w:r w:rsidR="006B6637">
                  <w:rPr>
                    <w:noProof/>
                    <w:webHidden/>
                  </w:rPr>
                  <w:fldChar w:fldCharType="begin"/>
                </w:r>
                <w:r w:rsidR="006B6637">
                  <w:rPr>
                    <w:noProof/>
                    <w:webHidden/>
                  </w:rPr>
                  <w:instrText xml:space="preserve"> PAGEREF _Toc439918825 \h </w:instrText>
                </w:r>
                <w:r w:rsidR="006B6637">
                  <w:rPr>
                    <w:noProof/>
                    <w:webHidden/>
                  </w:rPr>
                </w:r>
                <w:r w:rsidR="006B6637">
                  <w:rPr>
                    <w:noProof/>
                    <w:webHidden/>
                  </w:rPr>
                  <w:fldChar w:fldCharType="separate"/>
                </w:r>
                <w:r w:rsidR="006B6637">
                  <w:rPr>
                    <w:noProof/>
                    <w:webHidden/>
                  </w:rPr>
                  <w:t>- 3 -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26" w:history="1">
                <w:r w:rsidR="006B6637" w:rsidRPr="003D4918">
                  <w:rPr>
                    <w:rStyle w:val="Hyperlink"/>
                    <w:noProof/>
                  </w:rPr>
                  <w:t>10 Most Common Sites of Cancer Mortality</w:t>
                </w:r>
                <w:r w:rsidR="006B6637">
                  <w:rPr>
                    <w:noProof/>
                    <w:webHidden/>
                  </w:rPr>
                  <w:tab/>
                </w:r>
                <w:r w:rsidR="006B6637">
                  <w:rPr>
                    <w:noProof/>
                    <w:webHidden/>
                  </w:rPr>
                  <w:fldChar w:fldCharType="begin"/>
                </w:r>
                <w:r w:rsidR="006B6637">
                  <w:rPr>
                    <w:noProof/>
                    <w:webHidden/>
                  </w:rPr>
                  <w:instrText xml:space="preserve"> PAGEREF _Toc439918826 \h </w:instrText>
                </w:r>
                <w:r w:rsidR="006B6637">
                  <w:rPr>
                    <w:noProof/>
                    <w:webHidden/>
                  </w:rPr>
                </w:r>
                <w:r w:rsidR="006B6637">
                  <w:rPr>
                    <w:noProof/>
                    <w:webHidden/>
                  </w:rPr>
                  <w:fldChar w:fldCharType="separate"/>
                </w:r>
                <w:r w:rsidR="006B6637">
                  <w:rPr>
                    <w:noProof/>
                    <w:webHidden/>
                  </w:rPr>
                  <w:t>- 3 -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27" w:history="1">
                <w:r w:rsidR="006B6637" w:rsidRPr="003D4918">
                  <w:rPr>
                    <w:rStyle w:val="Hyperlink"/>
                    <w:noProof/>
                  </w:rPr>
                  <w:t>Most Common Cancers in Tennessee, 2008-2012</w:t>
                </w:r>
                <w:r w:rsidR="006B6637">
                  <w:rPr>
                    <w:noProof/>
                    <w:webHidden/>
                  </w:rPr>
                  <w:tab/>
                </w:r>
                <w:r w:rsidR="006B6637">
                  <w:rPr>
                    <w:noProof/>
                    <w:webHidden/>
                  </w:rPr>
                  <w:fldChar w:fldCharType="begin"/>
                </w:r>
                <w:r w:rsidR="006B6637">
                  <w:rPr>
                    <w:noProof/>
                    <w:webHidden/>
                  </w:rPr>
                  <w:instrText xml:space="preserve"> PAGEREF _Toc439918827 \h </w:instrText>
                </w:r>
                <w:r w:rsidR="006B6637">
                  <w:rPr>
                    <w:noProof/>
                    <w:webHidden/>
                  </w:rPr>
                </w:r>
                <w:r w:rsidR="006B6637">
                  <w:rPr>
                    <w:noProof/>
                    <w:webHidden/>
                  </w:rPr>
                  <w:fldChar w:fldCharType="separate"/>
                </w:r>
                <w:r w:rsidR="006B6637">
                  <w:rPr>
                    <w:noProof/>
                    <w:webHidden/>
                  </w:rPr>
                  <w:t>- 4 -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28" w:history="1">
                <w:r w:rsidR="006B6637" w:rsidRPr="003D4918">
                  <w:rPr>
                    <w:rStyle w:val="Hyperlink"/>
                    <w:noProof/>
                  </w:rPr>
                  <w:t>Lung Cancer</w:t>
                </w:r>
                <w:r w:rsidR="006B6637">
                  <w:rPr>
                    <w:noProof/>
                    <w:webHidden/>
                  </w:rPr>
                  <w:tab/>
                </w:r>
                <w:r w:rsidR="006B6637">
                  <w:rPr>
                    <w:noProof/>
                    <w:webHidden/>
                  </w:rPr>
                  <w:fldChar w:fldCharType="begin"/>
                </w:r>
                <w:r w:rsidR="006B6637">
                  <w:rPr>
                    <w:noProof/>
                    <w:webHidden/>
                  </w:rPr>
                  <w:instrText xml:space="preserve"> PAGEREF _Toc439918828 \h </w:instrText>
                </w:r>
                <w:r w:rsidR="006B6637">
                  <w:rPr>
                    <w:noProof/>
                    <w:webHidden/>
                  </w:rPr>
                </w:r>
                <w:r w:rsidR="006B6637">
                  <w:rPr>
                    <w:noProof/>
                    <w:webHidden/>
                  </w:rPr>
                  <w:fldChar w:fldCharType="separate"/>
                </w:r>
                <w:r w:rsidR="006B6637">
                  <w:rPr>
                    <w:noProof/>
                    <w:webHidden/>
                  </w:rPr>
                  <w:t>- 4 -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29" w:history="1">
                <w:r w:rsidR="006B6637" w:rsidRPr="003D4918">
                  <w:rPr>
                    <w:rStyle w:val="Hyperlink"/>
                    <w:noProof/>
                  </w:rPr>
                  <w:t>Prostate Cancer</w:t>
                </w:r>
                <w:r w:rsidR="006B6637">
                  <w:rPr>
                    <w:noProof/>
                    <w:webHidden/>
                  </w:rPr>
                  <w:tab/>
                </w:r>
                <w:r w:rsidR="006B6637">
                  <w:rPr>
                    <w:noProof/>
                    <w:webHidden/>
                  </w:rPr>
                  <w:fldChar w:fldCharType="begin"/>
                </w:r>
                <w:r w:rsidR="006B6637">
                  <w:rPr>
                    <w:noProof/>
                    <w:webHidden/>
                  </w:rPr>
                  <w:instrText xml:space="preserve"> PAGEREF _Toc439918829 \h </w:instrText>
                </w:r>
                <w:r w:rsidR="006B6637">
                  <w:rPr>
                    <w:noProof/>
                    <w:webHidden/>
                  </w:rPr>
                </w:r>
                <w:r w:rsidR="006B6637">
                  <w:rPr>
                    <w:noProof/>
                    <w:webHidden/>
                  </w:rPr>
                  <w:fldChar w:fldCharType="separate"/>
                </w:r>
                <w:r w:rsidR="006B6637">
                  <w:rPr>
                    <w:noProof/>
                    <w:webHidden/>
                  </w:rPr>
                  <w:t>- 4 -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30" w:history="1">
                <w:r w:rsidR="006B6637" w:rsidRPr="003D4918">
                  <w:rPr>
                    <w:rStyle w:val="Hyperlink"/>
                    <w:noProof/>
                  </w:rPr>
                  <w:t>Female Breast Cancer</w:t>
                </w:r>
                <w:r w:rsidR="006B6637">
                  <w:rPr>
                    <w:noProof/>
                    <w:webHidden/>
                  </w:rPr>
                  <w:tab/>
                </w:r>
                <w:r w:rsidR="006B6637">
                  <w:rPr>
                    <w:noProof/>
                    <w:webHidden/>
                  </w:rPr>
                  <w:fldChar w:fldCharType="begin"/>
                </w:r>
                <w:r w:rsidR="006B6637">
                  <w:rPr>
                    <w:noProof/>
                    <w:webHidden/>
                  </w:rPr>
                  <w:instrText xml:space="preserve"> PAGEREF _Toc439918830 \h </w:instrText>
                </w:r>
                <w:r w:rsidR="006B6637">
                  <w:rPr>
                    <w:noProof/>
                    <w:webHidden/>
                  </w:rPr>
                </w:r>
                <w:r w:rsidR="006B6637">
                  <w:rPr>
                    <w:noProof/>
                    <w:webHidden/>
                  </w:rPr>
                  <w:fldChar w:fldCharType="separate"/>
                </w:r>
                <w:r w:rsidR="006B6637">
                  <w:rPr>
                    <w:noProof/>
                    <w:webHidden/>
                  </w:rPr>
                  <w:t>- 5 -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31" w:history="1">
                <w:r w:rsidR="006B6637" w:rsidRPr="003D4918">
                  <w:rPr>
                    <w:rStyle w:val="Hyperlink"/>
                    <w:noProof/>
                  </w:rPr>
                  <w:t>Colorectal Cancer</w:t>
                </w:r>
                <w:r w:rsidR="006B6637">
                  <w:rPr>
                    <w:noProof/>
                    <w:webHidden/>
                  </w:rPr>
                  <w:tab/>
                </w:r>
                <w:r w:rsidR="006B6637">
                  <w:rPr>
                    <w:noProof/>
                    <w:webHidden/>
                  </w:rPr>
                  <w:fldChar w:fldCharType="begin"/>
                </w:r>
                <w:r w:rsidR="006B6637">
                  <w:rPr>
                    <w:noProof/>
                    <w:webHidden/>
                  </w:rPr>
                  <w:instrText xml:space="preserve"> PAGEREF _Toc439918831 \h </w:instrText>
                </w:r>
                <w:r w:rsidR="006B6637">
                  <w:rPr>
                    <w:noProof/>
                    <w:webHidden/>
                  </w:rPr>
                </w:r>
                <w:r w:rsidR="006B6637">
                  <w:rPr>
                    <w:noProof/>
                    <w:webHidden/>
                  </w:rPr>
                  <w:fldChar w:fldCharType="separate"/>
                </w:r>
                <w:r w:rsidR="006B6637">
                  <w:rPr>
                    <w:noProof/>
                    <w:webHidden/>
                  </w:rPr>
                  <w:t>- 5 -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32" w:history="1">
                <w:r w:rsidR="006B6637" w:rsidRPr="003D4918">
                  <w:rPr>
                    <w:rStyle w:val="Hyperlink"/>
                    <w:noProof/>
                  </w:rPr>
                  <w:t>Melanoma of the Skin</w:t>
                </w:r>
                <w:r w:rsidR="006B6637">
                  <w:rPr>
                    <w:noProof/>
                    <w:webHidden/>
                  </w:rPr>
                  <w:tab/>
                </w:r>
                <w:r w:rsidR="006B6637">
                  <w:rPr>
                    <w:noProof/>
                    <w:webHidden/>
                  </w:rPr>
                  <w:fldChar w:fldCharType="begin"/>
                </w:r>
                <w:r w:rsidR="006B6637">
                  <w:rPr>
                    <w:noProof/>
                    <w:webHidden/>
                  </w:rPr>
                  <w:instrText xml:space="preserve"> PAGEREF _Toc439918832 \h </w:instrText>
                </w:r>
                <w:r w:rsidR="006B6637">
                  <w:rPr>
                    <w:noProof/>
                    <w:webHidden/>
                  </w:rPr>
                </w:r>
                <w:r w:rsidR="006B6637">
                  <w:rPr>
                    <w:noProof/>
                    <w:webHidden/>
                  </w:rPr>
                  <w:fldChar w:fldCharType="separate"/>
                </w:r>
                <w:r w:rsidR="006B6637">
                  <w:rPr>
                    <w:noProof/>
                    <w:webHidden/>
                  </w:rPr>
                  <w:t>- 6 -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33" w:history="1">
                <w:r w:rsidR="006B6637" w:rsidRPr="003D4918">
                  <w:rPr>
                    <w:rStyle w:val="Hyperlink"/>
                    <w:noProof/>
                  </w:rPr>
                  <w:t>Pancreatic Cancer</w:t>
                </w:r>
                <w:r w:rsidR="006B6637">
                  <w:rPr>
                    <w:noProof/>
                    <w:webHidden/>
                  </w:rPr>
                  <w:tab/>
                </w:r>
                <w:r w:rsidR="006B6637">
                  <w:rPr>
                    <w:noProof/>
                    <w:webHidden/>
                  </w:rPr>
                  <w:fldChar w:fldCharType="begin"/>
                </w:r>
                <w:r w:rsidR="006B6637">
                  <w:rPr>
                    <w:noProof/>
                    <w:webHidden/>
                  </w:rPr>
                  <w:instrText xml:space="preserve"> PAGEREF _Toc439918833 \h </w:instrText>
                </w:r>
                <w:r w:rsidR="006B6637">
                  <w:rPr>
                    <w:noProof/>
                    <w:webHidden/>
                  </w:rPr>
                </w:r>
                <w:r w:rsidR="006B6637">
                  <w:rPr>
                    <w:noProof/>
                    <w:webHidden/>
                  </w:rPr>
                  <w:fldChar w:fldCharType="separate"/>
                </w:r>
                <w:r w:rsidR="006B6637">
                  <w:rPr>
                    <w:noProof/>
                    <w:webHidden/>
                  </w:rPr>
                  <w:t>- 6 -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34" w:history="1">
                <w:r w:rsidR="006B6637" w:rsidRPr="003D4918">
                  <w:rPr>
                    <w:rStyle w:val="Hyperlink"/>
                    <w:noProof/>
                  </w:rPr>
                  <w:t>Childhood Cancer</w:t>
                </w:r>
                <w:r w:rsidR="006B6637">
                  <w:rPr>
                    <w:noProof/>
                    <w:webHidden/>
                  </w:rPr>
                  <w:tab/>
                </w:r>
                <w:r w:rsidR="006B6637">
                  <w:rPr>
                    <w:noProof/>
                    <w:webHidden/>
                  </w:rPr>
                  <w:fldChar w:fldCharType="begin"/>
                </w:r>
                <w:r w:rsidR="006B6637">
                  <w:rPr>
                    <w:noProof/>
                    <w:webHidden/>
                  </w:rPr>
                  <w:instrText xml:space="preserve"> PAGEREF _Toc439918834 \h </w:instrText>
                </w:r>
                <w:r w:rsidR="006B6637">
                  <w:rPr>
                    <w:noProof/>
                    <w:webHidden/>
                  </w:rPr>
                </w:r>
                <w:r w:rsidR="006B6637">
                  <w:rPr>
                    <w:noProof/>
                    <w:webHidden/>
                  </w:rPr>
                  <w:fldChar w:fldCharType="separate"/>
                </w:r>
                <w:r w:rsidR="006B6637">
                  <w:rPr>
                    <w:noProof/>
                    <w:webHidden/>
                  </w:rPr>
                  <w:t>- 7 -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35" w:history="1">
                <w:r w:rsidR="006B6637" w:rsidRPr="003D4918">
                  <w:rPr>
                    <w:rStyle w:val="Hyperlink"/>
                    <w:noProof/>
                  </w:rPr>
                  <w:t>Cancer Site Specific Webpages</w:t>
                </w:r>
                <w:r w:rsidR="006B6637">
                  <w:rPr>
                    <w:noProof/>
                    <w:webHidden/>
                  </w:rPr>
                  <w:tab/>
                </w:r>
                <w:r w:rsidR="006B6637">
                  <w:rPr>
                    <w:noProof/>
                    <w:webHidden/>
                  </w:rPr>
                  <w:fldChar w:fldCharType="begin"/>
                </w:r>
                <w:r w:rsidR="006B6637">
                  <w:rPr>
                    <w:noProof/>
                    <w:webHidden/>
                  </w:rPr>
                  <w:instrText xml:space="preserve"> PAGEREF _Toc439918835 \h </w:instrText>
                </w:r>
                <w:r w:rsidR="006B6637">
                  <w:rPr>
                    <w:noProof/>
                    <w:webHidden/>
                  </w:rPr>
                </w:r>
                <w:r w:rsidR="006B6637">
                  <w:rPr>
                    <w:noProof/>
                    <w:webHidden/>
                  </w:rPr>
                  <w:fldChar w:fldCharType="separate"/>
                </w:r>
                <w:r w:rsidR="006B6637">
                  <w:rPr>
                    <w:noProof/>
                    <w:webHidden/>
                  </w:rPr>
                  <w:t>- 8 -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36" w:history="1">
                <w:r w:rsidR="006B6637" w:rsidRPr="003D4918">
                  <w:rPr>
                    <w:rStyle w:val="Hyperlink"/>
                    <w:noProof/>
                  </w:rPr>
                  <w:t>National Organizations and Websites</w:t>
                </w:r>
                <w:r w:rsidR="006B6637">
                  <w:rPr>
                    <w:noProof/>
                    <w:webHidden/>
                  </w:rPr>
                  <w:tab/>
                </w:r>
                <w:r w:rsidR="006B6637">
                  <w:rPr>
                    <w:noProof/>
                    <w:webHidden/>
                  </w:rPr>
                  <w:fldChar w:fldCharType="begin"/>
                </w:r>
                <w:r w:rsidR="006B6637">
                  <w:rPr>
                    <w:noProof/>
                    <w:webHidden/>
                  </w:rPr>
                  <w:instrText xml:space="preserve"> PAGEREF _Toc439918836 \h </w:instrText>
                </w:r>
                <w:r w:rsidR="006B6637">
                  <w:rPr>
                    <w:noProof/>
                    <w:webHidden/>
                  </w:rPr>
                </w:r>
                <w:r w:rsidR="006B6637">
                  <w:rPr>
                    <w:noProof/>
                    <w:webHidden/>
                  </w:rPr>
                  <w:fldChar w:fldCharType="separate"/>
                </w:r>
                <w:r w:rsidR="006B6637">
                  <w:rPr>
                    <w:noProof/>
                    <w:webHidden/>
                  </w:rPr>
                  <w:t>- 9 -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37" w:history="1">
                <w:r w:rsidR="006B6637" w:rsidRPr="003D4918">
                  <w:rPr>
                    <w:rStyle w:val="Hyperlink"/>
                    <w:noProof/>
                  </w:rPr>
                  <w:t>Top Five Leading Causes of Death in Tennessee, 2012</w:t>
                </w:r>
                <w:r w:rsidR="006B6637">
                  <w:rPr>
                    <w:noProof/>
                    <w:webHidden/>
                  </w:rPr>
                  <w:tab/>
                </w:r>
                <w:r w:rsidR="006B6637">
                  <w:rPr>
                    <w:noProof/>
                    <w:webHidden/>
                  </w:rPr>
                  <w:fldChar w:fldCharType="begin"/>
                </w:r>
                <w:r w:rsidR="006B6637">
                  <w:rPr>
                    <w:noProof/>
                    <w:webHidden/>
                  </w:rPr>
                  <w:instrText xml:space="preserve"> PAGEREF _Toc439918837 \h </w:instrText>
                </w:r>
                <w:r w:rsidR="006B6637">
                  <w:rPr>
                    <w:noProof/>
                    <w:webHidden/>
                  </w:rPr>
                </w:r>
                <w:r w:rsidR="006B6637">
                  <w:rPr>
                    <w:noProof/>
                    <w:webHidden/>
                  </w:rPr>
                  <w:fldChar w:fldCharType="separate"/>
                </w:r>
                <w:r w:rsidR="006B6637">
                  <w:rPr>
                    <w:noProof/>
                    <w:webHidden/>
                  </w:rPr>
                  <w:t>- 10 -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38" w:history="1">
                <w:r w:rsidR="006B6637" w:rsidRPr="003D4918">
                  <w:rPr>
                    <w:rStyle w:val="Hyperlink"/>
                    <w:noProof/>
                  </w:rPr>
                  <w:t>Tennessee Compared to the United States</w:t>
                </w:r>
                <w:r w:rsidR="006B6637">
                  <w:rPr>
                    <w:noProof/>
                    <w:webHidden/>
                  </w:rPr>
                  <w:tab/>
                </w:r>
                <w:r w:rsidR="006B6637">
                  <w:rPr>
                    <w:noProof/>
                    <w:webHidden/>
                  </w:rPr>
                  <w:fldChar w:fldCharType="begin"/>
                </w:r>
                <w:r w:rsidR="006B6637">
                  <w:rPr>
                    <w:noProof/>
                    <w:webHidden/>
                  </w:rPr>
                  <w:instrText xml:space="preserve"> PAGEREF _Toc439918838 \h </w:instrText>
                </w:r>
                <w:r w:rsidR="006B6637">
                  <w:rPr>
                    <w:noProof/>
                    <w:webHidden/>
                  </w:rPr>
                </w:r>
                <w:r w:rsidR="006B6637">
                  <w:rPr>
                    <w:noProof/>
                    <w:webHidden/>
                  </w:rPr>
                  <w:fldChar w:fldCharType="separate"/>
                </w:r>
                <w:r w:rsidR="006B6637">
                  <w:rPr>
                    <w:noProof/>
                    <w:webHidden/>
                  </w:rPr>
                  <w:t>- 11 -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39" w:history="1">
                <w:r w:rsidR="006B6637" w:rsidRPr="003D4918">
                  <w:rPr>
                    <w:rStyle w:val="Hyperlink"/>
                    <w:noProof/>
                  </w:rPr>
                  <w:t>Cancer Mortality Trend, 1992-2012</w:t>
                </w:r>
                <w:r w:rsidR="006B6637">
                  <w:rPr>
                    <w:noProof/>
                    <w:webHidden/>
                  </w:rPr>
                  <w:tab/>
                </w:r>
                <w:r w:rsidR="006B6637">
                  <w:rPr>
                    <w:noProof/>
                    <w:webHidden/>
                  </w:rPr>
                  <w:fldChar w:fldCharType="begin"/>
                </w:r>
                <w:r w:rsidR="006B6637">
                  <w:rPr>
                    <w:noProof/>
                    <w:webHidden/>
                  </w:rPr>
                  <w:instrText xml:space="preserve"> PAGEREF _Toc439918839 \h </w:instrText>
                </w:r>
                <w:r w:rsidR="006B6637">
                  <w:rPr>
                    <w:noProof/>
                    <w:webHidden/>
                  </w:rPr>
                </w:r>
                <w:r w:rsidR="006B6637">
                  <w:rPr>
                    <w:noProof/>
                    <w:webHidden/>
                  </w:rPr>
                  <w:fldChar w:fldCharType="separate"/>
                </w:r>
                <w:r w:rsidR="006B6637">
                  <w:rPr>
                    <w:noProof/>
                    <w:webHidden/>
                  </w:rPr>
                  <w:t>- 11 -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40" w:history="1">
                <w:r w:rsidR="006B6637" w:rsidRPr="003D4918">
                  <w:rPr>
                    <w:rStyle w:val="Hyperlink"/>
                    <w:noProof/>
                  </w:rPr>
                  <w:t>Tennessee Cancer Incidence and Mortality Rankings, 2008-2012</w:t>
                </w:r>
                <w:r w:rsidR="006B6637">
                  <w:rPr>
                    <w:noProof/>
                    <w:webHidden/>
                  </w:rPr>
                  <w:tab/>
                </w:r>
                <w:r w:rsidR="006B6637">
                  <w:rPr>
                    <w:noProof/>
                    <w:webHidden/>
                  </w:rPr>
                  <w:fldChar w:fldCharType="begin"/>
                </w:r>
                <w:r w:rsidR="006B6637">
                  <w:rPr>
                    <w:noProof/>
                    <w:webHidden/>
                  </w:rPr>
                  <w:instrText xml:space="preserve"> PAGEREF _Toc439918840 \h </w:instrText>
                </w:r>
                <w:r w:rsidR="006B6637">
                  <w:rPr>
                    <w:noProof/>
                    <w:webHidden/>
                  </w:rPr>
                </w:r>
                <w:r w:rsidR="006B6637">
                  <w:rPr>
                    <w:noProof/>
                    <w:webHidden/>
                  </w:rPr>
                  <w:fldChar w:fldCharType="separate"/>
                </w:r>
                <w:r w:rsidR="006B6637">
                  <w:rPr>
                    <w:noProof/>
                    <w:webHidden/>
                  </w:rPr>
                  <w:t>- 12 -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41" w:history="1">
                <w:r w:rsidR="006B6637" w:rsidRPr="003D4918">
                  <w:rPr>
                    <w:rStyle w:val="Hyperlink"/>
                    <w:noProof/>
                  </w:rPr>
                  <w:t>Types of Cancers in Tennessee, 2008-2012</w:t>
                </w:r>
                <w:r w:rsidR="006B6637">
                  <w:rPr>
                    <w:noProof/>
                    <w:webHidden/>
                  </w:rPr>
                  <w:tab/>
                </w:r>
                <w:r w:rsidR="006B6637">
                  <w:rPr>
                    <w:noProof/>
                    <w:webHidden/>
                  </w:rPr>
                  <w:fldChar w:fldCharType="begin"/>
                </w:r>
                <w:r w:rsidR="006B6637">
                  <w:rPr>
                    <w:noProof/>
                    <w:webHidden/>
                  </w:rPr>
                  <w:instrText xml:space="preserve"> PAGEREF _Toc439918841 \h </w:instrText>
                </w:r>
                <w:r w:rsidR="006B6637">
                  <w:rPr>
                    <w:noProof/>
                    <w:webHidden/>
                  </w:rPr>
                </w:r>
                <w:r w:rsidR="006B6637">
                  <w:rPr>
                    <w:noProof/>
                    <w:webHidden/>
                  </w:rPr>
                  <w:fldChar w:fldCharType="separate"/>
                </w:r>
                <w:r w:rsidR="006B6637">
                  <w:rPr>
                    <w:noProof/>
                    <w:webHidden/>
                  </w:rPr>
                  <w:t>- 14 -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42" w:history="1">
                <w:r w:rsidR="006B6637" w:rsidRPr="003D4918">
                  <w:rPr>
                    <w:rStyle w:val="Hyperlink"/>
                    <w:noProof/>
                  </w:rPr>
                  <w:t>Leading Causes of Cancer Incidence, 2008-2012</w:t>
                </w:r>
                <w:r w:rsidR="006B6637">
                  <w:rPr>
                    <w:noProof/>
                    <w:webHidden/>
                  </w:rPr>
                  <w:tab/>
                </w:r>
                <w:r w:rsidR="006B6637">
                  <w:rPr>
                    <w:noProof/>
                    <w:webHidden/>
                  </w:rPr>
                  <w:fldChar w:fldCharType="begin"/>
                </w:r>
                <w:r w:rsidR="006B6637">
                  <w:rPr>
                    <w:noProof/>
                    <w:webHidden/>
                  </w:rPr>
                  <w:instrText xml:space="preserve"> PAGEREF _Toc439918842 \h </w:instrText>
                </w:r>
                <w:r w:rsidR="006B6637">
                  <w:rPr>
                    <w:noProof/>
                    <w:webHidden/>
                  </w:rPr>
                </w:r>
                <w:r w:rsidR="006B6637">
                  <w:rPr>
                    <w:noProof/>
                    <w:webHidden/>
                  </w:rPr>
                  <w:fldChar w:fldCharType="separate"/>
                </w:r>
                <w:r w:rsidR="006B6637">
                  <w:rPr>
                    <w:noProof/>
                    <w:webHidden/>
                  </w:rPr>
                  <w:t>- 14 -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43" w:history="1">
                <w:r w:rsidR="006B6637" w:rsidRPr="003D4918">
                  <w:rPr>
                    <w:rStyle w:val="Hyperlink"/>
                    <w:noProof/>
                  </w:rPr>
                  <w:t>Leading Causes of Cancer Mortality, 2008-2012</w:t>
                </w:r>
                <w:r w:rsidR="006B6637">
                  <w:rPr>
                    <w:noProof/>
                    <w:webHidden/>
                  </w:rPr>
                  <w:tab/>
                </w:r>
                <w:r w:rsidR="006B6637">
                  <w:rPr>
                    <w:noProof/>
                    <w:webHidden/>
                  </w:rPr>
                  <w:fldChar w:fldCharType="begin"/>
                </w:r>
                <w:r w:rsidR="006B6637">
                  <w:rPr>
                    <w:noProof/>
                    <w:webHidden/>
                  </w:rPr>
                  <w:instrText xml:space="preserve"> PAGEREF _Toc439918843 \h </w:instrText>
                </w:r>
                <w:r w:rsidR="006B6637">
                  <w:rPr>
                    <w:noProof/>
                    <w:webHidden/>
                  </w:rPr>
                </w:r>
                <w:r w:rsidR="006B6637">
                  <w:rPr>
                    <w:noProof/>
                    <w:webHidden/>
                  </w:rPr>
                  <w:fldChar w:fldCharType="separate"/>
                </w:r>
                <w:r w:rsidR="006B6637">
                  <w:rPr>
                    <w:noProof/>
                    <w:webHidden/>
                  </w:rPr>
                  <w:t>- 17 -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44" w:history="1">
                <w:r w:rsidR="006B6637" w:rsidRPr="003D4918">
                  <w:rPr>
                    <w:rStyle w:val="Hyperlink"/>
                    <w:noProof/>
                  </w:rPr>
                  <w:t>Cancer Incidence and Mortality in Tennessee, 2008-2012</w:t>
                </w:r>
                <w:r w:rsidR="006B6637">
                  <w:rPr>
                    <w:noProof/>
                    <w:webHidden/>
                  </w:rPr>
                  <w:tab/>
                </w:r>
                <w:r w:rsidR="006B6637">
                  <w:rPr>
                    <w:noProof/>
                    <w:webHidden/>
                  </w:rPr>
                  <w:fldChar w:fldCharType="begin"/>
                </w:r>
                <w:r w:rsidR="006B6637">
                  <w:rPr>
                    <w:noProof/>
                    <w:webHidden/>
                  </w:rPr>
                  <w:instrText xml:space="preserve"> PAGEREF _Toc439918844 \h </w:instrText>
                </w:r>
                <w:r w:rsidR="006B6637">
                  <w:rPr>
                    <w:noProof/>
                    <w:webHidden/>
                  </w:rPr>
                </w:r>
                <w:r w:rsidR="006B6637">
                  <w:rPr>
                    <w:noProof/>
                    <w:webHidden/>
                  </w:rPr>
                  <w:fldChar w:fldCharType="separate"/>
                </w:r>
                <w:r w:rsidR="006B6637">
                  <w:rPr>
                    <w:noProof/>
                    <w:webHidden/>
                  </w:rPr>
                  <w:t>- 20 -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45" w:history="1">
                <w:r w:rsidR="006B6637" w:rsidRPr="003D4918">
                  <w:rPr>
                    <w:rStyle w:val="Hyperlink"/>
                    <w:noProof/>
                  </w:rPr>
                  <w:t>Cancer Incidence and Mortality, All Sites Combined, Tennessee, 2008-2012</w:t>
                </w:r>
                <w:r w:rsidR="006B6637">
                  <w:rPr>
                    <w:noProof/>
                    <w:webHidden/>
                  </w:rPr>
                  <w:tab/>
                </w:r>
                <w:r w:rsidR="006B6637">
                  <w:rPr>
                    <w:noProof/>
                    <w:webHidden/>
                  </w:rPr>
                  <w:fldChar w:fldCharType="begin"/>
                </w:r>
                <w:r w:rsidR="006B6637">
                  <w:rPr>
                    <w:noProof/>
                    <w:webHidden/>
                  </w:rPr>
                  <w:instrText xml:space="preserve"> PAGEREF _Toc439918845 \h </w:instrText>
                </w:r>
                <w:r w:rsidR="006B6637">
                  <w:rPr>
                    <w:noProof/>
                    <w:webHidden/>
                  </w:rPr>
                </w:r>
                <w:r w:rsidR="006B6637">
                  <w:rPr>
                    <w:noProof/>
                    <w:webHidden/>
                  </w:rPr>
                  <w:fldChar w:fldCharType="separate"/>
                </w:r>
                <w:r w:rsidR="006B6637">
                  <w:rPr>
                    <w:noProof/>
                    <w:webHidden/>
                  </w:rPr>
                  <w:t>- 20 -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46" w:history="1">
                <w:r w:rsidR="006B6637" w:rsidRPr="003D4918">
                  <w:rPr>
                    <w:rStyle w:val="Hyperlink"/>
                    <w:noProof/>
                  </w:rPr>
                  <w:t>Years of Potential Life Lost to Cancer, Tennessee, 2008-2012</w:t>
                </w:r>
                <w:r w:rsidR="006B6637">
                  <w:rPr>
                    <w:noProof/>
                    <w:webHidden/>
                  </w:rPr>
                  <w:tab/>
                </w:r>
                <w:r w:rsidR="006B6637">
                  <w:rPr>
                    <w:noProof/>
                    <w:webHidden/>
                  </w:rPr>
                  <w:fldChar w:fldCharType="begin"/>
                </w:r>
                <w:r w:rsidR="006B6637">
                  <w:rPr>
                    <w:noProof/>
                    <w:webHidden/>
                  </w:rPr>
                  <w:instrText xml:space="preserve"> PAGEREF _Toc439918846 \h </w:instrText>
                </w:r>
                <w:r w:rsidR="006B6637">
                  <w:rPr>
                    <w:noProof/>
                    <w:webHidden/>
                  </w:rPr>
                </w:r>
                <w:r w:rsidR="006B6637">
                  <w:rPr>
                    <w:noProof/>
                    <w:webHidden/>
                  </w:rPr>
                  <w:fldChar w:fldCharType="separate"/>
                </w:r>
                <w:r w:rsidR="006B6637">
                  <w:rPr>
                    <w:noProof/>
                    <w:webHidden/>
                  </w:rPr>
                  <w:t>- 24 -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47" w:history="1">
                <w:r w:rsidR="006B6637" w:rsidRPr="003D4918">
                  <w:rPr>
                    <w:rStyle w:val="Hyperlink"/>
                    <w:noProof/>
                  </w:rPr>
                  <w:t>Common Cancers in Tennessee, 2008-2012</w:t>
                </w:r>
                <w:r w:rsidR="006B6637">
                  <w:rPr>
                    <w:noProof/>
                    <w:webHidden/>
                  </w:rPr>
                  <w:tab/>
                </w:r>
                <w:r w:rsidR="006B6637">
                  <w:rPr>
                    <w:noProof/>
                    <w:webHidden/>
                  </w:rPr>
                  <w:fldChar w:fldCharType="begin"/>
                </w:r>
                <w:r w:rsidR="006B6637">
                  <w:rPr>
                    <w:noProof/>
                    <w:webHidden/>
                  </w:rPr>
                  <w:instrText xml:space="preserve"> PAGEREF _Toc439918847 \h </w:instrText>
                </w:r>
                <w:r w:rsidR="006B6637">
                  <w:rPr>
                    <w:noProof/>
                    <w:webHidden/>
                  </w:rPr>
                </w:r>
                <w:r w:rsidR="006B6637">
                  <w:rPr>
                    <w:noProof/>
                    <w:webHidden/>
                  </w:rPr>
                  <w:fldChar w:fldCharType="separate"/>
                </w:r>
                <w:r w:rsidR="006B6637">
                  <w:rPr>
                    <w:noProof/>
                    <w:webHidden/>
                  </w:rPr>
                  <w:t>- 29 -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48" w:history="1">
                <w:r w:rsidR="006B6637" w:rsidRPr="003D4918">
                  <w:rPr>
                    <w:rStyle w:val="Hyperlink"/>
                    <w:noProof/>
                  </w:rPr>
                  <w:t>Cancer of Lung and Bronchus</w:t>
                </w:r>
                <w:r w:rsidR="006B6637">
                  <w:rPr>
                    <w:noProof/>
                    <w:webHidden/>
                  </w:rPr>
                  <w:tab/>
                </w:r>
                <w:r w:rsidR="006B6637">
                  <w:rPr>
                    <w:noProof/>
                    <w:webHidden/>
                  </w:rPr>
                  <w:fldChar w:fldCharType="begin"/>
                </w:r>
                <w:r w:rsidR="006B6637">
                  <w:rPr>
                    <w:noProof/>
                    <w:webHidden/>
                  </w:rPr>
                  <w:instrText xml:space="preserve"> PAGEREF _Toc439918848 \h </w:instrText>
                </w:r>
                <w:r w:rsidR="006B6637">
                  <w:rPr>
                    <w:noProof/>
                    <w:webHidden/>
                  </w:rPr>
                </w:r>
                <w:r w:rsidR="006B6637">
                  <w:rPr>
                    <w:noProof/>
                    <w:webHidden/>
                  </w:rPr>
                  <w:fldChar w:fldCharType="separate"/>
                </w:r>
                <w:r w:rsidR="006B6637">
                  <w:rPr>
                    <w:noProof/>
                    <w:webHidden/>
                  </w:rPr>
                  <w:t>- 29 -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49" w:history="1">
                <w:r w:rsidR="006B6637" w:rsidRPr="003D4918">
                  <w:rPr>
                    <w:rStyle w:val="Hyperlink"/>
                    <w:noProof/>
                  </w:rPr>
                  <w:t>Cancer of Prostate</w:t>
                </w:r>
                <w:r w:rsidR="006B6637">
                  <w:rPr>
                    <w:noProof/>
                    <w:webHidden/>
                  </w:rPr>
                  <w:tab/>
                </w:r>
                <w:r w:rsidR="006B6637">
                  <w:rPr>
                    <w:noProof/>
                    <w:webHidden/>
                  </w:rPr>
                  <w:fldChar w:fldCharType="begin"/>
                </w:r>
                <w:r w:rsidR="006B6637">
                  <w:rPr>
                    <w:noProof/>
                    <w:webHidden/>
                  </w:rPr>
                  <w:instrText xml:space="preserve"> PAGEREF _Toc439918849 \h </w:instrText>
                </w:r>
                <w:r w:rsidR="006B6637">
                  <w:rPr>
                    <w:noProof/>
                    <w:webHidden/>
                  </w:rPr>
                </w:r>
                <w:r w:rsidR="006B6637">
                  <w:rPr>
                    <w:noProof/>
                    <w:webHidden/>
                  </w:rPr>
                  <w:fldChar w:fldCharType="separate"/>
                </w:r>
                <w:r w:rsidR="006B6637">
                  <w:rPr>
                    <w:noProof/>
                    <w:webHidden/>
                  </w:rPr>
                  <w:t>- 31 -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50" w:history="1">
                <w:r w:rsidR="006B6637" w:rsidRPr="003D4918">
                  <w:rPr>
                    <w:rStyle w:val="Hyperlink"/>
                    <w:noProof/>
                  </w:rPr>
                  <w:t>Cancer of Breast Among Females</w:t>
                </w:r>
                <w:r w:rsidR="006B6637">
                  <w:rPr>
                    <w:noProof/>
                    <w:webHidden/>
                  </w:rPr>
                  <w:tab/>
                </w:r>
                <w:r w:rsidR="006B6637">
                  <w:rPr>
                    <w:noProof/>
                    <w:webHidden/>
                  </w:rPr>
                  <w:fldChar w:fldCharType="begin"/>
                </w:r>
                <w:r w:rsidR="006B6637">
                  <w:rPr>
                    <w:noProof/>
                    <w:webHidden/>
                  </w:rPr>
                  <w:instrText xml:space="preserve"> PAGEREF _Toc439918850 \h </w:instrText>
                </w:r>
                <w:r w:rsidR="006B6637">
                  <w:rPr>
                    <w:noProof/>
                    <w:webHidden/>
                  </w:rPr>
                </w:r>
                <w:r w:rsidR="006B6637">
                  <w:rPr>
                    <w:noProof/>
                    <w:webHidden/>
                  </w:rPr>
                  <w:fldChar w:fldCharType="separate"/>
                </w:r>
                <w:r w:rsidR="006B6637">
                  <w:rPr>
                    <w:noProof/>
                    <w:webHidden/>
                  </w:rPr>
                  <w:t>- 33 -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51" w:history="1">
                <w:r w:rsidR="006B6637" w:rsidRPr="003D4918">
                  <w:rPr>
                    <w:rStyle w:val="Hyperlink"/>
                    <w:noProof/>
                  </w:rPr>
                  <w:t>Cancer of Colon and Rectum</w:t>
                </w:r>
                <w:r w:rsidR="006B6637">
                  <w:rPr>
                    <w:noProof/>
                    <w:webHidden/>
                  </w:rPr>
                  <w:tab/>
                </w:r>
                <w:r w:rsidR="006B6637">
                  <w:rPr>
                    <w:noProof/>
                    <w:webHidden/>
                  </w:rPr>
                  <w:fldChar w:fldCharType="begin"/>
                </w:r>
                <w:r w:rsidR="006B6637">
                  <w:rPr>
                    <w:noProof/>
                    <w:webHidden/>
                  </w:rPr>
                  <w:instrText xml:space="preserve"> PAGEREF _Toc439918851 \h </w:instrText>
                </w:r>
                <w:r w:rsidR="006B6637">
                  <w:rPr>
                    <w:noProof/>
                    <w:webHidden/>
                  </w:rPr>
                </w:r>
                <w:r w:rsidR="006B6637">
                  <w:rPr>
                    <w:noProof/>
                    <w:webHidden/>
                  </w:rPr>
                  <w:fldChar w:fldCharType="separate"/>
                </w:r>
                <w:r w:rsidR="006B6637">
                  <w:rPr>
                    <w:noProof/>
                    <w:webHidden/>
                  </w:rPr>
                  <w:t>- 35 -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52" w:history="1">
                <w:r w:rsidR="006B6637" w:rsidRPr="003D4918">
                  <w:rPr>
                    <w:rStyle w:val="Hyperlink"/>
                    <w:noProof/>
                  </w:rPr>
                  <w:t>Melanoma of the Skin</w:t>
                </w:r>
                <w:r w:rsidR="006B6637">
                  <w:rPr>
                    <w:noProof/>
                    <w:webHidden/>
                  </w:rPr>
                  <w:tab/>
                </w:r>
                <w:r w:rsidR="006B6637">
                  <w:rPr>
                    <w:noProof/>
                    <w:webHidden/>
                  </w:rPr>
                  <w:fldChar w:fldCharType="begin"/>
                </w:r>
                <w:r w:rsidR="006B6637">
                  <w:rPr>
                    <w:noProof/>
                    <w:webHidden/>
                  </w:rPr>
                  <w:instrText xml:space="preserve"> PAGEREF _Toc439918852 \h </w:instrText>
                </w:r>
                <w:r w:rsidR="006B6637">
                  <w:rPr>
                    <w:noProof/>
                    <w:webHidden/>
                  </w:rPr>
                </w:r>
                <w:r w:rsidR="006B6637">
                  <w:rPr>
                    <w:noProof/>
                    <w:webHidden/>
                  </w:rPr>
                  <w:fldChar w:fldCharType="separate"/>
                </w:r>
                <w:r w:rsidR="006B6637">
                  <w:rPr>
                    <w:noProof/>
                    <w:webHidden/>
                  </w:rPr>
                  <w:t>- 37 -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53" w:history="1">
                <w:r w:rsidR="006B6637" w:rsidRPr="003D4918">
                  <w:rPr>
                    <w:rStyle w:val="Hyperlink"/>
                    <w:noProof/>
                  </w:rPr>
                  <w:t>Cancer of Pancreas</w:t>
                </w:r>
                <w:r w:rsidR="006B6637">
                  <w:rPr>
                    <w:noProof/>
                    <w:webHidden/>
                  </w:rPr>
                  <w:tab/>
                </w:r>
                <w:r w:rsidR="006B6637">
                  <w:rPr>
                    <w:noProof/>
                    <w:webHidden/>
                  </w:rPr>
                  <w:fldChar w:fldCharType="begin"/>
                </w:r>
                <w:r w:rsidR="006B6637">
                  <w:rPr>
                    <w:noProof/>
                    <w:webHidden/>
                  </w:rPr>
                  <w:instrText xml:space="preserve"> PAGEREF _Toc439918853 \h </w:instrText>
                </w:r>
                <w:r w:rsidR="006B6637">
                  <w:rPr>
                    <w:noProof/>
                    <w:webHidden/>
                  </w:rPr>
                </w:r>
                <w:r w:rsidR="006B6637">
                  <w:rPr>
                    <w:noProof/>
                    <w:webHidden/>
                  </w:rPr>
                  <w:fldChar w:fldCharType="separate"/>
                </w:r>
                <w:r w:rsidR="006B6637">
                  <w:rPr>
                    <w:noProof/>
                    <w:webHidden/>
                  </w:rPr>
                  <w:t>- 39 -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54" w:history="1">
                <w:r w:rsidR="006B6637" w:rsidRPr="003D4918">
                  <w:rPr>
                    <w:rStyle w:val="Hyperlink"/>
                    <w:noProof/>
                  </w:rPr>
                  <w:t>Childhood Cancer in Tennessee, 2008-2012</w:t>
                </w:r>
                <w:r w:rsidR="006B6637">
                  <w:rPr>
                    <w:noProof/>
                    <w:webHidden/>
                  </w:rPr>
                  <w:tab/>
                </w:r>
                <w:r w:rsidR="006B6637">
                  <w:rPr>
                    <w:noProof/>
                    <w:webHidden/>
                  </w:rPr>
                  <w:fldChar w:fldCharType="begin"/>
                </w:r>
                <w:r w:rsidR="006B6637">
                  <w:rPr>
                    <w:noProof/>
                    <w:webHidden/>
                  </w:rPr>
                  <w:instrText xml:space="preserve"> PAGEREF _Toc439918854 \h </w:instrText>
                </w:r>
                <w:r w:rsidR="006B6637">
                  <w:rPr>
                    <w:noProof/>
                    <w:webHidden/>
                  </w:rPr>
                </w:r>
                <w:r w:rsidR="006B6637">
                  <w:rPr>
                    <w:noProof/>
                    <w:webHidden/>
                  </w:rPr>
                  <w:fldChar w:fldCharType="separate"/>
                </w:r>
                <w:r w:rsidR="006B6637">
                  <w:rPr>
                    <w:noProof/>
                    <w:webHidden/>
                  </w:rPr>
                  <w:t>- 41 -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55" w:history="1">
                <w:r w:rsidR="006B6637" w:rsidRPr="003D4918">
                  <w:rPr>
                    <w:rStyle w:val="Hyperlink"/>
                    <w:noProof/>
                  </w:rPr>
                  <w:t>Childhood Cancer by Gender and Race, and Time Trend</w:t>
                </w:r>
                <w:r w:rsidR="006B6637">
                  <w:rPr>
                    <w:noProof/>
                    <w:webHidden/>
                  </w:rPr>
                  <w:tab/>
                </w:r>
                <w:r w:rsidR="006B6637">
                  <w:rPr>
                    <w:noProof/>
                    <w:webHidden/>
                  </w:rPr>
                  <w:fldChar w:fldCharType="begin"/>
                </w:r>
                <w:r w:rsidR="006B6637">
                  <w:rPr>
                    <w:noProof/>
                    <w:webHidden/>
                  </w:rPr>
                  <w:instrText xml:space="preserve"> PAGEREF _Toc439918855 \h </w:instrText>
                </w:r>
                <w:r w:rsidR="006B6637">
                  <w:rPr>
                    <w:noProof/>
                    <w:webHidden/>
                  </w:rPr>
                </w:r>
                <w:r w:rsidR="006B6637">
                  <w:rPr>
                    <w:noProof/>
                    <w:webHidden/>
                  </w:rPr>
                  <w:fldChar w:fldCharType="separate"/>
                </w:r>
                <w:r w:rsidR="006B6637">
                  <w:rPr>
                    <w:noProof/>
                    <w:webHidden/>
                  </w:rPr>
                  <w:t>- 41 -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56" w:history="1">
                <w:r w:rsidR="006B6637" w:rsidRPr="003D4918">
                  <w:rPr>
                    <w:rStyle w:val="Hyperlink"/>
                    <w:noProof/>
                  </w:rPr>
                  <w:t>Childhood Cancer by Stage</w:t>
                </w:r>
                <w:r w:rsidR="006B6637">
                  <w:rPr>
                    <w:noProof/>
                    <w:webHidden/>
                  </w:rPr>
                  <w:tab/>
                </w:r>
                <w:r w:rsidR="006B6637">
                  <w:rPr>
                    <w:noProof/>
                    <w:webHidden/>
                  </w:rPr>
                  <w:fldChar w:fldCharType="begin"/>
                </w:r>
                <w:r w:rsidR="006B6637">
                  <w:rPr>
                    <w:noProof/>
                    <w:webHidden/>
                  </w:rPr>
                  <w:instrText xml:space="preserve"> PAGEREF _Toc439918856 \h </w:instrText>
                </w:r>
                <w:r w:rsidR="006B6637">
                  <w:rPr>
                    <w:noProof/>
                    <w:webHidden/>
                  </w:rPr>
                </w:r>
                <w:r w:rsidR="006B6637">
                  <w:rPr>
                    <w:noProof/>
                    <w:webHidden/>
                  </w:rPr>
                  <w:fldChar w:fldCharType="separate"/>
                </w:r>
                <w:r w:rsidR="006B6637">
                  <w:rPr>
                    <w:noProof/>
                    <w:webHidden/>
                  </w:rPr>
                  <w:t>- 42 -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57" w:history="1">
                <w:r w:rsidR="006B6637" w:rsidRPr="003D4918">
                  <w:rPr>
                    <w:rStyle w:val="Hyperlink"/>
                    <w:noProof/>
                  </w:rPr>
                  <w:t>Leading Causes of Childhood Cancer Incidence</w:t>
                </w:r>
                <w:r w:rsidR="006B6637">
                  <w:rPr>
                    <w:noProof/>
                    <w:webHidden/>
                  </w:rPr>
                  <w:tab/>
                </w:r>
                <w:r w:rsidR="006B6637">
                  <w:rPr>
                    <w:noProof/>
                    <w:webHidden/>
                  </w:rPr>
                  <w:fldChar w:fldCharType="begin"/>
                </w:r>
                <w:r w:rsidR="006B6637">
                  <w:rPr>
                    <w:noProof/>
                    <w:webHidden/>
                  </w:rPr>
                  <w:instrText xml:space="preserve"> PAGEREF _Toc439918857 \h </w:instrText>
                </w:r>
                <w:r w:rsidR="006B6637">
                  <w:rPr>
                    <w:noProof/>
                    <w:webHidden/>
                  </w:rPr>
                </w:r>
                <w:r w:rsidR="006B6637">
                  <w:rPr>
                    <w:noProof/>
                    <w:webHidden/>
                  </w:rPr>
                  <w:fldChar w:fldCharType="separate"/>
                </w:r>
                <w:r w:rsidR="006B6637">
                  <w:rPr>
                    <w:noProof/>
                    <w:webHidden/>
                  </w:rPr>
                  <w:t>- 43 -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58" w:history="1">
                <w:r w:rsidR="006B6637" w:rsidRPr="003D4918">
                  <w:rPr>
                    <w:rStyle w:val="Hyperlink"/>
                    <w:noProof/>
                  </w:rPr>
                  <w:t>Cancer Risk Factor Prevalence in Tennessee, 2012</w:t>
                </w:r>
                <w:r w:rsidR="006B6637">
                  <w:rPr>
                    <w:noProof/>
                    <w:webHidden/>
                  </w:rPr>
                  <w:tab/>
                </w:r>
                <w:r w:rsidR="006B6637">
                  <w:rPr>
                    <w:noProof/>
                    <w:webHidden/>
                  </w:rPr>
                  <w:fldChar w:fldCharType="begin"/>
                </w:r>
                <w:r w:rsidR="006B6637">
                  <w:rPr>
                    <w:noProof/>
                    <w:webHidden/>
                  </w:rPr>
                  <w:instrText xml:space="preserve"> PAGEREF _Toc439918858 \h </w:instrText>
                </w:r>
                <w:r w:rsidR="006B6637">
                  <w:rPr>
                    <w:noProof/>
                    <w:webHidden/>
                  </w:rPr>
                </w:r>
                <w:r w:rsidR="006B6637">
                  <w:rPr>
                    <w:noProof/>
                    <w:webHidden/>
                  </w:rPr>
                  <w:fldChar w:fldCharType="separate"/>
                </w:r>
                <w:r w:rsidR="006B6637">
                  <w:rPr>
                    <w:noProof/>
                    <w:webHidden/>
                  </w:rPr>
                  <w:t>- 44 -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59" w:history="1">
                <w:r w:rsidR="006B6637" w:rsidRPr="003D4918">
                  <w:rPr>
                    <w:rStyle w:val="Hyperlink"/>
                    <w:noProof/>
                  </w:rPr>
                  <w:t>Cancer Screening Prevalence, Tennessee</w:t>
                </w:r>
                <w:r w:rsidR="006B6637">
                  <w:rPr>
                    <w:noProof/>
                    <w:webHidden/>
                  </w:rPr>
                  <w:tab/>
                </w:r>
                <w:r w:rsidR="006B6637">
                  <w:rPr>
                    <w:noProof/>
                    <w:webHidden/>
                  </w:rPr>
                  <w:fldChar w:fldCharType="begin"/>
                </w:r>
                <w:r w:rsidR="006B6637">
                  <w:rPr>
                    <w:noProof/>
                    <w:webHidden/>
                  </w:rPr>
                  <w:instrText xml:space="preserve"> PAGEREF _Toc439918859 \h </w:instrText>
                </w:r>
                <w:r w:rsidR="006B6637">
                  <w:rPr>
                    <w:noProof/>
                    <w:webHidden/>
                  </w:rPr>
                </w:r>
                <w:r w:rsidR="006B6637">
                  <w:rPr>
                    <w:noProof/>
                    <w:webHidden/>
                  </w:rPr>
                  <w:fldChar w:fldCharType="separate"/>
                </w:r>
                <w:r w:rsidR="006B6637">
                  <w:rPr>
                    <w:noProof/>
                    <w:webHidden/>
                  </w:rPr>
                  <w:t>- 44 -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60" w:history="1">
                <w:r w:rsidR="006B6637" w:rsidRPr="003D4918">
                  <w:rPr>
                    <w:rStyle w:val="Hyperlink"/>
                    <w:noProof/>
                  </w:rPr>
                  <w:t>Cigarette Smoking Prevalence Among Adults Over 18 Years of age, Tennessee, 1995-2012</w:t>
                </w:r>
                <w:r w:rsidR="006B6637">
                  <w:rPr>
                    <w:noProof/>
                    <w:webHidden/>
                  </w:rPr>
                  <w:tab/>
                </w:r>
                <w:r w:rsidR="006B6637">
                  <w:rPr>
                    <w:noProof/>
                    <w:webHidden/>
                  </w:rPr>
                  <w:fldChar w:fldCharType="begin"/>
                </w:r>
                <w:r w:rsidR="006B6637">
                  <w:rPr>
                    <w:noProof/>
                    <w:webHidden/>
                  </w:rPr>
                  <w:instrText xml:space="preserve"> PAGEREF _Toc439918860 \h </w:instrText>
                </w:r>
                <w:r w:rsidR="006B6637">
                  <w:rPr>
                    <w:noProof/>
                    <w:webHidden/>
                  </w:rPr>
                </w:r>
                <w:r w:rsidR="006B6637">
                  <w:rPr>
                    <w:noProof/>
                    <w:webHidden/>
                  </w:rPr>
                  <w:fldChar w:fldCharType="separate"/>
                </w:r>
                <w:r w:rsidR="006B6637">
                  <w:rPr>
                    <w:noProof/>
                    <w:webHidden/>
                  </w:rPr>
                  <w:t>- 45 -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61" w:history="1">
                <w:r w:rsidR="006B6637" w:rsidRPr="003D4918">
                  <w:rPr>
                    <w:rStyle w:val="Hyperlink"/>
                    <w:noProof/>
                  </w:rPr>
                  <w:t>Appendices</w:t>
                </w:r>
                <w:r w:rsidR="006B6637">
                  <w:rPr>
                    <w:noProof/>
                    <w:webHidden/>
                  </w:rPr>
                  <w:tab/>
                </w:r>
                <w:r w:rsidR="006B6637">
                  <w:rPr>
                    <w:noProof/>
                    <w:webHidden/>
                  </w:rPr>
                  <w:fldChar w:fldCharType="begin"/>
                </w:r>
                <w:r w:rsidR="006B6637">
                  <w:rPr>
                    <w:noProof/>
                    <w:webHidden/>
                  </w:rPr>
                  <w:instrText xml:space="preserve"> PAGEREF _Toc439918861 \h </w:instrText>
                </w:r>
                <w:r w:rsidR="006B6637">
                  <w:rPr>
                    <w:noProof/>
                    <w:webHidden/>
                  </w:rPr>
                </w:r>
                <w:r w:rsidR="006B6637">
                  <w:rPr>
                    <w:noProof/>
                    <w:webHidden/>
                  </w:rPr>
                  <w:fldChar w:fldCharType="separate"/>
                </w:r>
                <w:r w:rsidR="006B6637">
                  <w:rPr>
                    <w:noProof/>
                    <w:webHidden/>
                  </w:rPr>
                  <w:t>- 47 -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62" w:history="1">
                <w:r w:rsidR="006B6637" w:rsidRPr="003D4918">
                  <w:rPr>
                    <w:rStyle w:val="Hyperlink"/>
                    <w:noProof/>
                  </w:rPr>
                  <w:t>Appendix I. Incidence and Mortality of Common Cancers</w:t>
                </w:r>
                <w:r w:rsidR="006B6637">
                  <w:rPr>
                    <w:noProof/>
                    <w:webHidden/>
                  </w:rPr>
                  <w:tab/>
                </w:r>
                <w:r w:rsidR="006B6637">
                  <w:rPr>
                    <w:noProof/>
                    <w:webHidden/>
                  </w:rPr>
                  <w:fldChar w:fldCharType="begin"/>
                </w:r>
                <w:r w:rsidR="006B6637">
                  <w:rPr>
                    <w:noProof/>
                    <w:webHidden/>
                  </w:rPr>
                  <w:instrText xml:space="preserve"> PAGEREF _Toc439918862 \h </w:instrText>
                </w:r>
                <w:r w:rsidR="006B6637">
                  <w:rPr>
                    <w:noProof/>
                    <w:webHidden/>
                  </w:rPr>
                </w:r>
                <w:r w:rsidR="006B6637">
                  <w:rPr>
                    <w:noProof/>
                    <w:webHidden/>
                  </w:rPr>
                  <w:fldChar w:fldCharType="separate"/>
                </w:r>
                <w:r w:rsidR="006B6637">
                  <w:rPr>
                    <w:noProof/>
                    <w:webHidden/>
                  </w:rPr>
                  <w:t>- 47 -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63" w:history="1">
                <w:r w:rsidR="006B6637" w:rsidRPr="003D4918">
                  <w:rPr>
                    <w:rStyle w:val="Hyperlink"/>
                    <w:noProof/>
                  </w:rPr>
                  <w:t>Appendix II. Cancer Incidence and Mortality, By Site, Tennessee, 2008-2012</w:t>
                </w:r>
                <w:r w:rsidR="006B6637">
                  <w:rPr>
                    <w:noProof/>
                    <w:webHidden/>
                  </w:rPr>
                  <w:tab/>
                </w:r>
                <w:r w:rsidR="006B6637">
                  <w:rPr>
                    <w:noProof/>
                    <w:webHidden/>
                  </w:rPr>
                  <w:fldChar w:fldCharType="begin"/>
                </w:r>
                <w:r w:rsidR="006B6637">
                  <w:rPr>
                    <w:noProof/>
                    <w:webHidden/>
                  </w:rPr>
                  <w:instrText xml:space="preserve"> PAGEREF _Toc439918863 \h </w:instrText>
                </w:r>
                <w:r w:rsidR="006B6637">
                  <w:rPr>
                    <w:noProof/>
                    <w:webHidden/>
                  </w:rPr>
                </w:r>
                <w:r w:rsidR="006B6637">
                  <w:rPr>
                    <w:noProof/>
                    <w:webHidden/>
                  </w:rPr>
                  <w:fldChar w:fldCharType="separate"/>
                </w:r>
                <w:r w:rsidR="006B6637">
                  <w:rPr>
                    <w:noProof/>
                    <w:webHidden/>
                  </w:rPr>
                  <w:t>- 53 -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64" w:history="1">
                <w:r w:rsidR="006B6637" w:rsidRPr="003D4918">
                  <w:rPr>
                    <w:rStyle w:val="Hyperlink"/>
                    <w:noProof/>
                  </w:rPr>
                  <w:t>Appendix III. Cancer Incidence and Mortality, All Sites Combined, by Gender, Race and Resident Region, Tennessee 2008-2012</w:t>
                </w:r>
                <w:r w:rsidR="006B6637">
                  <w:rPr>
                    <w:noProof/>
                    <w:webHidden/>
                  </w:rPr>
                  <w:tab/>
                </w:r>
                <w:r w:rsidR="006B6637">
                  <w:rPr>
                    <w:noProof/>
                    <w:webHidden/>
                  </w:rPr>
                  <w:fldChar w:fldCharType="begin"/>
                </w:r>
                <w:r w:rsidR="006B6637">
                  <w:rPr>
                    <w:noProof/>
                    <w:webHidden/>
                  </w:rPr>
                  <w:instrText xml:space="preserve"> PAGEREF _Toc439918864 \h </w:instrText>
                </w:r>
                <w:r w:rsidR="006B6637">
                  <w:rPr>
                    <w:noProof/>
                    <w:webHidden/>
                  </w:rPr>
                </w:r>
                <w:r w:rsidR="006B6637">
                  <w:rPr>
                    <w:noProof/>
                    <w:webHidden/>
                  </w:rPr>
                  <w:fldChar w:fldCharType="separate"/>
                </w:r>
                <w:r w:rsidR="006B6637">
                  <w:rPr>
                    <w:noProof/>
                    <w:webHidden/>
                  </w:rPr>
                  <w:t>- 56 -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65" w:history="1">
                <w:r w:rsidR="006B6637" w:rsidRPr="003D4918">
                  <w:rPr>
                    <w:rStyle w:val="Hyperlink"/>
                    <w:noProof/>
                  </w:rPr>
                  <w:t>Appendix IV. Cancer Incidence and Mortality, All Sites Combined, by Resident County, Tennessee, 2008-2012</w:t>
                </w:r>
                <w:r w:rsidR="006B6637">
                  <w:rPr>
                    <w:noProof/>
                    <w:webHidden/>
                  </w:rPr>
                  <w:tab/>
                </w:r>
                <w:r w:rsidR="006B6637">
                  <w:rPr>
                    <w:noProof/>
                    <w:webHidden/>
                  </w:rPr>
                  <w:fldChar w:fldCharType="begin"/>
                </w:r>
                <w:r w:rsidR="006B6637">
                  <w:rPr>
                    <w:noProof/>
                    <w:webHidden/>
                  </w:rPr>
                  <w:instrText xml:space="preserve"> PAGEREF _Toc439918865 \h </w:instrText>
                </w:r>
                <w:r w:rsidR="006B6637">
                  <w:rPr>
                    <w:noProof/>
                    <w:webHidden/>
                  </w:rPr>
                </w:r>
                <w:r w:rsidR="006B6637">
                  <w:rPr>
                    <w:noProof/>
                    <w:webHidden/>
                  </w:rPr>
                  <w:fldChar w:fldCharType="separate"/>
                </w:r>
                <w:r w:rsidR="006B6637">
                  <w:rPr>
                    <w:noProof/>
                    <w:webHidden/>
                  </w:rPr>
                  <w:t>- 57 -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66" w:history="1">
                <w:r w:rsidR="006B6637" w:rsidRPr="003D4918">
                  <w:rPr>
                    <w:rStyle w:val="Hyperlink"/>
                    <w:noProof/>
                  </w:rPr>
                  <w:t>Appendix V. Lung and Bronchus Cancer Incidence and Mortality by Resident County, Tennessee, 2008-2012</w:t>
                </w:r>
                <w:r w:rsidR="006B6637">
                  <w:rPr>
                    <w:noProof/>
                    <w:webHidden/>
                  </w:rPr>
                  <w:tab/>
                </w:r>
                <w:r w:rsidR="006B6637">
                  <w:rPr>
                    <w:noProof/>
                    <w:webHidden/>
                  </w:rPr>
                  <w:fldChar w:fldCharType="begin"/>
                </w:r>
                <w:r w:rsidR="006B6637">
                  <w:rPr>
                    <w:noProof/>
                    <w:webHidden/>
                  </w:rPr>
                  <w:instrText xml:space="preserve"> PAGEREF _Toc439918866 \h </w:instrText>
                </w:r>
                <w:r w:rsidR="006B6637">
                  <w:rPr>
                    <w:noProof/>
                    <w:webHidden/>
                  </w:rPr>
                </w:r>
                <w:r w:rsidR="006B6637">
                  <w:rPr>
                    <w:noProof/>
                    <w:webHidden/>
                  </w:rPr>
                  <w:fldChar w:fldCharType="separate"/>
                </w:r>
                <w:r w:rsidR="006B6637">
                  <w:rPr>
                    <w:noProof/>
                    <w:webHidden/>
                  </w:rPr>
                  <w:t>- 60 -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67" w:history="1">
                <w:r w:rsidR="006B6637" w:rsidRPr="003D4918">
                  <w:rPr>
                    <w:rStyle w:val="Hyperlink"/>
                    <w:noProof/>
                  </w:rPr>
                  <w:t>Appendix VI. Prostate Cancer Incidence and Mortality by Resident County, Tennessee, 2008-2012</w:t>
                </w:r>
                <w:r w:rsidR="006B6637">
                  <w:rPr>
                    <w:noProof/>
                    <w:webHidden/>
                  </w:rPr>
                  <w:tab/>
                </w:r>
                <w:r w:rsidR="006B6637">
                  <w:rPr>
                    <w:noProof/>
                    <w:webHidden/>
                  </w:rPr>
                  <w:fldChar w:fldCharType="begin"/>
                </w:r>
                <w:r w:rsidR="006B6637">
                  <w:rPr>
                    <w:noProof/>
                    <w:webHidden/>
                  </w:rPr>
                  <w:instrText xml:space="preserve"> PAGEREF _Toc439918867 \h </w:instrText>
                </w:r>
                <w:r w:rsidR="006B6637">
                  <w:rPr>
                    <w:noProof/>
                    <w:webHidden/>
                  </w:rPr>
                </w:r>
                <w:r w:rsidR="006B6637">
                  <w:rPr>
                    <w:noProof/>
                    <w:webHidden/>
                  </w:rPr>
                  <w:fldChar w:fldCharType="separate"/>
                </w:r>
                <w:r w:rsidR="006B6637">
                  <w:rPr>
                    <w:noProof/>
                    <w:webHidden/>
                  </w:rPr>
                  <w:t>- 63 -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68" w:history="1">
                <w:r w:rsidR="006B6637" w:rsidRPr="003D4918">
                  <w:rPr>
                    <w:rStyle w:val="Hyperlink"/>
                    <w:noProof/>
                  </w:rPr>
                  <w:t>Appendix VII. Female Breast Cancer Incidence and Mortality by Resident County, Tennessee, 2008-2012</w:t>
                </w:r>
                <w:r w:rsidR="006B6637">
                  <w:rPr>
                    <w:noProof/>
                    <w:webHidden/>
                  </w:rPr>
                  <w:tab/>
                </w:r>
                <w:r w:rsidR="006B6637">
                  <w:rPr>
                    <w:noProof/>
                    <w:webHidden/>
                  </w:rPr>
                  <w:fldChar w:fldCharType="begin"/>
                </w:r>
                <w:r w:rsidR="006B6637">
                  <w:rPr>
                    <w:noProof/>
                    <w:webHidden/>
                  </w:rPr>
                  <w:instrText xml:space="preserve"> PAGEREF _Toc439918868 \h </w:instrText>
                </w:r>
                <w:r w:rsidR="006B6637">
                  <w:rPr>
                    <w:noProof/>
                    <w:webHidden/>
                  </w:rPr>
                </w:r>
                <w:r w:rsidR="006B6637">
                  <w:rPr>
                    <w:noProof/>
                    <w:webHidden/>
                  </w:rPr>
                  <w:fldChar w:fldCharType="separate"/>
                </w:r>
                <w:r w:rsidR="006B6637">
                  <w:rPr>
                    <w:noProof/>
                    <w:webHidden/>
                  </w:rPr>
                  <w:t>- 66 -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69" w:history="1">
                <w:r w:rsidR="006B6637" w:rsidRPr="003D4918">
                  <w:rPr>
                    <w:rStyle w:val="Hyperlink"/>
                    <w:noProof/>
                  </w:rPr>
                  <w:t>Appendix VIII. Colorectal Cancer Incidence and Mortality by Resident County, Tennessee, 2008-2012</w:t>
                </w:r>
                <w:r w:rsidR="006B6637">
                  <w:rPr>
                    <w:noProof/>
                    <w:webHidden/>
                  </w:rPr>
                  <w:tab/>
                </w:r>
                <w:r w:rsidR="006B6637">
                  <w:rPr>
                    <w:noProof/>
                    <w:webHidden/>
                  </w:rPr>
                  <w:fldChar w:fldCharType="begin"/>
                </w:r>
                <w:r w:rsidR="006B6637">
                  <w:rPr>
                    <w:noProof/>
                    <w:webHidden/>
                  </w:rPr>
                  <w:instrText xml:space="preserve"> PAGEREF _Toc439918869 \h </w:instrText>
                </w:r>
                <w:r w:rsidR="006B6637">
                  <w:rPr>
                    <w:noProof/>
                    <w:webHidden/>
                  </w:rPr>
                </w:r>
                <w:r w:rsidR="006B6637">
                  <w:rPr>
                    <w:noProof/>
                    <w:webHidden/>
                  </w:rPr>
                  <w:fldChar w:fldCharType="separate"/>
                </w:r>
                <w:r w:rsidR="006B6637">
                  <w:rPr>
                    <w:noProof/>
                    <w:webHidden/>
                  </w:rPr>
                  <w:t>- 69 -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70" w:history="1">
                <w:r w:rsidR="006B6637" w:rsidRPr="003D4918">
                  <w:rPr>
                    <w:rStyle w:val="Hyperlink"/>
                    <w:noProof/>
                  </w:rPr>
                  <w:t>Appendix IX. Melanoma of the Skin Incidence and Mortality by Resident County, Tennessee, 2008-2012</w:t>
                </w:r>
                <w:r w:rsidR="006B6637">
                  <w:rPr>
                    <w:noProof/>
                    <w:webHidden/>
                  </w:rPr>
                  <w:tab/>
                </w:r>
                <w:r w:rsidR="006B6637">
                  <w:rPr>
                    <w:noProof/>
                    <w:webHidden/>
                  </w:rPr>
                  <w:fldChar w:fldCharType="begin"/>
                </w:r>
                <w:r w:rsidR="006B6637">
                  <w:rPr>
                    <w:noProof/>
                    <w:webHidden/>
                  </w:rPr>
                  <w:instrText xml:space="preserve"> PAGEREF _Toc439918870 \h </w:instrText>
                </w:r>
                <w:r w:rsidR="006B6637">
                  <w:rPr>
                    <w:noProof/>
                    <w:webHidden/>
                  </w:rPr>
                </w:r>
                <w:r w:rsidR="006B6637">
                  <w:rPr>
                    <w:noProof/>
                    <w:webHidden/>
                  </w:rPr>
                  <w:fldChar w:fldCharType="separate"/>
                </w:r>
                <w:r w:rsidR="006B6637">
                  <w:rPr>
                    <w:noProof/>
                    <w:webHidden/>
                  </w:rPr>
                  <w:t>- 72 -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71" w:history="1">
                <w:r w:rsidR="006B6637" w:rsidRPr="003D4918">
                  <w:rPr>
                    <w:rStyle w:val="Hyperlink"/>
                    <w:noProof/>
                  </w:rPr>
                  <w:t>Appendix X. Pancreatic Cancer Incidence and Mortality by Resident County, Tennessee, 2008-2012</w:t>
                </w:r>
                <w:r w:rsidR="006B6637">
                  <w:rPr>
                    <w:noProof/>
                    <w:webHidden/>
                  </w:rPr>
                  <w:tab/>
                </w:r>
                <w:r w:rsidR="006B6637">
                  <w:rPr>
                    <w:noProof/>
                    <w:webHidden/>
                  </w:rPr>
                  <w:fldChar w:fldCharType="begin"/>
                </w:r>
                <w:r w:rsidR="006B6637">
                  <w:rPr>
                    <w:noProof/>
                    <w:webHidden/>
                  </w:rPr>
                  <w:instrText xml:space="preserve"> PAGEREF _Toc439918871 \h </w:instrText>
                </w:r>
                <w:r w:rsidR="006B6637">
                  <w:rPr>
                    <w:noProof/>
                    <w:webHidden/>
                  </w:rPr>
                </w:r>
                <w:r w:rsidR="006B6637">
                  <w:rPr>
                    <w:noProof/>
                    <w:webHidden/>
                  </w:rPr>
                  <w:fldChar w:fldCharType="separate"/>
                </w:r>
                <w:r w:rsidR="006B6637">
                  <w:rPr>
                    <w:noProof/>
                    <w:webHidden/>
                  </w:rPr>
                  <w:t>- 75 -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72" w:history="1">
                <w:r w:rsidR="006B6637" w:rsidRPr="003D4918">
                  <w:rPr>
                    <w:rStyle w:val="Hyperlink"/>
                    <w:noProof/>
                  </w:rPr>
                  <w:t>Appendix XI. Cancer Incidence and Mortality, Children 0-19 Years, by Resident County, Tennessee, 2008-2012</w:t>
                </w:r>
                <w:r w:rsidR="006B6637">
                  <w:rPr>
                    <w:noProof/>
                    <w:webHidden/>
                  </w:rPr>
                  <w:tab/>
                </w:r>
                <w:r w:rsidR="006B6637">
                  <w:rPr>
                    <w:noProof/>
                    <w:webHidden/>
                  </w:rPr>
                  <w:fldChar w:fldCharType="begin"/>
                </w:r>
                <w:r w:rsidR="006B6637">
                  <w:rPr>
                    <w:noProof/>
                    <w:webHidden/>
                  </w:rPr>
                  <w:instrText xml:space="preserve"> PAGEREF _Toc439918872 \h </w:instrText>
                </w:r>
                <w:r w:rsidR="006B6637">
                  <w:rPr>
                    <w:noProof/>
                    <w:webHidden/>
                  </w:rPr>
                </w:r>
                <w:r w:rsidR="006B6637">
                  <w:rPr>
                    <w:noProof/>
                    <w:webHidden/>
                  </w:rPr>
                  <w:fldChar w:fldCharType="separate"/>
                </w:r>
                <w:r w:rsidR="006B6637">
                  <w:rPr>
                    <w:noProof/>
                    <w:webHidden/>
                  </w:rPr>
                  <w:t>- 78 -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73" w:history="1">
                <w:r w:rsidR="006B6637" w:rsidRPr="003D4918">
                  <w:rPr>
                    <w:rStyle w:val="Hyperlink"/>
                    <w:noProof/>
                  </w:rPr>
                  <w:t>Appendix XII. Incidence and Mortality of Common Cancers, Three-Year Moving Average, Tennessee, 2008-2012</w:t>
                </w:r>
                <w:r w:rsidR="006B6637">
                  <w:rPr>
                    <w:noProof/>
                    <w:webHidden/>
                  </w:rPr>
                  <w:tab/>
                </w:r>
                <w:r w:rsidR="006B6637">
                  <w:rPr>
                    <w:noProof/>
                    <w:webHidden/>
                  </w:rPr>
                  <w:fldChar w:fldCharType="begin"/>
                </w:r>
                <w:r w:rsidR="006B6637">
                  <w:rPr>
                    <w:noProof/>
                    <w:webHidden/>
                  </w:rPr>
                  <w:instrText xml:space="preserve"> PAGEREF _Toc439918873 \h </w:instrText>
                </w:r>
                <w:r w:rsidR="006B6637">
                  <w:rPr>
                    <w:noProof/>
                    <w:webHidden/>
                  </w:rPr>
                </w:r>
                <w:r w:rsidR="006B6637">
                  <w:rPr>
                    <w:noProof/>
                    <w:webHidden/>
                  </w:rPr>
                  <w:fldChar w:fldCharType="separate"/>
                </w:r>
                <w:r w:rsidR="006B6637">
                  <w:rPr>
                    <w:noProof/>
                    <w:webHidden/>
                  </w:rPr>
                  <w:t>- 81 -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74" w:history="1">
                <w:r w:rsidR="006B6637" w:rsidRPr="003D4918">
                  <w:rPr>
                    <w:rStyle w:val="Hyperlink"/>
                    <w:noProof/>
                  </w:rPr>
                  <w:t>Appendix XIII. County Maps of Incidence and Mortality Rates of All Cancers and Common Cancers</w:t>
                </w:r>
                <w:r w:rsidR="006B6637">
                  <w:rPr>
                    <w:noProof/>
                    <w:webHidden/>
                  </w:rPr>
                  <w:tab/>
                </w:r>
                <w:r w:rsidR="006B6637">
                  <w:rPr>
                    <w:noProof/>
                    <w:webHidden/>
                  </w:rPr>
                  <w:fldChar w:fldCharType="begin"/>
                </w:r>
                <w:r w:rsidR="006B6637">
                  <w:rPr>
                    <w:noProof/>
                    <w:webHidden/>
                  </w:rPr>
                  <w:instrText xml:space="preserve"> PAGEREF _Toc439918874 \h </w:instrText>
                </w:r>
                <w:r w:rsidR="006B6637">
                  <w:rPr>
                    <w:noProof/>
                    <w:webHidden/>
                  </w:rPr>
                </w:r>
                <w:r w:rsidR="006B6637">
                  <w:rPr>
                    <w:noProof/>
                    <w:webHidden/>
                  </w:rPr>
                  <w:fldChar w:fldCharType="separate"/>
                </w:r>
                <w:r w:rsidR="006B6637">
                  <w:rPr>
                    <w:noProof/>
                    <w:webHidden/>
                  </w:rPr>
                  <w:t>- 82 -</w:t>
                </w:r>
                <w:r w:rsidR="006B6637">
                  <w:rPr>
                    <w:noProof/>
                    <w:webHidden/>
                  </w:rPr>
                  <w:fldChar w:fldCharType="end"/>
                </w:r>
              </w:hyperlink>
            </w:p>
            <w:p w:rsidR="006B6637" w:rsidRDefault="00964E4C">
              <w:pPr>
                <w:pStyle w:val="TOC3"/>
                <w:tabs>
                  <w:tab w:val="right" w:leader="dot" w:pos="13670"/>
                </w:tabs>
                <w:rPr>
                  <w:rFonts w:cstheme="minorBidi"/>
                  <w:i w:val="0"/>
                  <w:iCs w:val="0"/>
                  <w:noProof/>
                  <w:sz w:val="22"/>
                  <w:szCs w:val="22"/>
                  <w:lang w:bidi="ar-SA"/>
                </w:rPr>
              </w:pPr>
              <w:hyperlink w:anchor="_Toc439918875" w:history="1">
                <w:r w:rsidR="006B6637" w:rsidRPr="003D4918">
                  <w:rPr>
                    <w:rStyle w:val="Hyperlink"/>
                    <w:noProof/>
                  </w:rPr>
                  <w:t>1. Tennessee Counties and Regional Groupings</w:t>
                </w:r>
                <w:r w:rsidR="006B6637">
                  <w:rPr>
                    <w:noProof/>
                    <w:webHidden/>
                  </w:rPr>
                  <w:tab/>
                </w:r>
                <w:r w:rsidR="006B6637">
                  <w:rPr>
                    <w:noProof/>
                    <w:webHidden/>
                  </w:rPr>
                  <w:fldChar w:fldCharType="begin"/>
                </w:r>
                <w:r w:rsidR="006B6637">
                  <w:rPr>
                    <w:noProof/>
                    <w:webHidden/>
                  </w:rPr>
                  <w:instrText xml:space="preserve"> PAGEREF _Toc439918875 \h </w:instrText>
                </w:r>
                <w:r w:rsidR="006B6637">
                  <w:rPr>
                    <w:noProof/>
                    <w:webHidden/>
                  </w:rPr>
                </w:r>
                <w:r w:rsidR="006B6637">
                  <w:rPr>
                    <w:noProof/>
                    <w:webHidden/>
                  </w:rPr>
                  <w:fldChar w:fldCharType="separate"/>
                </w:r>
                <w:r w:rsidR="006B6637">
                  <w:rPr>
                    <w:noProof/>
                    <w:webHidden/>
                  </w:rPr>
                  <w:t>- 82 -</w:t>
                </w:r>
                <w:r w:rsidR="006B6637">
                  <w:rPr>
                    <w:noProof/>
                    <w:webHidden/>
                  </w:rPr>
                  <w:fldChar w:fldCharType="end"/>
                </w:r>
              </w:hyperlink>
            </w:p>
            <w:p w:rsidR="006B6637" w:rsidRDefault="00964E4C">
              <w:pPr>
                <w:pStyle w:val="TOC3"/>
                <w:tabs>
                  <w:tab w:val="right" w:leader="dot" w:pos="13670"/>
                </w:tabs>
                <w:rPr>
                  <w:rFonts w:cstheme="minorBidi"/>
                  <w:i w:val="0"/>
                  <w:iCs w:val="0"/>
                  <w:noProof/>
                  <w:sz w:val="22"/>
                  <w:szCs w:val="22"/>
                  <w:lang w:bidi="ar-SA"/>
                </w:rPr>
              </w:pPr>
              <w:hyperlink w:anchor="_Toc439918876" w:history="1">
                <w:r w:rsidR="006B6637" w:rsidRPr="003D4918">
                  <w:rPr>
                    <w:rStyle w:val="Hyperlink"/>
                    <w:noProof/>
                  </w:rPr>
                  <w:t>2. Age-adjusted Cancer Incidence and Mortality Rates by Resident County, All Sites Combined, Tennessee, 2008-2012</w:t>
                </w:r>
                <w:r w:rsidR="006B6637">
                  <w:rPr>
                    <w:noProof/>
                    <w:webHidden/>
                  </w:rPr>
                  <w:tab/>
                </w:r>
                <w:r w:rsidR="006B6637">
                  <w:rPr>
                    <w:noProof/>
                    <w:webHidden/>
                  </w:rPr>
                  <w:fldChar w:fldCharType="begin"/>
                </w:r>
                <w:r w:rsidR="006B6637">
                  <w:rPr>
                    <w:noProof/>
                    <w:webHidden/>
                  </w:rPr>
                  <w:instrText xml:space="preserve"> PAGEREF _Toc439918876 \h </w:instrText>
                </w:r>
                <w:r w:rsidR="006B6637">
                  <w:rPr>
                    <w:noProof/>
                    <w:webHidden/>
                  </w:rPr>
                </w:r>
                <w:r w:rsidR="006B6637">
                  <w:rPr>
                    <w:noProof/>
                    <w:webHidden/>
                  </w:rPr>
                  <w:fldChar w:fldCharType="separate"/>
                </w:r>
                <w:r w:rsidR="006B6637">
                  <w:rPr>
                    <w:noProof/>
                    <w:webHidden/>
                  </w:rPr>
                  <w:t>- 83 -</w:t>
                </w:r>
                <w:r w:rsidR="006B6637">
                  <w:rPr>
                    <w:noProof/>
                    <w:webHidden/>
                  </w:rPr>
                  <w:fldChar w:fldCharType="end"/>
                </w:r>
              </w:hyperlink>
            </w:p>
            <w:p w:rsidR="006B6637" w:rsidRDefault="00964E4C">
              <w:pPr>
                <w:pStyle w:val="TOC3"/>
                <w:tabs>
                  <w:tab w:val="right" w:leader="dot" w:pos="13670"/>
                </w:tabs>
                <w:rPr>
                  <w:rFonts w:cstheme="minorBidi"/>
                  <w:i w:val="0"/>
                  <w:iCs w:val="0"/>
                  <w:noProof/>
                  <w:sz w:val="22"/>
                  <w:szCs w:val="22"/>
                  <w:lang w:bidi="ar-SA"/>
                </w:rPr>
              </w:pPr>
              <w:hyperlink w:anchor="_Toc439918877" w:history="1">
                <w:r w:rsidR="006B6637" w:rsidRPr="003D4918">
                  <w:rPr>
                    <w:rStyle w:val="Hyperlink"/>
                    <w:noProof/>
                  </w:rPr>
                  <w:t>3. Age-adjusted Cancer Incidence and Mortality Rates by Resident County, Lung and Bronchus, Tennessee, 2008-2012</w:t>
                </w:r>
                <w:r w:rsidR="006B6637">
                  <w:rPr>
                    <w:noProof/>
                    <w:webHidden/>
                  </w:rPr>
                  <w:tab/>
                </w:r>
                <w:r w:rsidR="006B6637">
                  <w:rPr>
                    <w:noProof/>
                    <w:webHidden/>
                  </w:rPr>
                  <w:fldChar w:fldCharType="begin"/>
                </w:r>
                <w:r w:rsidR="006B6637">
                  <w:rPr>
                    <w:noProof/>
                    <w:webHidden/>
                  </w:rPr>
                  <w:instrText xml:space="preserve"> PAGEREF _Toc439918877 \h </w:instrText>
                </w:r>
                <w:r w:rsidR="006B6637">
                  <w:rPr>
                    <w:noProof/>
                    <w:webHidden/>
                  </w:rPr>
                </w:r>
                <w:r w:rsidR="006B6637">
                  <w:rPr>
                    <w:noProof/>
                    <w:webHidden/>
                  </w:rPr>
                  <w:fldChar w:fldCharType="separate"/>
                </w:r>
                <w:r w:rsidR="006B6637">
                  <w:rPr>
                    <w:noProof/>
                    <w:webHidden/>
                  </w:rPr>
                  <w:t>- 84 -</w:t>
                </w:r>
                <w:r w:rsidR="006B6637">
                  <w:rPr>
                    <w:noProof/>
                    <w:webHidden/>
                  </w:rPr>
                  <w:fldChar w:fldCharType="end"/>
                </w:r>
              </w:hyperlink>
            </w:p>
            <w:p w:rsidR="006B6637" w:rsidRDefault="00964E4C">
              <w:pPr>
                <w:pStyle w:val="TOC3"/>
                <w:tabs>
                  <w:tab w:val="right" w:leader="dot" w:pos="13670"/>
                </w:tabs>
                <w:rPr>
                  <w:rFonts w:cstheme="minorBidi"/>
                  <w:i w:val="0"/>
                  <w:iCs w:val="0"/>
                  <w:noProof/>
                  <w:sz w:val="22"/>
                  <w:szCs w:val="22"/>
                  <w:lang w:bidi="ar-SA"/>
                </w:rPr>
              </w:pPr>
              <w:hyperlink w:anchor="_Toc439918878" w:history="1">
                <w:r w:rsidR="006B6637" w:rsidRPr="003D4918">
                  <w:rPr>
                    <w:rStyle w:val="Hyperlink"/>
                    <w:noProof/>
                  </w:rPr>
                  <w:t>4. Age-adjusted Cancer Incidence and Mortality Rates by Resident County, Prostate, Tennessee, 2008-2012</w:t>
                </w:r>
                <w:r w:rsidR="006B6637">
                  <w:rPr>
                    <w:noProof/>
                    <w:webHidden/>
                  </w:rPr>
                  <w:tab/>
                </w:r>
                <w:r w:rsidR="006B6637">
                  <w:rPr>
                    <w:noProof/>
                    <w:webHidden/>
                  </w:rPr>
                  <w:fldChar w:fldCharType="begin"/>
                </w:r>
                <w:r w:rsidR="006B6637">
                  <w:rPr>
                    <w:noProof/>
                    <w:webHidden/>
                  </w:rPr>
                  <w:instrText xml:space="preserve"> PAGEREF _Toc439918878 \h </w:instrText>
                </w:r>
                <w:r w:rsidR="006B6637">
                  <w:rPr>
                    <w:noProof/>
                    <w:webHidden/>
                  </w:rPr>
                </w:r>
                <w:r w:rsidR="006B6637">
                  <w:rPr>
                    <w:noProof/>
                    <w:webHidden/>
                  </w:rPr>
                  <w:fldChar w:fldCharType="separate"/>
                </w:r>
                <w:r w:rsidR="006B6637">
                  <w:rPr>
                    <w:noProof/>
                    <w:webHidden/>
                  </w:rPr>
                  <w:t>- 85 -</w:t>
                </w:r>
                <w:r w:rsidR="006B6637">
                  <w:rPr>
                    <w:noProof/>
                    <w:webHidden/>
                  </w:rPr>
                  <w:fldChar w:fldCharType="end"/>
                </w:r>
              </w:hyperlink>
            </w:p>
            <w:p w:rsidR="006B6637" w:rsidRDefault="00964E4C">
              <w:pPr>
                <w:pStyle w:val="TOC3"/>
                <w:tabs>
                  <w:tab w:val="right" w:leader="dot" w:pos="13670"/>
                </w:tabs>
                <w:rPr>
                  <w:rFonts w:cstheme="minorBidi"/>
                  <w:i w:val="0"/>
                  <w:iCs w:val="0"/>
                  <w:noProof/>
                  <w:sz w:val="22"/>
                  <w:szCs w:val="22"/>
                  <w:lang w:bidi="ar-SA"/>
                </w:rPr>
              </w:pPr>
              <w:hyperlink w:anchor="_Toc439918879" w:history="1">
                <w:r w:rsidR="006B6637" w:rsidRPr="003D4918">
                  <w:rPr>
                    <w:rStyle w:val="Hyperlink"/>
                    <w:noProof/>
                  </w:rPr>
                  <w:t>5. Age-adjusted Cancer Incidence and Mortality Rates by Resident County, Female Breast, Tennessee, 2008-2012</w:t>
                </w:r>
                <w:r w:rsidR="006B6637">
                  <w:rPr>
                    <w:noProof/>
                    <w:webHidden/>
                  </w:rPr>
                  <w:tab/>
                </w:r>
                <w:r w:rsidR="006B6637">
                  <w:rPr>
                    <w:noProof/>
                    <w:webHidden/>
                  </w:rPr>
                  <w:fldChar w:fldCharType="begin"/>
                </w:r>
                <w:r w:rsidR="006B6637">
                  <w:rPr>
                    <w:noProof/>
                    <w:webHidden/>
                  </w:rPr>
                  <w:instrText xml:space="preserve"> PAGEREF _Toc439918879 \h </w:instrText>
                </w:r>
                <w:r w:rsidR="006B6637">
                  <w:rPr>
                    <w:noProof/>
                    <w:webHidden/>
                  </w:rPr>
                </w:r>
                <w:r w:rsidR="006B6637">
                  <w:rPr>
                    <w:noProof/>
                    <w:webHidden/>
                  </w:rPr>
                  <w:fldChar w:fldCharType="separate"/>
                </w:r>
                <w:r w:rsidR="006B6637">
                  <w:rPr>
                    <w:noProof/>
                    <w:webHidden/>
                  </w:rPr>
                  <w:t>- 86 -</w:t>
                </w:r>
                <w:r w:rsidR="006B6637">
                  <w:rPr>
                    <w:noProof/>
                    <w:webHidden/>
                  </w:rPr>
                  <w:fldChar w:fldCharType="end"/>
                </w:r>
              </w:hyperlink>
            </w:p>
            <w:p w:rsidR="006B6637" w:rsidRDefault="00964E4C">
              <w:pPr>
                <w:pStyle w:val="TOC3"/>
                <w:tabs>
                  <w:tab w:val="right" w:leader="dot" w:pos="13670"/>
                </w:tabs>
                <w:rPr>
                  <w:rFonts w:cstheme="minorBidi"/>
                  <w:i w:val="0"/>
                  <w:iCs w:val="0"/>
                  <w:noProof/>
                  <w:sz w:val="22"/>
                  <w:szCs w:val="22"/>
                  <w:lang w:bidi="ar-SA"/>
                </w:rPr>
              </w:pPr>
              <w:hyperlink w:anchor="_Toc439918880" w:history="1">
                <w:r w:rsidR="006B6637" w:rsidRPr="003D4918">
                  <w:rPr>
                    <w:rStyle w:val="Hyperlink"/>
                    <w:noProof/>
                  </w:rPr>
                  <w:t>6. Age-adjusted Cancer Incidence and Mortality Rates by Resident County, Colon and Rectum, Tennessee, 2008-2012</w:t>
                </w:r>
                <w:r w:rsidR="006B6637">
                  <w:rPr>
                    <w:noProof/>
                    <w:webHidden/>
                  </w:rPr>
                  <w:tab/>
                </w:r>
                <w:r w:rsidR="006B6637">
                  <w:rPr>
                    <w:noProof/>
                    <w:webHidden/>
                  </w:rPr>
                  <w:fldChar w:fldCharType="begin"/>
                </w:r>
                <w:r w:rsidR="006B6637">
                  <w:rPr>
                    <w:noProof/>
                    <w:webHidden/>
                  </w:rPr>
                  <w:instrText xml:space="preserve"> PAGEREF _Toc439918880 \h </w:instrText>
                </w:r>
                <w:r w:rsidR="006B6637">
                  <w:rPr>
                    <w:noProof/>
                    <w:webHidden/>
                  </w:rPr>
                </w:r>
                <w:r w:rsidR="006B6637">
                  <w:rPr>
                    <w:noProof/>
                    <w:webHidden/>
                  </w:rPr>
                  <w:fldChar w:fldCharType="separate"/>
                </w:r>
                <w:r w:rsidR="006B6637">
                  <w:rPr>
                    <w:noProof/>
                    <w:webHidden/>
                  </w:rPr>
                  <w:t>- 87 -</w:t>
                </w:r>
                <w:r w:rsidR="006B6637">
                  <w:rPr>
                    <w:noProof/>
                    <w:webHidden/>
                  </w:rPr>
                  <w:fldChar w:fldCharType="end"/>
                </w:r>
              </w:hyperlink>
            </w:p>
            <w:p w:rsidR="006B6637" w:rsidRDefault="00964E4C">
              <w:pPr>
                <w:pStyle w:val="TOC3"/>
                <w:tabs>
                  <w:tab w:val="right" w:leader="dot" w:pos="13670"/>
                </w:tabs>
                <w:rPr>
                  <w:rFonts w:cstheme="minorBidi"/>
                  <w:i w:val="0"/>
                  <w:iCs w:val="0"/>
                  <w:noProof/>
                  <w:sz w:val="22"/>
                  <w:szCs w:val="22"/>
                  <w:lang w:bidi="ar-SA"/>
                </w:rPr>
              </w:pPr>
              <w:hyperlink w:anchor="_Toc439918881" w:history="1">
                <w:r w:rsidR="006B6637" w:rsidRPr="003D4918">
                  <w:rPr>
                    <w:rStyle w:val="Hyperlink"/>
                    <w:noProof/>
                  </w:rPr>
                  <w:t>7. Age-adjusted Cancer Incidence and Mortality Rates by Resident County, Melanoma of the Skin, Tennessee, 2008-2012</w:t>
                </w:r>
                <w:r w:rsidR="006B6637">
                  <w:rPr>
                    <w:noProof/>
                    <w:webHidden/>
                  </w:rPr>
                  <w:tab/>
                </w:r>
                <w:r w:rsidR="006B6637">
                  <w:rPr>
                    <w:noProof/>
                    <w:webHidden/>
                  </w:rPr>
                  <w:fldChar w:fldCharType="begin"/>
                </w:r>
                <w:r w:rsidR="006B6637">
                  <w:rPr>
                    <w:noProof/>
                    <w:webHidden/>
                  </w:rPr>
                  <w:instrText xml:space="preserve"> PAGEREF _Toc439918881 \h </w:instrText>
                </w:r>
                <w:r w:rsidR="006B6637">
                  <w:rPr>
                    <w:noProof/>
                    <w:webHidden/>
                  </w:rPr>
                </w:r>
                <w:r w:rsidR="006B6637">
                  <w:rPr>
                    <w:noProof/>
                    <w:webHidden/>
                  </w:rPr>
                  <w:fldChar w:fldCharType="separate"/>
                </w:r>
                <w:r w:rsidR="006B6637">
                  <w:rPr>
                    <w:noProof/>
                    <w:webHidden/>
                  </w:rPr>
                  <w:t>- 88 -</w:t>
                </w:r>
                <w:r w:rsidR="006B6637">
                  <w:rPr>
                    <w:noProof/>
                    <w:webHidden/>
                  </w:rPr>
                  <w:fldChar w:fldCharType="end"/>
                </w:r>
              </w:hyperlink>
            </w:p>
            <w:p w:rsidR="006B6637" w:rsidRDefault="00964E4C">
              <w:pPr>
                <w:pStyle w:val="TOC3"/>
                <w:tabs>
                  <w:tab w:val="right" w:leader="dot" w:pos="13670"/>
                </w:tabs>
                <w:rPr>
                  <w:rFonts w:cstheme="minorBidi"/>
                  <w:i w:val="0"/>
                  <w:iCs w:val="0"/>
                  <w:noProof/>
                  <w:sz w:val="22"/>
                  <w:szCs w:val="22"/>
                  <w:lang w:bidi="ar-SA"/>
                </w:rPr>
              </w:pPr>
              <w:hyperlink w:anchor="_Toc439918882" w:history="1">
                <w:r w:rsidR="006B6637" w:rsidRPr="003D4918">
                  <w:rPr>
                    <w:rStyle w:val="Hyperlink"/>
                    <w:noProof/>
                  </w:rPr>
                  <w:t>8. Age-adjusted Cancer Incidence and Mortality Rates by Resident County, Pancreas, Tennessee, 2008-2012</w:t>
                </w:r>
                <w:r w:rsidR="006B6637">
                  <w:rPr>
                    <w:noProof/>
                    <w:webHidden/>
                  </w:rPr>
                  <w:tab/>
                </w:r>
                <w:r w:rsidR="006B6637">
                  <w:rPr>
                    <w:noProof/>
                    <w:webHidden/>
                  </w:rPr>
                  <w:fldChar w:fldCharType="begin"/>
                </w:r>
                <w:r w:rsidR="006B6637">
                  <w:rPr>
                    <w:noProof/>
                    <w:webHidden/>
                  </w:rPr>
                  <w:instrText xml:space="preserve"> PAGEREF _Toc439918882 \h </w:instrText>
                </w:r>
                <w:r w:rsidR="006B6637">
                  <w:rPr>
                    <w:noProof/>
                    <w:webHidden/>
                  </w:rPr>
                </w:r>
                <w:r w:rsidR="006B6637">
                  <w:rPr>
                    <w:noProof/>
                    <w:webHidden/>
                  </w:rPr>
                  <w:fldChar w:fldCharType="separate"/>
                </w:r>
                <w:r w:rsidR="006B6637">
                  <w:rPr>
                    <w:noProof/>
                    <w:webHidden/>
                  </w:rPr>
                  <w:t>- 89 -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83" w:history="1">
                <w:r w:rsidR="006B6637" w:rsidRPr="003D4918">
                  <w:rPr>
                    <w:rStyle w:val="Hyperlink"/>
                    <w:noProof/>
                  </w:rPr>
                  <w:t>Tables</w:t>
                </w:r>
                <w:r w:rsidR="006B6637">
                  <w:rPr>
                    <w:noProof/>
                    <w:webHidden/>
                  </w:rPr>
                  <w:tab/>
                </w:r>
                <w:r w:rsidR="006B6637">
                  <w:rPr>
                    <w:noProof/>
                    <w:webHidden/>
                  </w:rPr>
                  <w:fldChar w:fldCharType="begin"/>
                </w:r>
                <w:r w:rsidR="006B6637">
                  <w:rPr>
                    <w:noProof/>
                    <w:webHidden/>
                  </w:rPr>
                  <w:instrText xml:space="preserve"> PAGEREF _Toc439918883 \h </w:instrText>
                </w:r>
                <w:r w:rsidR="006B6637">
                  <w:rPr>
                    <w:noProof/>
                    <w:webHidden/>
                  </w:rPr>
                </w:r>
                <w:r w:rsidR="006B6637">
                  <w:rPr>
                    <w:noProof/>
                    <w:webHidden/>
                  </w:rPr>
                  <w:fldChar w:fldCharType="separate"/>
                </w:r>
                <w:r w:rsidR="006B6637">
                  <w:rPr>
                    <w:noProof/>
                    <w:webHidden/>
                  </w:rPr>
                  <w:t>- 91 -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84" w:history="1">
                <w:r w:rsidR="006B6637" w:rsidRPr="003D4918">
                  <w:rPr>
                    <w:rStyle w:val="Hyperlink"/>
                    <w:noProof/>
                  </w:rPr>
                  <w:t>Table 1. Number of Deaths and Years of Potential Life Lost, By Gender and Race, Tennessee, 2008-2012</w:t>
                </w:r>
                <w:r w:rsidR="006B6637">
                  <w:rPr>
                    <w:noProof/>
                    <w:webHidden/>
                  </w:rPr>
                  <w:tab/>
                </w:r>
                <w:r w:rsidR="006B6637">
                  <w:rPr>
                    <w:noProof/>
                    <w:webHidden/>
                  </w:rPr>
                  <w:fldChar w:fldCharType="begin"/>
                </w:r>
                <w:r w:rsidR="006B6637">
                  <w:rPr>
                    <w:noProof/>
                    <w:webHidden/>
                  </w:rPr>
                  <w:instrText xml:space="preserve"> PAGEREF _Toc439918884 \h </w:instrText>
                </w:r>
                <w:r w:rsidR="006B6637">
                  <w:rPr>
                    <w:noProof/>
                    <w:webHidden/>
                  </w:rPr>
                </w:r>
                <w:r w:rsidR="006B6637">
                  <w:rPr>
                    <w:noProof/>
                    <w:webHidden/>
                  </w:rPr>
                  <w:fldChar w:fldCharType="separate"/>
                </w:r>
                <w:r w:rsidR="006B6637">
                  <w:rPr>
                    <w:noProof/>
                    <w:webHidden/>
                  </w:rPr>
                  <w:t>- 91 -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85" w:history="1">
                <w:r w:rsidR="006B6637" w:rsidRPr="003D4918">
                  <w:rPr>
                    <w:rStyle w:val="Hyperlink"/>
                    <w:noProof/>
                  </w:rPr>
                  <w:t>Table 2. Number of Deaths and Years of Potential Life Lost, by Common Cancer Site, Tennessee, 2008-2012</w:t>
                </w:r>
                <w:r w:rsidR="006B6637">
                  <w:rPr>
                    <w:noProof/>
                    <w:webHidden/>
                  </w:rPr>
                  <w:tab/>
                </w:r>
                <w:r w:rsidR="006B6637">
                  <w:rPr>
                    <w:noProof/>
                    <w:webHidden/>
                  </w:rPr>
                  <w:fldChar w:fldCharType="begin"/>
                </w:r>
                <w:r w:rsidR="006B6637">
                  <w:rPr>
                    <w:noProof/>
                    <w:webHidden/>
                  </w:rPr>
                  <w:instrText xml:space="preserve"> PAGEREF _Toc439918885 \h </w:instrText>
                </w:r>
                <w:r w:rsidR="006B6637">
                  <w:rPr>
                    <w:noProof/>
                    <w:webHidden/>
                  </w:rPr>
                </w:r>
                <w:r w:rsidR="006B6637">
                  <w:rPr>
                    <w:noProof/>
                    <w:webHidden/>
                  </w:rPr>
                  <w:fldChar w:fldCharType="separate"/>
                </w:r>
                <w:r w:rsidR="006B6637">
                  <w:rPr>
                    <w:noProof/>
                    <w:webHidden/>
                  </w:rPr>
                  <w:t>- 91 -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86" w:history="1">
                <w:r w:rsidR="006B6637" w:rsidRPr="003D4918">
                  <w:rPr>
                    <w:rStyle w:val="Hyperlink"/>
                    <w:noProof/>
                  </w:rPr>
                  <w:t>Table 3. Number of Deaths and Years of Potential Life Lost, by Other Common Cancer Site, Tennessee, 2008-2012</w:t>
                </w:r>
                <w:r w:rsidR="006B6637">
                  <w:rPr>
                    <w:noProof/>
                    <w:webHidden/>
                  </w:rPr>
                  <w:tab/>
                </w:r>
                <w:r w:rsidR="006B6637">
                  <w:rPr>
                    <w:noProof/>
                    <w:webHidden/>
                  </w:rPr>
                  <w:fldChar w:fldCharType="begin"/>
                </w:r>
                <w:r w:rsidR="006B6637">
                  <w:rPr>
                    <w:noProof/>
                    <w:webHidden/>
                  </w:rPr>
                  <w:instrText xml:space="preserve"> PAGEREF _Toc439918886 \h </w:instrText>
                </w:r>
                <w:r w:rsidR="006B6637">
                  <w:rPr>
                    <w:noProof/>
                    <w:webHidden/>
                  </w:rPr>
                </w:r>
                <w:r w:rsidR="006B6637">
                  <w:rPr>
                    <w:noProof/>
                    <w:webHidden/>
                  </w:rPr>
                  <w:fldChar w:fldCharType="separate"/>
                </w:r>
                <w:r w:rsidR="006B6637">
                  <w:rPr>
                    <w:noProof/>
                    <w:webHidden/>
                  </w:rPr>
                  <w:t>- 91 -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87" w:history="1">
                <w:r w:rsidR="006B6637" w:rsidRPr="003D4918">
                  <w:rPr>
                    <w:rStyle w:val="Hyperlink"/>
                    <w:noProof/>
                  </w:rPr>
                  <w:t>Technical Notes</w:t>
                </w:r>
                <w:r w:rsidR="006B6637">
                  <w:rPr>
                    <w:noProof/>
                    <w:webHidden/>
                  </w:rPr>
                  <w:tab/>
                </w:r>
                <w:r w:rsidR="006B6637">
                  <w:rPr>
                    <w:noProof/>
                    <w:webHidden/>
                  </w:rPr>
                  <w:fldChar w:fldCharType="begin"/>
                </w:r>
                <w:r w:rsidR="006B6637">
                  <w:rPr>
                    <w:noProof/>
                    <w:webHidden/>
                  </w:rPr>
                  <w:instrText xml:space="preserve"> PAGEREF _Toc439918887 \h </w:instrText>
                </w:r>
                <w:r w:rsidR="006B6637">
                  <w:rPr>
                    <w:noProof/>
                    <w:webHidden/>
                  </w:rPr>
                </w:r>
                <w:r w:rsidR="006B6637">
                  <w:rPr>
                    <w:noProof/>
                    <w:webHidden/>
                  </w:rPr>
                  <w:fldChar w:fldCharType="separate"/>
                </w:r>
                <w:r w:rsidR="006B6637">
                  <w:rPr>
                    <w:noProof/>
                    <w:webHidden/>
                  </w:rPr>
                  <w:t>- 92 -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88" w:history="1">
                <w:r w:rsidR="006B6637" w:rsidRPr="003D4918">
                  <w:rPr>
                    <w:rStyle w:val="Hyperlink"/>
                    <w:noProof/>
                  </w:rPr>
                  <w:t>Statistical Methods</w:t>
                </w:r>
                <w:r w:rsidR="006B6637">
                  <w:rPr>
                    <w:noProof/>
                    <w:webHidden/>
                  </w:rPr>
                  <w:tab/>
                </w:r>
                <w:r w:rsidR="006B6637">
                  <w:rPr>
                    <w:noProof/>
                    <w:webHidden/>
                  </w:rPr>
                  <w:fldChar w:fldCharType="begin"/>
                </w:r>
                <w:r w:rsidR="006B6637">
                  <w:rPr>
                    <w:noProof/>
                    <w:webHidden/>
                  </w:rPr>
                  <w:instrText xml:space="preserve"> PAGEREF _Toc439918888 \h </w:instrText>
                </w:r>
                <w:r w:rsidR="006B6637">
                  <w:rPr>
                    <w:noProof/>
                    <w:webHidden/>
                  </w:rPr>
                </w:r>
                <w:r w:rsidR="006B6637">
                  <w:rPr>
                    <w:noProof/>
                    <w:webHidden/>
                  </w:rPr>
                  <w:fldChar w:fldCharType="separate"/>
                </w:r>
                <w:r w:rsidR="006B6637">
                  <w:rPr>
                    <w:noProof/>
                    <w:webHidden/>
                  </w:rPr>
                  <w:t>- 92 -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89" w:history="1">
                <w:r w:rsidR="006B6637" w:rsidRPr="003D4918">
                  <w:rPr>
                    <w:rStyle w:val="Hyperlink"/>
                    <w:noProof/>
                  </w:rPr>
                  <w:t>Software Used for Calculation</w:t>
                </w:r>
                <w:r w:rsidR="006B6637">
                  <w:rPr>
                    <w:noProof/>
                    <w:webHidden/>
                  </w:rPr>
                  <w:tab/>
                </w:r>
                <w:r w:rsidR="006B6637">
                  <w:rPr>
                    <w:noProof/>
                    <w:webHidden/>
                  </w:rPr>
                  <w:fldChar w:fldCharType="begin"/>
                </w:r>
                <w:r w:rsidR="006B6637">
                  <w:rPr>
                    <w:noProof/>
                    <w:webHidden/>
                  </w:rPr>
                  <w:instrText xml:space="preserve"> PAGEREF _Toc439918889 \h </w:instrText>
                </w:r>
                <w:r w:rsidR="006B6637">
                  <w:rPr>
                    <w:noProof/>
                    <w:webHidden/>
                  </w:rPr>
                </w:r>
                <w:r w:rsidR="006B6637">
                  <w:rPr>
                    <w:noProof/>
                    <w:webHidden/>
                  </w:rPr>
                  <w:fldChar w:fldCharType="separate"/>
                </w:r>
                <w:r w:rsidR="006B6637">
                  <w:rPr>
                    <w:noProof/>
                    <w:webHidden/>
                  </w:rPr>
                  <w:t>- 92 -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90" w:history="1">
                <w:r w:rsidR="006B6637" w:rsidRPr="003D4918">
                  <w:rPr>
                    <w:rStyle w:val="Hyperlink"/>
                    <w:noProof/>
                  </w:rPr>
                  <w:t>Explanation of Terms</w:t>
                </w:r>
                <w:r w:rsidR="006B6637">
                  <w:rPr>
                    <w:noProof/>
                    <w:webHidden/>
                  </w:rPr>
                  <w:tab/>
                </w:r>
                <w:r w:rsidR="006B6637">
                  <w:rPr>
                    <w:noProof/>
                    <w:webHidden/>
                  </w:rPr>
                  <w:fldChar w:fldCharType="begin"/>
                </w:r>
                <w:r w:rsidR="006B6637">
                  <w:rPr>
                    <w:noProof/>
                    <w:webHidden/>
                  </w:rPr>
                  <w:instrText xml:space="preserve"> PAGEREF _Toc439918890 \h </w:instrText>
                </w:r>
                <w:r w:rsidR="006B6637">
                  <w:rPr>
                    <w:noProof/>
                    <w:webHidden/>
                  </w:rPr>
                </w:r>
                <w:r w:rsidR="006B6637">
                  <w:rPr>
                    <w:noProof/>
                    <w:webHidden/>
                  </w:rPr>
                  <w:fldChar w:fldCharType="separate"/>
                </w:r>
                <w:r w:rsidR="006B6637">
                  <w:rPr>
                    <w:noProof/>
                    <w:webHidden/>
                  </w:rPr>
                  <w:t>- 93 -</w:t>
                </w:r>
                <w:r w:rsidR="006B6637">
                  <w:rPr>
                    <w:noProof/>
                    <w:webHidden/>
                  </w:rPr>
                  <w:fldChar w:fldCharType="end"/>
                </w:r>
              </w:hyperlink>
            </w:p>
            <w:p w:rsidR="006B6637" w:rsidRDefault="00964E4C">
              <w:pPr>
                <w:pStyle w:val="TOC2"/>
                <w:tabs>
                  <w:tab w:val="right" w:leader="dot" w:pos="13670"/>
                </w:tabs>
                <w:rPr>
                  <w:rFonts w:cstheme="minorBidi"/>
                  <w:smallCaps w:val="0"/>
                  <w:noProof/>
                  <w:sz w:val="22"/>
                  <w:szCs w:val="22"/>
                  <w:lang w:bidi="ar-SA"/>
                </w:rPr>
              </w:pPr>
              <w:hyperlink w:anchor="_Toc439918891" w:history="1">
                <w:r w:rsidR="006B6637" w:rsidRPr="003D4918">
                  <w:rPr>
                    <w:rStyle w:val="Hyperlink"/>
                    <w:noProof/>
                  </w:rPr>
                  <w:t>Data Sources</w:t>
                </w:r>
                <w:r w:rsidR="006B6637">
                  <w:rPr>
                    <w:noProof/>
                    <w:webHidden/>
                  </w:rPr>
                  <w:tab/>
                </w:r>
                <w:r w:rsidR="006B6637">
                  <w:rPr>
                    <w:noProof/>
                    <w:webHidden/>
                  </w:rPr>
                  <w:fldChar w:fldCharType="begin"/>
                </w:r>
                <w:r w:rsidR="006B6637">
                  <w:rPr>
                    <w:noProof/>
                    <w:webHidden/>
                  </w:rPr>
                  <w:instrText xml:space="preserve"> PAGEREF _Toc439918891 \h </w:instrText>
                </w:r>
                <w:r w:rsidR="006B6637">
                  <w:rPr>
                    <w:noProof/>
                    <w:webHidden/>
                  </w:rPr>
                </w:r>
                <w:r w:rsidR="006B6637">
                  <w:rPr>
                    <w:noProof/>
                    <w:webHidden/>
                  </w:rPr>
                  <w:fldChar w:fldCharType="separate"/>
                </w:r>
                <w:r w:rsidR="006B6637">
                  <w:rPr>
                    <w:noProof/>
                    <w:webHidden/>
                  </w:rPr>
                  <w:t>- 97 -</w:t>
                </w:r>
                <w:r w:rsidR="006B6637">
                  <w:rPr>
                    <w:noProof/>
                    <w:webHidden/>
                  </w:rPr>
                  <w:fldChar w:fldCharType="end"/>
                </w:r>
              </w:hyperlink>
            </w:p>
            <w:p w:rsidR="006B6637" w:rsidRDefault="00964E4C">
              <w:pPr>
                <w:pStyle w:val="TOC1"/>
                <w:tabs>
                  <w:tab w:val="right" w:leader="dot" w:pos="13670"/>
                </w:tabs>
                <w:rPr>
                  <w:rFonts w:cstheme="minorBidi"/>
                  <w:b w:val="0"/>
                  <w:bCs w:val="0"/>
                  <w:caps w:val="0"/>
                  <w:noProof/>
                  <w:sz w:val="22"/>
                  <w:szCs w:val="22"/>
                  <w:lang w:bidi="ar-SA"/>
                </w:rPr>
              </w:pPr>
              <w:hyperlink w:anchor="_Toc439918892" w:history="1">
                <w:r w:rsidR="006B6637" w:rsidRPr="003D4918">
                  <w:rPr>
                    <w:rStyle w:val="Hyperlink"/>
                    <w:noProof/>
                  </w:rPr>
                  <w:t>References</w:t>
                </w:r>
                <w:r w:rsidR="006B6637">
                  <w:rPr>
                    <w:noProof/>
                    <w:webHidden/>
                  </w:rPr>
                  <w:tab/>
                </w:r>
                <w:r w:rsidR="006B6637">
                  <w:rPr>
                    <w:noProof/>
                    <w:webHidden/>
                  </w:rPr>
                  <w:fldChar w:fldCharType="begin"/>
                </w:r>
                <w:r w:rsidR="006B6637">
                  <w:rPr>
                    <w:noProof/>
                    <w:webHidden/>
                  </w:rPr>
                  <w:instrText xml:space="preserve"> PAGEREF _Toc439918892 \h </w:instrText>
                </w:r>
                <w:r w:rsidR="006B6637">
                  <w:rPr>
                    <w:noProof/>
                    <w:webHidden/>
                  </w:rPr>
                </w:r>
                <w:r w:rsidR="006B6637">
                  <w:rPr>
                    <w:noProof/>
                    <w:webHidden/>
                  </w:rPr>
                  <w:fldChar w:fldCharType="separate"/>
                </w:r>
                <w:r w:rsidR="006B6637">
                  <w:rPr>
                    <w:noProof/>
                    <w:webHidden/>
                  </w:rPr>
                  <w:t>- 98 -</w:t>
                </w:r>
                <w:r w:rsidR="006B6637">
                  <w:rPr>
                    <w:noProof/>
                    <w:webHidden/>
                  </w:rPr>
                  <w:fldChar w:fldCharType="end"/>
                </w:r>
              </w:hyperlink>
            </w:p>
            <w:p w:rsidR="00B60D20" w:rsidRDefault="00B60D20">
              <w:r>
                <w:rPr>
                  <w:b/>
                  <w:bCs/>
                  <w:noProof/>
                </w:rPr>
                <w:fldChar w:fldCharType="end"/>
              </w:r>
            </w:p>
          </w:sdtContent>
        </w:sdt>
        <w:p w:rsidR="003B7157" w:rsidRDefault="003B7157" w:rsidP="00D01AC2">
          <w:pPr>
            <w:rPr>
              <w:rFonts w:cs="Times New Roman"/>
              <w:color w:val="000000"/>
              <w:sz w:val="24"/>
              <w:szCs w:val="24"/>
            </w:rPr>
          </w:pPr>
        </w:p>
        <w:p w:rsidR="003B7157" w:rsidRDefault="003B7157" w:rsidP="00D01AC2">
          <w:pPr>
            <w:rPr>
              <w:rFonts w:cs="Times New Roman"/>
              <w:color w:val="000000"/>
              <w:sz w:val="24"/>
              <w:szCs w:val="24"/>
            </w:rPr>
          </w:pPr>
        </w:p>
        <w:p w:rsidR="003B7157" w:rsidRDefault="003B7157" w:rsidP="00D01AC2">
          <w:pPr>
            <w:rPr>
              <w:rFonts w:cs="Times New Roman"/>
              <w:color w:val="000000"/>
              <w:sz w:val="24"/>
              <w:szCs w:val="24"/>
            </w:rPr>
          </w:pPr>
        </w:p>
        <w:p w:rsidR="00EF6BB0" w:rsidRDefault="00EF6BB0" w:rsidP="00D01AC2">
          <w:pPr>
            <w:rPr>
              <w:rFonts w:cs="Times New Roman"/>
              <w:color w:val="000000"/>
              <w:sz w:val="24"/>
              <w:szCs w:val="24"/>
            </w:rPr>
          </w:pPr>
        </w:p>
        <w:p w:rsidR="00EF6BB0" w:rsidRDefault="00EF6BB0" w:rsidP="00D01AC2">
          <w:pPr>
            <w:rPr>
              <w:rFonts w:cs="Times New Roman"/>
              <w:color w:val="000000"/>
              <w:sz w:val="24"/>
              <w:szCs w:val="24"/>
            </w:rPr>
          </w:pPr>
        </w:p>
        <w:p w:rsidR="00595273" w:rsidRPr="002414D2" w:rsidRDefault="00964E4C" w:rsidP="00D01AC2">
          <w:pPr>
            <w:rPr>
              <w:rFonts w:cs="Times New Roman"/>
              <w:color w:val="000000"/>
              <w:sz w:val="24"/>
              <w:szCs w:val="24"/>
            </w:rPr>
          </w:pPr>
        </w:p>
      </w:sdtContent>
    </w:sdt>
    <w:p w:rsidR="003C4857" w:rsidRPr="00976CBD" w:rsidRDefault="003C4857" w:rsidP="00903E48">
      <w:pPr>
        <w:pStyle w:val="Heading2"/>
      </w:pPr>
      <w:bookmarkStart w:id="1" w:name="_Toc421611182"/>
      <w:bookmarkStart w:id="2" w:name="_Toc439918813"/>
      <w:r>
        <w:lastRenderedPageBreak/>
        <w:t>Executive Summary</w:t>
      </w:r>
      <w:bookmarkEnd w:id="1"/>
      <w:bookmarkEnd w:id="2"/>
    </w:p>
    <w:p w:rsidR="003C4857" w:rsidRDefault="003C4857" w:rsidP="00F76D2B">
      <w:pPr>
        <w:jc w:val="both"/>
        <w:rPr>
          <w:sz w:val="24"/>
        </w:rPr>
      </w:pPr>
      <w:r>
        <w:rPr>
          <w:sz w:val="24"/>
        </w:rPr>
        <w:t>The Tennessee Department of Health (TDH) Office of Cancer Surveillance</w:t>
      </w:r>
      <w:r w:rsidR="00D373E7">
        <w:rPr>
          <w:sz w:val="24"/>
        </w:rPr>
        <w:t xml:space="preserve"> (OCS)</w:t>
      </w:r>
      <w:r>
        <w:rPr>
          <w:sz w:val="24"/>
        </w:rPr>
        <w:t xml:space="preserve"> publishes the Annual Cancer Report to provide information about cancer incidence, mortality, sta</w:t>
      </w:r>
      <w:r w:rsidR="00D373E7">
        <w:rPr>
          <w:sz w:val="24"/>
        </w:rPr>
        <w:t>ge, and screening in Tennessee.</w:t>
      </w:r>
      <w:r>
        <w:rPr>
          <w:sz w:val="24"/>
        </w:rPr>
        <w:t xml:space="preserve"> Th</w:t>
      </w:r>
      <w:r w:rsidR="00D373E7">
        <w:rPr>
          <w:sz w:val="24"/>
        </w:rPr>
        <w:t>is</w:t>
      </w:r>
      <w:r>
        <w:rPr>
          <w:sz w:val="24"/>
        </w:rPr>
        <w:t xml:space="preserve"> Annual Report provides </w:t>
      </w:r>
      <w:r w:rsidR="00B62B86">
        <w:rPr>
          <w:sz w:val="24"/>
        </w:rPr>
        <w:t>a snapshot</w:t>
      </w:r>
      <w:r>
        <w:rPr>
          <w:sz w:val="24"/>
        </w:rPr>
        <w:t xml:space="preserve"> of the cancer burden in Tennessee during the five year period between 2008 and 2012. This publication is intended to serve as a record of the current status of cancer in Tennessee and a tool for cancer healthcare planning.     </w:t>
      </w:r>
    </w:p>
    <w:p w:rsidR="003C4857" w:rsidRDefault="003C4857" w:rsidP="00F76D2B">
      <w:pPr>
        <w:jc w:val="both"/>
        <w:rPr>
          <w:sz w:val="24"/>
        </w:rPr>
      </w:pPr>
      <w:r>
        <w:rPr>
          <w:sz w:val="24"/>
        </w:rPr>
        <w:t xml:space="preserve">Cancer continues to be the second leading cause of death in Tennessee, exceeded only by diseases of the heart. </w:t>
      </w:r>
      <w:r w:rsidR="00D373E7">
        <w:rPr>
          <w:sz w:val="24"/>
        </w:rPr>
        <w:t>From 2008 to 2012</w:t>
      </w:r>
      <w:r>
        <w:rPr>
          <w:sz w:val="24"/>
        </w:rPr>
        <w:t xml:space="preserve">, 169,031 new cancer cases were diagnosed among Tennessee residents and 67,120 deaths were recorded as the underlying cause of death in Tennessee residents. The five year age-adjusted incidence rate in Tennessee for 2008-2012 was </w:t>
      </w:r>
      <w:r w:rsidR="00DE2112">
        <w:rPr>
          <w:sz w:val="24"/>
        </w:rPr>
        <w:t>475.6</w:t>
      </w:r>
      <w:r>
        <w:rPr>
          <w:sz w:val="24"/>
        </w:rPr>
        <w:t xml:space="preserve"> cases per 100,000 Tennesseans, while the age-adjusted mortality rate was </w:t>
      </w:r>
      <w:r w:rsidR="00DE2112">
        <w:rPr>
          <w:sz w:val="24"/>
        </w:rPr>
        <w:t>191.9</w:t>
      </w:r>
      <w:r>
        <w:rPr>
          <w:sz w:val="24"/>
        </w:rPr>
        <w:t xml:space="preserve"> per 100,000 Tennesseans. In 2012, 34,09</w:t>
      </w:r>
      <w:r w:rsidR="00D34E8A">
        <w:rPr>
          <w:sz w:val="24"/>
        </w:rPr>
        <w:t>3</w:t>
      </w:r>
      <w:r>
        <w:rPr>
          <w:sz w:val="24"/>
        </w:rPr>
        <w:t xml:space="preserve"> new cancer cases were diagnosed and 13,630 deaths were recorded as the underlying cause of death in Tennessee residents. </w:t>
      </w:r>
    </w:p>
    <w:p w:rsidR="003C4857" w:rsidRPr="00BC310B" w:rsidRDefault="003C4857" w:rsidP="00F76D2B">
      <w:pPr>
        <w:jc w:val="both"/>
        <w:rPr>
          <w:sz w:val="24"/>
        </w:rPr>
      </w:pPr>
      <w:r w:rsidRPr="00BC310B">
        <w:rPr>
          <w:sz w:val="24"/>
        </w:rPr>
        <w:t>Nationally, Tennessee had the 1</w:t>
      </w:r>
      <w:r>
        <w:rPr>
          <w:sz w:val="24"/>
        </w:rPr>
        <w:t>7</w:t>
      </w:r>
      <w:r w:rsidRPr="005E0DCC">
        <w:rPr>
          <w:sz w:val="24"/>
          <w:vertAlign w:val="superscript"/>
        </w:rPr>
        <w:t>th</w:t>
      </w:r>
      <w:r>
        <w:rPr>
          <w:sz w:val="24"/>
        </w:rPr>
        <w:t xml:space="preserve"> </w:t>
      </w:r>
      <w:r w:rsidRPr="00BC310B">
        <w:rPr>
          <w:sz w:val="24"/>
        </w:rPr>
        <w:t xml:space="preserve">highest cancer incidence rate and the </w:t>
      </w:r>
      <w:r>
        <w:rPr>
          <w:sz w:val="24"/>
        </w:rPr>
        <w:t>7</w:t>
      </w:r>
      <w:r w:rsidRPr="005E0DCC">
        <w:rPr>
          <w:sz w:val="24"/>
          <w:vertAlign w:val="superscript"/>
        </w:rPr>
        <w:t>th</w:t>
      </w:r>
      <w:r>
        <w:rPr>
          <w:sz w:val="24"/>
        </w:rPr>
        <w:t xml:space="preserve"> </w:t>
      </w:r>
      <w:r w:rsidRPr="00BC310B">
        <w:rPr>
          <w:sz w:val="24"/>
        </w:rPr>
        <w:t xml:space="preserve">highest cancer mortality rate for the overall population </w:t>
      </w:r>
      <w:r>
        <w:rPr>
          <w:sz w:val="24"/>
        </w:rPr>
        <w:t>for the five year period between 2008 and 2012</w:t>
      </w:r>
      <w:r w:rsidRPr="00BC310B">
        <w:rPr>
          <w:sz w:val="24"/>
        </w:rPr>
        <w:t>. Am</w:t>
      </w:r>
      <w:r>
        <w:rPr>
          <w:sz w:val="24"/>
        </w:rPr>
        <w:t>ong blacks, Tennessee had the 19</w:t>
      </w:r>
      <w:r w:rsidRPr="005E0DCC">
        <w:rPr>
          <w:sz w:val="24"/>
          <w:vertAlign w:val="superscript"/>
        </w:rPr>
        <w:t>th</w:t>
      </w:r>
      <w:r>
        <w:rPr>
          <w:sz w:val="24"/>
        </w:rPr>
        <w:t xml:space="preserve"> </w:t>
      </w:r>
      <w:r w:rsidRPr="00BC310B">
        <w:rPr>
          <w:sz w:val="24"/>
        </w:rPr>
        <w:t xml:space="preserve">highest cancer incidence and the </w:t>
      </w:r>
      <w:r>
        <w:rPr>
          <w:sz w:val="24"/>
        </w:rPr>
        <w:t>3</w:t>
      </w:r>
      <w:r w:rsidRPr="005E0DCC">
        <w:rPr>
          <w:sz w:val="24"/>
          <w:vertAlign w:val="superscript"/>
        </w:rPr>
        <w:t>rd</w:t>
      </w:r>
      <w:r>
        <w:rPr>
          <w:sz w:val="24"/>
        </w:rPr>
        <w:t xml:space="preserve"> </w:t>
      </w:r>
      <w:r w:rsidRPr="00BC310B">
        <w:rPr>
          <w:sz w:val="24"/>
        </w:rPr>
        <w:t>highest cancer mortality rate</w:t>
      </w:r>
      <w:r>
        <w:rPr>
          <w:sz w:val="24"/>
        </w:rPr>
        <w:t xml:space="preserve"> in the nation</w:t>
      </w:r>
      <w:r w:rsidRPr="00BC310B">
        <w:rPr>
          <w:sz w:val="24"/>
        </w:rPr>
        <w:t>. Among whites, Tennessee had the 1</w:t>
      </w:r>
      <w:r>
        <w:rPr>
          <w:sz w:val="24"/>
        </w:rPr>
        <w:t>7</w:t>
      </w:r>
      <w:r w:rsidRPr="00490F51">
        <w:rPr>
          <w:sz w:val="24"/>
          <w:vertAlign w:val="superscript"/>
        </w:rPr>
        <w:t>th</w:t>
      </w:r>
      <w:r>
        <w:rPr>
          <w:sz w:val="24"/>
        </w:rPr>
        <w:t xml:space="preserve"> </w:t>
      </w:r>
      <w:r w:rsidRPr="00BC310B">
        <w:rPr>
          <w:sz w:val="24"/>
        </w:rPr>
        <w:t xml:space="preserve">highest cancer incidence and the </w:t>
      </w:r>
      <w:r>
        <w:rPr>
          <w:sz w:val="24"/>
        </w:rPr>
        <w:t>6</w:t>
      </w:r>
      <w:r w:rsidRPr="00490F51">
        <w:rPr>
          <w:sz w:val="24"/>
          <w:vertAlign w:val="superscript"/>
        </w:rPr>
        <w:t>th</w:t>
      </w:r>
      <w:r>
        <w:rPr>
          <w:sz w:val="24"/>
        </w:rPr>
        <w:t xml:space="preserve"> h</w:t>
      </w:r>
      <w:r w:rsidRPr="00BC310B">
        <w:rPr>
          <w:sz w:val="24"/>
        </w:rPr>
        <w:t>ighest cancer mortality rate. Compared to residents of other states, Tennessee residents experience a disproportionately higher share of the U.S. cancer burden in terms of both new cancer cases and cancer deaths.</w:t>
      </w:r>
    </w:p>
    <w:p w:rsidR="003C4857" w:rsidRDefault="003C4857" w:rsidP="00F76D2B">
      <w:pPr>
        <w:jc w:val="both"/>
        <w:rPr>
          <w:sz w:val="24"/>
        </w:rPr>
      </w:pPr>
      <w:r>
        <w:rPr>
          <w:sz w:val="24"/>
        </w:rPr>
        <w:t>From 2008</w:t>
      </w:r>
      <w:r w:rsidR="006B03CC">
        <w:rPr>
          <w:sz w:val="24"/>
        </w:rPr>
        <w:t xml:space="preserve"> to </w:t>
      </w:r>
      <w:r>
        <w:rPr>
          <w:sz w:val="24"/>
        </w:rPr>
        <w:t>2012, the five most common cancer sites in Tennessee women were the breast, lung, colon and rectum, corpus and uterus (N</w:t>
      </w:r>
      <w:r w:rsidR="0021742F">
        <w:rPr>
          <w:sz w:val="24"/>
        </w:rPr>
        <w:t xml:space="preserve">ot </w:t>
      </w:r>
      <w:r>
        <w:rPr>
          <w:sz w:val="24"/>
        </w:rPr>
        <w:t>O</w:t>
      </w:r>
      <w:r w:rsidR="0021742F">
        <w:rPr>
          <w:sz w:val="24"/>
        </w:rPr>
        <w:t xml:space="preserve">therwise </w:t>
      </w:r>
      <w:r>
        <w:rPr>
          <w:sz w:val="24"/>
        </w:rPr>
        <w:t>S</w:t>
      </w:r>
      <w:r w:rsidR="0021742F">
        <w:rPr>
          <w:sz w:val="24"/>
        </w:rPr>
        <w:t>pecified</w:t>
      </w:r>
      <w:r>
        <w:rPr>
          <w:sz w:val="24"/>
        </w:rPr>
        <w:t>), and the thyroid.</w:t>
      </w:r>
      <w:r w:rsidR="0021742F">
        <w:rPr>
          <w:sz w:val="24"/>
        </w:rPr>
        <w:t xml:space="preserve"> </w:t>
      </w:r>
      <w:r w:rsidR="00346656">
        <w:rPr>
          <w:sz w:val="24"/>
        </w:rPr>
        <w:t>T</w:t>
      </w:r>
      <w:r>
        <w:rPr>
          <w:sz w:val="24"/>
        </w:rPr>
        <w:t>he five most common cancer</w:t>
      </w:r>
      <w:r w:rsidR="00D34E8A">
        <w:rPr>
          <w:sz w:val="24"/>
        </w:rPr>
        <w:t xml:space="preserve"> sites</w:t>
      </w:r>
      <w:r>
        <w:rPr>
          <w:sz w:val="24"/>
        </w:rPr>
        <w:t xml:space="preserve"> recorded as an underlying cause of death</w:t>
      </w:r>
      <w:r w:rsidR="0021742F">
        <w:rPr>
          <w:sz w:val="24"/>
        </w:rPr>
        <w:t xml:space="preserve"> for</w:t>
      </w:r>
      <w:r w:rsidR="00346656">
        <w:rPr>
          <w:sz w:val="24"/>
        </w:rPr>
        <w:t xml:space="preserve"> Tennessee</w:t>
      </w:r>
      <w:r w:rsidR="0021742F">
        <w:rPr>
          <w:sz w:val="24"/>
        </w:rPr>
        <w:t xml:space="preserve"> women</w:t>
      </w:r>
      <w:r>
        <w:rPr>
          <w:sz w:val="24"/>
        </w:rPr>
        <w:t xml:space="preserve"> were the lung, breast, colon and rectum, pancreas, and ovary. During the same </w:t>
      </w:r>
      <w:r w:rsidR="00A06A73">
        <w:rPr>
          <w:sz w:val="24"/>
        </w:rPr>
        <w:t>five-</w:t>
      </w:r>
      <w:r>
        <w:rPr>
          <w:sz w:val="24"/>
        </w:rPr>
        <w:t>year</w:t>
      </w:r>
      <w:r w:rsidR="00A06A73">
        <w:rPr>
          <w:sz w:val="24"/>
        </w:rPr>
        <w:t xml:space="preserve"> </w:t>
      </w:r>
      <w:r>
        <w:rPr>
          <w:sz w:val="24"/>
        </w:rPr>
        <w:t xml:space="preserve">time period, the five most common cancer sites in Tennessee men were the prostate, lung, colon and rectum, urinary bladder, </w:t>
      </w:r>
      <w:r w:rsidR="006D43C9">
        <w:rPr>
          <w:sz w:val="24"/>
        </w:rPr>
        <w:t xml:space="preserve">and </w:t>
      </w:r>
      <w:r>
        <w:rPr>
          <w:sz w:val="24"/>
        </w:rPr>
        <w:t>melanoma of the skin. For m</w:t>
      </w:r>
      <w:r w:rsidR="007B1C89">
        <w:rPr>
          <w:sz w:val="24"/>
        </w:rPr>
        <w:t>en, the five most common cancer sites</w:t>
      </w:r>
      <w:r>
        <w:rPr>
          <w:sz w:val="24"/>
        </w:rPr>
        <w:t xml:space="preserve"> recorded as an underlying cause of death were the lung, colon and rectum, prostate, pancreas, and liver. </w:t>
      </w:r>
    </w:p>
    <w:p w:rsidR="000A26AA" w:rsidRDefault="00D01AC2" w:rsidP="00F76D2B">
      <w:pPr>
        <w:jc w:val="both"/>
        <w:rPr>
          <w:sz w:val="24"/>
        </w:rPr>
      </w:pPr>
      <w:r>
        <w:rPr>
          <w:noProof/>
          <w:sz w:val="22"/>
          <w:lang w:bidi="ar-SA"/>
        </w:rPr>
        <mc:AlternateContent>
          <mc:Choice Requires="wps">
            <w:drawing>
              <wp:anchor distT="0" distB="0" distL="114300" distR="114300" simplePos="0" relativeHeight="252320768" behindDoc="0" locked="0" layoutInCell="1" allowOverlap="1" wp14:anchorId="37D4009E" wp14:editId="5B287D45">
                <wp:simplePos x="0" y="0"/>
                <wp:positionH relativeFrom="column">
                  <wp:posOffset>-9525</wp:posOffset>
                </wp:positionH>
                <wp:positionV relativeFrom="paragraph">
                  <wp:posOffset>1549823</wp:posOffset>
                </wp:positionV>
                <wp:extent cx="8639175" cy="0"/>
                <wp:effectExtent l="0" t="0" r="9525" b="19050"/>
                <wp:wrapNone/>
                <wp:docPr id="120" name="Straight Connector 120"/>
                <wp:cNvGraphicFramePr/>
                <a:graphic xmlns:a="http://schemas.openxmlformats.org/drawingml/2006/main">
                  <a:graphicData uri="http://schemas.microsoft.com/office/word/2010/wordprocessingShape">
                    <wps:wsp>
                      <wps:cNvCnPr/>
                      <wps:spPr>
                        <a:xfrm>
                          <a:off x="0" y="0"/>
                          <a:ext cx="863917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2.05pt" to="679.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" strokecolor="#1b587c [3206]" strokeweight="1pt"/>
            </w:pict>
          </mc:Fallback>
        </mc:AlternateContent>
      </w:r>
      <w:r w:rsidR="003C4857">
        <w:rPr>
          <w:sz w:val="24"/>
        </w:rPr>
        <w:t>Among the United States, Tennessee has the 5</w:t>
      </w:r>
      <w:r w:rsidR="003C4857" w:rsidRPr="008955CD">
        <w:rPr>
          <w:sz w:val="24"/>
          <w:vertAlign w:val="superscript"/>
        </w:rPr>
        <w:t>th</w:t>
      </w:r>
      <w:r w:rsidR="003C4857">
        <w:rPr>
          <w:sz w:val="24"/>
        </w:rPr>
        <w:t xml:space="preserve"> highest lung and bronchus cancer incidence rate, the 34</w:t>
      </w:r>
      <w:r w:rsidR="003C4857" w:rsidRPr="008955CD">
        <w:rPr>
          <w:sz w:val="24"/>
          <w:vertAlign w:val="superscript"/>
        </w:rPr>
        <w:t>th</w:t>
      </w:r>
      <w:r w:rsidR="003C4857">
        <w:rPr>
          <w:sz w:val="24"/>
        </w:rPr>
        <w:t xml:space="preserve"> highest female breast cancer incidence rate, the 12</w:t>
      </w:r>
      <w:r w:rsidR="003C4857" w:rsidRPr="008955CD">
        <w:rPr>
          <w:sz w:val="24"/>
          <w:vertAlign w:val="superscript"/>
        </w:rPr>
        <w:t>th</w:t>
      </w:r>
      <w:r w:rsidR="003C4857">
        <w:rPr>
          <w:sz w:val="24"/>
        </w:rPr>
        <w:t xml:space="preserve"> highest prostate cancer incidence rate, the 18</w:t>
      </w:r>
      <w:r w:rsidR="003C4857" w:rsidRPr="008955CD">
        <w:rPr>
          <w:sz w:val="24"/>
          <w:vertAlign w:val="superscript"/>
        </w:rPr>
        <w:t>th</w:t>
      </w:r>
      <w:r w:rsidR="003C4857">
        <w:rPr>
          <w:sz w:val="24"/>
        </w:rPr>
        <w:t xml:space="preserve"> highest colorectal incidence rate, </w:t>
      </w:r>
      <w:r w:rsidR="00D461FC">
        <w:rPr>
          <w:sz w:val="24"/>
        </w:rPr>
        <w:t>4</w:t>
      </w:r>
      <w:r w:rsidR="007B1C89">
        <w:rPr>
          <w:sz w:val="24"/>
        </w:rPr>
        <w:t>2</w:t>
      </w:r>
      <w:r w:rsidR="007B1C89" w:rsidRPr="007B1C89">
        <w:rPr>
          <w:sz w:val="24"/>
          <w:vertAlign w:val="superscript"/>
        </w:rPr>
        <w:t>nd</w:t>
      </w:r>
      <w:r w:rsidR="007B1C89">
        <w:rPr>
          <w:sz w:val="24"/>
        </w:rPr>
        <w:t xml:space="preserve"> </w:t>
      </w:r>
      <w:r w:rsidR="00D461FC">
        <w:rPr>
          <w:sz w:val="24"/>
        </w:rPr>
        <w:t>highest</w:t>
      </w:r>
      <w:r w:rsidR="003C4857">
        <w:rPr>
          <w:sz w:val="24"/>
        </w:rPr>
        <w:t xml:space="preserve"> pancreatic cancer incidence rate</w:t>
      </w:r>
      <w:r w:rsidR="00D34E8A">
        <w:rPr>
          <w:sz w:val="24"/>
        </w:rPr>
        <w:t>, and the 32</w:t>
      </w:r>
      <w:r w:rsidR="00D34E8A" w:rsidRPr="00D34E8A">
        <w:rPr>
          <w:sz w:val="24"/>
          <w:vertAlign w:val="superscript"/>
        </w:rPr>
        <w:t>nd</w:t>
      </w:r>
      <w:r w:rsidR="00D34E8A">
        <w:rPr>
          <w:sz w:val="24"/>
        </w:rPr>
        <w:t xml:space="preserve"> highest skin cancer rate</w:t>
      </w:r>
      <w:r w:rsidR="003C4857">
        <w:rPr>
          <w:sz w:val="24"/>
        </w:rPr>
        <w:t>. Conversely, Tennessee has the 4</w:t>
      </w:r>
      <w:r w:rsidR="003C4857" w:rsidRPr="008955CD">
        <w:rPr>
          <w:sz w:val="24"/>
          <w:vertAlign w:val="superscript"/>
        </w:rPr>
        <w:t>th</w:t>
      </w:r>
      <w:r w:rsidR="003C4857">
        <w:rPr>
          <w:sz w:val="24"/>
        </w:rPr>
        <w:t xml:space="preserve"> highest lung and bronchus cancer mortality rate, the </w:t>
      </w:r>
      <w:r w:rsidR="008E0279">
        <w:rPr>
          <w:sz w:val="24"/>
        </w:rPr>
        <w:t>10</w:t>
      </w:r>
      <w:r w:rsidR="003C4857" w:rsidRPr="008955CD">
        <w:rPr>
          <w:sz w:val="24"/>
          <w:vertAlign w:val="superscript"/>
        </w:rPr>
        <w:t>th</w:t>
      </w:r>
      <w:r w:rsidR="003C4857">
        <w:rPr>
          <w:sz w:val="24"/>
        </w:rPr>
        <w:t xml:space="preserve"> highest female breast cancer mortality rate, the </w:t>
      </w:r>
      <w:r w:rsidR="00734FE3">
        <w:rPr>
          <w:sz w:val="24"/>
        </w:rPr>
        <w:t>25</w:t>
      </w:r>
      <w:r w:rsidR="003C4857" w:rsidRPr="008955CD">
        <w:rPr>
          <w:sz w:val="24"/>
          <w:vertAlign w:val="superscript"/>
        </w:rPr>
        <w:t>th</w:t>
      </w:r>
      <w:r w:rsidR="003C4857">
        <w:rPr>
          <w:sz w:val="24"/>
        </w:rPr>
        <w:t xml:space="preserve"> highest prostate cancer mortality rate, the </w:t>
      </w:r>
      <w:r w:rsidR="00734FE3">
        <w:rPr>
          <w:sz w:val="24"/>
        </w:rPr>
        <w:t>8</w:t>
      </w:r>
      <w:r w:rsidR="003C4857" w:rsidRPr="008955CD">
        <w:rPr>
          <w:sz w:val="24"/>
          <w:vertAlign w:val="superscript"/>
        </w:rPr>
        <w:t>th</w:t>
      </w:r>
      <w:r w:rsidR="003C4857">
        <w:rPr>
          <w:sz w:val="24"/>
        </w:rPr>
        <w:t xml:space="preserve"> highest colorectal mortality rate, the </w:t>
      </w:r>
      <w:r w:rsidR="007B1C89">
        <w:rPr>
          <w:sz w:val="24"/>
        </w:rPr>
        <w:t>38</w:t>
      </w:r>
      <w:r w:rsidR="007B1C89" w:rsidRPr="007B1C89">
        <w:rPr>
          <w:sz w:val="24"/>
          <w:vertAlign w:val="superscript"/>
        </w:rPr>
        <w:t>th</w:t>
      </w:r>
      <w:r w:rsidR="007B1C89">
        <w:rPr>
          <w:sz w:val="24"/>
        </w:rPr>
        <w:t xml:space="preserve"> </w:t>
      </w:r>
      <w:r w:rsidR="003C4857">
        <w:rPr>
          <w:sz w:val="24"/>
        </w:rPr>
        <w:t xml:space="preserve">highest pancreatic cancer mortality rate, and the </w:t>
      </w:r>
      <w:r w:rsidR="00E957AA">
        <w:rPr>
          <w:sz w:val="24"/>
        </w:rPr>
        <w:t>16</w:t>
      </w:r>
      <w:r w:rsidR="003C4857" w:rsidRPr="008955CD">
        <w:rPr>
          <w:sz w:val="24"/>
          <w:vertAlign w:val="superscript"/>
        </w:rPr>
        <w:t>th</w:t>
      </w:r>
      <w:r w:rsidR="003C4857">
        <w:rPr>
          <w:sz w:val="24"/>
        </w:rPr>
        <w:t xml:space="preserve"> highest skin cancer mortality rate amongst the United States. Among the United States, Tennessee ranks as 45</w:t>
      </w:r>
      <w:r w:rsidR="003C4857" w:rsidRPr="00A17AC8">
        <w:rPr>
          <w:sz w:val="24"/>
          <w:vertAlign w:val="superscript"/>
        </w:rPr>
        <w:t>th</w:t>
      </w:r>
      <w:r w:rsidR="003C4857">
        <w:rPr>
          <w:sz w:val="24"/>
        </w:rPr>
        <w:t xml:space="preserve"> unhealthiest states overall; physical inactivity, obesity and smoking were ranked 49</w:t>
      </w:r>
      <w:r w:rsidR="003C4857" w:rsidRPr="00A17AC8">
        <w:rPr>
          <w:sz w:val="24"/>
          <w:vertAlign w:val="superscript"/>
        </w:rPr>
        <w:t>th</w:t>
      </w:r>
      <w:r w:rsidR="003C4857">
        <w:rPr>
          <w:sz w:val="24"/>
        </w:rPr>
        <w:t>, 47</w:t>
      </w:r>
      <w:r w:rsidR="003C4857" w:rsidRPr="00A17AC8">
        <w:rPr>
          <w:sz w:val="24"/>
          <w:vertAlign w:val="superscript"/>
        </w:rPr>
        <w:t>th</w:t>
      </w:r>
      <w:r w:rsidR="003C4857">
        <w:rPr>
          <w:sz w:val="24"/>
        </w:rPr>
        <w:t>, and 46</w:t>
      </w:r>
      <w:r w:rsidR="003C4857" w:rsidRPr="00A17AC8">
        <w:rPr>
          <w:sz w:val="24"/>
          <w:vertAlign w:val="superscript"/>
        </w:rPr>
        <w:t>th</w:t>
      </w:r>
      <w:r w:rsidR="003C4857">
        <w:rPr>
          <w:sz w:val="24"/>
        </w:rPr>
        <w:t xml:space="preserve"> respectively.</w:t>
      </w:r>
    </w:p>
    <w:p w:rsidR="00A03F6C" w:rsidRDefault="00A03F6C" w:rsidP="00F37C3F">
      <w:pPr>
        <w:pStyle w:val="Heading1"/>
      </w:pPr>
      <w:bookmarkStart w:id="3" w:name="_Toc421608505"/>
      <w:bookmarkStart w:id="4" w:name="_Toc421609323"/>
      <w:bookmarkStart w:id="5" w:name="_Toc421609657"/>
      <w:bookmarkStart w:id="6" w:name="_Toc421611183"/>
      <w:bookmarkStart w:id="7" w:name="_Toc439918814"/>
      <w:r>
        <w:lastRenderedPageBreak/>
        <w:t>Preface</w:t>
      </w:r>
      <w:bookmarkEnd w:id="3"/>
      <w:bookmarkEnd w:id="4"/>
      <w:bookmarkEnd w:id="5"/>
      <w:bookmarkEnd w:id="6"/>
      <w:bookmarkEnd w:id="7"/>
    </w:p>
    <w:p w:rsidR="00AC7495" w:rsidRDefault="00AC7495" w:rsidP="001F1256">
      <w:pPr>
        <w:jc w:val="both"/>
        <w:rPr>
          <w:rFonts w:cs="Times New Roman"/>
          <w:color w:val="000000"/>
          <w:sz w:val="24"/>
          <w:szCs w:val="24"/>
        </w:rPr>
      </w:pPr>
      <w:r>
        <w:rPr>
          <w:rFonts w:cs="Times New Roman"/>
          <w:color w:val="000000"/>
          <w:sz w:val="24"/>
          <w:szCs w:val="24"/>
        </w:rPr>
        <w:t xml:space="preserve">This report contains cancer incidence and mortality data for the entire state of Tennessee from </w:t>
      </w:r>
      <w:r w:rsidR="00472BCC">
        <w:rPr>
          <w:rFonts w:cs="Times New Roman"/>
          <w:color w:val="000000"/>
          <w:sz w:val="24"/>
          <w:szCs w:val="24"/>
        </w:rPr>
        <w:t>2</w:t>
      </w:r>
      <w:r>
        <w:rPr>
          <w:rFonts w:cs="Times New Roman"/>
          <w:color w:val="000000"/>
          <w:sz w:val="24"/>
          <w:szCs w:val="24"/>
        </w:rPr>
        <w:t xml:space="preserve">008 through 2012, with some comparisons to national rates. Data collected by the Tennessee Cancer Registry (TCR) as well as cancer registries nationwide made the creation of this report possible. The report published by TCR is meant to serve as a reference for researchers and the general public. For additional information and publications from the TCR, we encourage you to visit our website at </w:t>
      </w:r>
      <w:hyperlink r:id="rId13" w:history="1">
        <w:r w:rsidR="00253BF1" w:rsidRPr="00253BF1">
          <w:rPr>
            <w:rStyle w:val="Hyperlink"/>
            <w:sz w:val="24"/>
            <w:szCs w:val="24"/>
          </w:rPr>
          <w:t>http://tn.gov/health/section/tcr</w:t>
        </w:r>
      </w:hyperlink>
      <w:r w:rsidRPr="00253BF1">
        <w:rPr>
          <w:rFonts w:cs="Times New Roman"/>
          <w:color w:val="000000"/>
          <w:sz w:val="24"/>
          <w:szCs w:val="24"/>
        </w:rPr>
        <w:t>.</w:t>
      </w:r>
      <w:r>
        <w:rPr>
          <w:rFonts w:cs="Times New Roman"/>
          <w:color w:val="000000"/>
          <w:sz w:val="24"/>
          <w:szCs w:val="24"/>
        </w:rPr>
        <w:t xml:space="preserve"> </w:t>
      </w:r>
    </w:p>
    <w:p w:rsidR="00AC7495" w:rsidRPr="00976CBD" w:rsidRDefault="00AC7495" w:rsidP="00903E48">
      <w:pPr>
        <w:pStyle w:val="Heading2"/>
      </w:pPr>
      <w:r w:rsidRPr="00976CBD">
        <w:t xml:space="preserve"> </w:t>
      </w:r>
      <w:bookmarkStart w:id="8" w:name="_Toc421608506"/>
      <w:bookmarkStart w:id="9" w:name="_Toc421609324"/>
      <w:bookmarkStart w:id="10" w:name="_Toc421609658"/>
      <w:bookmarkStart w:id="11" w:name="_Toc421611184"/>
      <w:bookmarkStart w:id="12" w:name="_Toc439918815"/>
      <w:r w:rsidRPr="00976CBD">
        <w:t>History of the Tennessee Cancer Registry</w:t>
      </w:r>
      <w:bookmarkEnd w:id="8"/>
      <w:bookmarkEnd w:id="9"/>
      <w:bookmarkEnd w:id="10"/>
      <w:bookmarkEnd w:id="11"/>
      <w:bookmarkEnd w:id="12"/>
      <w:r w:rsidRPr="00976CBD">
        <w:t xml:space="preserve"> </w:t>
      </w:r>
    </w:p>
    <w:p w:rsidR="00DB1F3F" w:rsidRDefault="00AC7495" w:rsidP="00CA39A5">
      <w:pPr>
        <w:spacing w:before="0"/>
        <w:jc w:val="both"/>
        <w:rPr>
          <w:rFonts w:cs="Times New Roman"/>
          <w:color w:val="000000"/>
          <w:sz w:val="24"/>
          <w:szCs w:val="24"/>
        </w:rPr>
      </w:pPr>
      <w:r>
        <w:rPr>
          <w:rFonts w:cs="Times New Roman"/>
          <w:color w:val="000000"/>
          <w:sz w:val="24"/>
          <w:szCs w:val="24"/>
        </w:rPr>
        <w:t xml:space="preserve">The Tennessee Cancer Registry, which was </w:t>
      </w:r>
      <w:r w:rsidRPr="00AC7495">
        <w:rPr>
          <w:rFonts w:cs="Times New Roman"/>
          <w:color w:val="000000"/>
          <w:sz w:val="24"/>
          <w:szCs w:val="24"/>
        </w:rPr>
        <w:t xml:space="preserve">established in 1983 by the Department of Health, is legislatively mandated to collect </w:t>
      </w:r>
      <w:r w:rsidR="006F6C5A">
        <w:rPr>
          <w:rFonts w:cs="Times New Roman"/>
          <w:color w:val="000000"/>
          <w:sz w:val="24"/>
          <w:szCs w:val="24"/>
        </w:rPr>
        <w:t xml:space="preserve">information on </w:t>
      </w:r>
      <w:r w:rsidRPr="00AC7495">
        <w:rPr>
          <w:rFonts w:cs="Times New Roman"/>
          <w:color w:val="000000"/>
          <w:sz w:val="24"/>
          <w:szCs w:val="24"/>
        </w:rPr>
        <w:t xml:space="preserve">all reportable cancer diagnoses in Tennessee, including non-residents diagnosed </w:t>
      </w:r>
      <w:r w:rsidR="006F6C5A">
        <w:rPr>
          <w:rFonts w:cs="Times New Roman"/>
          <w:color w:val="000000"/>
          <w:sz w:val="24"/>
          <w:szCs w:val="24"/>
        </w:rPr>
        <w:t xml:space="preserve">and/or treated </w:t>
      </w:r>
      <w:r w:rsidRPr="00AC7495">
        <w:rPr>
          <w:rFonts w:cs="Times New Roman"/>
          <w:color w:val="000000"/>
          <w:sz w:val="24"/>
          <w:szCs w:val="24"/>
        </w:rPr>
        <w:t xml:space="preserve">in Tennessee. </w:t>
      </w:r>
      <w:r w:rsidR="00DB1F3F" w:rsidRPr="00DB1F3F">
        <w:rPr>
          <w:rFonts w:cs="Times New Roman"/>
          <w:color w:val="000000"/>
          <w:sz w:val="24"/>
          <w:szCs w:val="24"/>
        </w:rPr>
        <w:t xml:space="preserve">CDC funding for the TCR began in 1997 and the first diagnosis year for which cancer cases were reportable to CDC was 1999. The TCR is currently a gold-certified registry, the highest level of certification by the North American Association of Central Cancer Registries. The TCR has met national standards of data completeness and quality since the 2004 diagnosis year. It should be noted that data collected during the 2004 diagnosis year was less than 95% complete, the level needed to attain gold-certified status, whereas 2005-2012 data exceeded the 95% completeness threshold level. </w:t>
      </w:r>
    </w:p>
    <w:p w:rsidR="00DB1F3F" w:rsidRDefault="00AC7495" w:rsidP="001F1256">
      <w:pPr>
        <w:jc w:val="both"/>
        <w:rPr>
          <w:rFonts w:cs="Times New Roman"/>
          <w:color w:val="000000"/>
          <w:sz w:val="24"/>
          <w:szCs w:val="24"/>
        </w:rPr>
      </w:pPr>
      <w:r w:rsidRPr="00AC7495">
        <w:rPr>
          <w:rFonts w:cs="Times New Roman"/>
          <w:color w:val="000000"/>
          <w:sz w:val="24"/>
          <w:szCs w:val="24"/>
        </w:rPr>
        <w:t>In collaboration with local health care facilities and cancer registrars, TCR staff members identify inciden</w:t>
      </w:r>
      <w:r w:rsidR="005A4106">
        <w:rPr>
          <w:rFonts w:cs="Times New Roman"/>
          <w:color w:val="000000"/>
          <w:sz w:val="24"/>
          <w:szCs w:val="24"/>
        </w:rPr>
        <w:t>ce</w:t>
      </w:r>
      <w:r w:rsidRPr="00AC7495">
        <w:rPr>
          <w:rFonts w:cs="Times New Roman"/>
          <w:color w:val="000000"/>
          <w:sz w:val="24"/>
          <w:szCs w:val="24"/>
        </w:rPr>
        <w:t xml:space="preserve"> cases of cancer through routine, systematic review of pathology reports, medical records, radiation therapy records, hospital discharge lists, and state vital records. Information regarding patient characteristics, cancer diagnosis, and first-course treatment is ascertained primarily from specific statements in the medical record and other sources such as death certificates and physician reports.</w:t>
      </w:r>
      <w:r w:rsidR="00DB1F3F">
        <w:rPr>
          <w:rFonts w:cs="Times New Roman"/>
          <w:color w:val="000000"/>
          <w:sz w:val="24"/>
          <w:szCs w:val="24"/>
        </w:rPr>
        <w:t xml:space="preserve"> The cancer data in this report is dynamic and it is possible that even after the standard reporting delay, a few cases may be reported, which may have a minor impact on the most recent year of diagnosis.</w:t>
      </w:r>
    </w:p>
    <w:p w:rsidR="00DB1F3F" w:rsidRPr="00976CBD" w:rsidRDefault="00724FEC" w:rsidP="00903E48">
      <w:pPr>
        <w:pStyle w:val="Heading2"/>
      </w:pPr>
      <w:bookmarkStart w:id="13" w:name="_Toc439918816"/>
      <w:r>
        <w:t xml:space="preserve">Purpose of </w:t>
      </w:r>
      <w:r w:rsidR="002A205A">
        <w:t xml:space="preserve">the </w:t>
      </w:r>
      <w:r>
        <w:t>Tennessee Cancer Registry</w:t>
      </w:r>
      <w:bookmarkEnd w:id="13"/>
      <w:r>
        <w:t xml:space="preserve">  </w:t>
      </w:r>
    </w:p>
    <w:p w:rsidR="00724FEC" w:rsidRDefault="00724FEC" w:rsidP="008A7576">
      <w:pPr>
        <w:pStyle w:val="ListParagraph"/>
        <w:numPr>
          <w:ilvl w:val="0"/>
          <w:numId w:val="31"/>
        </w:numPr>
        <w:spacing w:before="0" w:after="0"/>
      </w:pPr>
      <w:r>
        <w:t xml:space="preserve">To collect accurate information on cancer </w:t>
      </w:r>
      <w:r w:rsidR="002A205A">
        <w:t xml:space="preserve">cases </w:t>
      </w:r>
      <w:r>
        <w:t xml:space="preserve">diagnosed </w:t>
      </w:r>
      <w:r w:rsidR="002A205A">
        <w:t xml:space="preserve">and/or treated </w:t>
      </w:r>
      <w:r>
        <w:t xml:space="preserve">in Tennessee annually. </w:t>
      </w:r>
    </w:p>
    <w:p w:rsidR="00724FEC" w:rsidRPr="000064FB" w:rsidRDefault="00724FEC" w:rsidP="008A7576">
      <w:pPr>
        <w:pStyle w:val="ListParagraph"/>
        <w:numPr>
          <w:ilvl w:val="0"/>
          <w:numId w:val="31"/>
        </w:numPr>
        <w:spacing w:before="0"/>
      </w:pPr>
      <w:r>
        <w:t>To increase awareness of cancer in Tennessee.</w:t>
      </w:r>
    </w:p>
    <w:p w:rsidR="00724FEC" w:rsidRDefault="00724FEC" w:rsidP="008A7576">
      <w:pPr>
        <w:pStyle w:val="ListParagraph"/>
        <w:numPr>
          <w:ilvl w:val="0"/>
          <w:numId w:val="31"/>
        </w:numPr>
        <w:spacing w:before="0"/>
      </w:pPr>
      <w:r>
        <w:t>To promote and assist hospital cancer registries in each facility with coding of cancer abstracts.</w:t>
      </w:r>
    </w:p>
    <w:p w:rsidR="00724FEC" w:rsidRDefault="00724FEC" w:rsidP="008A7576">
      <w:pPr>
        <w:pStyle w:val="ListParagraph"/>
        <w:numPr>
          <w:ilvl w:val="0"/>
          <w:numId w:val="31"/>
        </w:numPr>
        <w:spacing w:before="0"/>
      </w:pPr>
      <w:r>
        <w:t>To provide information to the public regarding cancer incidence and mortality in Tennessee.</w:t>
      </w:r>
    </w:p>
    <w:p w:rsidR="00724FEC" w:rsidRDefault="00724FEC" w:rsidP="008A7576">
      <w:pPr>
        <w:pStyle w:val="ListParagraph"/>
        <w:numPr>
          <w:ilvl w:val="0"/>
          <w:numId w:val="31"/>
        </w:numPr>
        <w:spacing w:before="0"/>
      </w:pPr>
      <w:r>
        <w:t xml:space="preserve">To serve as </w:t>
      </w:r>
      <w:r w:rsidR="00F10BF2">
        <w:t xml:space="preserve">a data repository </w:t>
      </w:r>
      <w:r>
        <w:t>for those requesting information on cancer, its effects, treatment, risk factors, and prevention</w:t>
      </w:r>
      <w:r w:rsidR="00F10BF2">
        <w:t>.</w:t>
      </w:r>
    </w:p>
    <w:p w:rsidR="00DB1F3F" w:rsidRDefault="00D01AC2" w:rsidP="008A7576">
      <w:pPr>
        <w:pStyle w:val="ListParagraph"/>
        <w:numPr>
          <w:ilvl w:val="0"/>
          <w:numId w:val="31"/>
        </w:numPr>
        <w:spacing w:before="0"/>
      </w:pPr>
      <w:r>
        <w:rPr>
          <w:noProof/>
          <w:sz w:val="22"/>
          <w:lang w:bidi="ar-SA"/>
        </w:rPr>
        <mc:AlternateContent>
          <mc:Choice Requires="wps">
            <w:drawing>
              <wp:anchor distT="0" distB="0" distL="114300" distR="114300" simplePos="0" relativeHeight="252322816" behindDoc="0" locked="0" layoutInCell="1" allowOverlap="1" wp14:anchorId="3B5AB208" wp14:editId="216CC150">
                <wp:simplePos x="0" y="0"/>
                <wp:positionH relativeFrom="column">
                  <wp:posOffset>0</wp:posOffset>
                </wp:positionH>
                <wp:positionV relativeFrom="paragraph">
                  <wp:posOffset>346951</wp:posOffset>
                </wp:positionV>
                <wp:extent cx="8639175" cy="0"/>
                <wp:effectExtent l="0" t="0" r="9525" b="19050"/>
                <wp:wrapNone/>
                <wp:docPr id="122" name="Straight Connector 122"/>
                <wp:cNvGraphicFramePr/>
                <a:graphic xmlns:a="http://schemas.openxmlformats.org/drawingml/2006/main">
                  <a:graphicData uri="http://schemas.microsoft.com/office/word/2010/wordprocessingShape">
                    <wps:wsp>
                      <wps:cNvCnPr/>
                      <wps:spPr>
                        <a:xfrm>
                          <a:off x="0" y="0"/>
                          <a:ext cx="863917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2"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3pt" to="68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" strokecolor="#1b587c [3206]" strokeweight="1pt"/>
            </w:pict>
          </mc:Fallback>
        </mc:AlternateContent>
      </w:r>
      <w:r w:rsidR="00724FEC">
        <w:t>To support epidemiological research into the cause, distribution, prevention, and treatment of cancer.</w:t>
      </w:r>
    </w:p>
    <w:p w:rsidR="00DB1F3F" w:rsidRPr="00976CBD" w:rsidRDefault="00256F86" w:rsidP="00903E48">
      <w:pPr>
        <w:pStyle w:val="Heading2"/>
      </w:pPr>
      <w:bookmarkStart w:id="14" w:name="_Toc439918817"/>
      <w:r>
        <w:lastRenderedPageBreak/>
        <w:t>Confidentiality of Patient Data</w:t>
      </w:r>
      <w:bookmarkEnd w:id="14"/>
    </w:p>
    <w:p w:rsidR="00724FEC" w:rsidRDefault="00724FEC" w:rsidP="001F1256">
      <w:pPr>
        <w:jc w:val="both"/>
        <w:rPr>
          <w:rFonts w:cs="Times New Roman"/>
          <w:color w:val="000000"/>
          <w:sz w:val="24"/>
          <w:szCs w:val="24"/>
        </w:rPr>
      </w:pPr>
      <w:r w:rsidRPr="00724FEC">
        <w:rPr>
          <w:rFonts w:cs="Times New Roman"/>
          <w:color w:val="000000"/>
          <w:sz w:val="24"/>
          <w:szCs w:val="24"/>
        </w:rPr>
        <w:t>All information obtained on patients shall be considered extremely classified. Absolutely no personal or identifying information, such as name or social security number, can be released to researchers unl</w:t>
      </w:r>
      <w:r w:rsidR="0015319F">
        <w:rPr>
          <w:rFonts w:cs="Times New Roman"/>
          <w:color w:val="000000"/>
          <w:sz w:val="24"/>
          <w:szCs w:val="24"/>
        </w:rPr>
        <w:t>ess Institutional Review Board</w:t>
      </w:r>
      <w:r w:rsidR="00460F4F">
        <w:rPr>
          <w:rFonts w:cs="Times New Roman"/>
          <w:color w:val="000000"/>
          <w:sz w:val="24"/>
          <w:szCs w:val="24"/>
        </w:rPr>
        <w:t xml:space="preserve"> (IRB)</w:t>
      </w:r>
      <w:r w:rsidR="0015319F">
        <w:rPr>
          <w:rFonts w:cs="Times New Roman"/>
          <w:color w:val="000000"/>
          <w:sz w:val="24"/>
          <w:szCs w:val="24"/>
        </w:rPr>
        <w:t xml:space="preserve"> a</w:t>
      </w:r>
      <w:r w:rsidRPr="00724FEC">
        <w:rPr>
          <w:rFonts w:cs="Times New Roman"/>
          <w:color w:val="000000"/>
          <w:sz w:val="24"/>
          <w:szCs w:val="24"/>
        </w:rPr>
        <w:t>pproval is obtained. All information shall be used solely for statistical, scientific and medical research purposes and shall be held strictly confidential by the TCR.</w:t>
      </w:r>
    </w:p>
    <w:p w:rsidR="00E34F04" w:rsidRPr="00976CBD" w:rsidRDefault="00E34F04" w:rsidP="00903E48">
      <w:pPr>
        <w:pStyle w:val="Heading2"/>
        <w:rPr>
          <w:noProof/>
          <w:lang w:bidi="ar-SA"/>
        </w:rPr>
      </w:pPr>
      <w:bookmarkStart w:id="15" w:name="_Toc421608509"/>
      <w:bookmarkStart w:id="16" w:name="_Toc421609327"/>
      <w:bookmarkStart w:id="17" w:name="_Toc421609661"/>
      <w:bookmarkStart w:id="18" w:name="_Toc421611187"/>
      <w:bookmarkStart w:id="19" w:name="_Toc439918818"/>
      <w:r w:rsidRPr="00976CBD">
        <w:rPr>
          <w:noProof/>
          <w:lang w:bidi="ar-SA"/>
        </w:rPr>
        <w:t>Tennessee Cancer Registry</w:t>
      </w:r>
      <w:bookmarkEnd w:id="15"/>
      <w:bookmarkEnd w:id="16"/>
      <w:bookmarkEnd w:id="17"/>
      <w:bookmarkEnd w:id="18"/>
      <w:bookmarkEnd w:id="19"/>
      <w:r w:rsidRPr="00976CBD">
        <w:rPr>
          <w:noProof/>
          <w:lang w:bidi="ar-SA"/>
        </w:rPr>
        <w:t xml:space="preserve"> </w:t>
      </w:r>
    </w:p>
    <w:p w:rsidR="00AA76EA" w:rsidRDefault="00AA76EA" w:rsidP="001F1256">
      <w:pPr>
        <w:jc w:val="both"/>
        <w:rPr>
          <w:rFonts w:cs="Times New Roman"/>
          <w:color w:val="000000"/>
          <w:sz w:val="24"/>
          <w:szCs w:val="24"/>
        </w:rPr>
      </w:pPr>
      <w:r>
        <w:rPr>
          <w:noProof/>
          <w:sz w:val="24"/>
          <w:lang w:bidi="ar-SA"/>
        </w:rPr>
        <w:t>As a</w:t>
      </w:r>
      <w:r w:rsidR="002A205A">
        <w:rPr>
          <w:noProof/>
          <w:sz w:val="24"/>
          <w:lang w:bidi="ar-SA"/>
        </w:rPr>
        <w:t>n affiliate of the</w:t>
      </w:r>
      <w:r>
        <w:rPr>
          <w:noProof/>
          <w:sz w:val="24"/>
          <w:lang w:bidi="ar-SA"/>
        </w:rPr>
        <w:t xml:space="preserve"> Tennessee Department of Health, the Tennessee Cancer Registry would like to give special thanks to </w:t>
      </w:r>
      <w:r w:rsidR="002A205A">
        <w:rPr>
          <w:noProof/>
          <w:sz w:val="24"/>
          <w:lang w:bidi="ar-SA"/>
        </w:rPr>
        <w:t xml:space="preserve">the </w:t>
      </w:r>
      <w:r w:rsidRPr="00C644F8">
        <w:rPr>
          <w:rFonts w:cs="Times New Roman"/>
          <w:color w:val="000000"/>
          <w:sz w:val="24"/>
          <w:szCs w:val="24"/>
        </w:rPr>
        <w:t>Centers for Disease Control and Prevention</w:t>
      </w:r>
      <w:r>
        <w:rPr>
          <w:rFonts w:cs="Times New Roman"/>
          <w:color w:val="000000"/>
          <w:sz w:val="24"/>
          <w:szCs w:val="24"/>
        </w:rPr>
        <w:t xml:space="preserve"> for their financial support. </w:t>
      </w:r>
      <w:r w:rsidR="004F5160">
        <w:rPr>
          <w:rFonts w:cs="Times New Roman"/>
          <w:color w:val="000000"/>
          <w:sz w:val="24"/>
          <w:szCs w:val="24"/>
        </w:rPr>
        <w:t xml:space="preserve">Furthermore, </w:t>
      </w:r>
      <w:r w:rsidR="002A205A">
        <w:rPr>
          <w:rFonts w:cs="Times New Roman"/>
          <w:color w:val="000000"/>
          <w:sz w:val="24"/>
          <w:szCs w:val="24"/>
        </w:rPr>
        <w:t xml:space="preserve">the </w:t>
      </w:r>
      <w:r>
        <w:rPr>
          <w:rFonts w:cs="Times New Roman"/>
          <w:color w:val="000000"/>
          <w:sz w:val="24"/>
          <w:szCs w:val="24"/>
        </w:rPr>
        <w:t>TCR would like to thank the following for their professional support:</w:t>
      </w:r>
    </w:p>
    <w:p w:rsidR="00AA76EA" w:rsidRPr="0047521B" w:rsidRDefault="00AA76EA" w:rsidP="00AA76EA">
      <w:pPr>
        <w:pStyle w:val="NoSpacing"/>
        <w:spacing w:line="276" w:lineRule="auto"/>
        <w:ind w:left="720"/>
        <w:rPr>
          <w:noProof/>
          <w:sz w:val="24"/>
          <w:lang w:bidi="ar-SA"/>
        </w:rPr>
      </w:pPr>
      <w:r w:rsidRPr="0047521B">
        <w:rPr>
          <w:b/>
          <w:noProof/>
          <w:sz w:val="24"/>
          <w:lang w:bidi="ar-SA"/>
        </w:rPr>
        <w:t>John J. Dreyzehner,</w:t>
      </w:r>
      <w:r w:rsidRPr="0047521B">
        <w:rPr>
          <w:noProof/>
          <w:sz w:val="24"/>
          <w:lang w:bidi="ar-SA"/>
        </w:rPr>
        <w:t xml:space="preserve"> MD, MPH, FACOEM, Commissioner</w:t>
      </w:r>
    </w:p>
    <w:p w:rsidR="00AA76EA" w:rsidRPr="0047521B" w:rsidRDefault="00AA76EA" w:rsidP="00AA76EA">
      <w:pPr>
        <w:pStyle w:val="NoSpacing"/>
        <w:spacing w:line="276" w:lineRule="auto"/>
        <w:ind w:left="720"/>
        <w:rPr>
          <w:noProof/>
          <w:sz w:val="24"/>
          <w:lang w:bidi="ar-SA"/>
        </w:rPr>
      </w:pPr>
      <w:r w:rsidRPr="0047521B">
        <w:rPr>
          <w:b/>
          <w:noProof/>
          <w:sz w:val="24"/>
          <w:lang w:bidi="ar-SA"/>
        </w:rPr>
        <w:t>David Reagan,</w:t>
      </w:r>
      <w:r w:rsidRPr="0047521B">
        <w:rPr>
          <w:noProof/>
          <w:sz w:val="24"/>
          <w:lang w:bidi="ar-SA"/>
        </w:rPr>
        <w:t xml:space="preserve"> MD, PhD, Chief Medical Officer</w:t>
      </w:r>
    </w:p>
    <w:p w:rsidR="00AA76EA" w:rsidRPr="0047521B" w:rsidRDefault="00AA76EA" w:rsidP="00AA76EA">
      <w:pPr>
        <w:pStyle w:val="NoSpacing"/>
        <w:spacing w:line="276" w:lineRule="auto"/>
        <w:ind w:left="720"/>
        <w:rPr>
          <w:noProof/>
          <w:sz w:val="24"/>
          <w:lang w:bidi="ar-SA"/>
        </w:rPr>
      </w:pPr>
      <w:r w:rsidRPr="0047521B">
        <w:rPr>
          <w:b/>
          <w:noProof/>
          <w:sz w:val="24"/>
          <w:lang w:bidi="ar-SA"/>
        </w:rPr>
        <w:t>Bruce Behringer,</w:t>
      </w:r>
      <w:r w:rsidRPr="0047521B">
        <w:rPr>
          <w:noProof/>
          <w:sz w:val="24"/>
          <w:lang w:bidi="ar-SA"/>
        </w:rPr>
        <w:t xml:space="preserve"> MPH, Deputy Commissioner</w:t>
      </w:r>
    </w:p>
    <w:p w:rsidR="00AA76EA" w:rsidRPr="0047521B" w:rsidRDefault="00AA76EA" w:rsidP="00AA76EA">
      <w:pPr>
        <w:pStyle w:val="NoSpacing"/>
        <w:spacing w:line="276" w:lineRule="auto"/>
        <w:ind w:left="720"/>
        <w:rPr>
          <w:noProof/>
          <w:sz w:val="24"/>
          <w:lang w:bidi="ar-SA"/>
        </w:rPr>
      </w:pPr>
      <w:r w:rsidRPr="0047521B">
        <w:rPr>
          <w:b/>
          <w:noProof/>
          <w:sz w:val="24"/>
          <w:lang w:bidi="ar-SA"/>
        </w:rPr>
        <w:t>Lori B. Ferranti,</w:t>
      </w:r>
      <w:r w:rsidRPr="0047521B">
        <w:rPr>
          <w:noProof/>
          <w:sz w:val="24"/>
          <w:lang w:bidi="ar-SA"/>
        </w:rPr>
        <w:t xml:space="preserve"> PhD, MBA, MSN, Director, Division of Policy, Planning &amp; Assessment</w:t>
      </w:r>
    </w:p>
    <w:p w:rsidR="00AA76EA" w:rsidRPr="00E34F04" w:rsidRDefault="00AA76EA" w:rsidP="00AA76EA">
      <w:pPr>
        <w:pStyle w:val="NoSpacing"/>
        <w:spacing w:line="276" w:lineRule="auto"/>
        <w:ind w:left="720"/>
        <w:rPr>
          <w:noProof/>
          <w:sz w:val="24"/>
          <w:lang w:bidi="ar-SA"/>
        </w:rPr>
      </w:pPr>
      <w:r w:rsidRPr="0047521B">
        <w:rPr>
          <w:b/>
          <w:noProof/>
          <w:sz w:val="24"/>
          <w:lang w:bidi="ar-SA"/>
        </w:rPr>
        <w:t>Martin A. Whiteside,</w:t>
      </w:r>
      <w:r w:rsidRPr="00E34F04">
        <w:rPr>
          <w:noProof/>
          <w:sz w:val="24"/>
          <w:lang w:bidi="ar-SA"/>
        </w:rPr>
        <w:t xml:space="preserve"> DC, PhD, MSPH, Director, Office of Cancer Surveillance</w:t>
      </w:r>
    </w:p>
    <w:p w:rsidR="00AA76EA" w:rsidRPr="0047521B" w:rsidRDefault="00AA76EA" w:rsidP="0047521B">
      <w:pPr>
        <w:spacing w:before="120" w:after="120" w:line="240" w:lineRule="auto"/>
        <w:rPr>
          <w:rFonts w:cs="Times New Roman"/>
          <w:b/>
          <w:bCs/>
          <w:i/>
          <w:color w:val="000000"/>
          <w:sz w:val="24"/>
          <w:szCs w:val="22"/>
        </w:rPr>
      </w:pPr>
      <w:r w:rsidRPr="0047521B">
        <w:rPr>
          <w:rFonts w:cs="Times New Roman"/>
          <w:b/>
          <w:i/>
          <w:color w:val="000000"/>
          <w:sz w:val="24"/>
          <w:szCs w:val="22"/>
        </w:rPr>
        <w:t xml:space="preserve">The mission of the Tennessee Department of Health is to </w:t>
      </w:r>
      <w:r w:rsidRPr="0047521B">
        <w:rPr>
          <w:rFonts w:cs="Times New Roman"/>
          <w:b/>
          <w:bCs/>
          <w:i/>
          <w:color w:val="000000"/>
          <w:sz w:val="24"/>
          <w:szCs w:val="22"/>
        </w:rPr>
        <w:t>protect, promote and improve</w:t>
      </w:r>
      <w:r w:rsidRPr="0047521B">
        <w:rPr>
          <w:rFonts w:cs="Times New Roman"/>
          <w:b/>
          <w:i/>
          <w:color w:val="000000"/>
          <w:sz w:val="24"/>
          <w:szCs w:val="22"/>
        </w:rPr>
        <w:t xml:space="preserve"> the health and prosperity </w:t>
      </w:r>
      <w:r w:rsidRPr="0047521B">
        <w:rPr>
          <w:rFonts w:cs="Times New Roman"/>
          <w:b/>
          <w:bCs/>
          <w:i/>
          <w:color w:val="000000"/>
          <w:sz w:val="24"/>
          <w:szCs w:val="22"/>
        </w:rPr>
        <w:t>of people in Tennessee.</w:t>
      </w:r>
    </w:p>
    <w:p w:rsidR="00E34F04" w:rsidRPr="00E34F04" w:rsidRDefault="00E34F04" w:rsidP="00AA76EA">
      <w:pPr>
        <w:pStyle w:val="NoSpacing"/>
        <w:spacing w:line="276" w:lineRule="auto"/>
        <w:jc w:val="center"/>
        <w:rPr>
          <w:noProof/>
          <w:sz w:val="24"/>
          <w:lang w:bidi="ar-SA"/>
        </w:rPr>
      </w:pPr>
      <w:r w:rsidRPr="00E34F04">
        <w:rPr>
          <w:noProof/>
          <w:sz w:val="24"/>
          <w:lang w:bidi="ar-SA"/>
        </w:rPr>
        <w:t>State of Tennessee</w:t>
      </w:r>
    </w:p>
    <w:p w:rsidR="00E34F04" w:rsidRPr="00E34F04" w:rsidRDefault="00E34F04" w:rsidP="00AA76EA">
      <w:pPr>
        <w:pStyle w:val="NoSpacing"/>
        <w:spacing w:line="276" w:lineRule="auto"/>
        <w:jc w:val="center"/>
        <w:rPr>
          <w:noProof/>
          <w:sz w:val="24"/>
          <w:lang w:bidi="ar-SA"/>
        </w:rPr>
      </w:pPr>
      <w:r w:rsidRPr="00E34F04">
        <w:rPr>
          <w:noProof/>
          <w:sz w:val="24"/>
          <w:lang w:bidi="ar-SA"/>
        </w:rPr>
        <w:t>Department of Health</w:t>
      </w:r>
    </w:p>
    <w:p w:rsidR="00E34F04" w:rsidRPr="00E34F04" w:rsidRDefault="002A205A" w:rsidP="00AA76EA">
      <w:pPr>
        <w:pStyle w:val="NoSpacing"/>
        <w:spacing w:line="276" w:lineRule="auto"/>
        <w:jc w:val="center"/>
        <w:rPr>
          <w:noProof/>
          <w:sz w:val="24"/>
          <w:lang w:bidi="ar-SA"/>
        </w:rPr>
      </w:pPr>
      <w:r>
        <w:rPr>
          <w:noProof/>
          <w:sz w:val="24"/>
          <w:lang w:bidi="ar-SA"/>
        </w:rPr>
        <w:t xml:space="preserve">Division of </w:t>
      </w:r>
      <w:r w:rsidR="00E34F04" w:rsidRPr="00E34F04">
        <w:rPr>
          <w:noProof/>
          <w:sz w:val="24"/>
          <w:lang w:bidi="ar-SA"/>
        </w:rPr>
        <w:t>Policy, Planning and Assessment</w:t>
      </w:r>
    </w:p>
    <w:p w:rsidR="00E34F04" w:rsidRPr="00E34F04" w:rsidRDefault="00E34F04" w:rsidP="00AA76EA">
      <w:pPr>
        <w:pStyle w:val="NoSpacing"/>
        <w:spacing w:line="276" w:lineRule="auto"/>
        <w:jc w:val="center"/>
        <w:rPr>
          <w:noProof/>
          <w:sz w:val="24"/>
          <w:lang w:bidi="ar-SA"/>
        </w:rPr>
      </w:pPr>
      <w:r w:rsidRPr="00E34F04">
        <w:rPr>
          <w:noProof/>
          <w:sz w:val="24"/>
          <w:lang w:bidi="ar-SA"/>
        </w:rPr>
        <w:t>Office of Cancer Surveillance</w:t>
      </w:r>
    </w:p>
    <w:p w:rsidR="00E34F04" w:rsidRPr="00E34F04" w:rsidRDefault="00E34F04" w:rsidP="00AA76EA">
      <w:pPr>
        <w:pStyle w:val="NoSpacing"/>
        <w:spacing w:line="276" w:lineRule="auto"/>
        <w:jc w:val="center"/>
        <w:rPr>
          <w:noProof/>
          <w:sz w:val="24"/>
          <w:lang w:bidi="ar-SA"/>
        </w:rPr>
      </w:pPr>
      <w:r w:rsidRPr="00E34F04">
        <w:rPr>
          <w:noProof/>
          <w:sz w:val="24"/>
          <w:lang w:bidi="ar-SA"/>
        </w:rPr>
        <w:t>Tennessee Cancer Registry</w:t>
      </w:r>
    </w:p>
    <w:p w:rsidR="00E34F04" w:rsidRPr="00E34F04" w:rsidRDefault="00E34F04" w:rsidP="00AA76EA">
      <w:pPr>
        <w:pStyle w:val="NoSpacing"/>
        <w:spacing w:line="276" w:lineRule="auto"/>
        <w:jc w:val="center"/>
        <w:rPr>
          <w:noProof/>
          <w:sz w:val="24"/>
          <w:lang w:bidi="ar-SA"/>
        </w:rPr>
      </w:pPr>
      <w:r w:rsidRPr="00E34F04">
        <w:rPr>
          <w:noProof/>
          <w:sz w:val="24"/>
          <w:lang w:bidi="ar-SA"/>
        </w:rPr>
        <w:t>710 James Robertson Parkway</w:t>
      </w:r>
    </w:p>
    <w:p w:rsidR="00E34F04" w:rsidRPr="00E34F04" w:rsidRDefault="00E34F04" w:rsidP="00AA76EA">
      <w:pPr>
        <w:pStyle w:val="NoSpacing"/>
        <w:spacing w:line="276" w:lineRule="auto"/>
        <w:jc w:val="center"/>
        <w:rPr>
          <w:noProof/>
          <w:sz w:val="24"/>
          <w:lang w:bidi="ar-SA"/>
        </w:rPr>
      </w:pPr>
      <w:r w:rsidRPr="00E34F04">
        <w:rPr>
          <w:noProof/>
          <w:sz w:val="24"/>
          <w:lang w:bidi="ar-SA"/>
        </w:rPr>
        <w:t>Nashville, Tennessee 37243</w:t>
      </w:r>
    </w:p>
    <w:p w:rsidR="00E34F04" w:rsidRDefault="00E34F04" w:rsidP="00AA76EA">
      <w:pPr>
        <w:pStyle w:val="NoSpacing"/>
        <w:spacing w:line="276" w:lineRule="auto"/>
        <w:jc w:val="center"/>
        <w:rPr>
          <w:noProof/>
          <w:sz w:val="24"/>
          <w:lang w:bidi="ar-SA"/>
        </w:rPr>
      </w:pPr>
      <w:r w:rsidRPr="00E34F04">
        <w:rPr>
          <w:noProof/>
          <w:sz w:val="24"/>
          <w:lang w:bidi="ar-SA"/>
        </w:rPr>
        <w:t>Phone: (615)741-5548 or 800-547-3558</w:t>
      </w:r>
    </w:p>
    <w:p w:rsidR="00253BF1" w:rsidRDefault="00253BF1" w:rsidP="00AA76EA">
      <w:pPr>
        <w:pStyle w:val="NoSpacing"/>
        <w:spacing w:line="276" w:lineRule="auto"/>
        <w:jc w:val="center"/>
        <w:rPr>
          <w:noProof/>
          <w:sz w:val="24"/>
          <w:lang w:bidi="ar-SA"/>
        </w:rPr>
      </w:pPr>
    </w:p>
    <w:p w:rsidR="00253BF1" w:rsidRPr="00253BF1" w:rsidRDefault="0047521B" w:rsidP="00253BF1">
      <w:pPr>
        <w:pStyle w:val="NoSpacing"/>
        <w:jc w:val="center"/>
        <w:rPr>
          <w:b/>
          <w:i/>
          <w:sz w:val="24"/>
          <w:szCs w:val="24"/>
        </w:rPr>
      </w:pPr>
      <w:r w:rsidRPr="00253BF1">
        <w:rPr>
          <w:b/>
          <w:i/>
          <w:noProof/>
          <w:sz w:val="24"/>
          <w:szCs w:val="24"/>
          <w:lang w:bidi="ar-SA"/>
        </w:rPr>
        <mc:AlternateContent>
          <mc:Choice Requires="wps">
            <w:drawing>
              <wp:anchor distT="0" distB="0" distL="114300" distR="114300" simplePos="0" relativeHeight="252247040" behindDoc="0" locked="0" layoutInCell="1" allowOverlap="1" wp14:anchorId="6440DCD2" wp14:editId="27645E6D">
                <wp:simplePos x="0" y="0"/>
                <wp:positionH relativeFrom="column">
                  <wp:posOffset>0</wp:posOffset>
                </wp:positionH>
                <wp:positionV relativeFrom="paragraph">
                  <wp:posOffset>1559560</wp:posOffset>
                </wp:positionV>
                <wp:extent cx="6413500" cy="0"/>
                <wp:effectExtent l="0" t="0" r="25400" b="19050"/>
                <wp:wrapNone/>
                <wp:docPr id="27" name="Straight Connector 27"/>
                <wp:cNvGraphicFramePr/>
                <a:graphic xmlns:a="http://schemas.openxmlformats.org/drawingml/2006/main">
                  <a:graphicData uri="http://schemas.microsoft.com/office/word/2010/wordprocessingShape">
                    <wps:wsp>
                      <wps:cNvCnPr/>
                      <wps:spPr>
                        <a:xfrm>
                          <a:off x="0" y="0"/>
                          <a:ext cx="64135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2.8pt" to="50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" strokecolor="#1b587c [3206]" strokeweight="1pt"/>
            </w:pict>
          </mc:Fallback>
        </mc:AlternateContent>
      </w:r>
      <w:r w:rsidRPr="00253BF1">
        <w:rPr>
          <w:b/>
          <w:i/>
          <w:sz w:val="24"/>
          <w:szCs w:val="24"/>
        </w:rPr>
        <w:t>The Tennessee Cancer Registry is dedicated to the collection and use of quality data</w:t>
      </w:r>
    </w:p>
    <w:p w:rsidR="00A03F6C" w:rsidRPr="0047521B" w:rsidRDefault="00253BF1" w:rsidP="00253BF1">
      <w:pPr>
        <w:pStyle w:val="NoSpacing"/>
        <w:jc w:val="center"/>
      </w:pPr>
      <w:r w:rsidRPr="00253BF1">
        <w:rPr>
          <w:b/>
          <w:i/>
          <w:noProof/>
          <w:sz w:val="24"/>
          <w:szCs w:val="24"/>
          <w:lang w:bidi="ar-SA"/>
        </w:rPr>
        <mc:AlternateContent>
          <mc:Choice Requires="wps">
            <w:drawing>
              <wp:anchor distT="0" distB="0" distL="114300" distR="114300" simplePos="0" relativeHeight="252324864" behindDoc="0" locked="0" layoutInCell="1" allowOverlap="1" wp14:anchorId="508731EC" wp14:editId="6D92F8A8">
                <wp:simplePos x="0" y="0"/>
                <wp:positionH relativeFrom="column">
                  <wp:posOffset>0</wp:posOffset>
                </wp:positionH>
                <wp:positionV relativeFrom="paragraph">
                  <wp:posOffset>327660</wp:posOffset>
                </wp:positionV>
                <wp:extent cx="8639175" cy="0"/>
                <wp:effectExtent l="0" t="0" r="9525" b="19050"/>
                <wp:wrapNone/>
                <wp:docPr id="127" name="Straight Connector 127"/>
                <wp:cNvGraphicFramePr/>
                <a:graphic xmlns:a="http://schemas.openxmlformats.org/drawingml/2006/main">
                  <a:graphicData uri="http://schemas.microsoft.com/office/word/2010/wordprocessingShape">
                    <wps:wsp>
                      <wps:cNvCnPr/>
                      <wps:spPr>
                        <a:xfrm>
                          <a:off x="0" y="0"/>
                          <a:ext cx="863917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7" o:spid="_x0000_s1026" style="position:absolute;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8pt" to="680.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" strokecolor="#1b587c [3206]" strokeweight="1pt"/>
            </w:pict>
          </mc:Fallback>
        </mc:AlternateContent>
      </w:r>
      <w:proofErr w:type="gramStart"/>
      <w:r w:rsidR="0047521B" w:rsidRPr="00253BF1">
        <w:rPr>
          <w:b/>
          <w:i/>
          <w:sz w:val="24"/>
          <w:szCs w:val="24"/>
        </w:rPr>
        <w:t>for</w:t>
      </w:r>
      <w:proofErr w:type="gramEnd"/>
      <w:r w:rsidR="0047521B" w:rsidRPr="00253BF1">
        <w:rPr>
          <w:b/>
          <w:i/>
          <w:sz w:val="24"/>
          <w:szCs w:val="24"/>
        </w:rPr>
        <w:t xml:space="preserve"> the purpose of decreasing the incidence and mortality of cancer in Tennessee.</w:t>
      </w:r>
      <w:r w:rsidR="0047521B" w:rsidRPr="0047521B">
        <w:t xml:space="preserve"> </w:t>
      </w:r>
      <w:r w:rsidR="00A03F6C" w:rsidRPr="0047521B">
        <w:br w:type="page"/>
      </w:r>
    </w:p>
    <w:p w:rsidR="00B818F3" w:rsidRPr="00C644F8" w:rsidRDefault="00B818F3" w:rsidP="00994CD2">
      <w:pPr>
        <w:autoSpaceDE w:val="0"/>
        <w:autoSpaceDN w:val="0"/>
        <w:adjustRightInd w:val="0"/>
        <w:spacing w:before="120" w:after="120" w:line="240" w:lineRule="auto"/>
        <w:rPr>
          <w:rFonts w:cs="Times New Roman"/>
          <w:color w:val="000000"/>
          <w:sz w:val="24"/>
          <w:szCs w:val="24"/>
        </w:rPr>
        <w:sectPr w:rsidR="00B818F3" w:rsidRPr="00C644F8" w:rsidSect="00F2283B">
          <w:footerReference w:type="default" r:id="rId14"/>
          <w:pgSz w:w="15840" w:h="12240" w:orient="landscape"/>
          <w:pgMar w:top="1080" w:right="1080" w:bottom="1080" w:left="1080" w:header="720" w:footer="288" w:gutter="0"/>
          <w:pgNumType w:fmt="lowerRoman"/>
          <w:cols w:space="720"/>
          <w:docGrid w:linePitch="360"/>
        </w:sectPr>
      </w:pPr>
    </w:p>
    <w:p w:rsidR="004E17B6" w:rsidRPr="00C644F8" w:rsidRDefault="0047521B" w:rsidP="00F37C3F">
      <w:pPr>
        <w:pStyle w:val="Heading1"/>
      </w:pPr>
      <w:bookmarkStart w:id="20" w:name="_Toc421608510"/>
      <w:bookmarkStart w:id="21" w:name="_Toc421609328"/>
      <w:bookmarkStart w:id="22" w:name="_Toc421609662"/>
      <w:bookmarkStart w:id="23" w:name="_Toc421611188"/>
      <w:bookmarkStart w:id="24" w:name="_Toc439918819"/>
      <w:r>
        <w:lastRenderedPageBreak/>
        <w:t>Overview</w:t>
      </w:r>
      <w:bookmarkEnd w:id="20"/>
      <w:bookmarkEnd w:id="21"/>
      <w:bookmarkEnd w:id="22"/>
      <w:bookmarkEnd w:id="23"/>
      <w:bookmarkEnd w:id="24"/>
    </w:p>
    <w:p w:rsidR="0011491D" w:rsidRDefault="0011491D" w:rsidP="00294AAF">
      <w:pPr>
        <w:pStyle w:val="Heading2"/>
        <w:sectPr w:rsidR="0011491D" w:rsidSect="000A3765">
          <w:type w:val="continuous"/>
          <w:pgSz w:w="15840" w:h="12240" w:orient="landscape"/>
          <w:pgMar w:top="1080" w:right="1440" w:bottom="1080" w:left="1440" w:header="720" w:footer="288" w:gutter="0"/>
          <w:pgNumType w:fmt="numberInDash" w:start="1"/>
          <w:cols w:space="720"/>
          <w:docGrid w:linePitch="360"/>
        </w:sectPr>
      </w:pPr>
      <w:bookmarkStart w:id="25" w:name="_Toc421608511"/>
      <w:bookmarkStart w:id="26" w:name="_Toc421609329"/>
      <w:bookmarkStart w:id="27" w:name="_Toc421609663"/>
      <w:bookmarkStart w:id="28" w:name="_Toc421611189"/>
    </w:p>
    <w:p w:rsidR="00D549E5" w:rsidRPr="00976CBD" w:rsidRDefault="0047521B" w:rsidP="00903E48">
      <w:pPr>
        <w:pStyle w:val="Heading2"/>
      </w:pPr>
      <w:bookmarkStart w:id="29" w:name="_Toc439918820"/>
      <w:r w:rsidRPr="00976CBD">
        <w:lastRenderedPageBreak/>
        <w:t>Introduction</w:t>
      </w:r>
      <w:bookmarkEnd w:id="25"/>
      <w:bookmarkEnd w:id="26"/>
      <w:bookmarkEnd w:id="27"/>
      <w:bookmarkEnd w:id="28"/>
      <w:bookmarkEnd w:id="29"/>
      <w:r w:rsidRPr="00976CBD">
        <w:t xml:space="preserve"> </w:t>
      </w:r>
    </w:p>
    <w:p w:rsidR="00F02D43" w:rsidRPr="00C644F8" w:rsidRDefault="00F02D43" w:rsidP="00DD7DD8">
      <w:pPr>
        <w:jc w:val="both"/>
        <w:rPr>
          <w:rFonts w:cs="Times New Roman"/>
          <w:sz w:val="24"/>
          <w:szCs w:val="24"/>
        </w:rPr>
      </w:pPr>
      <w:r w:rsidRPr="00C644F8">
        <w:rPr>
          <w:rFonts w:cs="Times New Roman"/>
          <w:sz w:val="24"/>
          <w:szCs w:val="24"/>
        </w:rPr>
        <w:t>Cancer is a group of more than 100 diseases characterized by uncontrolled growth and spread of abnormal cells.</w:t>
      </w:r>
      <w:r w:rsidR="00AE66D8" w:rsidRPr="00C644F8">
        <w:rPr>
          <w:rFonts w:cs="Times New Roman"/>
          <w:sz w:val="24"/>
          <w:szCs w:val="24"/>
        </w:rPr>
        <w:t xml:space="preserve"> </w:t>
      </w:r>
      <w:r w:rsidR="00126536" w:rsidRPr="00C644F8">
        <w:rPr>
          <w:rFonts w:cs="Times New Roman"/>
          <w:sz w:val="24"/>
          <w:szCs w:val="24"/>
        </w:rPr>
        <w:t>It</w:t>
      </w:r>
      <w:r w:rsidRPr="00C644F8">
        <w:rPr>
          <w:rFonts w:cs="Times New Roman"/>
          <w:sz w:val="24"/>
          <w:szCs w:val="24"/>
        </w:rPr>
        <w:t xml:space="preserve"> is the second leading cause of death nationally</w:t>
      </w:r>
      <w:r w:rsidR="00AE66D8" w:rsidRPr="00C644F8">
        <w:rPr>
          <w:rFonts w:cs="Times New Roman"/>
          <w:sz w:val="24"/>
          <w:szCs w:val="24"/>
        </w:rPr>
        <w:t xml:space="preserve"> and in Tennessee</w:t>
      </w:r>
      <w:r w:rsidR="001560A7" w:rsidRPr="00C644F8">
        <w:rPr>
          <w:rFonts w:cs="Times New Roman"/>
          <w:sz w:val="24"/>
          <w:szCs w:val="24"/>
        </w:rPr>
        <w:t xml:space="preserve"> (TN)</w:t>
      </w:r>
      <w:r w:rsidRPr="00C644F8">
        <w:rPr>
          <w:rFonts w:cs="Times New Roman"/>
          <w:sz w:val="24"/>
          <w:szCs w:val="24"/>
        </w:rPr>
        <w:t xml:space="preserve">. </w:t>
      </w:r>
      <w:r w:rsidR="003C70F9">
        <w:rPr>
          <w:rFonts w:cs="Times New Roman"/>
          <w:sz w:val="24"/>
          <w:szCs w:val="24"/>
        </w:rPr>
        <w:t>Anyone can develop cancer at any time in their life, but i</w:t>
      </w:r>
      <w:r w:rsidR="00B214BA">
        <w:rPr>
          <w:rFonts w:cs="Times New Roman"/>
          <w:sz w:val="24"/>
          <w:szCs w:val="24"/>
        </w:rPr>
        <w:t>ndividuals 55 years of age and older are at a higher risk of developing cancer and this cohort represents 78% of all cancer diagnoses</w:t>
      </w:r>
      <w:r w:rsidR="003C70F9">
        <w:rPr>
          <w:rFonts w:cs="Times New Roman"/>
          <w:sz w:val="24"/>
          <w:szCs w:val="24"/>
        </w:rPr>
        <w:t xml:space="preserve"> in the United States (U.S.)</w:t>
      </w:r>
      <w:r w:rsidR="00D844D9">
        <w:rPr>
          <w:rFonts w:cs="Times New Roman"/>
          <w:sz w:val="24"/>
          <w:szCs w:val="24"/>
        </w:rPr>
        <w:t xml:space="preserve"> during the period 2008-12</w:t>
      </w:r>
      <w:r w:rsidR="00B214BA">
        <w:rPr>
          <w:rFonts w:cs="Times New Roman"/>
          <w:sz w:val="24"/>
          <w:szCs w:val="24"/>
        </w:rPr>
        <w:t xml:space="preserve">. </w:t>
      </w:r>
      <w:r w:rsidR="00E55C8F" w:rsidRPr="00C644F8">
        <w:rPr>
          <w:rFonts w:cs="Times New Roman"/>
          <w:sz w:val="24"/>
          <w:szCs w:val="24"/>
        </w:rPr>
        <w:t>Ab</w:t>
      </w:r>
      <w:r w:rsidRPr="00C644F8">
        <w:rPr>
          <w:rFonts w:cs="Times New Roman"/>
          <w:sz w:val="24"/>
          <w:szCs w:val="24"/>
        </w:rPr>
        <w:t>out two-thirds of all cancer cases could potentially be prevented</w:t>
      </w:r>
      <w:r w:rsidR="00C51747" w:rsidRPr="00C644F8">
        <w:rPr>
          <w:rFonts w:cs="Times New Roman"/>
          <w:sz w:val="24"/>
          <w:szCs w:val="24"/>
        </w:rPr>
        <w:t xml:space="preserve"> with better lifestyle choices (</w:t>
      </w:r>
      <w:r w:rsidRPr="00C644F8">
        <w:rPr>
          <w:rFonts w:cs="Times New Roman"/>
          <w:sz w:val="24"/>
          <w:szCs w:val="24"/>
        </w:rPr>
        <w:t>e.g. increasing physical activity, better nutrition,</w:t>
      </w:r>
      <w:r w:rsidR="00F90A5F">
        <w:rPr>
          <w:rFonts w:cs="Times New Roman"/>
          <w:sz w:val="24"/>
          <w:szCs w:val="24"/>
        </w:rPr>
        <w:t xml:space="preserve"> and</w:t>
      </w:r>
      <w:r w:rsidRPr="00C644F8">
        <w:rPr>
          <w:rFonts w:cs="Times New Roman"/>
          <w:sz w:val="24"/>
          <w:szCs w:val="24"/>
        </w:rPr>
        <w:t xml:space="preserve"> not </w:t>
      </w:r>
      <w:r w:rsidR="00E55C8F" w:rsidRPr="00C644F8">
        <w:rPr>
          <w:rFonts w:cs="Times New Roman"/>
          <w:sz w:val="24"/>
          <w:szCs w:val="24"/>
        </w:rPr>
        <w:t>us</w:t>
      </w:r>
      <w:r w:rsidRPr="00C644F8">
        <w:rPr>
          <w:rFonts w:cs="Times New Roman"/>
          <w:sz w:val="24"/>
          <w:szCs w:val="24"/>
        </w:rPr>
        <w:t>ing tobacco products</w:t>
      </w:r>
      <w:r w:rsidR="00C51747" w:rsidRPr="00C644F8">
        <w:rPr>
          <w:rFonts w:cs="Times New Roman"/>
          <w:sz w:val="24"/>
          <w:szCs w:val="24"/>
        </w:rPr>
        <w:t>)</w:t>
      </w:r>
      <w:r w:rsidRPr="00C644F8">
        <w:rPr>
          <w:rFonts w:cs="Times New Roman"/>
          <w:sz w:val="24"/>
          <w:szCs w:val="24"/>
        </w:rPr>
        <w:t>.</w:t>
      </w:r>
      <w:r w:rsidR="00AE66D8" w:rsidRPr="00C644F8">
        <w:rPr>
          <w:rFonts w:cs="Times New Roman"/>
          <w:sz w:val="24"/>
          <w:szCs w:val="24"/>
        </w:rPr>
        <w:t xml:space="preserve"> </w:t>
      </w:r>
      <w:r w:rsidR="00126536" w:rsidRPr="00C644F8">
        <w:rPr>
          <w:rFonts w:cs="Times New Roman"/>
          <w:sz w:val="24"/>
          <w:szCs w:val="24"/>
        </w:rPr>
        <w:t xml:space="preserve">Diagnosing </w:t>
      </w:r>
      <w:r w:rsidRPr="00C644F8">
        <w:rPr>
          <w:rFonts w:cs="Times New Roman"/>
          <w:sz w:val="24"/>
          <w:szCs w:val="24"/>
        </w:rPr>
        <w:t>cancer early through regular cancer screening is also an important method of cancer prevention.</w:t>
      </w:r>
      <w:r w:rsidR="00B214BA">
        <w:rPr>
          <w:rFonts w:cs="Times New Roman"/>
          <w:sz w:val="24"/>
          <w:szCs w:val="24"/>
        </w:rPr>
        <w:t xml:space="preserve"> </w:t>
      </w:r>
      <w:r w:rsidRPr="00C644F8">
        <w:rPr>
          <w:rFonts w:cs="Times New Roman"/>
          <w:sz w:val="24"/>
          <w:szCs w:val="24"/>
        </w:rPr>
        <w:t>Currently accepted screening practices</w:t>
      </w:r>
      <w:r w:rsidR="004D5B87" w:rsidRPr="00C644F8">
        <w:rPr>
          <w:rFonts w:cs="Times New Roman"/>
          <w:sz w:val="24"/>
          <w:szCs w:val="24"/>
        </w:rPr>
        <w:t>,</w:t>
      </w:r>
      <w:r w:rsidRPr="00C644F8">
        <w:rPr>
          <w:rFonts w:cs="Times New Roman"/>
          <w:sz w:val="24"/>
          <w:szCs w:val="24"/>
        </w:rPr>
        <w:t xml:space="preserve"> </w:t>
      </w:r>
      <w:r w:rsidR="00B14205" w:rsidRPr="00C644F8">
        <w:rPr>
          <w:rFonts w:cs="Times New Roman"/>
          <w:sz w:val="24"/>
          <w:szCs w:val="24"/>
        </w:rPr>
        <w:t>when performed</w:t>
      </w:r>
      <w:r w:rsidRPr="00C644F8">
        <w:rPr>
          <w:rFonts w:cs="Times New Roman"/>
          <w:sz w:val="24"/>
          <w:szCs w:val="24"/>
        </w:rPr>
        <w:t xml:space="preserve"> on a regular basis </w:t>
      </w:r>
      <w:r w:rsidR="004D5B87" w:rsidRPr="00C644F8">
        <w:rPr>
          <w:rFonts w:cs="Times New Roman"/>
          <w:sz w:val="24"/>
          <w:szCs w:val="24"/>
        </w:rPr>
        <w:t xml:space="preserve">and </w:t>
      </w:r>
      <w:r w:rsidR="00E55C8F" w:rsidRPr="00C644F8">
        <w:rPr>
          <w:rFonts w:cs="Times New Roman"/>
          <w:sz w:val="24"/>
          <w:szCs w:val="24"/>
        </w:rPr>
        <w:t>in a suitably targeted population</w:t>
      </w:r>
      <w:r w:rsidR="004D5B87" w:rsidRPr="00C644F8">
        <w:rPr>
          <w:rFonts w:cs="Times New Roman"/>
          <w:sz w:val="24"/>
          <w:szCs w:val="24"/>
        </w:rPr>
        <w:t>,</w:t>
      </w:r>
      <w:r w:rsidR="00E55C8F" w:rsidRPr="00C644F8">
        <w:rPr>
          <w:rFonts w:cs="Times New Roman"/>
          <w:sz w:val="24"/>
          <w:szCs w:val="24"/>
        </w:rPr>
        <w:t xml:space="preserve"> </w:t>
      </w:r>
      <w:r w:rsidRPr="00C644F8">
        <w:rPr>
          <w:rFonts w:cs="Times New Roman"/>
          <w:sz w:val="24"/>
          <w:szCs w:val="24"/>
        </w:rPr>
        <w:t>can successfully detect breast, colorectal, uterine cervix</w:t>
      </w:r>
      <w:r w:rsidR="001E57CE" w:rsidRPr="00C644F8">
        <w:rPr>
          <w:rFonts w:cs="Times New Roman"/>
          <w:sz w:val="24"/>
          <w:szCs w:val="24"/>
        </w:rPr>
        <w:t>, prostate</w:t>
      </w:r>
      <w:r w:rsidR="0027776B" w:rsidRPr="00C644F8">
        <w:rPr>
          <w:rFonts w:cs="Times New Roman"/>
          <w:sz w:val="24"/>
          <w:szCs w:val="24"/>
        </w:rPr>
        <w:t>,</w:t>
      </w:r>
      <w:r w:rsidR="001E57CE" w:rsidRPr="00C644F8">
        <w:rPr>
          <w:rFonts w:cs="Times New Roman"/>
          <w:sz w:val="24"/>
          <w:szCs w:val="24"/>
        </w:rPr>
        <w:t xml:space="preserve"> </w:t>
      </w:r>
      <w:r w:rsidRPr="00C644F8">
        <w:rPr>
          <w:rFonts w:cs="Times New Roman"/>
          <w:sz w:val="24"/>
          <w:szCs w:val="24"/>
        </w:rPr>
        <w:t>and melanoma skin cancers.</w:t>
      </w:r>
      <w:r w:rsidR="00AE66D8" w:rsidRPr="00C644F8">
        <w:rPr>
          <w:rFonts w:cs="Times New Roman"/>
          <w:sz w:val="24"/>
          <w:szCs w:val="24"/>
        </w:rPr>
        <w:t xml:space="preserve"> </w:t>
      </w:r>
      <w:r w:rsidR="00B214BA">
        <w:rPr>
          <w:rFonts w:cs="Times New Roman"/>
          <w:sz w:val="24"/>
          <w:szCs w:val="24"/>
        </w:rPr>
        <w:t xml:space="preserve">Other cancers such as thyroid, testicular, ovarian, and oral cancers can be identified through regular health examinations. </w:t>
      </w:r>
    </w:p>
    <w:p w:rsidR="001D1ABA" w:rsidRPr="00976CBD" w:rsidRDefault="001D1ABA" w:rsidP="00903E48">
      <w:pPr>
        <w:pStyle w:val="Heading2"/>
      </w:pPr>
      <w:bookmarkStart w:id="30" w:name="_Toc346002103"/>
      <w:bookmarkStart w:id="31" w:name="_Toc374006801"/>
      <w:bookmarkStart w:id="32" w:name="_Toc400634500"/>
      <w:bookmarkStart w:id="33" w:name="_Toc421608512"/>
      <w:bookmarkStart w:id="34" w:name="_Toc421609330"/>
      <w:bookmarkStart w:id="35" w:name="_Toc421609664"/>
      <w:bookmarkStart w:id="36" w:name="_Toc421611190"/>
      <w:bookmarkStart w:id="37" w:name="_Toc439918821"/>
      <w:r w:rsidRPr="00976CBD">
        <w:t>Impact of Cancer</w:t>
      </w:r>
      <w:bookmarkEnd w:id="30"/>
      <w:bookmarkEnd w:id="31"/>
      <w:bookmarkEnd w:id="32"/>
      <w:bookmarkEnd w:id="33"/>
      <w:bookmarkEnd w:id="34"/>
      <w:bookmarkEnd w:id="35"/>
      <w:bookmarkEnd w:id="36"/>
      <w:bookmarkEnd w:id="37"/>
    </w:p>
    <w:p w:rsidR="003B469B" w:rsidRDefault="00AC3432" w:rsidP="00F01EBC">
      <w:pPr>
        <w:spacing w:before="120"/>
        <w:jc w:val="both"/>
        <w:rPr>
          <w:rFonts w:cs="Times New Roman"/>
          <w:sz w:val="24"/>
          <w:szCs w:val="24"/>
        </w:rPr>
      </w:pPr>
      <w:r>
        <w:rPr>
          <w:noProof/>
          <w:sz w:val="22"/>
          <w:lang w:bidi="ar-SA"/>
        </w:rPr>
        <mc:AlternateContent>
          <mc:Choice Requires="wps">
            <w:drawing>
              <wp:anchor distT="0" distB="0" distL="114300" distR="114300" simplePos="0" relativeHeight="252326912" behindDoc="0" locked="0" layoutInCell="1" allowOverlap="1" wp14:anchorId="3A5A41A3" wp14:editId="3394E6C1">
                <wp:simplePos x="0" y="0"/>
                <wp:positionH relativeFrom="column">
                  <wp:posOffset>0</wp:posOffset>
                </wp:positionH>
                <wp:positionV relativeFrom="paragraph">
                  <wp:posOffset>1656080</wp:posOffset>
                </wp:positionV>
                <wp:extent cx="8128000" cy="0"/>
                <wp:effectExtent l="0" t="0" r="25400" b="19050"/>
                <wp:wrapNone/>
                <wp:docPr id="153" name="Straight Connector 153"/>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0.4pt" to="640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" strokecolor="#1b587c [3206]" strokeweight="1pt"/>
            </w:pict>
          </mc:Fallback>
        </mc:AlternateContent>
      </w:r>
      <w:r w:rsidR="00204D56" w:rsidRPr="00C644F8">
        <w:rPr>
          <w:rFonts w:cs="Times New Roman"/>
          <w:sz w:val="24"/>
          <w:szCs w:val="24"/>
        </w:rPr>
        <w:t xml:space="preserve">On average, </w:t>
      </w:r>
      <w:r w:rsidR="00170463" w:rsidRPr="00C644F8">
        <w:rPr>
          <w:rFonts w:cs="Times New Roman"/>
          <w:sz w:val="24"/>
          <w:szCs w:val="24"/>
        </w:rPr>
        <w:t xml:space="preserve">two out of every five individuals </w:t>
      </w:r>
      <w:r w:rsidR="00204D56" w:rsidRPr="00C644F8">
        <w:rPr>
          <w:rFonts w:cs="Times New Roman"/>
          <w:sz w:val="24"/>
          <w:szCs w:val="24"/>
        </w:rPr>
        <w:t xml:space="preserve">in the U.S. </w:t>
      </w:r>
      <w:r w:rsidR="00C778D3" w:rsidRPr="00C644F8">
        <w:rPr>
          <w:rFonts w:cs="Times New Roman"/>
          <w:sz w:val="24"/>
          <w:szCs w:val="24"/>
        </w:rPr>
        <w:t>will contract some type of cancer in their lifetime</w:t>
      </w:r>
      <w:r w:rsidR="00D844D9">
        <w:rPr>
          <w:rFonts w:cs="Times New Roman"/>
          <w:sz w:val="24"/>
          <w:szCs w:val="24"/>
        </w:rPr>
        <w:t xml:space="preserve">. </w:t>
      </w:r>
      <w:r w:rsidR="00C778D3" w:rsidRPr="00C644F8">
        <w:rPr>
          <w:rFonts w:cs="Times New Roman"/>
          <w:sz w:val="24"/>
          <w:szCs w:val="24"/>
        </w:rPr>
        <w:t xml:space="preserve"> </w:t>
      </w:r>
      <w:r w:rsidR="00D844D9">
        <w:rPr>
          <w:rFonts w:cs="Times New Roman"/>
          <w:sz w:val="24"/>
          <w:szCs w:val="24"/>
        </w:rPr>
        <w:t>M</w:t>
      </w:r>
      <w:r w:rsidR="00204D56" w:rsidRPr="00C644F8">
        <w:rPr>
          <w:rFonts w:cs="Times New Roman"/>
          <w:sz w:val="24"/>
          <w:szCs w:val="24"/>
        </w:rPr>
        <w:t xml:space="preserve">ales have a 43.3% probability of developing cancer in their lifetime, while females have a 37.8% probability of developing cancer in their lifetime </w:t>
      </w:r>
      <w:r w:rsidR="00170463" w:rsidRPr="00C644F8">
        <w:rPr>
          <w:rFonts w:cs="Times New Roman"/>
          <w:sz w:val="24"/>
          <w:szCs w:val="24"/>
        </w:rPr>
        <w:t>(Fay, 2004)</w:t>
      </w:r>
      <w:r w:rsidR="00C778D3" w:rsidRPr="00C644F8">
        <w:rPr>
          <w:rFonts w:cs="Times New Roman"/>
          <w:sz w:val="24"/>
          <w:szCs w:val="24"/>
        </w:rPr>
        <w:t xml:space="preserve">. </w:t>
      </w:r>
      <w:r w:rsidR="003B469B" w:rsidRPr="00C644F8">
        <w:rPr>
          <w:rFonts w:cs="Times New Roman"/>
          <w:sz w:val="24"/>
          <w:szCs w:val="24"/>
        </w:rPr>
        <w:t xml:space="preserve">One </w:t>
      </w:r>
      <w:r w:rsidR="00697A02" w:rsidRPr="00C644F8">
        <w:rPr>
          <w:rFonts w:cs="Times New Roman"/>
          <w:sz w:val="24"/>
          <w:szCs w:val="24"/>
        </w:rPr>
        <w:t xml:space="preserve">in four males (22.8%) and one out of five females (19.3%) </w:t>
      </w:r>
      <w:r w:rsidR="00D844D9">
        <w:rPr>
          <w:rFonts w:cs="Times New Roman"/>
          <w:sz w:val="24"/>
          <w:szCs w:val="24"/>
        </w:rPr>
        <w:t xml:space="preserve">are at </w:t>
      </w:r>
      <w:r w:rsidR="00697A02" w:rsidRPr="00C644F8">
        <w:rPr>
          <w:rFonts w:cs="Times New Roman"/>
          <w:sz w:val="24"/>
          <w:szCs w:val="24"/>
        </w:rPr>
        <w:t xml:space="preserve">risk </w:t>
      </w:r>
      <w:r w:rsidR="00D844D9">
        <w:rPr>
          <w:rFonts w:cs="Times New Roman"/>
          <w:sz w:val="24"/>
          <w:szCs w:val="24"/>
        </w:rPr>
        <w:t xml:space="preserve">of </w:t>
      </w:r>
      <w:r w:rsidR="00697A02" w:rsidRPr="00C644F8">
        <w:rPr>
          <w:rFonts w:cs="Times New Roman"/>
          <w:sz w:val="24"/>
          <w:szCs w:val="24"/>
        </w:rPr>
        <w:t xml:space="preserve">dying from cancer in their lifetime. </w:t>
      </w:r>
      <w:r w:rsidR="0041308C" w:rsidRPr="00C644F8">
        <w:rPr>
          <w:rFonts w:cs="Times New Roman"/>
          <w:sz w:val="24"/>
          <w:szCs w:val="24"/>
        </w:rPr>
        <w:t xml:space="preserve">The following table lists lifetime risks of developing </w:t>
      </w:r>
      <w:r w:rsidR="0041308C" w:rsidRPr="00C644F8">
        <w:rPr>
          <w:rFonts w:cs="Times New Roman"/>
          <w:sz w:val="24"/>
          <w:szCs w:val="24"/>
        </w:rPr>
        <w:lastRenderedPageBreak/>
        <w:t>and dying from certain cancers for males</w:t>
      </w:r>
      <w:r w:rsidR="00192AE0" w:rsidRPr="00C644F8">
        <w:rPr>
          <w:rFonts w:cs="Times New Roman"/>
          <w:sz w:val="24"/>
          <w:szCs w:val="24"/>
        </w:rPr>
        <w:t xml:space="preserve"> in the U.S. from 2009 to 2011 in decreasing order</w:t>
      </w:r>
      <w:r w:rsidR="0041308C" w:rsidRPr="00C644F8">
        <w:rPr>
          <w:rFonts w:cs="Times New Roman"/>
          <w:sz w:val="24"/>
          <w:szCs w:val="24"/>
        </w:rPr>
        <w:t>:</w:t>
      </w:r>
    </w:p>
    <w:bookmarkStart w:id="38" w:name="_MON_1488349786"/>
    <w:bookmarkEnd w:id="38"/>
    <w:p w:rsidR="002D4CAC" w:rsidRPr="00C644F8" w:rsidRDefault="00F41AF8" w:rsidP="00FD5B35">
      <w:pPr>
        <w:pStyle w:val="NoSpacing"/>
        <w:spacing w:line="276" w:lineRule="auto"/>
        <w:jc w:val="center"/>
        <w:rPr>
          <w:sz w:val="24"/>
          <w:szCs w:val="24"/>
        </w:rPr>
      </w:pPr>
      <w:r w:rsidRPr="00C644F8">
        <w:rPr>
          <w:sz w:val="24"/>
          <w:szCs w:val="24"/>
        </w:rPr>
        <w:object w:dxaOrig="6503" w:dyaOrig="2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1pt;height:104.65pt" o:ole="">
            <v:imagedata r:id="rId15" o:title=""/>
            <o:lock v:ext="edit" aspectratio="f"/>
          </v:shape>
          <o:OLEObject Type="Embed" ProgID="Excel.Sheet.12" ShapeID="_x0000_i1025" DrawAspect="Content" ObjectID="_1513764400" r:id="rId16"/>
        </w:object>
      </w:r>
      <w:r w:rsidR="00006D90" w:rsidRPr="00C644F8">
        <w:rPr>
          <w:i/>
          <w:sz w:val="14"/>
          <w:szCs w:val="24"/>
        </w:rPr>
        <w:t>Note</w:t>
      </w:r>
      <w:r w:rsidR="00006D90" w:rsidRPr="00C644F8">
        <w:rPr>
          <w:sz w:val="14"/>
          <w:szCs w:val="24"/>
        </w:rPr>
        <w:t xml:space="preserve">. </w:t>
      </w:r>
      <w:proofErr w:type="gramStart"/>
      <w:r w:rsidR="00006D90" w:rsidRPr="00C644F8">
        <w:rPr>
          <w:sz w:val="14"/>
          <w:szCs w:val="24"/>
        </w:rPr>
        <w:t xml:space="preserve">Adapted from the </w:t>
      </w:r>
      <w:hyperlink r:id="rId17" w:history="1">
        <w:r w:rsidR="00006D90" w:rsidRPr="00C644F8">
          <w:rPr>
            <w:rStyle w:val="Hyperlink"/>
            <w:rFonts w:cs="Times New Roman"/>
            <w:sz w:val="14"/>
            <w:szCs w:val="24"/>
          </w:rPr>
          <w:t>Lifetime Risk of Developing or Dying From</w:t>
        </w:r>
      </w:hyperlink>
      <w:r w:rsidR="00006D90" w:rsidRPr="00C644F8">
        <w:rPr>
          <w:sz w:val="14"/>
          <w:szCs w:val="24"/>
        </w:rPr>
        <w:t>, by The American Cancer Society, 2014.</w:t>
      </w:r>
      <w:proofErr w:type="gramEnd"/>
    </w:p>
    <w:p w:rsidR="00FD5B35" w:rsidRDefault="00FD5B35" w:rsidP="00C644F8">
      <w:pPr>
        <w:spacing w:before="0" w:after="0"/>
        <w:jc w:val="both"/>
        <w:rPr>
          <w:rFonts w:cs="Times New Roman"/>
          <w:sz w:val="24"/>
          <w:szCs w:val="24"/>
        </w:rPr>
      </w:pPr>
    </w:p>
    <w:p w:rsidR="00192AE0" w:rsidRPr="00C644F8" w:rsidRDefault="00192AE0" w:rsidP="00C644F8">
      <w:pPr>
        <w:spacing w:before="0" w:after="0"/>
        <w:jc w:val="both"/>
        <w:rPr>
          <w:rFonts w:cs="Times New Roman"/>
          <w:sz w:val="24"/>
          <w:szCs w:val="24"/>
        </w:rPr>
      </w:pPr>
      <w:r w:rsidRPr="00C644F8">
        <w:rPr>
          <w:rFonts w:cs="Times New Roman"/>
          <w:sz w:val="24"/>
          <w:szCs w:val="24"/>
        </w:rPr>
        <w:t>The following table lists lifetime risks of developing and dying from certain cancers for females in the U.S. from 2009 to 2011 in decreasing order:</w:t>
      </w:r>
    </w:p>
    <w:bookmarkStart w:id="39" w:name="_MON_1488350351"/>
    <w:bookmarkEnd w:id="39"/>
    <w:p w:rsidR="00CE47F7" w:rsidRPr="00C644F8" w:rsidRDefault="00BC498F" w:rsidP="00F41AF8">
      <w:pPr>
        <w:pStyle w:val="NoSpacing"/>
        <w:spacing w:before="240" w:line="276" w:lineRule="auto"/>
        <w:jc w:val="center"/>
        <w:rPr>
          <w:sz w:val="24"/>
          <w:szCs w:val="24"/>
        </w:rPr>
      </w:pPr>
      <w:r w:rsidRPr="00C644F8">
        <w:rPr>
          <w:sz w:val="24"/>
          <w:szCs w:val="24"/>
        </w:rPr>
        <w:object w:dxaOrig="6520" w:dyaOrig="2049">
          <v:shape id="_x0000_i1026" type="#_x0000_t75" style="width:310.6pt;height:104.65pt" o:ole="">
            <v:imagedata r:id="rId18" o:title=""/>
            <o:lock v:ext="edit" aspectratio="f"/>
          </v:shape>
          <o:OLEObject Type="Embed" ProgID="Excel.Sheet.12" ShapeID="_x0000_i1026" DrawAspect="Content" ObjectID="_1513764401" r:id="rId19"/>
        </w:object>
      </w:r>
      <w:r w:rsidR="00006D90" w:rsidRPr="00C644F8">
        <w:rPr>
          <w:i/>
          <w:sz w:val="14"/>
          <w:szCs w:val="24"/>
        </w:rPr>
        <w:t>Note</w:t>
      </w:r>
      <w:r w:rsidR="00006D90" w:rsidRPr="00C644F8">
        <w:rPr>
          <w:sz w:val="14"/>
          <w:szCs w:val="24"/>
        </w:rPr>
        <w:t xml:space="preserve">. </w:t>
      </w:r>
      <w:proofErr w:type="gramStart"/>
      <w:r w:rsidR="00006D90" w:rsidRPr="00C644F8">
        <w:rPr>
          <w:sz w:val="14"/>
          <w:szCs w:val="24"/>
        </w:rPr>
        <w:t xml:space="preserve">Adapted from the </w:t>
      </w:r>
      <w:hyperlink r:id="rId20" w:history="1">
        <w:r w:rsidR="00006D90" w:rsidRPr="00C644F8">
          <w:rPr>
            <w:rStyle w:val="Hyperlink"/>
            <w:rFonts w:cs="Times New Roman"/>
            <w:sz w:val="14"/>
            <w:szCs w:val="24"/>
          </w:rPr>
          <w:t>Lifetime Risk of Developing or Dying From</w:t>
        </w:r>
      </w:hyperlink>
      <w:r w:rsidR="00006D90" w:rsidRPr="00C644F8">
        <w:rPr>
          <w:sz w:val="14"/>
          <w:szCs w:val="24"/>
        </w:rPr>
        <w:t>, by The American Cancer Society, 2014.</w:t>
      </w:r>
      <w:proofErr w:type="gramEnd"/>
    </w:p>
    <w:p w:rsidR="00511121" w:rsidRPr="00C644F8" w:rsidRDefault="007A4D06" w:rsidP="0014329F">
      <w:pPr>
        <w:spacing w:before="120"/>
        <w:jc w:val="both"/>
        <w:rPr>
          <w:rFonts w:cs="Times New Roman"/>
          <w:sz w:val="24"/>
          <w:szCs w:val="24"/>
        </w:rPr>
      </w:pPr>
      <w:r w:rsidRPr="00C644F8">
        <w:rPr>
          <w:rFonts w:cs="Times New Roman"/>
          <w:sz w:val="24"/>
          <w:szCs w:val="24"/>
        </w:rPr>
        <w:t xml:space="preserve">More than half (55.1%) </w:t>
      </w:r>
      <w:r w:rsidR="00E050FE" w:rsidRPr="00C644F8">
        <w:rPr>
          <w:rFonts w:cs="Times New Roman"/>
          <w:sz w:val="24"/>
          <w:szCs w:val="24"/>
        </w:rPr>
        <w:t xml:space="preserve">of </w:t>
      </w:r>
      <w:r w:rsidR="003A778D" w:rsidRPr="00C644F8">
        <w:rPr>
          <w:rFonts w:cs="Times New Roman"/>
          <w:sz w:val="24"/>
          <w:szCs w:val="24"/>
        </w:rPr>
        <w:t xml:space="preserve">all </w:t>
      </w:r>
      <w:r w:rsidR="00E050FE" w:rsidRPr="00C644F8">
        <w:rPr>
          <w:rFonts w:cs="Times New Roman"/>
          <w:sz w:val="24"/>
          <w:szCs w:val="24"/>
        </w:rPr>
        <w:t>cancer</w:t>
      </w:r>
      <w:r w:rsidR="0098342D" w:rsidRPr="00C644F8">
        <w:rPr>
          <w:rFonts w:cs="Times New Roman"/>
          <w:sz w:val="24"/>
          <w:szCs w:val="24"/>
        </w:rPr>
        <w:t xml:space="preserve"> cases</w:t>
      </w:r>
      <w:r w:rsidRPr="00C644F8">
        <w:rPr>
          <w:rFonts w:cs="Times New Roman"/>
          <w:sz w:val="24"/>
          <w:szCs w:val="24"/>
        </w:rPr>
        <w:t xml:space="preserve"> </w:t>
      </w:r>
      <w:r w:rsidR="003A778D" w:rsidRPr="00C644F8">
        <w:rPr>
          <w:rFonts w:cs="Times New Roman"/>
          <w:sz w:val="24"/>
          <w:szCs w:val="24"/>
        </w:rPr>
        <w:t xml:space="preserve">with known </w:t>
      </w:r>
      <w:r w:rsidR="008C5D79" w:rsidRPr="00C644F8">
        <w:rPr>
          <w:rFonts w:cs="Times New Roman"/>
          <w:sz w:val="24"/>
          <w:szCs w:val="24"/>
        </w:rPr>
        <w:t>stage</w:t>
      </w:r>
      <w:r w:rsidR="003A778D" w:rsidRPr="00C644F8">
        <w:rPr>
          <w:rFonts w:cs="Times New Roman"/>
          <w:sz w:val="24"/>
          <w:szCs w:val="24"/>
        </w:rPr>
        <w:t xml:space="preserve"> inform</w:t>
      </w:r>
      <w:r w:rsidRPr="00C644F8">
        <w:rPr>
          <w:rFonts w:cs="Times New Roman"/>
          <w:sz w:val="24"/>
          <w:szCs w:val="24"/>
        </w:rPr>
        <w:t>ation</w:t>
      </w:r>
      <w:r w:rsidR="003A778D" w:rsidRPr="00C644F8">
        <w:rPr>
          <w:rFonts w:cs="Times New Roman"/>
          <w:sz w:val="24"/>
          <w:szCs w:val="24"/>
        </w:rPr>
        <w:t xml:space="preserve"> </w:t>
      </w:r>
      <w:r w:rsidR="00E050FE" w:rsidRPr="00C644F8">
        <w:rPr>
          <w:rFonts w:cs="Times New Roman"/>
          <w:sz w:val="24"/>
          <w:szCs w:val="24"/>
        </w:rPr>
        <w:t xml:space="preserve">were diagnosed at early stages, when treatment is usually more effective. </w:t>
      </w:r>
      <w:r w:rsidR="0004247B" w:rsidRPr="00C644F8">
        <w:rPr>
          <w:rFonts w:cs="Times New Roman"/>
          <w:sz w:val="24"/>
          <w:szCs w:val="24"/>
        </w:rPr>
        <w:t>Nearly</w:t>
      </w:r>
      <w:r w:rsidR="00736947" w:rsidRPr="00C644F8">
        <w:rPr>
          <w:rFonts w:cs="Times New Roman"/>
          <w:sz w:val="24"/>
          <w:szCs w:val="24"/>
        </w:rPr>
        <w:t xml:space="preserve"> 563,000</w:t>
      </w:r>
      <w:r w:rsidR="00E050FE" w:rsidRPr="00C644F8">
        <w:rPr>
          <w:rFonts w:cs="Times New Roman"/>
          <w:sz w:val="24"/>
          <w:szCs w:val="24"/>
        </w:rPr>
        <w:t xml:space="preserve"> years of potential life were lost in TN residents due to premature cancer deaths during the five-year reporting period; therefore, on average, each person who died of cancer during the five-year period </w:t>
      </w:r>
      <w:r w:rsidR="001A682B" w:rsidRPr="00C644F8">
        <w:rPr>
          <w:rFonts w:cs="Times New Roman"/>
          <w:sz w:val="24"/>
          <w:szCs w:val="24"/>
        </w:rPr>
        <w:t xml:space="preserve">died 8.4 years earlier than </w:t>
      </w:r>
      <w:r w:rsidR="00E050FE" w:rsidRPr="00C644F8">
        <w:rPr>
          <w:rFonts w:cs="Times New Roman"/>
          <w:sz w:val="24"/>
          <w:szCs w:val="24"/>
        </w:rPr>
        <w:t xml:space="preserve">the average lifespan (75 years of </w:t>
      </w:r>
      <w:r w:rsidR="00E050FE" w:rsidRPr="00C644F8">
        <w:rPr>
          <w:rFonts w:cs="Times New Roman"/>
          <w:sz w:val="24"/>
          <w:szCs w:val="24"/>
        </w:rPr>
        <w:lastRenderedPageBreak/>
        <w:t>age as used in this report).</w:t>
      </w:r>
      <w:r w:rsidR="007A0E34" w:rsidRPr="00C644F8">
        <w:rPr>
          <w:rFonts w:cs="Times New Roman"/>
          <w:sz w:val="24"/>
          <w:szCs w:val="24"/>
        </w:rPr>
        <w:t xml:space="preserve"> </w:t>
      </w:r>
      <w:r w:rsidR="00A80D02" w:rsidRPr="00C644F8">
        <w:rPr>
          <w:rFonts w:cs="Times New Roman"/>
          <w:sz w:val="24"/>
          <w:szCs w:val="24"/>
        </w:rPr>
        <w:t xml:space="preserve">From 2008 through 2012, </w:t>
      </w:r>
      <w:r w:rsidR="007A0E34" w:rsidRPr="00C644F8">
        <w:rPr>
          <w:rFonts w:cs="Times New Roman"/>
          <w:sz w:val="24"/>
          <w:szCs w:val="24"/>
        </w:rPr>
        <w:t>21,</w:t>
      </w:r>
      <w:r w:rsidR="00DD06F0" w:rsidRPr="00C644F8">
        <w:rPr>
          <w:rFonts w:cs="Times New Roman"/>
          <w:sz w:val="24"/>
          <w:szCs w:val="24"/>
        </w:rPr>
        <w:t>54</w:t>
      </w:r>
      <w:r w:rsidR="00F90A5F">
        <w:rPr>
          <w:rFonts w:cs="Times New Roman"/>
          <w:sz w:val="24"/>
          <w:szCs w:val="24"/>
        </w:rPr>
        <w:t>6</w:t>
      </w:r>
      <w:r w:rsidR="00D52A84" w:rsidRPr="00C644F8">
        <w:rPr>
          <w:rFonts w:cs="Times New Roman"/>
          <w:sz w:val="24"/>
          <w:szCs w:val="24"/>
        </w:rPr>
        <w:t xml:space="preserve"> black</w:t>
      </w:r>
      <w:r w:rsidR="00D844D9">
        <w:rPr>
          <w:rFonts w:cs="Times New Roman"/>
          <w:sz w:val="24"/>
          <w:szCs w:val="24"/>
        </w:rPr>
        <w:t xml:space="preserve"> individuals</w:t>
      </w:r>
      <w:r w:rsidR="00D52A84" w:rsidRPr="00C644F8">
        <w:rPr>
          <w:rFonts w:cs="Times New Roman"/>
          <w:sz w:val="24"/>
          <w:szCs w:val="24"/>
        </w:rPr>
        <w:t xml:space="preserve"> and 145</w:t>
      </w:r>
      <w:r w:rsidR="007A0E34" w:rsidRPr="00C644F8">
        <w:rPr>
          <w:rFonts w:cs="Times New Roman"/>
          <w:sz w:val="24"/>
          <w:szCs w:val="24"/>
        </w:rPr>
        <w:t>,</w:t>
      </w:r>
      <w:r w:rsidR="00D52A84" w:rsidRPr="00C644F8">
        <w:rPr>
          <w:rFonts w:cs="Times New Roman"/>
          <w:sz w:val="24"/>
          <w:szCs w:val="24"/>
        </w:rPr>
        <w:t>13</w:t>
      </w:r>
      <w:r w:rsidR="00F90A5F">
        <w:rPr>
          <w:rFonts w:cs="Times New Roman"/>
          <w:sz w:val="24"/>
          <w:szCs w:val="24"/>
        </w:rPr>
        <w:t>4</w:t>
      </w:r>
      <w:r w:rsidR="00D844D9">
        <w:rPr>
          <w:rFonts w:cs="Times New Roman"/>
          <w:sz w:val="24"/>
          <w:szCs w:val="24"/>
        </w:rPr>
        <w:t xml:space="preserve"> white individuals</w:t>
      </w:r>
      <w:r w:rsidR="007A0E34" w:rsidRPr="00C644F8">
        <w:rPr>
          <w:rFonts w:cs="Times New Roman"/>
          <w:sz w:val="24"/>
          <w:szCs w:val="24"/>
        </w:rPr>
        <w:t xml:space="preserve"> contracted cancer and during that same time period 9,473 black</w:t>
      </w:r>
      <w:r w:rsidR="00D844D9">
        <w:rPr>
          <w:rFonts w:cs="Times New Roman"/>
          <w:sz w:val="24"/>
          <w:szCs w:val="24"/>
        </w:rPr>
        <w:t xml:space="preserve"> individuals</w:t>
      </w:r>
      <w:r w:rsidR="007A0E34" w:rsidRPr="00C644F8">
        <w:rPr>
          <w:rFonts w:cs="Times New Roman"/>
          <w:sz w:val="24"/>
          <w:szCs w:val="24"/>
        </w:rPr>
        <w:t xml:space="preserve"> and 57,215 white</w:t>
      </w:r>
      <w:r w:rsidR="00D844D9">
        <w:rPr>
          <w:rFonts w:cs="Times New Roman"/>
          <w:sz w:val="24"/>
          <w:szCs w:val="24"/>
        </w:rPr>
        <w:t xml:space="preserve"> individuals</w:t>
      </w:r>
      <w:r w:rsidR="007A0E34" w:rsidRPr="00C644F8">
        <w:rPr>
          <w:rFonts w:cs="Times New Roman"/>
          <w:sz w:val="24"/>
          <w:szCs w:val="24"/>
        </w:rPr>
        <w:t xml:space="preserve"> died </w:t>
      </w:r>
      <w:r w:rsidR="006C2C5C" w:rsidRPr="00C644F8">
        <w:rPr>
          <w:rFonts w:cs="Times New Roman"/>
          <w:sz w:val="24"/>
          <w:szCs w:val="24"/>
        </w:rPr>
        <w:t xml:space="preserve">due to </w:t>
      </w:r>
      <w:r w:rsidR="007A0E34" w:rsidRPr="00C644F8">
        <w:rPr>
          <w:rFonts w:cs="Times New Roman"/>
          <w:sz w:val="24"/>
          <w:szCs w:val="24"/>
        </w:rPr>
        <w:t xml:space="preserve">cancer. </w:t>
      </w:r>
    </w:p>
    <w:p w:rsidR="00E55C8F" w:rsidRDefault="00D6185F" w:rsidP="0014329F">
      <w:pPr>
        <w:spacing w:before="0" w:after="0"/>
        <w:jc w:val="both"/>
        <w:rPr>
          <w:rFonts w:cs="Times New Roman"/>
          <w:sz w:val="24"/>
          <w:szCs w:val="24"/>
        </w:rPr>
      </w:pPr>
      <w:r w:rsidRPr="00C644F8">
        <w:rPr>
          <w:rFonts w:cs="Times New Roman"/>
          <w:sz w:val="24"/>
          <w:szCs w:val="24"/>
        </w:rPr>
        <w:t xml:space="preserve">The direct medical costs (total of all health care expenditures) for cancer in the U.S. in 2010 were $124.6 billion, or </w:t>
      </w:r>
      <w:r w:rsidR="001518B5" w:rsidRPr="00C644F8">
        <w:rPr>
          <w:rFonts w:cs="Times New Roman"/>
          <w:sz w:val="24"/>
          <w:szCs w:val="24"/>
        </w:rPr>
        <w:t>almost $</w:t>
      </w:r>
      <w:r w:rsidR="004B2DFD">
        <w:rPr>
          <w:rFonts w:cs="Times New Roman"/>
          <w:sz w:val="24"/>
          <w:szCs w:val="24"/>
        </w:rPr>
        <w:t>8</w:t>
      </w:r>
      <w:r w:rsidR="001518B5" w:rsidRPr="00C644F8">
        <w:rPr>
          <w:rFonts w:cs="Times New Roman"/>
          <w:sz w:val="24"/>
          <w:szCs w:val="24"/>
        </w:rPr>
        <w:t>0,</w:t>
      </w:r>
      <w:r w:rsidR="004B2DFD">
        <w:rPr>
          <w:rFonts w:cs="Times New Roman"/>
          <w:sz w:val="24"/>
          <w:szCs w:val="24"/>
        </w:rPr>
        <w:t>561</w:t>
      </w:r>
      <w:r w:rsidR="001518B5" w:rsidRPr="00C644F8">
        <w:rPr>
          <w:rFonts w:cs="Times New Roman"/>
          <w:sz w:val="24"/>
          <w:szCs w:val="24"/>
        </w:rPr>
        <w:t xml:space="preserve"> per cancer </w:t>
      </w:r>
      <w:r w:rsidR="004B2DFD">
        <w:rPr>
          <w:rFonts w:cs="Times New Roman"/>
          <w:sz w:val="24"/>
          <w:szCs w:val="24"/>
        </w:rPr>
        <w:t>diagnosis</w:t>
      </w:r>
      <w:r w:rsidR="00FB0AE5" w:rsidRPr="00C644F8">
        <w:rPr>
          <w:rFonts w:cs="Times New Roman"/>
          <w:sz w:val="24"/>
          <w:szCs w:val="24"/>
        </w:rPr>
        <w:t xml:space="preserve">. </w:t>
      </w:r>
      <w:r w:rsidR="0002147A">
        <w:rPr>
          <w:rFonts w:cs="Times New Roman"/>
          <w:sz w:val="24"/>
          <w:szCs w:val="24"/>
        </w:rPr>
        <w:t xml:space="preserve">By 2020, cancer costs could reach </w:t>
      </w:r>
      <w:r w:rsidR="001518B5" w:rsidRPr="00C644F8">
        <w:rPr>
          <w:rFonts w:cs="Times New Roman"/>
          <w:sz w:val="24"/>
          <w:szCs w:val="24"/>
        </w:rPr>
        <w:t>$157.8 billion</w:t>
      </w:r>
      <w:r w:rsidR="0002147A">
        <w:rPr>
          <w:rFonts w:cs="Times New Roman"/>
          <w:sz w:val="24"/>
          <w:szCs w:val="24"/>
        </w:rPr>
        <w:t xml:space="preserve"> (in 2010 dollars), based only on increases in population</w:t>
      </w:r>
      <w:r w:rsidR="00FB0AE5" w:rsidRPr="00C644F8">
        <w:rPr>
          <w:rFonts w:cs="Times New Roman"/>
          <w:sz w:val="24"/>
          <w:szCs w:val="24"/>
        </w:rPr>
        <w:t xml:space="preserve">; however, if costs of </w:t>
      </w:r>
      <w:r w:rsidR="00E164F9">
        <w:rPr>
          <w:rFonts w:cs="Times New Roman"/>
          <w:sz w:val="24"/>
          <w:szCs w:val="24"/>
        </w:rPr>
        <w:t xml:space="preserve">cancer </w:t>
      </w:r>
      <w:r w:rsidR="00FB0AE5" w:rsidRPr="00C644F8">
        <w:rPr>
          <w:rFonts w:cs="Times New Roman"/>
          <w:sz w:val="24"/>
          <w:szCs w:val="24"/>
        </w:rPr>
        <w:t xml:space="preserve">care </w:t>
      </w:r>
      <w:r w:rsidR="0002147A">
        <w:rPr>
          <w:rFonts w:cs="Times New Roman"/>
          <w:sz w:val="24"/>
          <w:szCs w:val="24"/>
        </w:rPr>
        <w:t xml:space="preserve">also </w:t>
      </w:r>
      <w:r w:rsidR="00FB0AE5" w:rsidRPr="00C644F8">
        <w:rPr>
          <w:rFonts w:cs="Times New Roman"/>
          <w:sz w:val="24"/>
          <w:szCs w:val="24"/>
        </w:rPr>
        <w:t>increase annually by 2</w:t>
      </w:r>
      <w:r w:rsidR="004B2DFD">
        <w:rPr>
          <w:rFonts w:cs="Times New Roman"/>
          <w:sz w:val="24"/>
          <w:szCs w:val="24"/>
        </w:rPr>
        <w:t>%</w:t>
      </w:r>
      <w:r w:rsidR="00FB0AE5" w:rsidRPr="00C644F8">
        <w:rPr>
          <w:rFonts w:cs="Times New Roman"/>
          <w:sz w:val="24"/>
          <w:szCs w:val="24"/>
        </w:rPr>
        <w:t xml:space="preserve">, the total </w:t>
      </w:r>
      <w:r w:rsidR="005528E6" w:rsidRPr="00C644F8">
        <w:rPr>
          <w:rFonts w:cs="Times New Roman"/>
          <w:sz w:val="24"/>
          <w:szCs w:val="24"/>
        </w:rPr>
        <w:t>cost for cancer care</w:t>
      </w:r>
      <w:r w:rsidR="00FB0AE5" w:rsidRPr="00C644F8">
        <w:rPr>
          <w:rFonts w:cs="Times New Roman"/>
          <w:sz w:val="24"/>
          <w:szCs w:val="24"/>
        </w:rPr>
        <w:t xml:space="preserve"> in 2020 </w:t>
      </w:r>
      <w:r w:rsidR="0002147A">
        <w:rPr>
          <w:rFonts w:cs="Times New Roman"/>
          <w:sz w:val="24"/>
          <w:szCs w:val="24"/>
        </w:rPr>
        <w:t>could reach as high as</w:t>
      </w:r>
      <w:r w:rsidR="00FB0AE5" w:rsidRPr="00C644F8">
        <w:rPr>
          <w:rFonts w:cs="Times New Roman"/>
          <w:sz w:val="24"/>
          <w:szCs w:val="24"/>
        </w:rPr>
        <w:t xml:space="preserve"> $1</w:t>
      </w:r>
      <w:r w:rsidR="00E164F9">
        <w:rPr>
          <w:rFonts w:cs="Times New Roman"/>
          <w:sz w:val="24"/>
          <w:szCs w:val="24"/>
        </w:rPr>
        <w:t>86.7</w:t>
      </w:r>
      <w:r w:rsidR="00FB0AE5" w:rsidRPr="00C644F8">
        <w:rPr>
          <w:rFonts w:cs="Times New Roman"/>
          <w:sz w:val="24"/>
          <w:szCs w:val="24"/>
        </w:rPr>
        <w:t xml:space="preserve"> billion.</w:t>
      </w:r>
      <w:r w:rsidR="00E612FC" w:rsidRPr="00C644F8">
        <w:rPr>
          <w:rFonts w:cs="Times New Roman"/>
          <w:sz w:val="24"/>
          <w:szCs w:val="24"/>
        </w:rPr>
        <w:t xml:space="preserve"> </w:t>
      </w:r>
      <w:r w:rsidR="00511121" w:rsidRPr="00C644F8">
        <w:rPr>
          <w:rFonts w:cs="Times New Roman"/>
          <w:sz w:val="24"/>
          <w:szCs w:val="24"/>
        </w:rPr>
        <w:t xml:space="preserve">The </w:t>
      </w:r>
      <w:r w:rsidR="005528E6" w:rsidRPr="00C644F8">
        <w:rPr>
          <w:rFonts w:cs="Times New Roman"/>
          <w:sz w:val="24"/>
          <w:szCs w:val="24"/>
        </w:rPr>
        <w:t xml:space="preserve">cancer sites with the </w:t>
      </w:r>
      <w:r w:rsidR="00511121" w:rsidRPr="00C644F8">
        <w:rPr>
          <w:rFonts w:cs="Times New Roman"/>
          <w:sz w:val="24"/>
          <w:szCs w:val="24"/>
        </w:rPr>
        <w:t xml:space="preserve">highest costs </w:t>
      </w:r>
      <w:r w:rsidR="0002147A">
        <w:rPr>
          <w:rFonts w:cs="Times New Roman"/>
          <w:sz w:val="24"/>
          <w:szCs w:val="24"/>
        </w:rPr>
        <w:t xml:space="preserve">in 2010 dollars are: </w:t>
      </w:r>
      <w:r w:rsidR="00511121" w:rsidRPr="00C644F8">
        <w:rPr>
          <w:rFonts w:cs="Times New Roman"/>
          <w:sz w:val="24"/>
          <w:szCs w:val="24"/>
        </w:rPr>
        <w:t>breast cancer ($16.5 billion), followed by colorectal cancer ($14</w:t>
      </w:r>
      <w:r w:rsidR="00E164F9">
        <w:rPr>
          <w:rFonts w:cs="Times New Roman"/>
          <w:sz w:val="24"/>
          <w:szCs w:val="24"/>
        </w:rPr>
        <w:t>.1</w:t>
      </w:r>
      <w:r w:rsidR="00511121" w:rsidRPr="00C644F8">
        <w:rPr>
          <w:rFonts w:cs="Times New Roman"/>
          <w:sz w:val="24"/>
          <w:szCs w:val="24"/>
        </w:rPr>
        <w:t xml:space="preserve"> billion), lymphoma ($12</w:t>
      </w:r>
      <w:r w:rsidR="00E164F9">
        <w:rPr>
          <w:rFonts w:cs="Times New Roman"/>
          <w:sz w:val="24"/>
          <w:szCs w:val="24"/>
        </w:rPr>
        <w:t>.1</w:t>
      </w:r>
      <w:r w:rsidR="00511121" w:rsidRPr="00C644F8">
        <w:rPr>
          <w:rFonts w:cs="Times New Roman"/>
          <w:sz w:val="24"/>
          <w:szCs w:val="24"/>
        </w:rPr>
        <w:t xml:space="preserve"> billion), lung cancer ($12</w:t>
      </w:r>
      <w:r w:rsidR="00E164F9">
        <w:rPr>
          <w:rFonts w:cs="Times New Roman"/>
          <w:sz w:val="24"/>
          <w:szCs w:val="24"/>
        </w:rPr>
        <w:t>.1</w:t>
      </w:r>
      <w:r w:rsidR="00511121" w:rsidRPr="00C644F8">
        <w:rPr>
          <w:rFonts w:cs="Times New Roman"/>
          <w:sz w:val="24"/>
          <w:szCs w:val="24"/>
        </w:rPr>
        <w:t xml:space="preserve"> billion), and prostate cancer ($1</w:t>
      </w:r>
      <w:r w:rsidR="00E164F9">
        <w:rPr>
          <w:rFonts w:cs="Times New Roman"/>
          <w:sz w:val="24"/>
          <w:szCs w:val="24"/>
        </w:rPr>
        <w:t>1.9</w:t>
      </w:r>
      <w:r w:rsidR="00511121" w:rsidRPr="00C644F8">
        <w:rPr>
          <w:rFonts w:cs="Times New Roman"/>
          <w:sz w:val="24"/>
          <w:szCs w:val="24"/>
        </w:rPr>
        <w:t xml:space="preserve"> billion)</w:t>
      </w:r>
      <w:r w:rsidR="001B420A" w:rsidRPr="00C644F8">
        <w:rPr>
          <w:rFonts w:cs="Times New Roman"/>
          <w:sz w:val="24"/>
          <w:szCs w:val="24"/>
        </w:rPr>
        <w:t xml:space="preserve"> </w:t>
      </w:r>
      <w:r w:rsidR="001518B5" w:rsidRPr="00C644F8">
        <w:rPr>
          <w:rFonts w:cs="Times New Roman"/>
          <w:sz w:val="24"/>
          <w:szCs w:val="24"/>
        </w:rPr>
        <w:t>(</w:t>
      </w:r>
      <w:r w:rsidR="00E073F6" w:rsidRPr="00C644F8">
        <w:rPr>
          <w:rFonts w:cs="Times New Roman"/>
          <w:sz w:val="24"/>
          <w:szCs w:val="24"/>
        </w:rPr>
        <w:t>Mariotto, 2011).</w:t>
      </w:r>
    </w:p>
    <w:p w:rsidR="00C55CB1" w:rsidRPr="00976CBD" w:rsidRDefault="00C55CB1" w:rsidP="00903E48">
      <w:pPr>
        <w:pStyle w:val="Heading2"/>
      </w:pPr>
      <w:bookmarkStart w:id="40" w:name="_Toc421608513"/>
      <w:bookmarkStart w:id="41" w:name="_Toc421609331"/>
      <w:bookmarkStart w:id="42" w:name="_Toc421609665"/>
      <w:bookmarkStart w:id="43" w:name="_Toc421611191"/>
      <w:bookmarkStart w:id="44" w:name="_Toc439918822"/>
      <w:r w:rsidRPr="00976CBD">
        <w:t>Tennessee Demographics</w:t>
      </w:r>
      <w:bookmarkEnd w:id="40"/>
      <w:bookmarkEnd w:id="41"/>
      <w:bookmarkEnd w:id="42"/>
      <w:bookmarkEnd w:id="43"/>
      <w:bookmarkEnd w:id="44"/>
      <w:r w:rsidRPr="00976CBD">
        <w:t xml:space="preserve"> </w:t>
      </w:r>
    </w:p>
    <w:p w:rsidR="00C55CB1" w:rsidRDefault="00A23301" w:rsidP="00AC3432">
      <w:pPr>
        <w:jc w:val="both"/>
        <w:rPr>
          <w:rFonts w:cs="Times New Roman"/>
          <w:sz w:val="24"/>
          <w:szCs w:val="24"/>
        </w:rPr>
      </w:pPr>
      <w:r>
        <w:rPr>
          <w:noProof/>
          <w:sz w:val="22"/>
          <w:lang w:bidi="ar-SA"/>
        </w:rPr>
        <mc:AlternateContent>
          <mc:Choice Requires="wps">
            <w:drawing>
              <wp:anchor distT="0" distB="0" distL="114300" distR="114300" simplePos="0" relativeHeight="252328960" behindDoc="0" locked="0" layoutInCell="1" allowOverlap="1" wp14:anchorId="72653A19" wp14:editId="3072D5EE">
                <wp:simplePos x="0" y="0"/>
                <wp:positionH relativeFrom="column">
                  <wp:posOffset>1270</wp:posOffset>
                </wp:positionH>
                <wp:positionV relativeFrom="paragraph">
                  <wp:posOffset>2840990</wp:posOffset>
                </wp:positionV>
                <wp:extent cx="8128000" cy="0"/>
                <wp:effectExtent l="0" t="0" r="25400" b="19050"/>
                <wp:wrapNone/>
                <wp:docPr id="154" name="Straight Connector 154"/>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23.7pt" to="640.1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" strokecolor="#1b587c [3206]" strokeweight="1pt"/>
            </w:pict>
          </mc:Fallback>
        </mc:AlternateContent>
      </w:r>
      <w:r w:rsidR="009F7A75">
        <w:rPr>
          <w:rFonts w:cs="Times New Roman"/>
          <w:sz w:val="24"/>
          <w:szCs w:val="24"/>
        </w:rPr>
        <w:t>At the time of the 2010 Census</w:t>
      </w:r>
      <w:r w:rsidR="00C55CB1" w:rsidRPr="00C55CB1">
        <w:rPr>
          <w:rFonts w:cs="Times New Roman"/>
          <w:sz w:val="24"/>
          <w:szCs w:val="24"/>
        </w:rPr>
        <w:t>, the T</w:t>
      </w:r>
      <w:r w:rsidR="00EB4C56">
        <w:rPr>
          <w:rFonts w:cs="Times New Roman"/>
          <w:sz w:val="24"/>
          <w:szCs w:val="24"/>
        </w:rPr>
        <w:t>N</w:t>
      </w:r>
      <w:r w:rsidR="00C55CB1" w:rsidRPr="00C55CB1">
        <w:rPr>
          <w:rFonts w:cs="Times New Roman"/>
          <w:sz w:val="24"/>
          <w:szCs w:val="24"/>
        </w:rPr>
        <w:t xml:space="preserve"> population was estimated to be 6.35 million </w:t>
      </w:r>
      <w:r w:rsidR="009F7A75">
        <w:rPr>
          <w:rFonts w:cs="Times New Roman"/>
          <w:sz w:val="24"/>
          <w:szCs w:val="24"/>
        </w:rPr>
        <w:t xml:space="preserve">people </w:t>
      </w:r>
      <w:r w:rsidR="00C55CB1" w:rsidRPr="00C55CB1">
        <w:rPr>
          <w:rFonts w:cs="Times New Roman"/>
          <w:sz w:val="24"/>
          <w:szCs w:val="24"/>
        </w:rPr>
        <w:t>and females represented 51.</w:t>
      </w:r>
      <w:r w:rsidR="009F7A75">
        <w:rPr>
          <w:rFonts w:cs="Times New Roman"/>
          <w:sz w:val="24"/>
          <w:szCs w:val="24"/>
        </w:rPr>
        <w:t>3</w:t>
      </w:r>
      <w:r w:rsidR="00C55CB1" w:rsidRPr="00C55CB1">
        <w:rPr>
          <w:rFonts w:cs="Times New Roman"/>
          <w:sz w:val="24"/>
          <w:szCs w:val="24"/>
        </w:rPr>
        <w:t xml:space="preserve">% of this total, while males made up the remainder. It is also important to note that from 2000 to 2010, the </w:t>
      </w:r>
      <w:r w:rsidR="00EB4C56">
        <w:rPr>
          <w:rFonts w:cs="Times New Roman"/>
          <w:sz w:val="24"/>
          <w:szCs w:val="24"/>
        </w:rPr>
        <w:t>TN</w:t>
      </w:r>
      <w:r w:rsidR="00C55CB1" w:rsidRPr="00C55CB1">
        <w:rPr>
          <w:rFonts w:cs="Times New Roman"/>
          <w:sz w:val="24"/>
          <w:szCs w:val="24"/>
        </w:rPr>
        <w:t xml:space="preserve"> population grew by </w:t>
      </w:r>
      <w:r w:rsidR="005E23E9">
        <w:rPr>
          <w:rFonts w:cs="Times New Roman"/>
          <w:sz w:val="24"/>
          <w:szCs w:val="24"/>
        </w:rPr>
        <w:t xml:space="preserve">about </w:t>
      </w:r>
      <w:r w:rsidR="00C55CB1" w:rsidRPr="00C55CB1">
        <w:rPr>
          <w:rFonts w:cs="Times New Roman"/>
          <w:sz w:val="24"/>
          <w:szCs w:val="24"/>
        </w:rPr>
        <w:t xml:space="preserve">11.5% (United States Census Bureau, 2012). </w:t>
      </w:r>
      <w:r w:rsidR="0041778D">
        <w:rPr>
          <w:rFonts w:cs="Times New Roman"/>
          <w:sz w:val="24"/>
          <w:szCs w:val="24"/>
        </w:rPr>
        <w:t>With</w:t>
      </w:r>
      <w:r w:rsidR="00C55CB1" w:rsidRPr="00C55CB1">
        <w:rPr>
          <w:rFonts w:cs="Times New Roman"/>
          <w:sz w:val="24"/>
          <w:szCs w:val="24"/>
        </w:rPr>
        <w:t xml:space="preserve"> regards to </w:t>
      </w:r>
      <w:r w:rsidR="00C55CB1">
        <w:rPr>
          <w:rFonts w:cs="Times New Roman"/>
          <w:sz w:val="24"/>
          <w:szCs w:val="24"/>
        </w:rPr>
        <w:t>race</w:t>
      </w:r>
      <w:r w:rsidR="00C55CB1" w:rsidRPr="00C55CB1">
        <w:rPr>
          <w:rFonts w:cs="Times New Roman"/>
          <w:sz w:val="24"/>
          <w:szCs w:val="24"/>
        </w:rPr>
        <w:t xml:space="preserve">, </w:t>
      </w:r>
      <w:r w:rsidR="00C55CB1">
        <w:rPr>
          <w:rFonts w:cs="Times New Roman"/>
          <w:sz w:val="24"/>
          <w:szCs w:val="24"/>
        </w:rPr>
        <w:t>more than three quarters (78.4%) of the T</w:t>
      </w:r>
      <w:r w:rsidR="00EB4C56">
        <w:rPr>
          <w:rFonts w:cs="Times New Roman"/>
          <w:sz w:val="24"/>
          <w:szCs w:val="24"/>
        </w:rPr>
        <w:t>N</w:t>
      </w:r>
      <w:r w:rsidR="00C55CB1">
        <w:rPr>
          <w:rFonts w:cs="Times New Roman"/>
          <w:sz w:val="24"/>
          <w:szCs w:val="24"/>
        </w:rPr>
        <w:t xml:space="preserve"> population was white, 16.7% of the population was black, and the remaining 4.9% of the </w:t>
      </w:r>
      <w:r w:rsidR="00EB4C56">
        <w:rPr>
          <w:rFonts w:cs="Times New Roman"/>
          <w:sz w:val="24"/>
          <w:szCs w:val="24"/>
        </w:rPr>
        <w:t>TN</w:t>
      </w:r>
      <w:r w:rsidR="00C55CB1">
        <w:rPr>
          <w:rFonts w:cs="Times New Roman"/>
          <w:sz w:val="24"/>
          <w:szCs w:val="24"/>
        </w:rPr>
        <w:t xml:space="preserve"> population was classified as ‘Other’. </w:t>
      </w:r>
      <w:r w:rsidR="005E23E9">
        <w:rPr>
          <w:rFonts w:cs="Times New Roman"/>
          <w:sz w:val="24"/>
          <w:szCs w:val="24"/>
        </w:rPr>
        <w:t>T</w:t>
      </w:r>
      <w:r w:rsidR="00C55CB1">
        <w:rPr>
          <w:rFonts w:cs="Times New Roman"/>
          <w:sz w:val="24"/>
          <w:szCs w:val="24"/>
        </w:rPr>
        <w:t xml:space="preserve">he ‘Other’ grouping includes: American Indian, Alaska Native, Asian, Native Hawaiian, and Pacific Islander racial groups. </w:t>
      </w:r>
      <w:r w:rsidR="0041778D">
        <w:rPr>
          <w:rFonts w:cs="Times New Roman"/>
          <w:sz w:val="24"/>
          <w:szCs w:val="24"/>
        </w:rPr>
        <w:t>With</w:t>
      </w:r>
      <w:r w:rsidR="00AC3432">
        <w:rPr>
          <w:rFonts w:cs="Times New Roman"/>
          <w:sz w:val="24"/>
          <w:szCs w:val="24"/>
        </w:rPr>
        <w:t xml:space="preserve"> regards to age, 59.6% of the T</w:t>
      </w:r>
      <w:r w:rsidR="00EB4C56">
        <w:rPr>
          <w:rFonts w:cs="Times New Roman"/>
          <w:sz w:val="24"/>
          <w:szCs w:val="24"/>
        </w:rPr>
        <w:t>N</w:t>
      </w:r>
      <w:r w:rsidR="00AC3432">
        <w:rPr>
          <w:rFonts w:cs="Times New Roman"/>
          <w:sz w:val="24"/>
          <w:szCs w:val="24"/>
        </w:rPr>
        <w:t xml:space="preserve"> population </w:t>
      </w:r>
      <w:r w:rsidR="0036656D">
        <w:rPr>
          <w:rFonts w:cs="Times New Roman"/>
          <w:sz w:val="24"/>
          <w:szCs w:val="24"/>
        </w:rPr>
        <w:t>was</w:t>
      </w:r>
      <w:r w:rsidR="00AC3432">
        <w:rPr>
          <w:rFonts w:cs="Times New Roman"/>
          <w:sz w:val="24"/>
          <w:szCs w:val="24"/>
        </w:rPr>
        <w:t xml:space="preserve"> less than forty-f</w:t>
      </w:r>
      <w:r w:rsidR="005E23E9">
        <w:rPr>
          <w:rFonts w:cs="Times New Roman"/>
          <w:sz w:val="24"/>
          <w:szCs w:val="24"/>
        </w:rPr>
        <w:t>ive</w:t>
      </w:r>
      <w:r w:rsidR="00AC3432">
        <w:rPr>
          <w:rFonts w:cs="Times New Roman"/>
          <w:sz w:val="24"/>
          <w:szCs w:val="24"/>
        </w:rPr>
        <w:t xml:space="preserve"> years </w:t>
      </w:r>
      <w:r w:rsidR="00AC3432">
        <w:rPr>
          <w:rFonts w:cs="Times New Roman"/>
          <w:sz w:val="24"/>
          <w:szCs w:val="24"/>
        </w:rPr>
        <w:lastRenderedPageBreak/>
        <w:t xml:space="preserve">of age, 26.8% of the population </w:t>
      </w:r>
      <w:r w:rsidR="0036656D">
        <w:rPr>
          <w:rFonts w:cs="Times New Roman"/>
          <w:sz w:val="24"/>
          <w:szCs w:val="24"/>
        </w:rPr>
        <w:t>was</w:t>
      </w:r>
      <w:r w:rsidR="00AC3432">
        <w:rPr>
          <w:rFonts w:cs="Times New Roman"/>
          <w:sz w:val="24"/>
          <w:szCs w:val="24"/>
        </w:rPr>
        <w:t xml:space="preserve"> between forty-five and sixty-four years of age, and 13.6% of the population </w:t>
      </w:r>
      <w:r w:rsidR="0036656D">
        <w:rPr>
          <w:rFonts w:cs="Times New Roman"/>
          <w:sz w:val="24"/>
          <w:szCs w:val="24"/>
        </w:rPr>
        <w:t>was</w:t>
      </w:r>
      <w:r w:rsidR="00AC3432">
        <w:rPr>
          <w:rFonts w:cs="Times New Roman"/>
          <w:sz w:val="24"/>
          <w:szCs w:val="24"/>
        </w:rPr>
        <w:t xml:space="preserve"> over 65 years of age. </w:t>
      </w:r>
    </w:p>
    <w:p w:rsidR="00387254" w:rsidRPr="00976CBD" w:rsidRDefault="00387254" w:rsidP="00903E48">
      <w:pPr>
        <w:pStyle w:val="Heading2"/>
      </w:pPr>
      <w:bookmarkStart w:id="45" w:name="_Toc346002102"/>
      <w:bookmarkStart w:id="46" w:name="_Toc374006800"/>
      <w:bookmarkStart w:id="47" w:name="_Toc400634499"/>
      <w:bookmarkStart w:id="48" w:name="_Toc421608514"/>
      <w:bookmarkStart w:id="49" w:name="_Toc421609332"/>
      <w:bookmarkStart w:id="50" w:name="_Toc421609666"/>
      <w:bookmarkStart w:id="51" w:name="_Toc421611192"/>
      <w:bookmarkStart w:id="52" w:name="_Toc439918823"/>
      <w:r w:rsidRPr="00976CBD">
        <w:t>Cancer Incidence and Mortality</w:t>
      </w:r>
      <w:bookmarkEnd w:id="45"/>
      <w:bookmarkEnd w:id="46"/>
      <w:bookmarkEnd w:id="47"/>
      <w:r w:rsidRPr="00976CBD">
        <w:t xml:space="preserve"> in Tennessee</w:t>
      </w:r>
      <w:bookmarkEnd w:id="48"/>
      <w:bookmarkEnd w:id="49"/>
      <w:bookmarkEnd w:id="50"/>
      <w:bookmarkEnd w:id="51"/>
      <w:bookmarkEnd w:id="52"/>
    </w:p>
    <w:p w:rsidR="00387254" w:rsidRDefault="00387254" w:rsidP="00387254">
      <w:pPr>
        <w:spacing w:before="120"/>
        <w:jc w:val="both"/>
        <w:rPr>
          <w:rFonts w:cs="Times New Roman"/>
          <w:sz w:val="24"/>
          <w:szCs w:val="24"/>
        </w:rPr>
      </w:pPr>
      <w:r w:rsidRPr="00C644F8">
        <w:rPr>
          <w:rFonts w:cs="Times New Roman"/>
          <w:sz w:val="24"/>
          <w:szCs w:val="24"/>
        </w:rPr>
        <w:t>During 2008</w:t>
      </w:r>
      <w:r w:rsidR="00DB5209">
        <w:rPr>
          <w:rFonts w:cs="Times New Roman"/>
          <w:sz w:val="24"/>
          <w:szCs w:val="24"/>
        </w:rPr>
        <w:t>-</w:t>
      </w:r>
      <w:r w:rsidRPr="00C644F8">
        <w:rPr>
          <w:rFonts w:cs="Times New Roman"/>
          <w:sz w:val="24"/>
          <w:szCs w:val="24"/>
        </w:rPr>
        <w:t>2012, a total of 169,031 new cases of invasive cancer were diagnosed among T</w:t>
      </w:r>
      <w:r w:rsidR="00EB4C56">
        <w:rPr>
          <w:rFonts w:cs="Times New Roman"/>
          <w:sz w:val="24"/>
          <w:szCs w:val="24"/>
        </w:rPr>
        <w:t>N</w:t>
      </w:r>
      <w:r w:rsidRPr="00C644F8">
        <w:rPr>
          <w:rFonts w:cs="Times New Roman"/>
          <w:sz w:val="24"/>
          <w:szCs w:val="24"/>
        </w:rPr>
        <w:t xml:space="preserve"> residents, resulting in an incidence rate of 475.6 per 100,000; this number excludes all </w:t>
      </w:r>
      <w:r w:rsidRPr="00C644F8">
        <w:rPr>
          <w:rFonts w:cs="Times New Roman"/>
          <w:i/>
          <w:sz w:val="24"/>
          <w:szCs w:val="24"/>
        </w:rPr>
        <w:t>in situ</w:t>
      </w:r>
      <w:r w:rsidRPr="00C644F8">
        <w:rPr>
          <w:rFonts w:cs="Times New Roman"/>
          <w:sz w:val="24"/>
          <w:szCs w:val="24"/>
        </w:rPr>
        <w:t xml:space="preserve"> cases except for urinary bladder. There were 67,120 deaths with cancer recorded as the underlying cause of death in TN residents during the same time period, resulting in a mortality rate of 191.9 per 100,000. In 2012, 34,09</w:t>
      </w:r>
      <w:r w:rsidR="0036656D">
        <w:rPr>
          <w:rFonts w:cs="Times New Roman"/>
          <w:sz w:val="24"/>
          <w:szCs w:val="24"/>
        </w:rPr>
        <w:t>3</w:t>
      </w:r>
      <w:r w:rsidRPr="00C644F8">
        <w:rPr>
          <w:rFonts w:cs="Times New Roman"/>
          <w:sz w:val="24"/>
          <w:szCs w:val="24"/>
        </w:rPr>
        <w:t xml:space="preserve"> new cancer cases were diagnosed and 13,630 </w:t>
      </w:r>
      <w:r w:rsidR="005E23E9">
        <w:rPr>
          <w:rFonts w:cs="Times New Roman"/>
          <w:sz w:val="24"/>
          <w:szCs w:val="24"/>
        </w:rPr>
        <w:t>death</w:t>
      </w:r>
      <w:r w:rsidRPr="00C644F8">
        <w:rPr>
          <w:rFonts w:cs="Times New Roman"/>
          <w:sz w:val="24"/>
          <w:szCs w:val="24"/>
        </w:rPr>
        <w:t>s were attributed to cancer in T</w:t>
      </w:r>
      <w:r w:rsidR="00EB4C56">
        <w:rPr>
          <w:rFonts w:cs="Times New Roman"/>
          <w:sz w:val="24"/>
          <w:szCs w:val="24"/>
        </w:rPr>
        <w:t>N</w:t>
      </w:r>
      <w:r w:rsidRPr="00C644F8">
        <w:rPr>
          <w:rFonts w:cs="Times New Roman"/>
          <w:sz w:val="24"/>
          <w:szCs w:val="24"/>
        </w:rPr>
        <w:t xml:space="preserve">. </w:t>
      </w:r>
      <w:r w:rsidR="00700E74">
        <w:rPr>
          <w:rFonts w:cs="Times New Roman"/>
          <w:sz w:val="24"/>
          <w:szCs w:val="24"/>
        </w:rPr>
        <w:t>From 2008 to 2012, cancer incidence and mortality rates decreased by 4.9% and 5.3%, respectively</w:t>
      </w:r>
      <w:r w:rsidR="00933111">
        <w:rPr>
          <w:rFonts w:cs="Times New Roman"/>
          <w:sz w:val="24"/>
          <w:szCs w:val="24"/>
        </w:rPr>
        <w:t>, and these changes were statistically significant</w:t>
      </w:r>
      <w:r w:rsidR="00700E74">
        <w:rPr>
          <w:rFonts w:cs="Times New Roman"/>
          <w:sz w:val="24"/>
          <w:szCs w:val="24"/>
        </w:rPr>
        <w:t xml:space="preserve">. </w:t>
      </w:r>
    </w:p>
    <w:p w:rsidR="000878F1" w:rsidRPr="00976CBD" w:rsidRDefault="000878F1" w:rsidP="000878F1">
      <w:pPr>
        <w:pStyle w:val="Heading2"/>
      </w:pPr>
      <w:bookmarkStart w:id="53" w:name="_Toc439918824"/>
      <w:r w:rsidRPr="00976CBD">
        <w:t>Regional and County Differences in Cancer</w:t>
      </w:r>
      <w:bookmarkEnd w:id="53"/>
    </w:p>
    <w:p w:rsidR="002C6F9C" w:rsidRDefault="00CE688E" w:rsidP="005E620E">
      <w:pPr>
        <w:jc w:val="both"/>
        <w:rPr>
          <w:rFonts w:cs="Times New Roman"/>
          <w:sz w:val="24"/>
          <w:szCs w:val="24"/>
        </w:rPr>
      </w:pPr>
      <w:r w:rsidRPr="00C644F8">
        <w:rPr>
          <w:rFonts w:cs="Times New Roman"/>
          <w:sz w:val="24"/>
          <w:szCs w:val="24"/>
        </w:rPr>
        <w:t xml:space="preserve">Cancer incidence and mortality rates varied by region and by county. The 95 counties in TN are grouped into 8 regions by the TN Department of Health (TDH): Northwest, Southwest, South Central, Mid-Cumberland, Upper Cumberland, Southeast, East and Northeast (see </w:t>
      </w:r>
      <w:hyperlink w:anchor="_Appendix_III._Cancer" w:history="1">
        <w:r w:rsidRPr="00C644F8">
          <w:rPr>
            <w:rStyle w:val="Hyperlink"/>
            <w:rFonts w:cs="Times New Roman"/>
            <w:sz w:val="24"/>
            <w:szCs w:val="24"/>
          </w:rPr>
          <w:t>Appendix III</w:t>
        </w:r>
      </w:hyperlink>
      <w:r w:rsidRPr="00C644F8">
        <w:rPr>
          <w:rFonts w:cs="Times New Roman"/>
          <w:sz w:val="24"/>
          <w:szCs w:val="24"/>
        </w:rPr>
        <w:t xml:space="preserve">). The East region had the highest overall cancer incidence rate (496.8), whereas the Northwest (462.5), Southwest (466.2), and South Central (467.5) regions displayed the lowest. The Northwest region displayed the highest overall cancer mortality rate </w:t>
      </w:r>
      <w:r w:rsidRPr="00C644F8">
        <w:rPr>
          <w:rFonts w:cs="Times New Roman"/>
          <w:sz w:val="24"/>
          <w:szCs w:val="24"/>
        </w:rPr>
        <w:lastRenderedPageBreak/>
        <w:t>(213.1), whereas the Southea</w:t>
      </w:r>
      <w:r>
        <w:rPr>
          <w:rFonts w:cs="Times New Roman"/>
          <w:sz w:val="24"/>
          <w:szCs w:val="24"/>
        </w:rPr>
        <w:t xml:space="preserve">st (184.4) and </w:t>
      </w:r>
      <w:r w:rsidRPr="00C644F8">
        <w:rPr>
          <w:rFonts w:cs="Times New Roman"/>
          <w:sz w:val="24"/>
          <w:szCs w:val="24"/>
        </w:rPr>
        <w:t>Mid-Cumberland</w:t>
      </w:r>
      <w:r w:rsidR="00410258">
        <w:rPr>
          <w:rFonts w:cs="Times New Roman"/>
          <w:sz w:val="24"/>
          <w:szCs w:val="24"/>
        </w:rPr>
        <w:t xml:space="preserve"> </w:t>
      </w:r>
      <w:r w:rsidR="002C6F9C">
        <w:rPr>
          <w:rFonts w:cs="Times New Roman"/>
          <w:sz w:val="24"/>
          <w:szCs w:val="24"/>
        </w:rPr>
        <w:t>(185.3) regions displayed the lowest. Males had higher incidence and mortality rates than females in all regions.</w:t>
      </w:r>
    </w:p>
    <w:p w:rsidR="002C6F9C" w:rsidRDefault="002C6F9C" w:rsidP="005E620E">
      <w:pPr>
        <w:jc w:val="both"/>
        <w:rPr>
          <w:rFonts w:cs="Times New Roman"/>
          <w:sz w:val="24"/>
          <w:szCs w:val="24"/>
        </w:rPr>
      </w:pPr>
      <w:r w:rsidRPr="00C644F8">
        <w:rPr>
          <w:rFonts w:cs="Times New Roman"/>
          <w:sz w:val="24"/>
          <w:szCs w:val="24"/>
        </w:rPr>
        <w:t xml:space="preserve">At the county level, </w:t>
      </w:r>
      <w:r>
        <w:rPr>
          <w:rFonts w:cs="Times New Roman"/>
          <w:sz w:val="24"/>
          <w:szCs w:val="24"/>
        </w:rPr>
        <w:t xml:space="preserve">Lewis (544.2), </w:t>
      </w:r>
      <w:r w:rsidRPr="00C644F8">
        <w:rPr>
          <w:rFonts w:cs="Times New Roman"/>
          <w:sz w:val="24"/>
          <w:szCs w:val="24"/>
        </w:rPr>
        <w:t>Cheatham</w:t>
      </w:r>
      <w:r>
        <w:rPr>
          <w:rFonts w:cs="Times New Roman"/>
          <w:sz w:val="24"/>
          <w:szCs w:val="24"/>
        </w:rPr>
        <w:t xml:space="preserve"> (543.1), Scott (540.4), Rhea (540.2), and Benton (539.9) </w:t>
      </w:r>
      <w:r w:rsidRPr="00C644F8">
        <w:rPr>
          <w:rFonts w:cs="Times New Roman"/>
          <w:sz w:val="24"/>
          <w:szCs w:val="24"/>
        </w:rPr>
        <w:t xml:space="preserve">counties had the highest overall cancer incidence rates. The lowest overall cancer incidence rates were observed in </w:t>
      </w:r>
      <w:r>
        <w:rPr>
          <w:rFonts w:cs="Times New Roman"/>
          <w:sz w:val="24"/>
          <w:szCs w:val="24"/>
        </w:rPr>
        <w:t>Moore (411.1), Chester (411.3), Dyer (411.6), and Lake (416.0)</w:t>
      </w:r>
      <w:r w:rsidRPr="00C644F8">
        <w:rPr>
          <w:rFonts w:cs="Times New Roman"/>
          <w:sz w:val="24"/>
          <w:szCs w:val="24"/>
        </w:rPr>
        <w:t xml:space="preserve"> counties. The highest overall cancer mortality rates were observed in Scott</w:t>
      </w:r>
      <w:r>
        <w:rPr>
          <w:rFonts w:cs="Times New Roman"/>
          <w:sz w:val="24"/>
          <w:szCs w:val="24"/>
        </w:rPr>
        <w:t xml:space="preserve"> (253.2)</w:t>
      </w:r>
      <w:r w:rsidRPr="00C644F8">
        <w:rPr>
          <w:rFonts w:cs="Times New Roman"/>
          <w:sz w:val="24"/>
          <w:szCs w:val="24"/>
        </w:rPr>
        <w:t>, Stewart</w:t>
      </w:r>
      <w:r>
        <w:rPr>
          <w:rFonts w:cs="Times New Roman"/>
          <w:sz w:val="24"/>
          <w:szCs w:val="24"/>
        </w:rPr>
        <w:t xml:space="preserve"> (237.6)</w:t>
      </w:r>
      <w:r w:rsidRPr="00C644F8">
        <w:rPr>
          <w:rFonts w:cs="Times New Roman"/>
          <w:sz w:val="24"/>
          <w:szCs w:val="24"/>
        </w:rPr>
        <w:t>, Sequatchie,</w:t>
      </w:r>
      <w:r>
        <w:rPr>
          <w:rFonts w:cs="Times New Roman"/>
          <w:sz w:val="24"/>
          <w:szCs w:val="24"/>
        </w:rPr>
        <w:t xml:space="preserve"> (235.2)</w:t>
      </w:r>
      <w:r w:rsidRPr="00C644F8">
        <w:rPr>
          <w:rFonts w:cs="Times New Roman"/>
          <w:sz w:val="24"/>
          <w:szCs w:val="24"/>
        </w:rPr>
        <w:t xml:space="preserve"> Benton</w:t>
      </w:r>
      <w:r>
        <w:rPr>
          <w:rFonts w:cs="Times New Roman"/>
          <w:sz w:val="24"/>
          <w:szCs w:val="24"/>
        </w:rPr>
        <w:t xml:space="preserve"> (235.0)</w:t>
      </w:r>
      <w:r w:rsidRPr="00C644F8">
        <w:rPr>
          <w:rFonts w:cs="Times New Roman"/>
          <w:sz w:val="24"/>
          <w:szCs w:val="24"/>
        </w:rPr>
        <w:t>, and Hancock</w:t>
      </w:r>
      <w:r>
        <w:rPr>
          <w:rFonts w:cs="Times New Roman"/>
          <w:sz w:val="24"/>
          <w:szCs w:val="24"/>
        </w:rPr>
        <w:t xml:space="preserve"> (232.1)</w:t>
      </w:r>
      <w:r w:rsidRPr="00C644F8">
        <w:rPr>
          <w:rFonts w:cs="Times New Roman"/>
          <w:sz w:val="24"/>
          <w:szCs w:val="24"/>
        </w:rPr>
        <w:t xml:space="preserve"> counties. The lowest overall cancer mortality rates were observed in Williamson</w:t>
      </w:r>
      <w:r>
        <w:rPr>
          <w:rFonts w:cs="Times New Roman"/>
          <w:sz w:val="24"/>
          <w:szCs w:val="24"/>
        </w:rPr>
        <w:t xml:space="preserve"> (141.6)</w:t>
      </w:r>
      <w:r w:rsidRPr="00C644F8">
        <w:rPr>
          <w:rFonts w:cs="Times New Roman"/>
          <w:sz w:val="24"/>
          <w:szCs w:val="24"/>
        </w:rPr>
        <w:t>, Moore</w:t>
      </w:r>
      <w:r>
        <w:rPr>
          <w:rFonts w:cs="Times New Roman"/>
          <w:sz w:val="24"/>
          <w:szCs w:val="24"/>
        </w:rPr>
        <w:t xml:space="preserve"> (144.3)</w:t>
      </w:r>
      <w:r w:rsidRPr="00C644F8">
        <w:rPr>
          <w:rFonts w:cs="Times New Roman"/>
          <w:sz w:val="24"/>
          <w:szCs w:val="24"/>
        </w:rPr>
        <w:t>, Bledsoe</w:t>
      </w:r>
      <w:r>
        <w:rPr>
          <w:rFonts w:cs="Times New Roman"/>
          <w:sz w:val="24"/>
          <w:szCs w:val="24"/>
        </w:rPr>
        <w:t xml:space="preserve"> (159.3)</w:t>
      </w:r>
      <w:r w:rsidRPr="00C644F8">
        <w:rPr>
          <w:rFonts w:cs="Times New Roman"/>
          <w:sz w:val="24"/>
          <w:szCs w:val="24"/>
        </w:rPr>
        <w:t>, Loudon</w:t>
      </w:r>
      <w:r>
        <w:rPr>
          <w:rFonts w:cs="Times New Roman"/>
          <w:sz w:val="24"/>
          <w:szCs w:val="24"/>
        </w:rPr>
        <w:t xml:space="preserve"> (163.3)</w:t>
      </w:r>
      <w:r w:rsidRPr="00C644F8">
        <w:rPr>
          <w:rFonts w:cs="Times New Roman"/>
          <w:sz w:val="24"/>
          <w:szCs w:val="24"/>
        </w:rPr>
        <w:t>, and Chester</w:t>
      </w:r>
      <w:r>
        <w:rPr>
          <w:rFonts w:cs="Times New Roman"/>
          <w:sz w:val="24"/>
          <w:szCs w:val="24"/>
        </w:rPr>
        <w:t xml:space="preserve"> (165.2)</w:t>
      </w:r>
      <w:r w:rsidRPr="00C644F8">
        <w:rPr>
          <w:rFonts w:cs="Times New Roman"/>
          <w:sz w:val="24"/>
          <w:szCs w:val="24"/>
        </w:rPr>
        <w:t xml:space="preserve"> counties.</w:t>
      </w:r>
    </w:p>
    <w:p w:rsidR="002C6F9C" w:rsidRPr="00976CBD" w:rsidRDefault="002C6F9C" w:rsidP="002C6F9C">
      <w:pPr>
        <w:pStyle w:val="Heading2"/>
      </w:pPr>
      <w:bookmarkStart w:id="54" w:name="_Toc346002105"/>
      <w:bookmarkStart w:id="55" w:name="_Toc374006803"/>
      <w:bookmarkStart w:id="56" w:name="_Toc400634502"/>
      <w:bookmarkStart w:id="57" w:name="_Toc421608516"/>
      <w:bookmarkStart w:id="58" w:name="_Toc421609334"/>
      <w:bookmarkStart w:id="59" w:name="_Toc421609668"/>
      <w:bookmarkStart w:id="60" w:name="_Toc421611194"/>
      <w:bookmarkStart w:id="61" w:name="_Toc439918825"/>
      <w:r>
        <w:t>10 Most Common Sites</w:t>
      </w:r>
      <w:r w:rsidRPr="00976CBD">
        <w:t xml:space="preserve"> of Cancer Incidence</w:t>
      </w:r>
      <w:bookmarkEnd w:id="54"/>
      <w:bookmarkEnd w:id="55"/>
      <w:bookmarkEnd w:id="56"/>
      <w:bookmarkEnd w:id="57"/>
      <w:bookmarkEnd w:id="58"/>
      <w:bookmarkEnd w:id="59"/>
      <w:bookmarkEnd w:id="60"/>
      <w:bookmarkEnd w:id="61"/>
    </w:p>
    <w:p w:rsidR="001718D9" w:rsidRDefault="00DB3EAA" w:rsidP="001718D9">
      <w:pPr>
        <w:rPr>
          <w:rFonts w:ascii="Times New Roman" w:hAnsi="Times New Roman" w:cs="Times New Roman"/>
          <w:sz w:val="24"/>
          <w:szCs w:val="24"/>
        </w:rPr>
      </w:pPr>
      <w:r>
        <w:rPr>
          <w:noProof/>
          <w:sz w:val="22"/>
          <w:lang w:bidi="ar-SA"/>
        </w:rPr>
        <mc:AlternateContent>
          <mc:Choice Requires="wps">
            <w:drawing>
              <wp:anchor distT="0" distB="0" distL="114300" distR="114300" simplePos="0" relativeHeight="252443648" behindDoc="0" locked="0" layoutInCell="1" allowOverlap="1" wp14:anchorId="4085E740" wp14:editId="6C054948">
                <wp:simplePos x="0" y="0"/>
                <wp:positionH relativeFrom="column">
                  <wp:posOffset>1270</wp:posOffset>
                </wp:positionH>
                <wp:positionV relativeFrom="paragraph">
                  <wp:posOffset>2656205</wp:posOffset>
                </wp:positionV>
                <wp:extent cx="812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09.15pt" to="640.1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" strokecolor="#1b587c [3206]" strokeweight="1pt"/>
            </w:pict>
          </mc:Fallback>
        </mc:AlternateContent>
      </w:r>
      <w:r w:rsidR="002C6F9C" w:rsidRPr="00C644F8">
        <w:rPr>
          <w:rFonts w:cs="Times New Roman"/>
          <w:sz w:val="24"/>
          <w:szCs w:val="24"/>
        </w:rPr>
        <w:t xml:space="preserve">The </w:t>
      </w:r>
      <w:r w:rsidR="0081168E">
        <w:rPr>
          <w:rFonts w:cs="Times New Roman"/>
          <w:sz w:val="24"/>
          <w:szCs w:val="24"/>
        </w:rPr>
        <w:t>following 10 cancer sites accounted for the greatest number of new cancer cases, in decreasing order, in TN and the United S</w:t>
      </w:r>
      <w:r w:rsidR="00560392">
        <w:rPr>
          <w:rFonts w:cs="Times New Roman"/>
          <w:sz w:val="24"/>
          <w:szCs w:val="24"/>
        </w:rPr>
        <w:t>tates during the period 2008-2012</w:t>
      </w:r>
      <w:r w:rsidR="0081168E">
        <w:rPr>
          <w:rFonts w:cs="Times New Roman"/>
          <w:sz w:val="24"/>
          <w:szCs w:val="24"/>
        </w:rPr>
        <w:t xml:space="preserve">: </w:t>
      </w:r>
      <w:bookmarkStart w:id="62" w:name="_MON_1511935821"/>
      <w:bookmarkEnd w:id="62"/>
      <w:r w:rsidR="00F12D84" w:rsidRPr="00C644F8">
        <w:rPr>
          <w:rFonts w:ascii="Times New Roman" w:hAnsi="Times New Roman" w:cs="Times New Roman"/>
          <w:sz w:val="24"/>
          <w:szCs w:val="24"/>
        </w:rPr>
        <w:object w:dxaOrig="5703" w:dyaOrig="2893">
          <v:shape id="_x0000_i1027" type="#_x0000_t75" style="width:304.75pt;height:136.45pt" o:ole="">
            <v:imagedata r:id="rId21" o:title=""/>
          </v:shape>
          <o:OLEObject Type="Embed" ProgID="Excel.Sheet.12" ShapeID="_x0000_i1027" DrawAspect="Content" ObjectID="_1513764402" r:id="rId22"/>
        </w:object>
      </w:r>
      <w:r w:rsidR="001718D9">
        <w:rPr>
          <w:rFonts w:ascii="Times New Roman" w:hAnsi="Times New Roman" w:cs="Times New Roman"/>
          <w:sz w:val="24"/>
          <w:szCs w:val="24"/>
        </w:rPr>
        <w:tab/>
      </w:r>
      <w:r w:rsidR="001718D9">
        <w:rPr>
          <w:rFonts w:ascii="Times New Roman" w:hAnsi="Times New Roman" w:cs="Times New Roman"/>
          <w:sz w:val="24"/>
          <w:szCs w:val="24"/>
        </w:rPr>
        <w:tab/>
      </w:r>
      <w:r w:rsidR="001718D9">
        <w:rPr>
          <w:rFonts w:ascii="Times New Roman" w:hAnsi="Times New Roman" w:cs="Times New Roman"/>
          <w:sz w:val="24"/>
          <w:szCs w:val="24"/>
        </w:rPr>
        <w:tab/>
      </w:r>
      <w:r w:rsidR="001718D9">
        <w:rPr>
          <w:rFonts w:ascii="Times New Roman" w:hAnsi="Times New Roman" w:cs="Times New Roman"/>
          <w:sz w:val="24"/>
          <w:szCs w:val="24"/>
        </w:rPr>
        <w:tab/>
      </w:r>
      <w:r w:rsidR="001718D9">
        <w:rPr>
          <w:rFonts w:ascii="Times New Roman" w:hAnsi="Times New Roman" w:cs="Times New Roman"/>
          <w:sz w:val="24"/>
          <w:szCs w:val="24"/>
        </w:rPr>
        <w:tab/>
      </w:r>
      <w:r w:rsidR="001718D9">
        <w:rPr>
          <w:rFonts w:ascii="Times New Roman" w:hAnsi="Times New Roman" w:cs="Times New Roman"/>
          <w:sz w:val="24"/>
          <w:szCs w:val="24"/>
        </w:rPr>
        <w:tab/>
      </w:r>
      <w:r w:rsidR="001718D9">
        <w:rPr>
          <w:rFonts w:ascii="Times New Roman" w:hAnsi="Times New Roman" w:cs="Times New Roman"/>
          <w:sz w:val="24"/>
          <w:szCs w:val="24"/>
        </w:rPr>
        <w:tab/>
      </w:r>
      <w:hyperlink w:anchor="_Data_Sources_2" w:history="1">
        <w:r w:rsidR="001718D9" w:rsidRPr="002C6F9C">
          <w:rPr>
            <w:rStyle w:val="Hyperlink"/>
            <w:rFonts w:cstheme="minorHAnsi"/>
            <w:szCs w:val="24"/>
          </w:rPr>
          <w:t>Data Source</w:t>
        </w:r>
      </w:hyperlink>
    </w:p>
    <w:p w:rsidR="002C6F9C" w:rsidRPr="00976CBD" w:rsidRDefault="002C6F9C" w:rsidP="002C6F9C">
      <w:pPr>
        <w:pStyle w:val="Heading2"/>
      </w:pPr>
      <w:bookmarkStart w:id="63" w:name="_Toc421608517"/>
      <w:bookmarkStart w:id="64" w:name="_Toc421609335"/>
      <w:bookmarkStart w:id="65" w:name="_Toc421609669"/>
      <w:bookmarkStart w:id="66" w:name="_Toc421611195"/>
      <w:bookmarkStart w:id="67" w:name="_Toc439918826"/>
      <w:r>
        <w:t>10 Most Common Sites</w:t>
      </w:r>
      <w:r w:rsidRPr="00976CBD">
        <w:t xml:space="preserve"> of Cancer Mortality</w:t>
      </w:r>
      <w:bookmarkEnd w:id="63"/>
      <w:bookmarkEnd w:id="64"/>
      <w:bookmarkEnd w:id="65"/>
      <w:bookmarkEnd w:id="66"/>
      <w:bookmarkEnd w:id="67"/>
    </w:p>
    <w:p w:rsidR="002C6F9C" w:rsidRDefault="002C6F9C" w:rsidP="005E620E">
      <w:pPr>
        <w:jc w:val="both"/>
        <w:rPr>
          <w:rFonts w:ascii="Times New Roman" w:hAnsi="Times New Roman" w:cs="Times New Roman"/>
          <w:sz w:val="24"/>
          <w:szCs w:val="24"/>
        </w:rPr>
      </w:pPr>
      <w:r w:rsidRPr="00C644F8">
        <w:rPr>
          <w:rFonts w:cs="Times New Roman"/>
          <w:sz w:val="24"/>
          <w:szCs w:val="24"/>
        </w:rPr>
        <w:t xml:space="preserve">The following 10 cancers accounted for the greatest number of deaths, in decreasing order, in TN and the U.S. in </w:t>
      </w:r>
      <w:r>
        <w:rPr>
          <w:rFonts w:cs="Times New Roman"/>
          <w:sz w:val="24"/>
          <w:szCs w:val="24"/>
        </w:rPr>
        <w:t>2008-2012 in decreasing order were as follows</w:t>
      </w:r>
      <w:r w:rsidRPr="00C644F8">
        <w:rPr>
          <w:rFonts w:cs="Times New Roman"/>
          <w:sz w:val="24"/>
          <w:szCs w:val="24"/>
        </w:rPr>
        <w:t>:</w:t>
      </w:r>
    </w:p>
    <w:bookmarkStart w:id="68" w:name="_MON_1486968449"/>
    <w:bookmarkEnd w:id="68"/>
    <w:p w:rsidR="002C6F9C" w:rsidRDefault="00ED2374">
      <w:pPr>
        <w:rPr>
          <w:sz w:val="24"/>
          <w:szCs w:val="24"/>
        </w:rPr>
      </w:pPr>
      <w:r w:rsidRPr="00C644F8">
        <w:rPr>
          <w:sz w:val="24"/>
          <w:szCs w:val="24"/>
        </w:rPr>
        <w:object w:dxaOrig="5703" w:dyaOrig="2893">
          <v:shape id="_x0000_i1028" type="#_x0000_t75" style="width:302.25pt;height:136.45pt" o:ole="">
            <v:imagedata r:id="rId23" o:title=""/>
          </v:shape>
          <o:OLEObject Type="Embed" ProgID="Excel.Sheet.12" ShapeID="_x0000_i1028" DrawAspect="Content" ObjectID="_1513764403" r:id="rId24"/>
        </w:object>
      </w:r>
    </w:p>
    <w:p w:rsidR="002C6F9C" w:rsidRDefault="00964E4C" w:rsidP="002C6F9C">
      <w:pPr>
        <w:jc w:val="right"/>
        <w:rPr>
          <w:rFonts w:cs="Times New Roman"/>
          <w:sz w:val="24"/>
          <w:szCs w:val="24"/>
        </w:rPr>
        <w:sectPr w:rsidR="002C6F9C" w:rsidSect="000A3765">
          <w:type w:val="continuous"/>
          <w:pgSz w:w="15840" w:h="12240" w:orient="landscape"/>
          <w:pgMar w:top="1080" w:right="1440" w:bottom="1080" w:left="1440" w:header="720" w:footer="288" w:gutter="0"/>
          <w:pgNumType w:fmt="numberInDash" w:start="1"/>
          <w:cols w:num="2" w:space="720"/>
          <w:docGrid w:linePitch="360"/>
        </w:sectPr>
      </w:pPr>
      <w:hyperlink w:anchor="_Data_Sources_2" w:history="1">
        <w:r w:rsidR="002C6F9C" w:rsidRPr="002C6F9C">
          <w:rPr>
            <w:rStyle w:val="Hyperlink"/>
            <w:szCs w:val="24"/>
          </w:rPr>
          <w:t>Data Source</w:t>
        </w:r>
      </w:hyperlink>
      <w:r w:rsidR="002C6F9C">
        <w:rPr>
          <w:rFonts w:cs="Times New Roman"/>
          <w:sz w:val="24"/>
          <w:szCs w:val="24"/>
        </w:rPr>
        <w:br w:type="page"/>
      </w:r>
    </w:p>
    <w:p w:rsidR="00EA34F7" w:rsidRDefault="00EA34F7" w:rsidP="00F37C3F">
      <w:pPr>
        <w:pStyle w:val="Heading1"/>
      </w:pPr>
      <w:bookmarkStart w:id="69" w:name="_Toc421608519"/>
      <w:bookmarkStart w:id="70" w:name="_Toc421609337"/>
      <w:bookmarkStart w:id="71" w:name="_Toc421609671"/>
      <w:bookmarkStart w:id="72" w:name="_Toc421611196"/>
      <w:bookmarkStart w:id="73" w:name="_Toc439918827"/>
      <w:bookmarkStart w:id="74" w:name="_Toc346002107"/>
      <w:bookmarkStart w:id="75" w:name="_Toc374006805"/>
      <w:bookmarkStart w:id="76" w:name="_Toc400634504"/>
      <w:r>
        <w:lastRenderedPageBreak/>
        <w:t>Most Common Cancers</w:t>
      </w:r>
      <w:bookmarkEnd w:id="69"/>
      <w:bookmarkEnd w:id="70"/>
      <w:bookmarkEnd w:id="71"/>
      <w:r w:rsidR="00F37C3F">
        <w:t xml:space="preserve"> in </w:t>
      </w:r>
      <w:r w:rsidR="00F37C3F" w:rsidRPr="00F37C3F">
        <w:t>Tennessee</w:t>
      </w:r>
      <w:r w:rsidR="00F37C3F">
        <w:t>, 2008-2012</w:t>
      </w:r>
      <w:bookmarkEnd w:id="72"/>
      <w:bookmarkEnd w:id="73"/>
    </w:p>
    <w:p w:rsidR="00221700" w:rsidRDefault="00221700" w:rsidP="00903E48">
      <w:pPr>
        <w:pStyle w:val="Heading2"/>
        <w:sectPr w:rsidR="00221700" w:rsidSect="000A3765">
          <w:type w:val="continuous"/>
          <w:pgSz w:w="15840" w:h="12240" w:orient="landscape"/>
          <w:pgMar w:top="1080" w:right="1440" w:bottom="1080" w:left="1440" w:header="720" w:footer="288" w:gutter="0"/>
          <w:pgNumType w:fmt="numberInDash"/>
          <w:cols w:space="720"/>
          <w:docGrid w:linePitch="360"/>
        </w:sectPr>
      </w:pPr>
      <w:bookmarkStart w:id="77" w:name="_Toc421608520"/>
      <w:bookmarkStart w:id="78" w:name="_Toc421609338"/>
      <w:bookmarkStart w:id="79" w:name="_Toc421609672"/>
      <w:bookmarkStart w:id="80" w:name="_Toc421611197"/>
    </w:p>
    <w:p w:rsidR="00472A7D" w:rsidRPr="00976CBD" w:rsidRDefault="00B05FA6" w:rsidP="00903E48">
      <w:pPr>
        <w:pStyle w:val="Heading2"/>
      </w:pPr>
      <w:bookmarkStart w:id="81" w:name="_Toc439918828"/>
      <w:r w:rsidRPr="00976CBD">
        <w:lastRenderedPageBreak/>
        <w:t>Lung Cancer</w:t>
      </w:r>
      <w:bookmarkEnd w:id="74"/>
      <w:bookmarkEnd w:id="75"/>
      <w:bookmarkEnd w:id="76"/>
      <w:bookmarkEnd w:id="77"/>
      <w:bookmarkEnd w:id="78"/>
      <w:bookmarkEnd w:id="79"/>
      <w:bookmarkEnd w:id="80"/>
      <w:bookmarkEnd w:id="81"/>
    </w:p>
    <w:p w:rsidR="002F7906" w:rsidRPr="00C644F8" w:rsidRDefault="00C46DF3" w:rsidP="00DD7DD8">
      <w:pPr>
        <w:jc w:val="both"/>
        <w:rPr>
          <w:rFonts w:cs="Times New Roman"/>
          <w:sz w:val="24"/>
          <w:szCs w:val="24"/>
        </w:rPr>
      </w:pPr>
      <w:r w:rsidRPr="00C644F8">
        <w:rPr>
          <w:rFonts w:cs="Times New Roman"/>
          <w:sz w:val="24"/>
          <w:szCs w:val="24"/>
        </w:rPr>
        <w:t>From 2008 through 2012</w:t>
      </w:r>
      <w:r w:rsidR="00CC0E3F" w:rsidRPr="00C644F8">
        <w:rPr>
          <w:rFonts w:cs="Times New Roman"/>
          <w:sz w:val="24"/>
          <w:szCs w:val="24"/>
        </w:rPr>
        <w:t>, lung cancer accounted for 16.</w:t>
      </w:r>
      <w:r w:rsidR="00F51FDC" w:rsidRPr="00C644F8">
        <w:rPr>
          <w:rFonts w:cs="Times New Roman"/>
          <w:sz w:val="24"/>
          <w:szCs w:val="24"/>
        </w:rPr>
        <w:t>6</w:t>
      </w:r>
      <w:r w:rsidRPr="00C644F8">
        <w:rPr>
          <w:rFonts w:cs="Times New Roman"/>
          <w:sz w:val="24"/>
          <w:szCs w:val="24"/>
        </w:rPr>
        <w:t xml:space="preserve">% of all new cancer cases </w:t>
      </w:r>
      <w:r w:rsidR="00317BAC" w:rsidRPr="00C644F8">
        <w:rPr>
          <w:rFonts w:cs="Times New Roman"/>
          <w:sz w:val="24"/>
          <w:szCs w:val="24"/>
        </w:rPr>
        <w:t xml:space="preserve">and almost a third (32.3%) of all cancer mortalities. </w:t>
      </w:r>
      <w:r w:rsidR="004B1EDA" w:rsidRPr="00C644F8">
        <w:rPr>
          <w:rFonts w:cs="Times New Roman"/>
          <w:sz w:val="24"/>
          <w:szCs w:val="24"/>
        </w:rPr>
        <w:t>The lung</w:t>
      </w:r>
      <w:r w:rsidR="00F02D43" w:rsidRPr="00C644F8">
        <w:rPr>
          <w:rFonts w:cs="Times New Roman"/>
          <w:sz w:val="24"/>
          <w:szCs w:val="24"/>
        </w:rPr>
        <w:t xml:space="preserve"> cancer incidence </w:t>
      </w:r>
      <w:r w:rsidR="004B1EDA" w:rsidRPr="00C644F8">
        <w:rPr>
          <w:rFonts w:cs="Times New Roman"/>
          <w:sz w:val="24"/>
          <w:szCs w:val="24"/>
        </w:rPr>
        <w:t>rate</w:t>
      </w:r>
      <w:r w:rsidR="00741B4B" w:rsidRPr="00C644F8">
        <w:rPr>
          <w:rFonts w:cs="Times New Roman"/>
          <w:sz w:val="24"/>
          <w:szCs w:val="24"/>
        </w:rPr>
        <w:t xml:space="preserve"> </w:t>
      </w:r>
      <w:r w:rsidR="00F02D43" w:rsidRPr="00C644F8">
        <w:rPr>
          <w:rFonts w:cs="Times New Roman"/>
          <w:sz w:val="24"/>
          <w:szCs w:val="24"/>
        </w:rPr>
        <w:t>decreas</w:t>
      </w:r>
      <w:r w:rsidR="00B05FA6" w:rsidRPr="00C644F8">
        <w:rPr>
          <w:rFonts w:cs="Times New Roman"/>
          <w:sz w:val="24"/>
          <w:szCs w:val="24"/>
        </w:rPr>
        <w:t>ed</w:t>
      </w:r>
      <w:r w:rsidR="00741B4B" w:rsidRPr="00C644F8">
        <w:rPr>
          <w:rFonts w:cs="Times New Roman"/>
          <w:sz w:val="24"/>
          <w:szCs w:val="24"/>
        </w:rPr>
        <w:t xml:space="preserve"> </w:t>
      </w:r>
      <w:r w:rsidR="004B1EDA" w:rsidRPr="00C644F8">
        <w:rPr>
          <w:rFonts w:cs="Times New Roman"/>
          <w:sz w:val="24"/>
          <w:szCs w:val="24"/>
        </w:rPr>
        <w:t xml:space="preserve">by </w:t>
      </w:r>
      <w:r w:rsidR="00CC0E3F" w:rsidRPr="00C644F8">
        <w:rPr>
          <w:rFonts w:cs="Times New Roman"/>
          <w:sz w:val="24"/>
          <w:szCs w:val="24"/>
        </w:rPr>
        <w:t>5.2</w:t>
      </w:r>
      <w:r w:rsidR="004B1EDA" w:rsidRPr="00C644F8">
        <w:rPr>
          <w:rFonts w:cs="Times New Roman"/>
          <w:sz w:val="24"/>
          <w:szCs w:val="24"/>
        </w:rPr>
        <w:t xml:space="preserve">% </w:t>
      </w:r>
      <w:r w:rsidR="00F02D43" w:rsidRPr="00C644F8">
        <w:rPr>
          <w:rFonts w:cs="Times New Roman"/>
          <w:sz w:val="24"/>
          <w:szCs w:val="24"/>
        </w:rPr>
        <w:t xml:space="preserve">from </w:t>
      </w:r>
      <w:r w:rsidR="00D1325B" w:rsidRPr="00C644F8">
        <w:rPr>
          <w:rFonts w:cs="Times New Roman"/>
          <w:sz w:val="24"/>
          <w:szCs w:val="24"/>
        </w:rPr>
        <w:t>200</w:t>
      </w:r>
      <w:r w:rsidR="00732F3B" w:rsidRPr="00C644F8">
        <w:rPr>
          <w:rFonts w:cs="Times New Roman"/>
          <w:sz w:val="24"/>
          <w:szCs w:val="24"/>
        </w:rPr>
        <w:t>8</w:t>
      </w:r>
      <w:r w:rsidR="00E732B6" w:rsidRPr="00C644F8">
        <w:rPr>
          <w:rFonts w:cs="Times New Roman"/>
          <w:sz w:val="24"/>
          <w:szCs w:val="24"/>
        </w:rPr>
        <w:t xml:space="preserve"> to </w:t>
      </w:r>
      <w:r w:rsidR="00D1325B" w:rsidRPr="00C644F8">
        <w:rPr>
          <w:rFonts w:cs="Times New Roman"/>
          <w:sz w:val="24"/>
          <w:szCs w:val="24"/>
        </w:rPr>
        <w:t>201</w:t>
      </w:r>
      <w:r w:rsidR="00732F3B" w:rsidRPr="00C644F8">
        <w:rPr>
          <w:rFonts w:cs="Times New Roman"/>
          <w:sz w:val="24"/>
          <w:szCs w:val="24"/>
        </w:rPr>
        <w:t>2</w:t>
      </w:r>
      <w:r w:rsidR="00CC0E3F" w:rsidRPr="00C644F8">
        <w:rPr>
          <w:rFonts w:cs="Times New Roman"/>
          <w:sz w:val="24"/>
          <w:szCs w:val="24"/>
        </w:rPr>
        <w:t xml:space="preserve"> and this change was</w:t>
      </w:r>
      <w:r w:rsidR="004B37C5" w:rsidRPr="00C644F8">
        <w:rPr>
          <w:rFonts w:cs="Times New Roman"/>
          <w:sz w:val="24"/>
          <w:szCs w:val="24"/>
        </w:rPr>
        <w:t xml:space="preserve"> statistically significant; although, i</w:t>
      </w:r>
      <w:r w:rsidR="006C2C5C" w:rsidRPr="00C644F8">
        <w:rPr>
          <w:rFonts w:cs="Times New Roman"/>
          <w:sz w:val="24"/>
          <w:szCs w:val="24"/>
        </w:rPr>
        <w:t>t is important to note that the number of lung cancer cases increased from 5,</w:t>
      </w:r>
      <w:r w:rsidR="00765F01">
        <w:rPr>
          <w:rFonts w:cs="Times New Roman"/>
          <w:sz w:val="24"/>
          <w:szCs w:val="24"/>
        </w:rPr>
        <w:t>4</w:t>
      </w:r>
      <w:r w:rsidR="00C127FE" w:rsidRPr="00C644F8">
        <w:rPr>
          <w:rFonts w:cs="Times New Roman"/>
          <w:sz w:val="24"/>
          <w:szCs w:val="24"/>
        </w:rPr>
        <w:t>6</w:t>
      </w:r>
      <w:r w:rsidR="00765F01">
        <w:rPr>
          <w:rFonts w:cs="Times New Roman"/>
          <w:sz w:val="24"/>
          <w:szCs w:val="24"/>
        </w:rPr>
        <w:t>5</w:t>
      </w:r>
      <w:r w:rsidR="006C2C5C" w:rsidRPr="00C644F8">
        <w:rPr>
          <w:rFonts w:cs="Times New Roman"/>
          <w:sz w:val="24"/>
          <w:szCs w:val="24"/>
        </w:rPr>
        <w:t xml:space="preserve"> in 20</w:t>
      </w:r>
      <w:r w:rsidR="00765F01">
        <w:rPr>
          <w:rFonts w:cs="Times New Roman"/>
          <w:sz w:val="24"/>
          <w:szCs w:val="24"/>
        </w:rPr>
        <w:t>08</w:t>
      </w:r>
      <w:r w:rsidR="006C2C5C" w:rsidRPr="00C644F8">
        <w:rPr>
          <w:rFonts w:cs="Times New Roman"/>
          <w:sz w:val="24"/>
          <w:szCs w:val="24"/>
        </w:rPr>
        <w:t xml:space="preserve"> to 5,6</w:t>
      </w:r>
      <w:r w:rsidR="00C127FE" w:rsidRPr="00C644F8">
        <w:rPr>
          <w:rFonts w:cs="Times New Roman"/>
          <w:sz w:val="24"/>
          <w:szCs w:val="24"/>
        </w:rPr>
        <w:t>8</w:t>
      </w:r>
      <w:r w:rsidR="00F51FDC" w:rsidRPr="00C644F8">
        <w:rPr>
          <w:rFonts w:cs="Times New Roman"/>
          <w:sz w:val="24"/>
          <w:szCs w:val="24"/>
        </w:rPr>
        <w:t>3</w:t>
      </w:r>
      <w:r w:rsidR="006C2C5C" w:rsidRPr="00C644F8">
        <w:rPr>
          <w:rFonts w:cs="Times New Roman"/>
          <w:sz w:val="24"/>
          <w:szCs w:val="24"/>
        </w:rPr>
        <w:t xml:space="preserve"> in 2012, a </w:t>
      </w:r>
      <w:r w:rsidR="00765F01">
        <w:rPr>
          <w:rFonts w:cs="Times New Roman"/>
          <w:sz w:val="24"/>
          <w:szCs w:val="24"/>
        </w:rPr>
        <w:t>4.0</w:t>
      </w:r>
      <w:r w:rsidR="006C2C5C" w:rsidRPr="00C644F8">
        <w:rPr>
          <w:rFonts w:cs="Times New Roman"/>
          <w:sz w:val="24"/>
          <w:szCs w:val="24"/>
        </w:rPr>
        <w:t>% increase.</w:t>
      </w:r>
      <w:r w:rsidR="00741B4B" w:rsidRPr="00C644F8">
        <w:rPr>
          <w:rFonts w:cs="Times New Roman"/>
          <w:sz w:val="24"/>
          <w:szCs w:val="24"/>
        </w:rPr>
        <w:t xml:space="preserve"> </w:t>
      </w:r>
      <w:r w:rsidR="004B1EDA" w:rsidRPr="00C644F8">
        <w:rPr>
          <w:rFonts w:cs="Times New Roman"/>
          <w:sz w:val="24"/>
          <w:szCs w:val="24"/>
        </w:rPr>
        <w:t>Additionally, the lung cancer mortality rate de</w:t>
      </w:r>
      <w:r w:rsidR="00A83B41" w:rsidRPr="00C644F8">
        <w:rPr>
          <w:rFonts w:cs="Times New Roman"/>
          <w:sz w:val="24"/>
          <w:szCs w:val="24"/>
        </w:rPr>
        <w:t xml:space="preserve">creased by </w:t>
      </w:r>
      <w:r w:rsidR="00BA508C">
        <w:rPr>
          <w:rFonts w:cs="Times New Roman"/>
          <w:sz w:val="24"/>
          <w:szCs w:val="24"/>
        </w:rPr>
        <w:t>8.0</w:t>
      </w:r>
      <w:r w:rsidR="00A83B41" w:rsidRPr="00C644F8">
        <w:rPr>
          <w:rFonts w:cs="Times New Roman"/>
          <w:sz w:val="24"/>
          <w:szCs w:val="24"/>
        </w:rPr>
        <w:t>% from 2008-</w:t>
      </w:r>
      <w:r w:rsidR="004B1EDA" w:rsidRPr="00C644F8">
        <w:rPr>
          <w:rFonts w:cs="Times New Roman"/>
          <w:sz w:val="24"/>
          <w:szCs w:val="24"/>
        </w:rPr>
        <w:t>2012</w:t>
      </w:r>
      <w:r w:rsidR="0094243D" w:rsidRPr="00C644F8">
        <w:rPr>
          <w:rFonts w:cs="Times New Roman"/>
          <w:sz w:val="24"/>
          <w:szCs w:val="24"/>
        </w:rPr>
        <w:t xml:space="preserve"> and this change was statistically significant</w:t>
      </w:r>
      <w:r w:rsidR="00741B4B" w:rsidRPr="00C644F8">
        <w:rPr>
          <w:rFonts w:cs="Times New Roman"/>
          <w:sz w:val="24"/>
          <w:szCs w:val="24"/>
        </w:rPr>
        <w:t xml:space="preserve">. </w:t>
      </w:r>
      <w:r w:rsidR="00F02D43" w:rsidRPr="00C644F8">
        <w:rPr>
          <w:rFonts w:cs="Times New Roman"/>
          <w:sz w:val="24"/>
          <w:szCs w:val="24"/>
        </w:rPr>
        <w:t xml:space="preserve">TN had the </w:t>
      </w:r>
      <w:r w:rsidR="005F0D5F">
        <w:rPr>
          <w:rFonts w:cs="Times New Roman"/>
          <w:sz w:val="24"/>
          <w:szCs w:val="24"/>
        </w:rPr>
        <w:t>5</w:t>
      </w:r>
      <w:r w:rsidR="005F0D5F" w:rsidRPr="005F0D5F">
        <w:rPr>
          <w:rFonts w:cs="Times New Roman"/>
          <w:sz w:val="24"/>
          <w:szCs w:val="24"/>
          <w:vertAlign w:val="superscript"/>
        </w:rPr>
        <w:t>th</w:t>
      </w:r>
      <w:r w:rsidR="005F0D5F">
        <w:rPr>
          <w:rFonts w:cs="Times New Roman"/>
          <w:sz w:val="24"/>
          <w:szCs w:val="24"/>
        </w:rPr>
        <w:t xml:space="preserve"> </w:t>
      </w:r>
      <w:r w:rsidR="00F02D43" w:rsidRPr="00C644F8">
        <w:rPr>
          <w:rFonts w:cs="Times New Roman"/>
          <w:sz w:val="24"/>
          <w:szCs w:val="24"/>
        </w:rPr>
        <w:t xml:space="preserve">highest incidence </w:t>
      </w:r>
      <w:r w:rsidR="00741B4B" w:rsidRPr="00C644F8">
        <w:rPr>
          <w:rFonts w:cs="Times New Roman"/>
          <w:sz w:val="24"/>
          <w:szCs w:val="24"/>
        </w:rPr>
        <w:t xml:space="preserve">rate </w:t>
      </w:r>
      <w:r w:rsidR="00F02D43" w:rsidRPr="00C644F8">
        <w:rPr>
          <w:rFonts w:cs="Times New Roman"/>
          <w:sz w:val="24"/>
          <w:szCs w:val="24"/>
        </w:rPr>
        <w:t>and the 4</w:t>
      </w:r>
      <w:r w:rsidR="00F02D43" w:rsidRPr="00C644F8">
        <w:rPr>
          <w:rFonts w:cs="Times New Roman"/>
          <w:sz w:val="24"/>
          <w:szCs w:val="24"/>
          <w:vertAlign w:val="superscript"/>
        </w:rPr>
        <w:t>th</w:t>
      </w:r>
      <w:r w:rsidR="00F02D43" w:rsidRPr="00C644F8">
        <w:rPr>
          <w:rFonts w:cs="Times New Roman"/>
          <w:sz w:val="24"/>
          <w:szCs w:val="24"/>
        </w:rPr>
        <w:t xml:space="preserve"> highest mortality rate in the U.S</w:t>
      </w:r>
      <w:r w:rsidR="00663E4B" w:rsidRPr="00C644F8">
        <w:rPr>
          <w:rFonts w:cs="Times New Roman"/>
          <w:sz w:val="24"/>
          <w:szCs w:val="24"/>
        </w:rPr>
        <w:t xml:space="preserve"> </w:t>
      </w:r>
      <w:r w:rsidR="00FD7BC6">
        <w:rPr>
          <w:rFonts w:cs="Times New Roman"/>
          <w:sz w:val="24"/>
          <w:szCs w:val="24"/>
        </w:rPr>
        <w:t xml:space="preserve">from </w:t>
      </w:r>
      <w:r w:rsidR="00DB5209">
        <w:rPr>
          <w:rFonts w:cs="Times New Roman"/>
          <w:sz w:val="24"/>
          <w:szCs w:val="24"/>
        </w:rPr>
        <w:t>2008-2012</w:t>
      </w:r>
      <w:r w:rsidR="00FD7BC6">
        <w:rPr>
          <w:rFonts w:cs="Times New Roman"/>
          <w:sz w:val="24"/>
          <w:szCs w:val="24"/>
        </w:rPr>
        <w:t>.</w:t>
      </w:r>
      <w:r w:rsidR="00BE1D2D" w:rsidRPr="00C644F8">
        <w:rPr>
          <w:rFonts w:cs="Times New Roman"/>
          <w:sz w:val="24"/>
          <w:szCs w:val="24"/>
        </w:rPr>
        <w:t xml:space="preserve"> </w:t>
      </w:r>
    </w:p>
    <w:p w:rsidR="002A4333" w:rsidRDefault="00F02D43" w:rsidP="00DD7DD8">
      <w:pPr>
        <w:jc w:val="both"/>
        <w:rPr>
          <w:rFonts w:cs="Times New Roman"/>
          <w:sz w:val="24"/>
          <w:szCs w:val="24"/>
        </w:rPr>
      </w:pPr>
      <w:r w:rsidRPr="00C644F8">
        <w:rPr>
          <w:rFonts w:cs="Times New Roman"/>
          <w:sz w:val="24"/>
          <w:szCs w:val="24"/>
        </w:rPr>
        <w:t xml:space="preserve">Lung cancer is the leading cause of </w:t>
      </w:r>
      <w:r w:rsidR="00B42729" w:rsidRPr="00C644F8">
        <w:rPr>
          <w:rFonts w:cs="Times New Roman"/>
          <w:sz w:val="24"/>
          <w:szCs w:val="24"/>
        </w:rPr>
        <w:t>cancer incidence</w:t>
      </w:r>
      <w:r w:rsidR="002D2161" w:rsidRPr="00C644F8">
        <w:rPr>
          <w:rFonts w:cs="Times New Roman"/>
          <w:sz w:val="24"/>
          <w:szCs w:val="24"/>
        </w:rPr>
        <w:t xml:space="preserve"> (</w:t>
      </w:r>
      <w:r w:rsidR="00F51FDC" w:rsidRPr="00C644F8">
        <w:rPr>
          <w:rFonts w:cs="Times New Roman"/>
          <w:sz w:val="24"/>
          <w:szCs w:val="24"/>
        </w:rPr>
        <w:t>28,0</w:t>
      </w:r>
      <w:r w:rsidR="00F00E9D" w:rsidRPr="00C644F8">
        <w:rPr>
          <w:rFonts w:cs="Times New Roman"/>
          <w:sz w:val="24"/>
          <w:szCs w:val="24"/>
        </w:rPr>
        <w:t>02</w:t>
      </w:r>
      <w:r w:rsidR="00521212" w:rsidRPr="00C644F8">
        <w:rPr>
          <w:rFonts w:cs="Times New Roman"/>
          <w:sz w:val="24"/>
          <w:szCs w:val="24"/>
        </w:rPr>
        <w:t xml:space="preserve"> cases</w:t>
      </w:r>
      <w:r w:rsidR="002D2161" w:rsidRPr="00C644F8">
        <w:rPr>
          <w:rFonts w:cs="Times New Roman"/>
          <w:sz w:val="24"/>
          <w:szCs w:val="24"/>
        </w:rPr>
        <w:t>)</w:t>
      </w:r>
      <w:r w:rsidR="00B42729" w:rsidRPr="00C644F8">
        <w:rPr>
          <w:rFonts w:cs="Times New Roman"/>
          <w:sz w:val="24"/>
          <w:szCs w:val="24"/>
        </w:rPr>
        <w:t xml:space="preserve"> and mortality</w:t>
      </w:r>
      <w:r w:rsidR="002D2161" w:rsidRPr="00C644F8">
        <w:rPr>
          <w:rFonts w:cs="Times New Roman"/>
          <w:sz w:val="24"/>
          <w:szCs w:val="24"/>
        </w:rPr>
        <w:t xml:space="preserve"> (21,661</w:t>
      </w:r>
      <w:r w:rsidR="00521212" w:rsidRPr="00C644F8">
        <w:rPr>
          <w:rFonts w:cs="Times New Roman"/>
          <w:sz w:val="24"/>
          <w:szCs w:val="24"/>
        </w:rPr>
        <w:t xml:space="preserve"> </w:t>
      </w:r>
      <w:r w:rsidR="00A83B41" w:rsidRPr="00C644F8">
        <w:rPr>
          <w:rFonts w:cs="Times New Roman"/>
          <w:sz w:val="24"/>
          <w:szCs w:val="24"/>
        </w:rPr>
        <w:t>deaths</w:t>
      </w:r>
      <w:r w:rsidR="002D2161" w:rsidRPr="00C644F8">
        <w:rPr>
          <w:rFonts w:cs="Times New Roman"/>
          <w:sz w:val="24"/>
          <w:szCs w:val="24"/>
        </w:rPr>
        <w:t>)</w:t>
      </w:r>
      <w:r w:rsidRPr="00C644F8">
        <w:rPr>
          <w:rFonts w:cs="Times New Roman"/>
          <w:sz w:val="24"/>
          <w:szCs w:val="24"/>
        </w:rPr>
        <w:t xml:space="preserve"> in TN.</w:t>
      </w:r>
      <w:r w:rsidR="00AE66D8" w:rsidRPr="00C644F8">
        <w:rPr>
          <w:rFonts w:cs="Times New Roman"/>
          <w:sz w:val="24"/>
          <w:szCs w:val="24"/>
        </w:rPr>
        <w:t xml:space="preserve"> </w:t>
      </w:r>
      <w:r w:rsidRPr="00C644F8">
        <w:rPr>
          <w:rFonts w:cs="Times New Roman"/>
          <w:sz w:val="24"/>
          <w:szCs w:val="24"/>
        </w:rPr>
        <w:t>Only 2</w:t>
      </w:r>
      <w:r w:rsidR="00D16378" w:rsidRPr="00C644F8">
        <w:rPr>
          <w:rFonts w:cs="Times New Roman"/>
          <w:sz w:val="24"/>
          <w:szCs w:val="24"/>
        </w:rPr>
        <w:t>2.2</w:t>
      </w:r>
      <w:r w:rsidRPr="00C644F8">
        <w:rPr>
          <w:rFonts w:cs="Times New Roman"/>
          <w:sz w:val="24"/>
          <w:szCs w:val="24"/>
        </w:rPr>
        <w:t xml:space="preserve">% of </w:t>
      </w:r>
      <w:r w:rsidR="00B42729" w:rsidRPr="00C644F8">
        <w:rPr>
          <w:rFonts w:cs="Times New Roman"/>
          <w:sz w:val="24"/>
          <w:szCs w:val="24"/>
        </w:rPr>
        <w:t xml:space="preserve">lung cancer </w:t>
      </w:r>
      <w:r w:rsidRPr="00C644F8">
        <w:rPr>
          <w:rFonts w:cs="Times New Roman"/>
          <w:sz w:val="24"/>
          <w:szCs w:val="24"/>
        </w:rPr>
        <w:t xml:space="preserve">cases </w:t>
      </w:r>
      <w:r w:rsidR="00663E4B" w:rsidRPr="00C644F8">
        <w:rPr>
          <w:rFonts w:cs="Times New Roman"/>
          <w:sz w:val="24"/>
          <w:szCs w:val="24"/>
        </w:rPr>
        <w:t xml:space="preserve">with known stage information </w:t>
      </w:r>
      <w:r w:rsidRPr="00C644F8">
        <w:rPr>
          <w:rFonts w:cs="Times New Roman"/>
          <w:sz w:val="24"/>
          <w:szCs w:val="24"/>
        </w:rPr>
        <w:t>were diagnosed in early stages.</w:t>
      </w:r>
      <w:r w:rsidR="00AE66D8" w:rsidRPr="00C644F8">
        <w:rPr>
          <w:rFonts w:cs="Times New Roman"/>
          <w:sz w:val="24"/>
          <w:szCs w:val="24"/>
        </w:rPr>
        <w:t xml:space="preserve"> </w:t>
      </w:r>
      <w:r w:rsidR="00B42729" w:rsidRPr="00C644F8">
        <w:rPr>
          <w:rFonts w:cs="Times New Roman"/>
          <w:sz w:val="24"/>
          <w:szCs w:val="24"/>
        </w:rPr>
        <w:t xml:space="preserve">Males had higher </w:t>
      </w:r>
      <w:r w:rsidR="00E732B6" w:rsidRPr="00C644F8">
        <w:rPr>
          <w:rFonts w:cs="Times New Roman"/>
          <w:sz w:val="24"/>
          <w:szCs w:val="24"/>
        </w:rPr>
        <w:t>i</w:t>
      </w:r>
      <w:r w:rsidRPr="00C644F8">
        <w:rPr>
          <w:rFonts w:cs="Times New Roman"/>
          <w:sz w:val="24"/>
          <w:szCs w:val="24"/>
        </w:rPr>
        <w:t xml:space="preserve">ncidence and mortality rates </w:t>
      </w:r>
      <w:r w:rsidR="00B42729" w:rsidRPr="00C644F8">
        <w:rPr>
          <w:rFonts w:cs="Times New Roman"/>
          <w:sz w:val="24"/>
          <w:szCs w:val="24"/>
        </w:rPr>
        <w:t xml:space="preserve">than females. White females had higher incidence </w:t>
      </w:r>
      <w:r w:rsidR="00D16378" w:rsidRPr="00C644F8">
        <w:rPr>
          <w:rFonts w:cs="Times New Roman"/>
          <w:sz w:val="24"/>
          <w:szCs w:val="24"/>
        </w:rPr>
        <w:t xml:space="preserve">and mortality </w:t>
      </w:r>
      <w:r w:rsidR="00B42729" w:rsidRPr="00C644F8">
        <w:rPr>
          <w:rFonts w:cs="Times New Roman"/>
          <w:sz w:val="24"/>
          <w:szCs w:val="24"/>
        </w:rPr>
        <w:t>rate</w:t>
      </w:r>
      <w:r w:rsidR="00D16378" w:rsidRPr="00C644F8">
        <w:rPr>
          <w:rFonts w:cs="Times New Roman"/>
          <w:sz w:val="24"/>
          <w:szCs w:val="24"/>
        </w:rPr>
        <w:t>s</w:t>
      </w:r>
      <w:r w:rsidR="00B42729" w:rsidRPr="00C644F8">
        <w:rPr>
          <w:rFonts w:cs="Times New Roman"/>
          <w:sz w:val="24"/>
          <w:szCs w:val="24"/>
        </w:rPr>
        <w:t xml:space="preserve"> than blac</w:t>
      </w:r>
      <w:r w:rsidR="00D16378" w:rsidRPr="00C644F8">
        <w:rPr>
          <w:rFonts w:cs="Times New Roman"/>
          <w:sz w:val="24"/>
          <w:szCs w:val="24"/>
        </w:rPr>
        <w:t xml:space="preserve">k females and black males had </w:t>
      </w:r>
      <w:r w:rsidR="00B42729" w:rsidRPr="00C644F8">
        <w:rPr>
          <w:rFonts w:cs="Times New Roman"/>
          <w:sz w:val="24"/>
          <w:szCs w:val="24"/>
        </w:rPr>
        <w:t>higher</w:t>
      </w:r>
      <w:r w:rsidR="00D16378" w:rsidRPr="00C644F8">
        <w:rPr>
          <w:rFonts w:cs="Times New Roman"/>
          <w:sz w:val="24"/>
          <w:szCs w:val="24"/>
        </w:rPr>
        <w:t xml:space="preserve"> incidence and</w:t>
      </w:r>
      <w:r w:rsidR="00B42729" w:rsidRPr="00C644F8">
        <w:rPr>
          <w:rFonts w:cs="Times New Roman"/>
          <w:sz w:val="24"/>
          <w:szCs w:val="24"/>
        </w:rPr>
        <w:t xml:space="preserve"> mortality</w:t>
      </w:r>
      <w:r w:rsidR="00D16378" w:rsidRPr="00C644F8">
        <w:rPr>
          <w:rFonts w:cs="Times New Roman"/>
          <w:sz w:val="24"/>
          <w:szCs w:val="24"/>
        </w:rPr>
        <w:t xml:space="preserve"> rates</w:t>
      </w:r>
      <w:r w:rsidR="00B42729" w:rsidRPr="00C644F8">
        <w:rPr>
          <w:rFonts w:cs="Times New Roman"/>
          <w:sz w:val="24"/>
          <w:szCs w:val="24"/>
        </w:rPr>
        <w:t xml:space="preserve"> than white males.</w:t>
      </w:r>
      <w:r w:rsidR="005B40F2" w:rsidRPr="00C644F8">
        <w:rPr>
          <w:rFonts w:cs="Times New Roman"/>
          <w:sz w:val="24"/>
          <w:szCs w:val="24"/>
        </w:rPr>
        <w:t xml:space="preserve"> The mortality-to-incidence ratio for lung cancer was 0.7</w:t>
      </w:r>
      <w:r w:rsidR="002A4333">
        <w:rPr>
          <w:rFonts w:cs="Times New Roman"/>
          <w:sz w:val="24"/>
          <w:szCs w:val="24"/>
        </w:rPr>
        <w:t>8</w:t>
      </w:r>
      <w:r w:rsidR="005B40F2" w:rsidRPr="00C644F8">
        <w:rPr>
          <w:rFonts w:cs="Times New Roman"/>
          <w:sz w:val="24"/>
          <w:szCs w:val="24"/>
        </w:rPr>
        <w:t>, making it</w:t>
      </w:r>
      <w:r w:rsidR="006B60F3" w:rsidRPr="00C644F8">
        <w:rPr>
          <w:rFonts w:cs="Times New Roman"/>
          <w:sz w:val="24"/>
          <w:szCs w:val="24"/>
        </w:rPr>
        <w:t xml:space="preserve"> the 2</w:t>
      </w:r>
      <w:r w:rsidR="006B60F3" w:rsidRPr="00C644F8">
        <w:rPr>
          <w:rFonts w:cs="Times New Roman"/>
          <w:sz w:val="24"/>
          <w:szCs w:val="24"/>
          <w:vertAlign w:val="superscript"/>
        </w:rPr>
        <w:t>nd</w:t>
      </w:r>
      <w:r w:rsidR="006B60F3" w:rsidRPr="00C644F8">
        <w:rPr>
          <w:rFonts w:cs="Times New Roman"/>
          <w:sz w:val="24"/>
          <w:szCs w:val="24"/>
        </w:rPr>
        <w:t xml:space="preserve"> deadliest cancer o</w:t>
      </w:r>
      <w:r w:rsidR="00EE3341" w:rsidRPr="00C644F8">
        <w:rPr>
          <w:rFonts w:cs="Times New Roman"/>
          <w:sz w:val="24"/>
          <w:szCs w:val="24"/>
        </w:rPr>
        <w:t xml:space="preserve">ut </w:t>
      </w:r>
      <w:r w:rsidR="00FC23A9" w:rsidRPr="00C644F8">
        <w:rPr>
          <w:rFonts w:cs="Times New Roman"/>
          <w:sz w:val="24"/>
          <w:szCs w:val="24"/>
        </w:rPr>
        <w:t xml:space="preserve">of TN’s </w:t>
      </w:r>
      <w:r w:rsidR="00EE3341" w:rsidRPr="00C644F8">
        <w:rPr>
          <w:rFonts w:cs="Times New Roman"/>
          <w:sz w:val="24"/>
          <w:szCs w:val="24"/>
        </w:rPr>
        <w:t>10</w:t>
      </w:r>
      <w:r w:rsidR="00FC23A9" w:rsidRPr="00C644F8">
        <w:rPr>
          <w:rFonts w:cs="Times New Roman"/>
          <w:sz w:val="24"/>
          <w:szCs w:val="24"/>
        </w:rPr>
        <w:t xml:space="preserve"> most</w:t>
      </w:r>
      <w:r w:rsidR="00EE3341" w:rsidRPr="00C644F8">
        <w:rPr>
          <w:rFonts w:cs="Times New Roman"/>
          <w:sz w:val="24"/>
          <w:szCs w:val="24"/>
        </w:rPr>
        <w:t xml:space="preserve"> common cancers</w:t>
      </w:r>
      <w:r w:rsidR="005B40F2" w:rsidRPr="00C644F8">
        <w:rPr>
          <w:rFonts w:cs="Times New Roman"/>
          <w:sz w:val="24"/>
          <w:szCs w:val="24"/>
        </w:rPr>
        <w:t xml:space="preserve"> </w:t>
      </w:r>
      <w:r w:rsidR="00A07961" w:rsidRPr="00C644F8">
        <w:rPr>
          <w:rFonts w:cs="Times New Roman"/>
          <w:sz w:val="24"/>
          <w:szCs w:val="24"/>
        </w:rPr>
        <w:t>(</w:t>
      </w:r>
      <w:hyperlink w:anchor="_Appendix_II._Continued" w:history="1">
        <w:r w:rsidR="00A07961" w:rsidRPr="00C644F8">
          <w:rPr>
            <w:rStyle w:val="Hyperlink"/>
            <w:rFonts w:cs="Times New Roman"/>
            <w:sz w:val="24"/>
            <w:szCs w:val="24"/>
          </w:rPr>
          <w:t>See Appendix II</w:t>
        </w:r>
      </w:hyperlink>
      <w:r w:rsidR="00A07961" w:rsidRPr="00C644F8">
        <w:rPr>
          <w:rFonts w:cs="Times New Roman"/>
          <w:sz w:val="24"/>
          <w:szCs w:val="24"/>
        </w:rPr>
        <w:t>)</w:t>
      </w:r>
      <w:r w:rsidR="00142B9F" w:rsidRPr="00C644F8">
        <w:rPr>
          <w:rFonts w:cs="Times New Roman"/>
          <w:sz w:val="24"/>
          <w:szCs w:val="24"/>
        </w:rPr>
        <w:t>.</w:t>
      </w:r>
      <w:r w:rsidR="002F7906" w:rsidRPr="00C644F8">
        <w:rPr>
          <w:rFonts w:cs="Times New Roman"/>
          <w:sz w:val="24"/>
          <w:szCs w:val="24"/>
        </w:rPr>
        <w:t xml:space="preserve"> </w:t>
      </w:r>
      <w:r w:rsidR="002A4333">
        <w:rPr>
          <w:rFonts w:cs="Times New Roman"/>
          <w:sz w:val="24"/>
          <w:szCs w:val="24"/>
        </w:rPr>
        <w:t>I</w:t>
      </w:r>
      <w:r w:rsidR="002F7906" w:rsidRPr="00C644F8">
        <w:rPr>
          <w:rFonts w:cs="Times New Roman"/>
          <w:sz w:val="24"/>
          <w:szCs w:val="24"/>
        </w:rPr>
        <w:t>n recent years</w:t>
      </w:r>
      <w:r w:rsidR="008B38D5">
        <w:rPr>
          <w:rFonts w:cs="Times New Roman"/>
          <w:sz w:val="24"/>
          <w:szCs w:val="24"/>
        </w:rPr>
        <w:t>,</w:t>
      </w:r>
      <w:r w:rsidR="002F7906" w:rsidRPr="00C644F8">
        <w:rPr>
          <w:rFonts w:cs="Times New Roman"/>
          <w:sz w:val="24"/>
          <w:szCs w:val="24"/>
        </w:rPr>
        <w:t xml:space="preserve"> </w:t>
      </w:r>
      <w:r w:rsidR="008B38D5">
        <w:rPr>
          <w:rFonts w:cs="Times New Roman"/>
          <w:sz w:val="24"/>
          <w:szCs w:val="24"/>
        </w:rPr>
        <w:t>t</w:t>
      </w:r>
      <w:r w:rsidR="002F7906" w:rsidRPr="00C644F8">
        <w:rPr>
          <w:rFonts w:cs="Times New Roman"/>
          <w:sz w:val="24"/>
          <w:szCs w:val="24"/>
        </w:rPr>
        <w:t>he National Lung Screening Trial</w:t>
      </w:r>
      <w:r w:rsidR="007A7687" w:rsidRPr="00C644F8">
        <w:rPr>
          <w:rFonts w:cs="Times New Roman"/>
          <w:sz w:val="24"/>
          <w:szCs w:val="24"/>
        </w:rPr>
        <w:t xml:space="preserve"> has</w:t>
      </w:r>
      <w:r w:rsidR="002F7906" w:rsidRPr="00C644F8">
        <w:rPr>
          <w:rFonts w:cs="Times New Roman"/>
          <w:sz w:val="24"/>
          <w:szCs w:val="24"/>
        </w:rPr>
        <w:t xml:space="preserve"> illustrated that a lung cancer screening test can help lower the risk of dying from this disease</w:t>
      </w:r>
      <w:r w:rsidR="00DC04D5" w:rsidRPr="00C644F8">
        <w:rPr>
          <w:rFonts w:cs="Times New Roman"/>
          <w:sz w:val="24"/>
          <w:szCs w:val="24"/>
        </w:rPr>
        <w:t xml:space="preserve"> </w:t>
      </w:r>
      <w:r w:rsidR="008B38D5">
        <w:rPr>
          <w:rFonts w:cs="Times New Roman"/>
          <w:sz w:val="24"/>
          <w:szCs w:val="24"/>
        </w:rPr>
        <w:t xml:space="preserve">in certain individuals </w:t>
      </w:r>
      <w:r w:rsidR="00DC04D5" w:rsidRPr="00C644F8">
        <w:rPr>
          <w:rFonts w:cs="Times New Roman"/>
          <w:sz w:val="24"/>
          <w:szCs w:val="24"/>
        </w:rPr>
        <w:t>(NLSTRT, 2011)</w:t>
      </w:r>
      <w:r w:rsidR="002F7906" w:rsidRPr="00C644F8">
        <w:rPr>
          <w:rFonts w:cs="Times New Roman"/>
          <w:sz w:val="24"/>
          <w:szCs w:val="24"/>
        </w:rPr>
        <w:t>.</w:t>
      </w:r>
    </w:p>
    <w:p w:rsidR="00221700" w:rsidRDefault="00221700" w:rsidP="00DD7DD8">
      <w:pPr>
        <w:jc w:val="both"/>
        <w:rPr>
          <w:rFonts w:cs="Times New Roman"/>
          <w:sz w:val="24"/>
          <w:szCs w:val="24"/>
        </w:rPr>
      </w:pPr>
    </w:p>
    <w:p w:rsidR="00CE688E" w:rsidRPr="00C644F8" w:rsidRDefault="00A23301" w:rsidP="00DD7DD8">
      <w:pPr>
        <w:jc w:val="both"/>
        <w:rPr>
          <w:rFonts w:cs="Times New Roman"/>
          <w:sz w:val="24"/>
          <w:szCs w:val="24"/>
        </w:rPr>
      </w:pPr>
      <w:r>
        <w:rPr>
          <w:noProof/>
          <w:sz w:val="22"/>
          <w:lang w:bidi="ar-SA"/>
        </w:rPr>
        <mc:AlternateContent>
          <mc:Choice Requires="wps">
            <w:drawing>
              <wp:anchor distT="0" distB="0" distL="114300" distR="114300" simplePos="0" relativeHeight="252333056" behindDoc="0" locked="0" layoutInCell="1" allowOverlap="1" wp14:anchorId="21D9307E" wp14:editId="24260374">
                <wp:simplePos x="0" y="0"/>
                <wp:positionH relativeFrom="column">
                  <wp:posOffset>1270</wp:posOffset>
                </wp:positionH>
                <wp:positionV relativeFrom="paragraph">
                  <wp:posOffset>294852</wp:posOffset>
                </wp:positionV>
                <wp:extent cx="8128000" cy="0"/>
                <wp:effectExtent l="0" t="0" r="25400" b="19050"/>
                <wp:wrapNone/>
                <wp:docPr id="157" name="Straight Connector 157"/>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7" o:spid="_x0000_s1026" style="position:absolute;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3.2pt" to="640.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" strokecolor="#1b587c [3206]" strokeweight="1pt"/>
            </w:pict>
          </mc:Fallback>
        </mc:AlternateContent>
      </w:r>
    </w:p>
    <w:p w:rsidR="00F02D43" w:rsidRPr="00976CBD" w:rsidRDefault="00B05FA6" w:rsidP="00903E48">
      <w:pPr>
        <w:pStyle w:val="Heading2"/>
      </w:pPr>
      <w:bookmarkStart w:id="82" w:name="_Toc346002108"/>
      <w:bookmarkStart w:id="83" w:name="_Toc374006806"/>
      <w:bookmarkStart w:id="84" w:name="_Toc400634505"/>
      <w:bookmarkStart w:id="85" w:name="_Toc421608521"/>
      <w:bookmarkStart w:id="86" w:name="_Toc421609339"/>
      <w:bookmarkStart w:id="87" w:name="_Toc421609673"/>
      <w:bookmarkStart w:id="88" w:name="_Toc421611198"/>
      <w:bookmarkStart w:id="89" w:name="_Toc439918829"/>
      <w:r w:rsidRPr="00976CBD">
        <w:lastRenderedPageBreak/>
        <w:t>Prostate Cancer</w:t>
      </w:r>
      <w:bookmarkEnd w:id="82"/>
      <w:bookmarkEnd w:id="83"/>
      <w:bookmarkEnd w:id="84"/>
      <w:bookmarkEnd w:id="85"/>
      <w:bookmarkEnd w:id="86"/>
      <w:bookmarkEnd w:id="87"/>
      <w:bookmarkEnd w:id="88"/>
      <w:bookmarkEnd w:id="89"/>
    </w:p>
    <w:p w:rsidR="00B23877" w:rsidRPr="00C644F8" w:rsidRDefault="00481ABF" w:rsidP="00DD7DD8">
      <w:pPr>
        <w:jc w:val="both"/>
        <w:rPr>
          <w:rFonts w:cs="Times New Roman"/>
          <w:sz w:val="24"/>
          <w:szCs w:val="24"/>
        </w:rPr>
      </w:pPr>
      <w:r w:rsidRPr="00C644F8">
        <w:rPr>
          <w:rFonts w:cs="Times New Roman"/>
          <w:sz w:val="24"/>
          <w:szCs w:val="24"/>
        </w:rPr>
        <w:t>During the 2008</w:t>
      </w:r>
      <w:r w:rsidR="00745C80">
        <w:rPr>
          <w:rFonts w:cs="Times New Roman"/>
          <w:sz w:val="24"/>
          <w:szCs w:val="24"/>
        </w:rPr>
        <w:t>-</w:t>
      </w:r>
      <w:r w:rsidRPr="00C644F8">
        <w:rPr>
          <w:rFonts w:cs="Times New Roman"/>
          <w:sz w:val="24"/>
          <w:szCs w:val="24"/>
        </w:rPr>
        <w:t xml:space="preserve">2012, prostate cancer accounted for 25.9% of new male cancer cases </w:t>
      </w:r>
      <w:r w:rsidR="00B23877" w:rsidRPr="00C644F8">
        <w:rPr>
          <w:rFonts w:cs="Times New Roman"/>
          <w:sz w:val="24"/>
          <w:szCs w:val="24"/>
        </w:rPr>
        <w:t>and 7.8% of male deaths</w:t>
      </w:r>
      <w:r w:rsidR="00950AB7" w:rsidRPr="00C644F8">
        <w:rPr>
          <w:rFonts w:cs="Times New Roman"/>
          <w:sz w:val="24"/>
          <w:szCs w:val="24"/>
        </w:rPr>
        <w:t xml:space="preserve"> due to cancer</w:t>
      </w:r>
      <w:r w:rsidRPr="00C644F8">
        <w:rPr>
          <w:rFonts w:cs="Times New Roman"/>
          <w:sz w:val="24"/>
          <w:szCs w:val="24"/>
        </w:rPr>
        <w:t xml:space="preserve">. </w:t>
      </w:r>
      <w:r w:rsidR="00F02D43" w:rsidRPr="00C644F8">
        <w:rPr>
          <w:rFonts w:cs="Times New Roman"/>
          <w:sz w:val="24"/>
          <w:szCs w:val="24"/>
        </w:rPr>
        <w:t xml:space="preserve">Prostate cancer incidence rates </w:t>
      </w:r>
      <w:r w:rsidR="00D16378" w:rsidRPr="00C644F8">
        <w:rPr>
          <w:rFonts w:cs="Times New Roman"/>
          <w:sz w:val="24"/>
          <w:szCs w:val="24"/>
        </w:rPr>
        <w:t xml:space="preserve">decreased from 2008 to 2012 by </w:t>
      </w:r>
      <w:r w:rsidR="002D07C7" w:rsidRPr="00C644F8">
        <w:rPr>
          <w:rFonts w:cs="Times New Roman"/>
          <w:sz w:val="24"/>
          <w:szCs w:val="24"/>
        </w:rPr>
        <w:t>25.2</w:t>
      </w:r>
      <w:r w:rsidR="00D16378" w:rsidRPr="00C644F8">
        <w:rPr>
          <w:rFonts w:cs="Times New Roman"/>
          <w:sz w:val="24"/>
          <w:szCs w:val="24"/>
        </w:rPr>
        <w:t>% and this chang</w:t>
      </w:r>
      <w:r w:rsidR="002C7C88" w:rsidRPr="00C644F8">
        <w:rPr>
          <w:rFonts w:cs="Times New Roman"/>
          <w:sz w:val="24"/>
          <w:szCs w:val="24"/>
        </w:rPr>
        <w:t>e was statistically significant</w:t>
      </w:r>
      <w:r w:rsidR="0018524B">
        <w:rPr>
          <w:rFonts w:cs="Times New Roman"/>
          <w:sz w:val="24"/>
          <w:szCs w:val="24"/>
        </w:rPr>
        <w:t>.</w:t>
      </w:r>
      <w:r w:rsidR="002C7C88" w:rsidRPr="00C644F8">
        <w:rPr>
          <w:rFonts w:cs="Times New Roman"/>
          <w:sz w:val="24"/>
          <w:szCs w:val="24"/>
        </w:rPr>
        <w:t xml:space="preserve"> </w:t>
      </w:r>
      <w:r w:rsidR="0018524B">
        <w:rPr>
          <w:rFonts w:cs="Times New Roman"/>
          <w:sz w:val="24"/>
          <w:szCs w:val="24"/>
        </w:rPr>
        <w:t>T</w:t>
      </w:r>
      <w:r w:rsidR="00B23877" w:rsidRPr="00C644F8">
        <w:rPr>
          <w:rFonts w:cs="Times New Roman"/>
          <w:sz w:val="24"/>
          <w:szCs w:val="24"/>
        </w:rPr>
        <w:t xml:space="preserve">he number of prostate </w:t>
      </w:r>
      <w:r w:rsidR="002D07C7" w:rsidRPr="00C644F8">
        <w:rPr>
          <w:rFonts w:cs="Times New Roman"/>
          <w:sz w:val="24"/>
          <w:szCs w:val="24"/>
        </w:rPr>
        <w:t>cancer cases decreased from 4,8</w:t>
      </w:r>
      <w:r w:rsidR="0018524B">
        <w:rPr>
          <w:rFonts w:cs="Times New Roman"/>
          <w:sz w:val="24"/>
          <w:szCs w:val="24"/>
        </w:rPr>
        <w:t>86</w:t>
      </w:r>
      <w:r w:rsidR="00B23877" w:rsidRPr="00C644F8">
        <w:rPr>
          <w:rFonts w:cs="Times New Roman"/>
          <w:sz w:val="24"/>
          <w:szCs w:val="24"/>
        </w:rPr>
        <w:t xml:space="preserve"> cases in 20</w:t>
      </w:r>
      <w:r w:rsidR="0018524B">
        <w:rPr>
          <w:rFonts w:cs="Times New Roman"/>
          <w:sz w:val="24"/>
          <w:szCs w:val="24"/>
        </w:rPr>
        <w:t>08</w:t>
      </w:r>
      <w:r w:rsidR="00B23877" w:rsidRPr="00C644F8">
        <w:rPr>
          <w:rFonts w:cs="Times New Roman"/>
          <w:sz w:val="24"/>
          <w:szCs w:val="24"/>
        </w:rPr>
        <w:t xml:space="preserve"> to 4,17</w:t>
      </w:r>
      <w:r w:rsidR="002D07C7" w:rsidRPr="00C644F8">
        <w:rPr>
          <w:rFonts w:cs="Times New Roman"/>
          <w:sz w:val="24"/>
          <w:szCs w:val="24"/>
        </w:rPr>
        <w:t>8</w:t>
      </w:r>
      <w:r w:rsidR="00B23877" w:rsidRPr="00C644F8">
        <w:rPr>
          <w:rFonts w:cs="Times New Roman"/>
          <w:sz w:val="24"/>
          <w:szCs w:val="24"/>
        </w:rPr>
        <w:t xml:space="preserve"> cases in 2012, a 1</w:t>
      </w:r>
      <w:r w:rsidR="0018524B">
        <w:rPr>
          <w:rFonts w:cs="Times New Roman"/>
          <w:sz w:val="24"/>
          <w:szCs w:val="24"/>
        </w:rPr>
        <w:t>4</w:t>
      </w:r>
      <w:r w:rsidR="00B23877" w:rsidRPr="00C644F8">
        <w:rPr>
          <w:rFonts w:cs="Times New Roman"/>
          <w:sz w:val="24"/>
          <w:szCs w:val="24"/>
        </w:rPr>
        <w:t>.</w:t>
      </w:r>
      <w:r w:rsidR="0018524B">
        <w:rPr>
          <w:rFonts w:cs="Times New Roman"/>
          <w:sz w:val="24"/>
          <w:szCs w:val="24"/>
        </w:rPr>
        <w:t>5</w:t>
      </w:r>
      <w:r w:rsidR="00B23877" w:rsidRPr="00C644F8">
        <w:rPr>
          <w:rFonts w:cs="Times New Roman"/>
          <w:sz w:val="24"/>
          <w:szCs w:val="24"/>
        </w:rPr>
        <w:t xml:space="preserve">% decrease. </w:t>
      </w:r>
      <w:r w:rsidR="00AA754E" w:rsidRPr="00C644F8">
        <w:rPr>
          <w:rFonts w:cs="Times New Roman"/>
          <w:sz w:val="24"/>
          <w:szCs w:val="24"/>
        </w:rPr>
        <w:t>Mortality</w:t>
      </w:r>
      <w:r w:rsidR="00F02D43" w:rsidRPr="00C644F8">
        <w:rPr>
          <w:rFonts w:cs="Times New Roman"/>
          <w:sz w:val="24"/>
          <w:szCs w:val="24"/>
        </w:rPr>
        <w:t xml:space="preserve"> rates</w:t>
      </w:r>
      <w:r w:rsidR="00D16378" w:rsidRPr="00C644F8">
        <w:rPr>
          <w:rFonts w:cs="Times New Roman"/>
          <w:sz w:val="24"/>
          <w:szCs w:val="24"/>
        </w:rPr>
        <w:t xml:space="preserve"> also decreased from 2008 to 2012 by 17.</w:t>
      </w:r>
      <w:r w:rsidR="002A57BB">
        <w:rPr>
          <w:rFonts w:cs="Times New Roman"/>
          <w:sz w:val="24"/>
          <w:szCs w:val="24"/>
        </w:rPr>
        <w:t>6</w:t>
      </w:r>
      <w:r w:rsidR="00D16378" w:rsidRPr="00C644F8">
        <w:rPr>
          <w:rFonts w:cs="Times New Roman"/>
          <w:sz w:val="24"/>
          <w:szCs w:val="24"/>
        </w:rPr>
        <w:t>% and this was statistically significant</w:t>
      </w:r>
      <w:r w:rsidR="00F02D43" w:rsidRPr="00C644F8">
        <w:rPr>
          <w:rFonts w:cs="Times New Roman"/>
          <w:sz w:val="24"/>
          <w:szCs w:val="24"/>
        </w:rPr>
        <w:t xml:space="preserve">. TN had the </w:t>
      </w:r>
      <w:r w:rsidR="00E250B4" w:rsidRPr="00C644F8">
        <w:rPr>
          <w:rFonts w:cs="Times New Roman"/>
          <w:sz w:val="24"/>
          <w:szCs w:val="24"/>
        </w:rPr>
        <w:t>1</w:t>
      </w:r>
      <w:r w:rsidR="000E6506">
        <w:rPr>
          <w:rFonts w:cs="Times New Roman"/>
          <w:sz w:val="24"/>
          <w:szCs w:val="24"/>
        </w:rPr>
        <w:t>3</w:t>
      </w:r>
      <w:r w:rsidR="00F02D43" w:rsidRPr="00C644F8">
        <w:rPr>
          <w:rFonts w:cs="Times New Roman"/>
          <w:sz w:val="24"/>
          <w:szCs w:val="24"/>
          <w:vertAlign w:val="superscript"/>
        </w:rPr>
        <w:t>th</w:t>
      </w:r>
      <w:r w:rsidR="00F02D43" w:rsidRPr="00C644F8">
        <w:rPr>
          <w:rFonts w:cs="Times New Roman"/>
          <w:sz w:val="24"/>
          <w:szCs w:val="24"/>
        </w:rPr>
        <w:t xml:space="preserve"> highest incidence rate and the </w:t>
      </w:r>
      <w:r w:rsidR="00175B66">
        <w:rPr>
          <w:rFonts w:cs="Times New Roman"/>
          <w:sz w:val="24"/>
          <w:szCs w:val="24"/>
        </w:rPr>
        <w:t>2</w:t>
      </w:r>
      <w:r w:rsidR="000E6506">
        <w:rPr>
          <w:rFonts w:cs="Times New Roman"/>
          <w:sz w:val="24"/>
          <w:szCs w:val="24"/>
        </w:rPr>
        <w:t>5</w:t>
      </w:r>
      <w:r w:rsidR="00F02D43" w:rsidRPr="00C644F8">
        <w:rPr>
          <w:rFonts w:cs="Times New Roman"/>
          <w:sz w:val="24"/>
          <w:szCs w:val="24"/>
          <w:vertAlign w:val="superscript"/>
        </w:rPr>
        <w:t>th</w:t>
      </w:r>
      <w:r w:rsidR="00F02D43" w:rsidRPr="00C644F8">
        <w:rPr>
          <w:rFonts w:cs="Times New Roman"/>
          <w:sz w:val="24"/>
          <w:szCs w:val="24"/>
        </w:rPr>
        <w:t xml:space="preserve"> hi</w:t>
      </w:r>
      <w:r w:rsidR="000E6506">
        <w:rPr>
          <w:rFonts w:cs="Times New Roman"/>
          <w:sz w:val="24"/>
          <w:szCs w:val="24"/>
        </w:rPr>
        <w:t>g</w:t>
      </w:r>
      <w:r w:rsidR="00F02D43" w:rsidRPr="00C644F8">
        <w:rPr>
          <w:rFonts w:cs="Times New Roman"/>
          <w:sz w:val="24"/>
          <w:szCs w:val="24"/>
        </w:rPr>
        <w:t xml:space="preserve">hest mortality rate </w:t>
      </w:r>
      <w:r w:rsidR="000E6506">
        <w:rPr>
          <w:rFonts w:cs="Times New Roman"/>
          <w:sz w:val="24"/>
          <w:szCs w:val="24"/>
        </w:rPr>
        <w:t xml:space="preserve">in the U.S. </w:t>
      </w:r>
      <w:r w:rsidR="00FD7BC6">
        <w:rPr>
          <w:rFonts w:cs="Times New Roman"/>
          <w:sz w:val="24"/>
          <w:szCs w:val="24"/>
        </w:rPr>
        <w:t xml:space="preserve">from </w:t>
      </w:r>
      <w:r w:rsidR="00DB5209">
        <w:rPr>
          <w:rFonts w:cs="Times New Roman"/>
          <w:sz w:val="24"/>
          <w:szCs w:val="24"/>
        </w:rPr>
        <w:t>2008-2012</w:t>
      </w:r>
      <w:r w:rsidR="00257C88" w:rsidRPr="00C644F8">
        <w:rPr>
          <w:rFonts w:cs="Times New Roman"/>
          <w:sz w:val="24"/>
          <w:szCs w:val="24"/>
        </w:rPr>
        <w:t>.</w:t>
      </w:r>
      <w:r w:rsidR="00F02D43" w:rsidRPr="00C644F8">
        <w:rPr>
          <w:rFonts w:cs="Times New Roman"/>
          <w:sz w:val="24"/>
          <w:szCs w:val="24"/>
        </w:rPr>
        <w:t xml:space="preserve"> </w:t>
      </w:r>
    </w:p>
    <w:p w:rsidR="00F02D43" w:rsidRDefault="00F02D43" w:rsidP="00882D9F">
      <w:pPr>
        <w:spacing w:before="0" w:after="0"/>
        <w:jc w:val="both"/>
        <w:rPr>
          <w:rFonts w:cs="Times New Roman"/>
          <w:sz w:val="24"/>
          <w:szCs w:val="24"/>
        </w:rPr>
      </w:pPr>
      <w:r w:rsidRPr="00C644F8">
        <w:rPr>
          <w:rFonts w:cs="Times New Roman"/>
          <w:sz w:val="24"/>
          <w:szCs w:val="24"/>
        </w:rPr>
        <w:t>Prostate cancer is the</w:t>
      </w:r>
      <w:r w:rsidR="0072051E" w:rsidRPr="00C644F8">
        <w:rPr>
          <w:rFonts w:cs="Times New Roman"/>
          <w:sz w:val="24"/>
          <w:szCs w:val="24"/>
        </w:rPr>
        <w:t xml:space="preserve"> </w:t>
      </w:r>
      <w:r w:rsidRPr="00C644F8">
        <w:rPr>
          <w:rFonts w:cs="Times New Roman"/>
          <w:sz w:val="24"/>
          <w:szCs w:val="24"/>
        </w:rPr>
        <w:t xml:space="preserve">leading cause of </w:t>
      </w:r>
      <w:r w:rsidR="0072051E" w:rsidRPr="00C644F8">
        <w:rPr>
          <w:rFonts w:cs="Times New Roman"/>
          <w:sz w:val="24"/>
          <w:szCs w:val="24"/>
        </w:rPr>
        <w:t>cancer incidence (22,9</w:t>
      </w:r>
      <w:r w:rsidR="002A57BB">
        <w:rPr>
          <w:rFonts w:cs="Times New Roman"/>
          <w:sz w:val="24"/>
          <w:szCs w:val="24"/>
        </w:rPr>
        <w:t>70</w:t>
      </w:r>
      <w:r w:rsidR="00521212" w:rsidRPr="00C644F8">
        <w:rPr>
          <w:rFonts w:cs="Times New Roman"/>
          <w:sz w:val="24"/>
          <w:szCs w:val="24"/>
        </w:rPr>
        <w:t xml:space="preserve"> cases</w:t>
      </w:r>
      <w:r w:rsidR="0072051E" w:rsidRPr="00C644F8">
        <w:rPr>
          <w:rFonts w:cs="Times New Roman"/>
          <w:sz w:val="24"/>
          <w:szCs w:val="24"/>
        </w:rPr>
        <w:t>)</w:t>
      </w:r>
      <w:r w:rsidRPr="00C644F8">
        <w:rPr>
          <w:rFonts w:cs="Times New Roman"/>
          <w:sz w:val="24"/>
          <w:szCs w:val="24"/>
        </w:rPr>
        <w:t xml:space="preserve"> and the 3</w:t>
      </w:r>
      <w:r w:rsidRPr="00C644F8">
        <w:rPr>
          <w:rFonts w:cs="Times New Roman"/>
          <w:sz w:val="24"/>
          <w:szCs w:val="24"/>
          <w:vertAlign w:val="superscript"/>
        </w:rPr>
        <w:t>rd</w:t>
      </w:r>
      <w:r w:rsidRPr="00C644F8">
        <w:rPr>
          <w:rFonts w:cs="Times New Roman"/>
          <w:sz w:val="24"/>
          <w:szCs w:val="24"/>
        </w:rPr>
        <w:t xml:space="preserve"> leading cause of </w:t>
      </w:r>
      <w:r w:rsidR="00060DE3" w:rsidRPr="00C644F8">
        <w:rPr>
          <w:rFonts w:cs="Times New Roman"/>
          <w:sz w:val="24"/>
          <w:szCs w:val="24"/>
        </w:rPr>
        <w:t xml:space="preserve">cancer </w:t>
      </w:r>
      <w:r w:rsidR="0072051E" w:rsidRPr="00C644F8">
        <w:rPr>
          <w:rFonts w:cs="Times New Roman"/>
          <w:sz w:val="24"/>
          <w:szCs w:val="24"/>
        </w:rPr>
        <w:t>mortality (</w:t>
      </w:r>
      <w:r w:rsidR="00B23877" w:rsidRPr="00C644F8">
        <w:rPr>
          <w:rFonts w:cs="Times New Roman"/>
          <w:sz w:val="24"/>
          <w:szCs w:val="24"/>
        </w:rPr>
        <w:t>2,871</w:t>
      </w:r>
      <w:r w:rsidR="00521212" w:rsidRPr="00C644F8">
        <w:rPr>
          <w:rFonts w:cs="Times New Roman"/>
          <w:sz w:val="24"/>
          <w:szCs w:val="24"/>
        </w:rPr>
        <w:t xml:space="preserve"> cases</w:t>
      </w:r>
      <w:r w:rsidR="0072051E" w:rsidRPr="00C644F8">
        <w:rPr>
          <w:rFonts w:cs="Times New Roman"/>
          <w:sz w:val="24"/>
          <w:szCs w:val="24"/>
        </w:rPr>
        <w:t>)</w:t>
      </w:r>
      <w:r w:rsidRPr="00C644F8">
        <w:rPr>
          <w:rFonts w:cs="Times New Roman"/>
          <w:sz w:val="24"/>
          <w:szCs w:val="24"/>
        </w:rPr>
        <w:t xml:space="preserve"> in TN males.</w:t>
      </w:r>
      <w:r w:rsidR="00AE66D8" w:rsidRPr="00C644F8">
        <w:rPr>
          <w:rFonts w:cs="Times New Roman"/>
          <w:sz w:val="24"/>
          <w:szCs w:val="24"/>
        </w:rPr>
        <w:t xml:space="preserve"> </w:t>
      </w:r>
      <w:r w:rsidR="00E250B4" w:rsidRPr="00C644F8">
        <w:rPr>
          <w:rFonts w:cs="Times New Roman"/>
          <w:sz w:val="24"/>
          <w:szCs w:val="24"/>
        </w:rPr>
        <w:t>About 8</w:t>
      </w:r>
      <w:r w:rsidR="002F63B2" w:rsidRPr="00C644F8">
        <w:rPr>
          <w:rFonts w:cs="Times New Roman"/>
          <w:sz w:val="24"/>
          <w:szCs w:val="24"/>
        </w:rPr>
        <w:t>5</w:t>
      </w:r>
      <w:r w:rsidRPr="00C644F8">
        <w:rPr>
          <w:rFonts w:cs="Times New Roman"/>
          <w:sz w:val="24"/>
          <w:szCs w:val="24"/>
        </w:rPr>
        <w:t>%</w:t>
      </w:r>
      <w:r w:rsidR="00654228" w:rsidRPr="00C644F8">
        <w:rPr>
          <w:rFonts w:cs="Times New Roman"/>
          <w:sz w:val="24"/>
          <w:szCs w:val="24"/>
        </w:rPr>
        <w:t xml:space="preserve"> (84.9%)</w:t>
      </w:r>
      <w:r w:rsidR="00B14205" w:rsidRPr="00C644F8">
        <w:rPr>
          <w:rFonts w:cs="Times New Roman"/>
          <w:sz w:val="24"/>
          <w:szCs w:val="24"/>
        </w:rPr>
        <w:t xml:space="preserve"> of cases</w:t>
      </w:r>
      <w:r w:rsidRPr="00C644F8">
        <w:rPr>
          <w:rFonts w:cs="Times New Roman"/>
          <w:sz w:val="24"/>
          <w:szCs w:val="24"/>
        </w:rPr>
        <w:t xml:space="preserve"> </w:t>
      </w:r>
      <w:r w:rsidR="00663E4B" w:rsidRPr="00C644F8">
        <w:rPr>
          <w:rFonts w:cs="Times New Roman"/>
          <w:sz w:val="24"/>
          <w:szCs w:val="24"/>
        </w:rPr>
        <w:t xml:space="preserve">with known stage information </w:t>
      </w:r>
      <w:r w:rsidRPr="00C644F8">
        <w:rPr>
          <w:rFonts w:cs="Times New Roman"/>
          <w:sz w:val="24"/>
          <w:szCs w:val="24"/>
        </w:rPr>
        <w:t xml:space="preserve">are diagnosed at early stages, which is </w:t>
      </w:r>
      <w:r w:rsidR="00A83B41" w:rsidRPr="00C644F8">
        <w:rPr>
          <w:rFonts w:cs="Times New Roman"/>
          <w:sz w:val="24"/>
          <w:szCs w:val="24"/>
        </w:rPr>
        <w:t>perhaps</w:t>
      </w:r>
      <w:r w:rsidRPr="00C644F8">
        <w:rPr>
          <w:rFonts w:cs="Times New Roman"/>
          <w:sz w:val="24"/>
          <w:szCs w:val="24"/>
        </w:rPr>
        <w:t xml:space="preserve"> partially attributable to prostate cancer screening</w:t>
      </w:r>
      <w:r w:rsidR="00497E17" w:rsidRPr="00C644F8">
        <w:rPr>
          <w:rFonts w:cs="Times New Roman"/>
          <w:sz w:val="24"/>
          <w:szCs w:val="24"/>
        </w:rPr>
        <w:t xml:space="preserve"> methods</w:t>
      </w:r>
      <w:r w:rsidRPr="00C644F8">
        <w:rPr>
          <w:rFonts w:cs="Times New Roman"/>
          <w:sz w:val="24"/>
          <w:szCs w:val="24"/>
        </w:rPr>
        <w:t xml:space="preserve"> and </w:t>
      </w:r>
      <w:r w:rsidR="00DF74DF" w:rsidRPr="00C644F8">
        <w:rPr>
          <w:rFonts w:cs="Times New Roman"/>
          <w:sz w:val="24"/>
          <w:szCs w:val="24"/>
        </w:rPr>
        <w:t xml:space="preserve">to the </w:t>
      </w:r>
      <w:r w:rsidRPr="00C644F8">
        <w:rPr>
          <w:rFonts w:cs="Times New Roman"/>
          <w:sz w:val="24"/>
          <w:szCs w:val="24"/>
        </w:rPr>
        <w:t xml:space="preserve">slow progressive course </w:t>
      </w:r>
      <w:r w:rsidR="00DF74DF" w:rsidRPr="00C644F8">
        <w:rPr>
          <w:rFonts w:cs="Times New Roman"/>
          <w:sz w:val="24"/>
          <w:szCs w:val="24"/>
        </w:rPr>
        <w:t xml:space="preserve">prostate cancer typically displays </w:t>
      </w:r>
      <w:r w:rsidRPr="00C644F8">
        <w:rPr>
          <w:rFonts w:cs="Times New Roman"/>
          <w:sz w:val="24"/>
          <w:szCs w:val="24"/>
        </w:rPr>
        <w:t xml:space="preserve">compared to most </w:t>
      </w:r>
      <w:r w:rsidR="00DF74DF" w:rsidRPr="00C644F8">
        <w:rPr>
          <w:rFonts w:cs="Times New Roman"/>
          <w:sz w:val="24"/>
          <w:szCs w:val="24"/>
        </w:rPr>
        <w:t xml:space="preserve">other </w:t>
      </w:r>
      <w:r w:rsidRPr="00C644F8">
        <w:rPr>
          <w:rFonts w:cs="Times New Roman"/>
          <w:sz w:val="24"/>
          <w:szCs w:val="24"/>
        </w:rPr>
        <w:t>cancers.</w:t>
      </w:r>
      <w:r w:rsidR="00AE66D8" w:rsidRPr="00C644F8">
        <w:rPr>
          <w:rFonts w:cs="Times New Roman"/>
          <w:sz w:val="24"/>
          <w:szCs w:val="24"/>
        </w:rPr>
        <w:t xml:space="preserve"> </w:t>
      </w:r>
      <w:r w:rsidRPr="00C644F8">
        <w:rPr>
          <w:rFonts w:cs="Times New Roman"/>
          <w:sz w:val="24"/>
          <w:szCs w:val="24"/>
        </w:rPr>
        <w:t>Black males are disproportionately affected by this disease compared to whit</w:t>
      </w:r>
      <w:r w:rsidR="00497E17" w:rsidRPr="00C644F8">
        <w:rPr>
          <w:rFonts w:cs="Times New Roman"/>
          <w:sz w:val="24"/>
          <w:szCs w:val="24"/>
        </w:rPr>
        <w:t xml:space="preserve">e males; black men experience a </w:t>
      </w:r>
      <w:r w:rsidRPr="00C644F8">
        <w:rPr>
          <w:rFonts w:cs="Times New Roman"/>
          <w:sz w:val="24"/>
          <w:szCs w:val="24"/>
        </w:rPr>
        <w:t xml:space="preserve">mortality rate that is almost 3 times </w:t>
      </w:r>
      <w:r w:rsidR="00D87192" w:rsidRPr="00C644F8">
        <w:rPr>
          <w:rFonts w:cs="Times New Roman"/>
          <w:sz w:val="24"/>
          <w:szCs w:val="24"/>
        </w:rPr>
        <w:t xml:space="preserve">as </w:t>
      </w:r>
      <w:r w:rsidRPr="00C644F8">
        <w:rPr>
          <w:rFonts w:cs="Times New Roman"/>
          <w:sz w:val="24"/>
          <w:szCs w:val="24"/>
        </w:rPr>
        <w:t xml:space="preserve">high </w:t>
      </w:r>
      <w:r w:rsidR="00257C88" w:rsidRPr="00C644F8">
        <w:rPr>
          <w:rFonts w:cs="Times New Roman"/>
          <w:sz w:val="24"/>
          <w:szCs w:val="24"/>
        </w:rPr>
        <w:t>as that for</w:t>
      </w:r>
      <w:r w:rsidRPr="00C644F8">
        <w:rPr>
          <w:rFonts w:cs="Times New Roman"/>
          <w:sz w:val="24"/>
          <w:szCs w:val="24"/>
        </w:rPr>
        <w:t xml:space="preserve"> white men</w:t>
      </w:r>
      <w:r w:rsidR="00472A7D" w:rsidRPr="00C644F8">
        <w:rPr>
          <w:rFonts w:cs="Times New Roman"/>
          <w:sz w:val="24"/>
          <w:szCs w:val="24"/>
        </w:rPr>
        <w:t xml:space="preserve"> (See </w:t>
      </w:r>
      <w:hyperlink w:anchor="_Cancer_of_Prostate" w:history="1">
        <w:r w:rsidR="00472A7D" w:rsidRPr="00C644F8">
          <w:rPr>
            <w:rStyle w:val="Hyperlink"/>
            <w:rFonts w:cs="Times New Roman"/>
            <w:sz w:val="24"/>
            <w:szCs w:val="24"/>
          </w:rPr>
          <w:t>Cancer of Prostate</w:t>
        </w:r>
      </w:hyperlink>
      <w:r w:rsidR="00472A7D" w:rsidRPr="00C644F8">
        <w:rPr>
          <w:rFonts w:cs="Times New Roman"/>
          <w:sz w:val="24"/>
          <w:szCs w:val="24"/>
        </w:rPr>
        <w:t>)</w:t>
      </w:r>
      <w:r w:rsidRPr="00C644F8">
        <w:rPr>
          <w:rFonts w:cs="Times New Roman"/>
          <w:sz w:val="24"/>
          <w:szCs w:val="24"/>
        </w:rPr>
        <w:t>.</w:t>
      </w:r>
      <w:r w:rsidR="00644660" w:rsidRPr="00C644F8">
        <w:rPr>
          <w:rFonts w:cs="Times New Roman"/>
          <w:sz w:val="24"/>
          <w:szCs w:val="24"/>
        </w:rPr>
        <w:t xml:space="preserve"> </w:t>
      </w:r>
      <w:r w:rsidR="006048A8">
        <w:rPr>
          <w:rFonts w:cs="Times New Roman"/>
          <w:sz w:val="24"/>
          <w:szCs w:val="24"/>
        </w:rPr>
        <w:t>E</w:t>
      </w:r>
      <w:r w:rsidR="00497E17" w:rsidRPr="00C644F8">
        <w:rPr>
          <w:rFonts w:cs="Times New Roman"/>
          <w:sz w:val="24"/>
          <w:szCs w:val="24"/>
        </w:rPr>
        <w:t xml:space="preserve">ffective screening methods and treatment options </w:t>
      </w:r>
      <w:r w:rsidR="006048A8">
        <w:rPr>
          <w:rFonts w:cs="Times New Roman"/>
          <w:sz w:val="24"/>
          <w:szCs w:val="24"/>
        </w:rPr>
        <w:t xml:space="preserve">may </w:t>
      </w:r>
      <w:r w:rsidR="00497E17" w:rsidRPr="00C644F8">
        <w:rPr>
          <w:rFonts w:cs="Times New Roman"/>
          <w:sz w:val="24"/>
          <w:szCs w:val="24"/>
        </w:rPr>
        <w:t xml:space="preserve">have contributed to </w:t>
      </w:r>
      <w:r w:rsidR="009045E5" w:rsidRPr="00C644F8">
        <w:rPr>
          <w:rFonts w:cs="Times New Roman"/>
          <w:sz w:val="24"/>
          <w:szCs w:val="24"/>
        </w:rPr>
        <w:t>the</w:t>
      </w:r>
      <w:r w:rsidR="00497E17" w:rsidRPr="00C644F8">
        <w:rPr>
          <w:rFonts w:cs="Times New Roman"/>
          <w:sz w:val="24"/>
          <w:szCs w:val="24"/>
        </w:rPr>
        <w:t xml:space="preserve"> low mortality-to-incidence ratio of</w:t>
      </w:r>
      <w:r w:rsidR="009045E5" w:rsidRPr="00C644F8">
        <w:rPr>
          <w:rFonts w:cs="Times New Roman"/>
          <w:sz w:val="24"/>
          <w:szCs w:val="24"/>
        </w:rPr>
        <w:t xml:space="preserve"> prostate cancer</w:t>
      </w:r>
      <w:r w:rsidR="00497E17" w:rsidRPr="00C644F8">
        <w:rPr>
          <w:rFonts w:cs="Times New Roman"/>
          <w:sz w:val="24"/>
          <w:szCs w:val="24"/>
        </w:rPr>
        <w:t xml:space="preserve"> </w:t>
      </w:r>
      <w:r w:rsidR="009045E5" w:rsidRPr="00C644F8">
        <w:rPr>
          <w:rFonts w:cs="Times New Roman"/>
          <w:sz w:val="24"/>
          <w:szCs w:val="24"/>
        </w:rPr>
        <w:t>(</w:t>
      </w:r>
      <w:r w:rsidR="00F4492A" w:rsidRPr="00C644F8">
        <w:rPr>
          <w:rFonts w:cs="Times New Roman"/>
          <w:sz w:val="24"/>
          <w:szCs w:val="24"/>
        </w:rPr>
        <w:t>0.17</w:t>
      </w:r>
      <w:r w:rsidR="009045E5" w:rsidRPr="00C644F8">
        <w:rPr>
          <w:rFonts w:cs="Times New Roman"/>
          <w:sz w:val="24"/>
          <w:szCs w:val="24"/>
        </w:rPr>
        <w:t>)</w:t>
      </w:r>
      <w:r w:rsidR="00497E17" w:rsidRPr="00C644F8">
        <w:rPr>
          <w:rFonts w:cs="Times New Roman"/>
          <w:sz w:val="24"/>
          <w:szCs w:val="24"/>
        </w:rPr>
        <w:t xml:space="preserve">. </w:t>
      </w:r>
    </w:p>
    <w:p w:rsidR="0018524B" w:rsidRDefault="0018524B" w:rsidP="00882D9F">
      <w:pPr>
        <w:spacing w:before="0" w:after="0"/>
        <w:jc w:val="both"/>
        <w:rPr>
          <w:rFonts w:cs="Times New Roman"/>
          <w:sz w:val="24"/>
          <w:szCs w:val="24"/>
        </w:rPr>
      </w:pPr>
    </w:p>
    <w:p w:rsidR="0018524B" w:rsidRDefault="0018524B" w:rsidP="00882D9F">
      <w:pPr>
        <w:spacing w:before="0" w:after="0"/>
        <w:jc w:val="both"/>
        <w:rPr>
          <w:rFonts w:cs="Times New Roman"/>
          <w:sz w:val="24"/>
          <w:szCs w:val="24"/>
        </w:rPr>
      </w:pPr>
    </w:p>
    <w:p w:rsidR="00F37C3F" w:rsidRDefault="00F37C3F" w:rsidP="00882D9F">
      <w:pPr>
        <w:spacing w:before="0" w:after="0"/>
        <w:jc w:val="both"/>
        <w:rPr>
          <w:rFonts w:cs="Times New Roman"/>
          <w:sz w:val="24"/>
          <w:szCs w:val="24"/>
        </w:rPr>
      </w:pPr>
    </w:p>
    <w:p w:rsidR="00F02D43" w:rsidRPr="00896640" w:rsidRDefault="00B05FA6" w:rsidP="00903E48">
      <w:pPr>
        <w:pStyle w:val="Heading2"/>
        <w:rPr>
          <w:rFonts w:cs="Times New Roman"/>
          <w:szCs w:val="24"/>
        </w:rPr>
      </w:pPr>
      <w:bookmarkStart w:id="90" w:name="_Toc346002109"/>
      <w:bookmarkStart w:id="91" w:name="_Toc374006807"/>
      <w:bookmarkStart w:id="92" w:name="_Toc400634506"/>
      <w:bookmarkStart w:id="93" w:name="_Toc421608522"/>
      <w:bookmarkStart w:id="94" w:name="_Toc421609340"/>
      <w:bookmarkStart w:id="95" w:name="_Toc421609674"/>
      <w:bookmarkStart w:id="96" w:name="_Toc421611199"/>
      <w:bookmarkStart w:id="97" w:name="_Toc439918830"/>
      <w:r w:rsidRPr="00976CBD">
        <w:lastRenderedPageBreak/>
        <w:t>Female Breast Cancer</w:t>
      </w:r>
      <w:bookmarkEnd w:id="90"/>
      <w:bookmarkEnd w:id="91"/>
      <w:bookmarkEnd w:id="92"/>
      <w:bookmarkEnd w:id="93"/>
      <w:bookmarkEnd w:id="94"/>
      <w:bookmarkEnd w:id="95"/>
      <w:bookmarkEnd w:id="96"/>
      <w:bookmarkEnd w:id="97"/>
    </w:p>
    <w:p w:rsidR="001563F5" w:rsidRPr="00C644F8" w:rsidRDefault="009045E5" w:rsidP="00DD7DD8">
      <w:pPr>
        <w:jc w:val="both"/>
        <w:rPr>
          <w:rFonts w:cs="Times New Roman"/>
          <w:sz w:val="24"/>
          <w:szCs w:val="24"/>
          <w:vertAlign w:val="superscript"/>
        </w:rPr>
      </w:pPr>
      <w:r w:rsidRPr="00C644F8">
        <w:rPr>
          <w:rFonts w:cs="Times New Roman"/>
          <w:sz w:val="24"/>
          <w:szCs w:val="24"/>
        </w:rPr>
        <w:t>From 2008 through 2012, breast cancer represented 28.7% of new female cancer cases and 14.3% of female</w:t>
      </w:r>
      <w:r w:rsidR="00950AB7" w:rsidRPr="00C644F8">
        <w:rPr>
          <w:rFonts w:cs="Times New Roman"/>
          <w:sz w:val="24"/>
          <w:szCs w:val="24"/>
        </w:rPr>
        <w:t xml:space="preserve"> cancer</w:t>
      </w:r>
      <w:r w:rsidRPr="00C644F8">
        <w:rPr>
          <w:rFonts w:cs="Times New Roman"/>
          <w:sz w:val="24"/>
          <w:szCs w:val="24"/>
        </w:rPr>
        <w:t xml:space="preserve"> deaths. </w:t>
      </w:r>
      <w:r w:rsidR="00C91C1B" w:rsidRPr="00C644F8">
        <w:rPr>
          <w:rFonts w:cs="Times New Roman"/>
          <w:sz w:val="24"/>
          <w:szCs w:val="24"/>
        </w:rPr>
        <w:t>Both f</w:t>
      </w:r>
      <w:r w:rsidR="00F02D43" w:rsidRPr="00C644F8">
        <w:rPr>
          <w:rFonts w:cs="Times New Roman"/>
          <w:sz w:val="24"/>
          <w:szCs w:val="24"/>
        </w:rPr>
        <w:t xml:space="preserve">emale breast cancer incidence </w:t>
      </w:r>
      <w:r w:rsidR="00C91C1B" w:rsidRPr="00C644F8">
        <w:rPr>
          <w:rFonts w:cs="Times New Roman"/>
          <w:sz w:val="24"/>
          <w:szCs w:val="24"/>
        </w:rPr>
        <w:t xml:space="preserve">and mortality </w:t>
      </w:r>
      <w:r w:rsidR="00F02D43" w:rsidRPr="00C644F8">
        <w:rPr>
          <w:rFonts w:cs="Times New Roman"/>
          <w:sz w:val="24"/>
          <w:szCs w:val="24"/>
        </w:rPr>
        <w:t xml:space="preserve">rates remained stable </w:t>
      </w:r>
      <w:r w:rsidR="00E732B6" w:rsidRPr="00C644F8">
        <w:rPr>
          <w:rFonts w:cs="Times New Roman"/>
          <w:sz w:val="24"/>
          <w:szCs w:val="24"/>
        </w:rPr>
        <w:t>over</w:t>
      </w:r>
      <w:r w:rsidR="00F02D43" w:rsidRPr="00C644F8">
        <w:rPr>
          <w:rFonts w:cs="Times New Roman"/>
          <w:sz w:val="24"/>
          <w:szCs w:val="24"/>
        </w:rPr>
        <w:t xml:space="preserve"> the 5-year period covered by this report</w:t>
      </w:r>
      <w:r w:rsidR="00C91C1B" w:rsidRPr="00C644F8">
        <w:rPr>
          <w:rFonts w:cs="Times New Roman"/>
          <w:sz w:val="24"/>
          <w:szCs w:val="24"/>
        </w:rPr>
        <w:t>.</w:t>
      </w:r>
      <w:r w:rsidRPr="00C644F8">
        <w:rPr>
          <w:rFonts w:cs="Times New Roman"/>
          <w:sz w:val="24"/>
          <w:szCs w:val="24"/>
        </w:rPr>
        <w:t xml:space="preserve"> However, breast cancer incidence</w:t>
      </w:r>
      <w:r w:rsidR="009B3AF7" w:rsidRPr="00C644F8">
        <w:rPr>
          <w:rFonts w:cs="Times New Roman"/>
          <w:sz w:val="24"/>
          <w:szCs w:val="24"/>
        </w:rPr>
        <w:t xml:space="preserve"> slightly</w:t>
      </w:r>
      <w:r w:rsidR="00E5674B" w:rsidRPr="00C644F8">
        <w:rPr>
          <w:rFonts w:cs="Times New Roman"/>
          <w:sz w:val="24"/>
          <w:szCs w:val="24"/>
        </w:rPr>
        <w:t xml:space="preserve"> increased from 4,683 cases in 2011 to 4,767</w:t>
      </w:r>
      <w:r w:rsidR="00B41AA1" w:rsidRPr="00C644F8">
        <w:rPr>
          <w:rFonts w:cs="Times New Roman"/>
          <w:sz w:val="24"/>
          <w:szCs w:val="24"/>
        </w:rPr>
        <w:t xml:space="preserve"> cases in 2012</w:t>
      </w:r>
      <w:r w:rsidRPr="00C644F8">
        <w:rPr>
          <w:rFonts w:cs="Times New Roman"/>
          <w:sz w:val="24"/>
          <w:szCs w:val="24"/>
        </w:rPr>
        <w:t>.</w:t>
      </w:r>
      <w:r w:rsidR="004F6B1D" w:rsidRPr="00C644F8">
        <w:rPr>
          <w:rFonts w:cs="Times New Roman"/>
          <w:sz w:val="24"/>
          <w:szCs w:val="24"/>
        </w:rPr>
        <w:t xml:space="preserve"> In 2012, the</w:t>
      </w:r>
      <w:r w:rsidR="00410C5D" w:rsidRPr="00C644F8">
        <w:rPr>
          <w:rFonts w:cs="Times New Roman"/>
          <w:sz w:val="24"/>
          <w:szCs w:val="24"/>
        </w:rPr>
        <w:t>re were 905 deaths due to breast cancer.</w:t>
      </w:r>
      <w:r w:rsidR="00C91C1B" w:rsidRPr="00C644F8">
        <w:rPr>
          <w:rFonts w:cs="Times New Roman"/>
          <w:sz w:val="24"/>
          <w:szCs w:val="24"/>
        </w:rPr>
        <w:t xml:space="preserve"> </w:t>
      </w:r>
      <w:r w:rsidR="00F02D43" w:rsidRPr="00C644F8">
        <w:rPr>
          <w:rFonts w:cs="Times New Roman"/>
          <w:sz w:val="24"/>
          <w:szCs w:val="24"/>
        </w:rPr>
        <w:t xml:space="preserve">TN females experienced the </w:t>
      </w:r>
      <w:r w:rsidR="00D17EF5" w:rsidRPr="00C644F8">
        <w:rPr>
          <w:rFonts w:cs="Times New Roman"/>
          <w:sz w:val="24"/>
          <w:szCs w:val="24"/>
        </w:rPr>
        <w:t>3</w:t>
      </w:r>
      <w:r w:rsidR="00734BDA">
        <w:rPr>
          <w:rFonts w:cs="Times New Roman"/>
          <w:sz w:val="24"/>
          <w:szCs w:val="24"/>
        </w:rPr>
        <w:t>3</w:t>
      </w:r>
      <w:r w:rsidR="00734BDA" w:rsidRPr="00734BDA">
        <w:rPr>
          <w:rFonts w:cs="Times New Roman"/>
          <w:sz w:val="24"/>
          <w:szCs w:val="24"/>
          <w:vertAlign w:val="superscript"/>
        </w:rPr>
        <w:t>rd</w:t>
      </w:r>
      <w:r w:rsidR="00734BDA">
        <w:rPr>
          <w:rFonts w:cs="Times New Roman"/>
          <w:sz w:val="24"/>
          <w:szCs w:val="24"/>
        </w:rPr>
        <w:t xml:space="preserve"> </w:t>
      </w:r>
      <w:r w:rsidR="00F02D43" w:rsidRPr="00C644F8">
        <w:rPr>
          <w:rFonts w:cs="Times New Roman"/>
          <w:sz w:val="24"/>
          <w:szCs w:val="24"/>
        </w:rPr>
        <w:t xml:space="preserve">highest breast cancer incidence rate and the </w:t>
      </w:r>
      <w:r w:rsidR="008E0279">
        <w:rPr>
          <w:rFonts w:cs="Times New Roman"/>
          <w:sz w:val="24"/>
          <w:szCs w:val="24"/>
        </w:rPr>
        <w:t>1</w:t>
      </w:r>
      <w:r w:rsidR="00734BDA">
        <w:rPr>
          <w:rFonts w:cs="Times New Roman"/>
          <w:sz w:val="24"/>
          <w:szCs w:val="24"/>
        </w:rPr>
        <w:t>1</w:t>
      </w:r>
      <w:r w:rsidR="00E829B6" w:rsidRPr="00E829B6">
        <w:rPr>
          <w:rFonts w:cs="Times New Roman"/>
          <w:sz w:val="24"/>
          <w:szCs w:val="24"/>
          <w:vertAlign w:val="superscript"/>
        </w:rPr>
        <w:t>th</w:t>
      </w:r>
      <w:r w:rsidR="00E829B6">
        <w:rPr>
          <w:rFonts w:cs="Times New Roman"/>
          <w:sz w:val="24"/>
          <w:szCs w:val="24"/>
        </w:rPr>
        <w:t xml:space="preserve"> </w:t>
      </w:r>
      <w:r w:rsidR="00F02D43" w:rsidRPr="00C644F8">
        <w:rPr>
          <w:rFonts w:cs="Times New Roman"/>
          <w:sz w:val="24"/>
          <w:szCs w:val="24"/>
        </w:rPr>
        <w:t>highest breast cancer mortality rate in the U.S</w:t>
      </w:r>
      <w:r w:rsidR="00663E4B" w:rsidRPr="00C644F8">
        <w:rPr>
          <w:rFonts w:cs="Times New Roman"/>
          <w:sz w:val="24"/>
          <w:szCs w:val="24"/>
        </w:rPr>
        <w:t xml:space="preserve"> </w:t>
      </w:r>
      <w:r w:rsidR="0053031E">
        <w:rPr>
          <w:rFonts w:cs="Times New Roman"/>
          <w:sz w:val="24"/>
          <w:szCs w:val="24"/>
        </w:rPr>
        <w:t xml:space="preserve">from </w:t>
      </w:r>
      <w:r w:rsidR="00DB5209">
        <w:rPr>
          <w:rFonts w:cs="Times New Roman"/>
          <w:sz w:val="24"/>
          <w:szCs w:val="24"/>
        </w:rPr>
        <w:t>2008-2012</w:t>
      </w:r>
      <w:r w:rsidR="0053031E">
        <w:rPr>
          <w:rFonts w:cs="Times New Roman"/>
          <w:sz w:val="24"/>
          <w:szCs w:val="24"/>
        </w:rPr>
        <w:t>.</w:t>
      </w:r>
      <w:r w:rsidR="00F02D43" w:rsidRPr="00C644F8">
        <w:rPr>
          <w:rFonts w:cs="Times New Roman"/>
          <w:sz w:val="24"/>
          <w:szCs w:val="24"/>
          <w:vertAlign w:val="superscript"/>
        </w:rPr>
        <w:t xml:space="preserve"> </w:t>
      </w:r>
    </w:p>
    <w:p w:rsidR="00CC6B19" w:rsidRDefault="00223931" w:rsidP="00DD7DD8">
      <w:pPr>
        <w:jc w:val="both"/>
        <w:rPr>
          <w:rFonts w:cs="Times New Roman"/>
          <w:sz w:val="24"/>
          <w:szCs w:val="24"/>
        </w:rPr>
      </w:pPr>
      <w:r>
        <w:rPr>
          <w:rFonts w:cs="Times New Roman"/>
          <w:sz w:val="24"/>
          <w:szCs w:val="24"/>
        </w:rPr>
        <w:t>B</w:t>
      </w:r>
      <w:r w:rsidR="001563F5" w:rsidRPr="00C644F8">
        <w:rPr>
          <w:rFonts w:cs="Times New Roman"/>
          <w:sz w:val="24"/>
          <w:szCs w:val="24"/>
        </w:rPr>
        <w:t>reast cancer</w:t>
      </w:r>
      <w:r w:rsidR="00A83B41" w:rsidRPr="00C644F8">
        <w:rPr>
          <w:rFonts w:cs="Times New Roman"/>
          <w:sz w:val="24"/>
          <w:szCs w:val="24"/>
        </w:rPr>
        <w:t xml:space="preserve"> is the </w:t>
      </w:r>
      <w:r w:rsidR="00663E4B" w:rsidRPr="00C644F8">
        <w:rPr>
          <w:rFonts w:cs="Times New Roman"/>
          <w:sz w:val="24"/>
          <w:szCs w:val="24"/>
        </w:rPr>
        <w:t>l</w:t>
      </w:r>
      <w:r w:rsidR="00F02D43" w:rsidRPr="00C644F8">
        <w:rPr>
          <w:rFonts w:cs="Times New Roman"/>
          <w:sz w:val="24"/>
          <w:szCs w:val="24"/>
        </w:rPr>
        <w:t xml:space="preserve">eading cause of </w:t>
      </w:r>
      <w:r w:rsidR="001E279C" w:rsidRPr="00C644F8">
        <w:rPr>
          <w:rFonts w:cs="Times New Roman"/>
          <w:sz w:val="24"/>
          <w:szCs w:val="24"/>
        </w:rPr>
        <w:t>cancer incidence (</w:t>
      </w:r>
      <w:r w:rsidR="00E5674B" w:rsidRPr="00C644F8">
        <w:rPr>
          <w:rFonts w:cs="Times New Roman"/>
          <w:sz w:val="24"/>
          <w:szCs w:val="24"/>
        </w:rPr>
        <w:t>23,035</w:t>
      </w:r>
      <w:r w:rsidR="001563F5" w:rsidRPr="00C644F8">
        <w:rPr>
          <w:rFonts w:cs="Times New Roman"/>
          <w:sz w:val="24"/>
          <w:szCs w:val="24"/>
        </w:rPr>
        <w:t xml:space="preserve"> cases</w:t>
      </w:r>
      <w:r w:rsidR="001E279C" w:rsidRPr="00C644F8">
        <w:rPr>
          <w:rFonts w:cs="Times New Roman"/>
          <w:sz w:val="24"/>
          <w:szCs w:val="24"/>
        </w:rPr>
        <w:t>)</w:t>
      </w:r>
      <w:r w:rsidR="00D17EF5" w:rsidRPr="00C644F8">
        <w:rPr>
          <w:rFonts w:cs="Times New Roman"/>
          <w:sz w:val="24"/>
          <w:szCs w:val="24"/>
        </w:rPr>
        <w:t xml:space="preserve"> </w:t>
      </w:r>
      <w:r w:rsidR="00F02D43" w:rsidRPr="00C644F8">
        <w:rPr>
          <w:rFonts w:cs="Times New Roman"/>
          <w:sz w:val="24"/>
          <w:szCs w:val="24"/>
        </w:rPr>
        <w:t>and the 2</w:t>
      </w:r>
      <w:r w:rsidR="00F02D43" w:rsidRPr="00C644F8">
        <w:rPr>
          <w:rFonts w:cs="Times New Roman"/>
          <w:sz w:val="24"/>
          <w:szCs w:val="24"/>
          <w:vertAlign w:val="superscript"/>
        </w:rPr>
        <w:t>nd</w:t>
      </w:r>
      <w:r w:rsidR="00F02D43" w:rsidRPr="00C644F8">
        <w:rPr>
          <w:rFonts w:cs="Times New Roman"/>
          <w:sz w:val="24"/>
          <w:szCs w:val="24"/>
        </w:rPr>
        <w:t xml:space="preserve"> leading cause of cancer </w:t>
      </w:r>
      <w:r w:rsidR="001E279C" w:rsidRPr="00C644F8">
        <w:rPr>
          <w:rFonts w:cs="Times New Roman"/>
          <w:sz w:val="24"/>
          <w:szCs w:val="24"/>
        </w:rPr>
        <w:t>mortality (4,366</w:t>
      </w:r>
      <w:r w:rsidR="00521212" w:rsidRPr="00C644F8">
        <w:rPr>
          <w:rFonts w:cs="Times New Roman"/>
          <w:sz w:val="24"/>
          <w:szCs w:val="24"/>
        </w:rPr>
        <w:t xml:space="preserve"> cases</w:t>
      </w:r>
      <w:r w:rsidR="001E279C" w:rsidRPr="00C644F8">
        <w:rPr>
          <w:rFonts w:cs="Times New Roman"/>
          <w:sz w:val="24"/>
          <w:szCs w:val="24"/>
        </w:rPr>
        <w:t>)</w:t>
      </w:r>
      <w:r w:rsidR="00F02D43" w:rsidRPr="00C644F8">
        <w:rPr>
          <w:rFonts w:cs="Times New Roman"/>
          <w:sz w:val="24"/>
          <w:szCs w:val="24"/>
        </w:rPr>
        <w:t xml:space="preserve"> </w:t>
      </w:r>
      <w:r w:rsidR="00D17EF5" w:rsidRPr="00C644F8">
        <w:rPr>
          <w:rFonts w:cs="Times New Roman"/>
          <w:sz w:val="24"/>
          <w:szCs w:val="24"/>
        </w:rPr>
        <w:t>in</w:t>
      </w:r>
      <w:r w:rsidR="00F02D43" w:rsidRPr="00C644F8">
        <w:rPr>
          <w:rFonts w:cs="Times New Roman"/>
          <w:sz w:val="24"/>
          <w:szCs w:val="24"/>
        </w:rPr>
        <w:t xml:space="preserve"> TN females.</w:t>
      </w:r>
      <w:r w:rsidR="00AE66D8" w:rsidRPr="00C644F8">
        <w:rPr>
          <w:rFonts w:cs="Times New Roman"/>
          <w:sz w:val="24"/>
          <w:szCs w:val="24"/>
        </w:rPr>
        <w:t xml:space="preserve"> </w:t>
      </w:r>
      <w:r w:rsidR="00E5674B" w:rsidRPr="00C644F8">
        <w:rPr>
          <w:rFonts w:cs="Times New Roman"/>
          <w:sz w:val="24"/>
          <w:szCs w:val="24"/>
        </w:rPr>
        <w:t>Almost</w:t>
      </w:r>
      <w:r w:rsidR="00F02D43" w:rsidRPr="00C644F8">
        <w:rPr>
          <w:rFonts w:cs="Times New Roman"/>
          <w:sz w:val="24"/>
          <w:szCs w:val="24"/>
        </w:rPr>
        <w:t xml:space="preserve"> </w:t>
      </w:r>
      <w:r w:rsidR="00CA45B4" w:rsidRPr="00C644F8">
        <w:rPr>
          <w:rFonts w:cs="Times New Roman"/>
          <w:sz w:val="24"/>
          <w:szCs w:val="24"/>
        </w:rPr>
        <w:t>70</w:t>
      </w:r>
      <w:r w:rsidR="00F02D43" w:rsidRPr="00C644F8">
        <w:rPr>
          <w:rFonts w:cs="Times New Roman"/>
          <w:sz w:val="24"/>
          <w:szCs w:val="24"/>
        </w:rPr>
        <w:t>%</w:t>
      </w:r>
      <w:r w:rsidR="00E5674B" w:rsidRPr="00C644F8">
        <w:rPr>
          <w:rFonts w:cs="Times New Roman"/>
          <w:sz w:val="24"/>
          <w:szCs w:val="24"/>
        </w:rPr>
        <w:t xml:space="preserve"> (69.9%)</w:t>
      </w:r>
      <w:r w:rsidR="00F02D43" w:rsidRPr="00C644F8">
        <w:rPr>
          <w:rFonts w:cs="Times New Roman"/>
          <w:sz w:val="24"/>
          <w:szCs w:val="24"/>
        </w:rPr>
        <w:t xml:space="preserve"> of </w:t>
      </w:r>
      <w:r w:rsidR="008210AC" w:rsidRPr="00C644F8">
        <w:rPr>
          <w:rFonts w:cs="Times New Roman"/>
          <w:sz w:val="24"/>
          <w:szCs w:val="24"/>
        </w:rPr>
        <w:t xml:space="preserve">new </w:t>
      </w:r>
      <w:r w:rsidR="00F02D43" w:rsidRPr="00C644F8">
        <w:rPr>
          <w:rFonts w:cs="Times New Roman"/>
          <w:sz w:val="24"/>
          <w:szCs w:val="24"/>
        </w:rPr>
        <w:t xml:space="preserve">cases </w:t>
      </w:r>
      <w:r w:rsidR="00663E4B" w:rsidRPr="00C644F8">
        <w:rPr>
          <w:rFonts w:cs="Times New Roman"/>
          <w:sz w:val="24"/>
          <w:szCs w:val="24"/>
        </w:rPr>
        <w:t xml:space="preserve">with known stage information </w:t>
      </w:r>
      <w:r w:rsidR="00F02D43" w:rsidRPr="00C644F8">
        <w:rPr>
          <w:rFonts w:cs="Times New Roman"/>
          <w:sz w:val="24"/>
          <w:szCs w:val="24"/>
        </w:rPr>
        <w:t>are diagnosed at early stages when treatment is more effective</w:t>
      </w:r>
      <w:r w:rsidR="009A4D99" w:rsidRPr="00C644F8">
        <w:rPr>
          <w:rFonts w:cs="Times New Roman"/>
          <w:sz w:val="24"/>
          <w:szCs w:val="24"/>
        </w:rPr>
        <w:t>; t</w:t>
      </w:r>
      <w:r w:rsidR="00F02D43" w:rsidRPr="00C644F8">
        <w:rPr>
          <w:rFonts w:cs="Times New Roman"/>
          <w:sz w:val="24"/>
          <w:szCs w:val="24"/>
        </w:rPr>
        <w:t xml:space="preserve">he high percentage of early stage </w:t>
      </w:r>
      <w:r w:rsidR="009A4D99" w:rsidRPr="00C644F8">
        <w:rPr>
          <w:rFonts w:cs="Times New Roman"/>
          <w:sz w:val="24"/>
          <w:szCs w:val="24"/>
        </w:rPr>
        <w:t>breast cancer</w:t>
      </w:r>
      <w:r w:rsidR="00F02D43" w:rsidRPr="00C644F8">
        <w:rPr>
          <w:rFonts w:cs="Times New Roman"/>
          <w:sz w:val="24"/>
          <w:szCs w:val="24"/>
        </w:rPr>
        <w:t xml:space="preserve"> </w:t>
      </w:r>
      <w:r>
        <w:rPr>
          <w:rFonts w:cs="Times New Roman"/>
          <w:sz w:val="24"/>
          <w:szCs w:val="24"/>
        </w:rPr>
        <w:t>can be</w:t>
      </w:r>
      <w:r w:rsidR="00F02D43" w:rsidRPr="00C644F8">
        <w:rPr>
          <w:rFonts w:cs="Times New Roman"/>
          <w:sz w:val="24"/>
          <w:szCs w:val="24"/>
        </w:rPr>
        <w:t xml:space="preserve"> attributable to screening.</w:t>
      </w:r>
      <w:r w:rsidR="00AE66D8" w:rsidRPr="00C644F8">
        <w:rPr>
          <w:rFonts w:cs="Times New Roman"/>
          <w:sz w:val="24"/>
          <w:szCs w:val="24"/>
        </w:rPr>
        <w:t xml:space="preserve"> </w:t>
      </w:r>
      <w:r w:rsidR="00F02D43" w:rsidRPr="00C644F8">
        <w:rPr>
          <w:rFonts w:cs="Times New Roman"/>
          <w:sz w:val="24"/>
          <w:szCs w:val="24"/>
        </w:rPr>
        <w:t xml:space="preserve">Incidence rates tend to be comparable in black and white women; </w:t>
      </w:r>
      <w:r w:rsidR="00734BDA">
        <w:rPr>
          <w:rFonts w:cs="Times New Roman"/>
          <w:sz w:val="24"/>
          <w:szCs w:val="24"/>
        </w:rPr>
        <w:t>however</w:t>
      </w:r>
      <w:r w:rsidR="00F02D43" w:rsidRPr="00C644F8">
        <w:rPr>
          <w:rFonts w:cs="Times New Roman"/>
          <w:sz w:val="24"/>
          <w:szCs w:val="24"/>
        </w:rPr>
        <w:t>, black women have a mortality rate that is 6</w:t>
      </w:r>
      <w:r w:rsidR="00CA45B4" w:rsidRPr="00C644F8">
        <w:rPr>
          <w:rFonts w:cs="Times New Roman"/>
          <w:sz w:val="24"/>
          <w:szCs w:val="24"/>
        </w:rPr>
        <w:t>0</w:t>
      </w:r>
      <w:r w:rsidR="00734BDA">
        <w:rPr>
          <w:rFonts w:cs="Times New Roman"/>
          <w:sz w:val="24"/>
          <w:szCs w:val="24"/>
        </w:rPr>
        <w:t>.4</w:t>
      </w:r>
      <w:r w:rsidR="00F02D43" w:rsidRPr="00C644F8">
        <w:rPr>
          <w:rFonts w:cs="Times New Roman"/>
          <w:sz w:val="24"/>
          <w:szCs w:val="24"/>
        </w:rPr>
        <w:t xml:space="preserve">% higher </w:t>
      </w:r>
      <w:r w:rsidR="00663E4B" w:rsidRPr="00C644F8">
        <w:rPr>
          <w:rFonts w:cs="Times New Roman"/>
          <w:sz w:val="24"/>
          <w:szCs w:val="24"/>
        </w:rPr>
        <w:t xml:space="preserve">than that of </w:t>
      </w:r>
      <w:r w:rsidR="00F02D43" w:rsidRPr="00C644F8">
        <w:rPr>
          <w:rFonts w:cs="Times New Roman"/>
          <w:sz w:val="24"/>
          <w:szCs w:val="24"/>
        </w:rPr>
        <w:t>white women.</w:t>
      </w:r>
      <w:r w:rsidR="00B41AA1" w:rsidRPr="00C644F8">
        <w:rPr>
          <w:rFonts w:cs="Times New Roman"/>
          <w:sz w:val="24"/>
          <w:szCs w:val="24"/>
        </w:rPr>
        <w:t xml:space="preserve"> It is important to note that black females are more likely than white females to be diagnosed with breast cancer in the late stages. </w:t>
      </w:r>
      <w:r w:rsidR="00FB0719" w:rsidRPr="00C644F8">
        <w:rPr>
          <w:rFonts w:cs="Times New Roman"/>
          <w:sz w:val="24"/>
          <w:szCs w:val="24"/>
        </w:rPr>
        <w:t>Early detection and effective treatment options contributed to the low mortality-to-incide</w:t>
      </w:r>
      <w:r w:rsidR="00E5674B" w:rsidRPr="00C644F8">
        <w:rPr>
          <w:rFonts w:cs="Times New Roman"/>
          <w:sz w:val="24"/>
          <w:szCs w:val="24"/>
        </w:rPr>
        <w:t>nce ratio of breast cancer (0.18</w:t>
      </w:r>
      <w:r w:rsidR="00FB0719" w:rsidRPr="00C644F8">
        <w:rPr>
          <w:rFonts w:cs="Times New Roman"/>
          <w:sz w:val="24"/>
          <w:szCs w:val="24"/>
        </w:rPr>
        <w:t>).</w:t>
      </w:r>
    </w:p>
    <w:p w:rsidR="00CE688E" w:rsidRDefault="00CE688E" w:rsidP="00DD7DD8">
      <w:pPr>
        <w:jc w:val="both"/>
        <w:rPr>
          <w:rFonts w:cs="Times New Roman"/>
          <w:sz w:val="24"/>
          <w:szCs w:val="24"/>
        </w:rPr>
      </w:pPr>
    </w:p>
    <w:p w:rsidR="00CE688E" w:rsidRDefault="00CE688E" w:rsidP="00DD7DD8">
      <w:pPr>
        <w:jc w:val="both"/>
        <w:rPr>
          <w:rFonts w:cs="Times New Roman"/>
          <w:sz w:val="24"/>
          <w:szCs w:val="24"/>
        </w:rPr>
      </w:pPr>
    </w:p>
    <w:p w:rsidR="00CE688E" w:rsidRDefault="00221700" w:rsidP="00DD7DD8">
      <w:pPr>
        <w:jc w:val="both"/>
        <w:rPr>
          <w:rFonts w:cs="Times New Roman"/>
          <w:sz w:val="24"/>
          <w:szCs w:val="24"/>
        </w:rPr>
      </w:pPr>
      <w:r>
        <w:rPr>
          <w:noProof/>
          <w:sz w:val="22"/>
          <w:lang w:bidi="ar-SA"/>
        </w:rPr>
        <mc:AlternateContent>
          <mc:Choice Requires="wps">
            <w:drawing>
              <wp:anchor distT="0" distB="0" distL="114300" distR="114300" simplePos="0" relativeHeight="252439552" behindDoc="0" locked="0" layoutInCell="1" allowOverlap="1" wp14:anchorId="615F3D06" wp14:editId="1DB4FEC0">
                <wp:simplePos x="0" y="0"/>
                <wp:positionH relativeFrom="column">
                  <wp:posOffset>847</wp:posOffset>
                </wp:positionH>
                <wp:positionV relativeFrom="paragraph">
                  <wp:posOffset>195792</wp:posOffset>
                </wp:positionV>
                <wp:extent cx="8128000" cy="0"/>
                <wp:effectExtent l="0" t="0" r="25400" b="19050"/>
                <wp:wrapNone/>
                <wp:docPr id="75" name="Straight Connector 75"/>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5.4pt" to="640.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" strokecolor="#1b587c [3206]" strokeweight="1pt"/>
            </w:pict>
          </mc:Fallback>
        </mc:AlternateContent>
      </w:r>
    </w:p>
    <w:p w:rsidR="00F02D43" w:rsidRPr="00976CBD" w:rsidRDefault="00B05FA6" w:rsidP="00903E48">
      <w:pPr>
        <w:pStyle w:val="Heading2"/>
      </w:pPr>
      <w:bookmarkStart w:id="98" w:name="_Toc346002110"/>
      <w:bookmarkStart w:id="99" w:name="_Toc374006808"/>
      <w:bookmarkStart w:id="100" w:name="_Toc400634507"/>
      <w:bookmarkStart w:id="101" w:name="_Toc421608523"/>
      <w:bookmarkStart w:id="102" w:name="_Toc421609341"/>
      <w:bookmarkStart w:id="103" w:name="_Toc421609675"/>
      <w:bookmarkStart w:id="104" w:name="_Toc421611200"/>
      <w:bookmarkStart w:id="105" w:name="_Toc439918831"/>
      <w:r w:rsidRPr="00976CBD">
        <w:lastRenderedPageBreak/>
        <w:t>Colorectal Cancer</w:t>
      </w:r>
      <w:bookmarkEnd w:id="98"/>
      <w:bookmarkEnd w:id="99"/>
      <w:bookmarkEnd w:id="100"/>
      <w:bookmarkEnd w:id="101"/>
      <w:bookmarkEnd w:id="102"/>
      <w:bookmarkEnd w:id="103"/>
      <w:bookmarkEnd w:id="104"/>
      <w:bookmarkEnd w:id="105"/>
    </w:p>
    <w:p w:rsidR="004F2974" w:rsidRPr="00C644F8" w:rsidRDefault="00FB0719" w:rsidP="00CC6B19">
      <w:pPr>
        <w:jc w:val="both"/>
        <w:rPr>
          <w:rFonts w:cs="Times New Roman"/>
          <w:sz w:val="24"/>
          <w:szCs w:val="24"/>
        </w:rPr>
      </w:pPr>
      <w:r w:rsidRPr="00C644F8">
        <w:rPr>
          <w:rFonts w:cs="Times New Roman"/>
          <w:sz w:val="24"/>
          <w:szCs w:val="24"/>
        </w:rPr>
        <w:t>During 2008</w:t>
      </w:r>
      <w:r w:rsidR="009F4A43">
        <w:rPr>
          <w:rFonts w:cs="Times New Roman"/>
          <w:sz w:val="24"/>
          <w:szCs w:val="24"/>
        </w:rPr>
        <w:t>-</w:t>
      </w:r>
      <w:r w:rsidRPr="00C644F8">
        <w:rPr>
          <w:rFonts w:cs="Times New Roman"/>
          <w:sz w:val="24"/>
          <w:szCs w:val="24"/>
        </w:rPr>
        <w:t>2012, colorectal cancer accounted</w:t>
      </w:r>
      <w:r w:rsidR="00052489" w:rsidRPr="00C644F8">
        <w:rPr>
          <w:rFonts w:cs="Times New Roman"/>
          <w:sz w:val="24"/>
          <w:szCs w:val="24"/>
        </w:rPr>
        <w:t xml:space="preserve"> for</w:t>
      </w:r>
      <w:r w:rsidRPr="00C644F8">
        <w:rPr>
          <w:rFonts w:cs="Times New Roman"/>
          <w:sz w:val="24"/>
          <w:szCs w:val="24"/>
        </w:rPr>
        <w:t xml:space="preserve"> 9.0%</w:t>
      </w:r>
      <w:r w:rsidR="00052489" w:rsidRPr="00C644F8">
        <w:rPr>
          <w:rFonts w:cs="Times New Roman"/>
          <w:sz w:val="24"/>
          <w:szCs w:val="24"/>
        </w:rPr>
        <w:t xml:space="preserve"> </w:t>
      </w:r>
      <w:r w:rsidRPr="00C644F8">
        <w:rPr>
          <w:rFonts w:cs="Times New Roman"/>
          <w:sz w:val="24"/>
          <w:szCs w:val="24"/>
        </w:rPr>
        <w:t xml:space="preserve">of all new cancer cases and 9.0% of all cancer deaths. </w:t>
      </w:r>
      <w:r w:rsidR="00F02D43" w:rsidRPr="00C644F8">
        <w:rPr>
          <w:rFonts w:cs="Times New Roman"/>
          <w:sz w:val="24"/>
          <w:szCs w:val="24"/>
        </w:rPr>
        <w:t>Colore</w:t>
      </w:r>
      <w:r w:rsidR="00E732B6" w:rsidRPr="00C644F8">
        <w:rPr>
          <w:rFonts w:cs="Times New Roman"/>
          <w:sz w:val="24"/>
          <w:szCs w:val="24"/>
        </w:rPr>
        <w:t>ctal cancer incidence rates</w:t>
      </w:r>
      <w:r w:rsidR="00F02D43" w:rsidRPr="00C644F8">
        <w:rPr>
          <w:rFonts w:cs="Times New Roman"/>
          <w:sz w:val="24"/>
          <w:szCs w:val="24"/>
        </w:rPr>
        <w:t xml:space="preserve"> </w:t>
      </w:r>
      <w:r w:rsidR="005A7B0B">
        <w:rPr>
          <w:rFonts w:cs="Times New Roman"/>
          <w:sz w:val="24"/>
          <w:szCs w:val="24"/>
        </w:rPr>
        <w:t>decreased by 13.</w:t>
      </w:r>
      <w:r w:rsidR="002A57BB">
        <w:rPr>
          <w:rFonts w:cs="Times New Roman"/>
          <w:sz w:val="24"/>
          <w:szCs w:val="24"/>
        </w:rPr>
        <w:t>9</w:t>
      </w:r>
      <w:r w:rsidR="005A7B0B">
        <w:rPr>
          <w:rFonts w:cs="Times New Roman"/>
          <w:sz w:val="24"/>
          <w:szCs w:val="24"/>
        </w:rPr>
        <w:t>% from 2008 to 2012 and th</w:t>
      </w:r>
      <w:r w:rsidR="00FA7671">
        <w:rPr>
          <w:rFonts w:cs="Times New Roman"/>
          <w:sz w:val="24"/>
          <w:szCs w:val="24"/>
        </w:rPr>
        <w:t>e annual percent</w:t>
      </w:r>
      <w:r w:rsidR="005A7B0B">
        <w:rPr>
          <w:rFonts w:cs="Times New Roman"/>
          <w:sz w:val="24"/>
          <w:szCs w:val="24"/>
        </w:rPr>
        <w:t xml:space="preserve"> change </w:t>
      </w:r>
      <w:proofErr w:type="gramStart"/>
      <w:r w:rsidR="005A7B0B">
        <w:rPr>
          <w:rFonts w:cs="Times New Roman"/>
          <w:sz w:val="24"/>
          <w:szCs w:val="24"/>
        </w:rPr>
        <w:t>was</w:t>
      </w:r>
      <w:proofErr w:type="gramEnd"/>
      <w:r w:rsidR="005A7B0B">
        <w:rPr>
          <w:rFonts w:cs="Times New Roman"/>
          <w:sz w:val="24"/>
          <w:szCs w:val="24"/>
        </w:rPr>
        <w:t xml:space="preserve"> statistically significant. </w:t>
      </w:r>
      <w:r w:rsidR="00CB51D6">
        <w:rPr>
          <w:rFonts w:cs="Times New Roman"/>
          <w:sz w:val="24"/>
          <w:szCs w:val="24"/>
        </w:rPr>
        <w:t>During the same time period</w:t>
      </w:r>
      <w:r w:rsidR="009A4D99" w:rsidRPr="00C644F8">
        <w:rPr>
          <w:rFonts w:cs="Times New Roman"/>
          <w:sz w:val="24"/>
          <w:szCs w:val="24"/>
        </w:rPr>
        <w:t xml:space="preserve">, </w:t>
      </w:r>
      <w:r w:rsidR="00CB51D6">
        <w:rPr>
          <w:rFonts w:cs="Times New Roman"/>
          <w:sz w:val="24"/>
          <w:szCs w:val="24"/>
        </w:rPr>
        <w:t xml:space="preserve">the </w:t>
      </w:r>
      <w:r w:rsidR="009A4D99" w:rsidRPr="00C644F8">
        <w:rPr>
          <w:rFonts w:cs="Times New Roman"/>
          <w:sz w:val="24"/>
          <w:szCs w:val="24"/>
        </w:rPr>
        <w:t>colorectal cancer mortality rates declined</w:t>
      </w:r>
      <w:r w:rsidR="00881115" w:rsidRPr="00C644F8">
        <w:rPr>
          <w:rFonts w:cs="Times New Roman"/>
          <w:sz w:val="24"/>
          <w:szCs w:val="24"/>
        </w:rPr>
        <w:t xml:space="preserve"> by 11</w:t>
      </w:r>
      <w:r w:rsidR="002A57BB">
        <w:rPr>
          <w:rFonts w:cs="Times New Roman"/>
          <w:sz w:val="24"/>
          <w:szCs w:val="24"/>
        </w:rPr>
        <w:t>.6%</w:t>
      </w:r>
      <w:r w:rsidR="00FA7671">
        <w:rPr>
          <w:rFonts w:cs="Times New Roman"/>
          <w:sz w:val="24"/>
          <w:szCs w:val="24"/>
        </w:rPr>
        <w:t xml:space="preserve"> and the annual percent change was statistically significant</w:t>
      </w:r>
      <w:r w:rsidR="00881115" w:rsidRPr="00C644F8">
        <w:rPr>
          <w:rFonts w:cs="Times New Roman"/>
          <w:sz w:val="24"/>
          <w:szCs w:val="24"/>
        </w:rPr>
        <w:t xml:space="preserve">. </w:t>
      </w:r>
      <w:r w:rsidR="00F02D43" w:rsidRPr="00C644F8">
        <w:rPr>
          <w:rFonts w:cs="Times New Roman"/>
          <w:sz w:val="24"/>
          <w:szCs w:val="24"/>
        </w:rPr>
        <w:t xml:space="preserve">TN experienced the </w:t>
      </w:r>
      <w:r w:rsidR="00A97FD6">
        <w:rPr>
          <w:rFonts w:cs="Times New Roman"/>
          <w:sz w:val="24"/>
          <w:szCs w:val="24"/>
        </w:rPr>
        <w:t>1</w:t>
      </w:r>
      <w:r w:rsidR="00C41E36">
        <w:rPr>
          <w:rFonts w:cs="Times New Roman"/>
          <w:sz w:val="24"/>
          <w:szCs w:val="24"/>
        </w:rPr>
        <w:t>9</w:t>
      </w:r>
      <w:r w:rsidR="00A97FD6" w:rsidRPr="00A97FD6">
        <w:rPr>
          <w:rFonts w:cs="Times New Roman"/>
          <w:sz w:val="24"/>
          <w:szCs w:val="24"/>
          <w:vertAlign w:val="superscript"/>
        </w:rPr>
        <w:t>th</w:t>
      </w:r>
      <w:r w:rsidR="00A97FD6">
        <w:rPr>
          <w:rFonts w:cs="Times New Roman"/>
          <w:sz w:val="24"/>
          <w:szCs w:val="24"/>
        </w:rPr>
        <w:t xml:space="preserve"> </w:t>
      </w:r>
      <w:r w:rsidR="00F02D43" w:rsidRPr="00C644F8">
        <w:rPr>
          <w:rFonts w:cs="Times New Roman"/>
          <w:sz w:val="24"/>
          <w:szCs w:val="24"/>
        </w:rPr>
        <w:t xml:space="preserve">highest incidence rate and the </w:t>
      </w:r>
      <w:r w:rsidR="00C04B0C">
        <w:rPr>
          <w:rFonts w:cs="Times New Roman"/>
          <w:sz w:val="24"/>
          <w:szCs w:val="24"/>
        </w:rPr>
        <w:t>8</w:t>
      </w:r>
      <w:r w:rsidR="00F02D43" w:rsidRPr="00C644F8">
        <w:rPr>
          <w:rFonts w:cs="Times New Roman"/>
          <w:sz w:val="24"/>
          <w:szCs w:val="24"/>
          <w:vertAlign w:val="superscript"/>
        </w:rPr>
        <w:t>th</w:t>
      </w:r>
      <w:r w:rsidR="00F02D43" w:rsidRPr="00C644F8">
        <w:rPr>
          <w:rFonts w:cs="Times New Roman"/>
          <w:sz w:val="24"/>
          <w:szCs w:val="24"/>
        </w:rPr>
        <w:t xml:space="preserve"> highest mortality rate in the U.S. for colorectal cancer</w:t>
      </w:r>
      <w:r w:rsidR="00E732B6" w:rsidRPr="00C644F8">
        <w:rPr>
          <w:rFonts w:cs="Times New Roman"/>
          <w:sz w:val="24"/>
          <w:szCs w:val="24"/>
        </w:rPr>
        <w:t xml:space="preserve"> </w:t>
      </w:r>
      <w:r w:rsidR="0086495F">
        <w:rPr>
          <w:rFonts w:cs="Times New Roman"/>
          <w:sz w:val="24"/>
          <w:szCs w:val="24"/>
        </w:rPr>
        <w:t xml:space="preserve">from </w:t>
      </w:r>
      <w:r w:rsidR="00DB5209">
        <w:rPr>
          <w:rFonts w:cs="Times New Roman"/>
          <w:sz w:val="24"/>
          <w:szCs w:val="24"/>
        </w:rPr>
        <w:t>2008-2012</w:t>
      </w:r>
      <w:r w:rsidR="0086495F">
        <w:rPr>
          <w:rFonts w:cs="Times New Roman"/>
          <w:sz w:val="24"/>
          <w:szCs w:val="24"/>
        </w:rPr>
        <w:t xml:space="preserve">. </w:t>
      </w:r>
    </w:p>
    <w:p w:rsidR="004E17B6" w:rsidRPr="00C644F8" w:rsidRDefault="00F02D43" w:rsidP="00CC6B19">
      <w:pPr>
        <w:jc w:val="both"/>
        <w:rPr>
          <w:rFonts w:cs="Times New Roman"/>
          <w:sz w:val="24"/>
          <w:szCs w:val="24"/>
        </w:rPr>
      </w:pPr>
      <w:r w:rsidRPr="00C644F8">
        <w:rPr>
          <w:rFonts w:cs="Times New Roman"/>
          <w:sz w:val="24"/>
          <w:szCs w:val="24"/>
        </w:rPr>
        <w:t>Colorectal cancer is the 4</w:t>
      </w:r>
      <w:r w:rsidRPr="00C644F8">
        <w:rPr>
          <w:rFonts w:cs="Times New Roman"/>
          <w:sz w:val="24"/>
          <w:szCs w:val="24"/>
          <w:vertAlign w:val="superscript"/>
        </w:rPr>
        <w:t>th</w:t>
      </w:r>
      <w:r w:rsidRPr="00C644F8">
        <w:rPr>
          <w:rFonts w:cs="Times New Roman"/>
          <w:sz w:val="24"/>
          <w:szCs w:val="24"/>
        </w:rPr>
        <w:t xml:space="preserve"> leading cause of cancer incidence</w:t>
      </w:r>
      <w:r w:rsidR="00521212" w:rsidRPr="00C644F8">
        <w:rPr>
          <w:rFonts w:cs="Times New Roman"/>
          <w:sz w:val="24"/>
          <w:szCs w:val="24"/>
        </w:rPr>
        <w:t xml:space="preserve"> (15,</w:t>
      </w:r>
      <w:r w:rsidR="00154822" w:rsidRPr="00C644F8">
        <w:rPr>
          <w:rFonts w:cs="Times New Roman"/>
          <w:sz w:val="24"/>
          <w:szCs w:val="24"/>
        </w:rPr>
        <w:t>223</w:t>
      </w:r>
      <w:r w:rsidR="00521212" w:rsidRPr="00C644F8">
        <w:rPr>
          <w:rFonts w:cs="Times New Roman"/>
          <w:sz w:val="24"/>
          <w:szCs w:val="24"/>
        </w:rPr>
        <w:t xml:space="preserve"> cases)</w:t>
      </w:r>
      <w:r w:rsidRPr="00C644F8">
        <w:rPr>
          <w:rFonts w:cs="Times New Roman"/>
          <w:sz w:val="24"/>
          <w:szCs w:val="24"/>
        </w:rPr>
        <w:t xml:space="preserve"> and the 2</w:t>
      </w:r>
      <w:r w:rsidRPr="00C644F8">
        <w:rPr>
          <w:rFonts w:cs="Times New Roman"/>
          <w:sz w:val="24"/>
          <w:szCs w:val="24"/>
          <w:vertAlign w:val="superscript"/>
        </w:rPr>
        <w:t>nd</w:t>
      </w:r>
      <w:r w:rsidRPr="00C644F8">
        <w:rPr>
          <w:rFonts w:cs="Times New Roman"/>
          <w:sz w:val="24"/>
          <w:szCs w:val="24"/>
        </w:rPr>
        <w:t xml:space="preserve"> leading cause of cancer </w:t>
      </w:r>
      <w:r w:rsidR="00521212" w:rsidRPr="00C644F8">
        <w:rPr>
          <w:rFonts w:cs="Times New Roman"/>
          <w:sz w:val="24"/>
          <w:szCs w:val="24"/>
        </w:rPr>
        <w:t>mortality (6,038 cases)</w:t>
      </w:r>
      <w:r w:rsidRPr="00C644F8">
        <w:rPr>
          <w:rFonts w:cs="Times New Roman"/>
          <w:sz w:val="24"/>
          <w:szCs w:val="24"/>
        </w:rPr>
        <w:t xml:space="preserve"> in TN.</w:t>
      </w:r>
      <w:r w:rsidR="00AE66D8" w:rsidRPr="00C644F8">
        <w:rPr>
          <w:rFonts w:cs="Times New Roman"/>
          <w:sz w:val="24"/>
          <w:szCs w:val="24"/>
        </w:rPr>
        <w:t xml:space="preserve"> </w:t>
      </w:r>
      <w:r w:rsidR="009A4D99" w:rsidRPr="00C644F8">
        <w:rPr>
          <w:rFonts w:cs="Times New Roman"/>
          <w:sz w:val="24"/>
          <w:szCs w:val="24"/>
        </w:rPr>
        <w:t>A little less than half</w:t>
      </w:r>
      <w:r w:rsidR="00522056" w:rsidRPr="00C644F8">
        <w:rPr>
          <w:rFonts w:cs="Times New Roman"/>
          <w:sz w:val="24"/>
          <w:szCs w:val="24"/>
        </w:rPr>
        <w:t xml:space="preserve"> (45.</w:t>
      </w:r>
      <w:r w:rsidR="00E40A07" w:rsidRPr="00C644F8">
        <w:rPr>
          <w:rFonts w:cs="Times New Roman"/>
          <w:sz w:val="24"/>
          <w:szCs w:val="24"/>
        </w:rPr>
        <w:t>1</w:t>
      </w:r>
      <w:r w:rsidR="00522056" w:rsidRPr="00C644F8">
        <w:rPr>
          <w:rFonts w:cs="Times New Roman"/>
          <w:sz w:val="24"/>
          <w:szCs w:val="24"/>
        </w:rPr>
        <w:t>%)</w:t>
      </w:r>
      <w:r w:rsidRPr="00C644F8">
        <w:rPr>
          <w:rFonts w:cs="Times New Roman"/>
          <w:sz w:val="24"/>
          <w:szCs w:val="24"/>
        </w:rPr>
        <w:t xml:space="preserve"> of </w:t>
      </w:r>
      <w:r w:rsidR="009A4D99" w:rsidRPr="00C644F8">
        <w:rPr>
          <w:rFonts w:cs="Times New Roman"/>
          <w:sz w:val="24"/>
          <w:szCs w:val="24"/>
        </w:rPr>
        <w:t xml:space="preserve">the </w:t>
      </w:r>
      <w:r w:rsidRPr="00C644F8">
        <w:rPr>
          <w:rFonts w:cs="Times New Roman"/>
          <w:sz w:val="24"/>
          <w:szCs w:val="24"/>
        </w:rPr>
        <w:t xml:space="preserve">cases </w:t>
      </w:r>
      <w:r w:rsidR="00663E4B" w:rsidRPr="00C644F8">
        <w:rPr>
          <w:rFonts w:cs="Times New Roman"/>
          <w:sz w:val="24"/>
          <w:szCs w:val="24"/>
        </w:rPr>
        <w:t xml:space="preserve">with known stage information </w:t>
      </w:r>
      <w:r w:rsidRPr="00C644F8">
        <w:rPr>
          <w:rFonts w:cs="Times New Roman"/>
          <w:sz w:val="24"/>
          <w:szCs w:val="24"/>
        </w:rPr>
        <w:t>are diagnosed at early stages in TN.</w:t>
      </w:r>
      <w:r w:rsidR="00AE66D8" w:rsidRPr="00C644F8">
        <w:rPr>
          <w:rFonts w:cs="Times New Roman"/>
          <w:sz w:val="24"/>
          <w:szCs w:val="24"/>
        </w:rPr>
        <w:t xml:space="preserve"> </w:t>
      </w:r>
      <w:r w:rsidRPr="00C644F8">
        <w:rPr>
          <w:rFonts w:cs="Times New Roman"/>
          <w:sz w:val="24"/>
          <w:szCs w:val="24"/>
        </w:rPr>
        <w:t>Black</w:t>
      </w:r>
      <w:r w:rsidR="00EE40D1" w:rsidRPr="00C644F8">
        <w:rPr>
          <w:rFonts w:cs="Times New Roman"/>
          <w:sz w:val="24"/>
          <w:szCs w:val="24"/>
        </w:rPr>
        <w:t xml:space="preserve"> males and black females</w:t>
      </w:r>
      <w:r w:rsidRPr="00C644F8">
        <w:rPr>
          <w:rFonts w:cs="Times New Roman"/>
          <w:sz w:val="24"/>
          <w:szCs w:val="24"/>
        </w:rPr>
        <w:t xml:space="preserve"> </w:t>
      </w:r>
      <w:r w:rsidR="005433C5" w:rsidRPr="00C644F8">
        <w:rPr>
          <w:rFonts w:cs="Times New Roman"/>
          <w:sz w:val="24"/>
          <w:szCs w:val="24"/>
        </w:rPr>
        <w:t>experience</w:t>
      </w:r>
      <w:r w:rsidRPr="00C644F8">
        <w:rPr>
          <w:rFonts w:cs="Times New Roman"/>
          <w:sz w:val="24"/>
          <w:szCs w:val="24"/>
        </w:rPr>
        <w:t xml:space="preserve"> statistically significantly greater incidence and mortality rates for this cance</w:t>
      </w:r>
      <w:r w:rsidR="005433C5" w:rsidRPr="00C644F8">
        <w:rPr>
          <w:rFonts w:cs="Times New Roman"/>
          <w:sz w:val="24"/>
          <w:szCs w:val="24"/>
        </w:rPr>
        <w:t>r compared to whi</w:t>
      </w:r>
      <w:r w:rsidR="00EE40D1" w:rsidRPr="00C644F8">
        <w:rPr>
          <w:rFonts w:cs="Times New Roman"/>
          <w:sz w:val="24"/>
          <w:szCs w:val="24"/>
        </w:rPr>
        <w:t>te males and white females</w:t>
      </w:r>
      <w:r w:rsidR="005433C5" w:rsidRPr="00C644F8">
        <w:rPr>
          <w:rFonts w:cs="Times New Roman"/>
          <w:sz w:val="24"/>
          <w:szCs w:val="24"/>
        </w:rPr>
        <w:t>.</w:t>
      </w:r>
      <w:r w:rsidR="0022570C" w:rsidRPr="00C644F8">
        <w:rPr>
          <w:rFonts w:cs="Times New Roman"/>
          <w:sz w:val="24"/>
          <w:szCs w:val="24"/>
        </w:rPr>
        <w:t xml:space="preserve"> A slightly higher percentage of black patients </w:t>
      </w:r>
      <w:r w:rsidR="004A1982" w:rsidRPr="00C644F8">
        <w:rPr>
          <w:rFonts w:cs="Times New Roman"/>
          <w:sz w:val="24"/>
          <w:szCs w:val="24"/>
        </w:rPr>
        <w:t>w</w:t>
      </w:r>
      <w:r w:rsidR="004A1982">
        <w:rPr>
          <w:rFonts w:cs="Times New Roman"/>
          <w:sz w:val="24"/>
          <w:szCs w:val="24"/>
        </w:rPr>
        <w:t>ere</w:t>
      </w:r>
      <w:r w:rsidR="0022570C" w:rsidRPr="00C644F8">
        <w:rPr>
          <w:rFonts w:cs="Times New Roman"/>
          <w:sz w:val="24"/>
          <w:szCs w:val="24"/>
        </w:rPr>
        <w:t xml:space="preserve"> diagnosed at late stages than whites and this difference was statistically significant.</w:t>
      </w:r>
      <w:r w:rsidR="00E40A07" w:rsidRPr="00C644F8">
        <w:rPr>
          <w:rFonts w:cs="Times New Roman"/>
          <w:sz w:val="24"/>
          <w:szCs w:val="24"/>
        </w:rPr>
        <w:t xml:space="preserve"> Regular colorectal cancer screening can prevent new cases and find colorectal cancer early, when it is highly curable. The main screening exams used for colorectal cancer are the colonoscopy and sigmoidoscopy. </w:t>
      </w:r>
    </w:p>
    <w:p w:rsidR="004E17B6" w:rsidRDefault="004E17B6" w:rsidP="00CC6B19">
      <w:pPr>
        <w:jc w:val="both"/>
        <w:rPr>
          <w:rFonts w:cs="Times New Roman"/>
          <w:sz w:val="24"/>
          <w:szCs w:val="24"/>
        </w:rPr>
      </w:pPr>
    </w:p>
    <w:p w:rsidR="00EA34F7" w:rsidRDefault="00EA34F7" w:rsidP="00CC6B19">
      <w:pPr>
        <w:jc w:val="both"/>
        <w:rPr>
          <w:rFonts w:cs="Times New Roman"/>
          <w:sz w:val="24"/>
          <w:szCs w:val="24"/>
        </w:rPr>
      </w:pPr>
    </w:p>
    <w:p w:rsidR="00897CEF" w:rsidRPr="00C644F8" w:rsidRDefault="00897CEF" w:rsidP="00CC6B19">
      <w:pPr>
        <w:jc w:val="both"/>
        <w:rPr>
          <w:rFonts w:cs="Times New Roman"/>
          <w:sz w:val="24"/>
          <w:szCs w:val="24"/>
        </w:rPr>
      </w:pPr>
    </w:p>
    <w:p w:rsidR="00F02D43" w:rsidRPr="00976CBD" w:rsidRDefault="00B05FA6" w:rsidP="00903E48">
      <w:pPr>
        <w:pStyle w:val="Heading2"/>
      </w:pPr>
      <w:bookmarkStart w:id="106" w:name="_Toc346002111"/>
      <w:bookmarkStart w:id="107" w:name="_Toc374006809"/>
      <w:bookmarkStart w:id="108" w:name="_Toc400634508"/>
      <w:bookmarkStart w:id="109" w:name="_Toc421608524"/>
      <w:bookmarkStart w:id="110" w:name="_Toc421609342"/>
      <w:bookmarkStart w:id="111" w:name="_Toc421609676"/>
      <w:bookmarkStart w:id="112" w:name="_Toc421611201"/>
      <w:bookmarkStart w:id="113" w:name="_Toc439918832"/>
      <w:r w:rsidRPr="00976CBD">
        <w:lastRenderedPageBreak/>
        <w:t>Melanoma of the Skin</w:t>
      </w:r>
      <w:bookmarkEnd w:id="106"/>
      <w:bookmarkEnd w:id="107"/>
      <w:bookmarkEnd w:id="108"/>
      <w:bookmarkEnd w:id="109"/>
      <w:bookmarkEnd w:id="110"/>
      <w:bookmarkEnd w:id="111"/>
      <w:bookmarkEnd w:id="112"/>
      <w:bookmarkEnd w:id="113"/>
    </w:p>
    <w:p w:rsidR="003B469B" w:rsidRPr="00C644F8" w:rsidRDefault="00862F6A" w:rsidP="00CC6B19">
      <w:pPr>
        <w:jc w:val="both"/>
        <w:rPr>
          <w:rFonts w:cs="Times New Roman"/>
          <w:sz w:val="24"/>
          <w:szCs w:val="24"/>
        </w:rPr>
      </w:pPr>
      <w:r w:rsidRPr="00C644F8">
        <w:rPr>
          <w:rFonts w:cs="Times New Roman"/>
          <w:sz w:val="24"/>
          <w:szCs w:val="24"/>
        </w:rPr>
        <w:t xml:space="preserve">From 2008 through 2012, melanoma of the skin represented 4.2% </w:t>
      </w:r>
      <w:r w:rsidR="00ED23AA" w:rsidRPr="00C644F8">
        <w:rPr>
          <w:rFonts w:cs="Times New Roman"/>
          <w:sz w:val="24"/>
          <w:szCs w:val="24"/>
        </w:rPr>
        <w:t xml:space="preserve">of all new cancer cases </w:t>
      </w:r>
      <w:r w:rsidRPr="00C644F8">
        <w:rPr>
          <w:rFonts w:cs="Times New Roman"/>
          <w:sz w:val="24"/>
          <w:szCs w:val="24"/>
        </w:rPr>
        <w:t xml:space="preserve">and a mere 1.6% of all cancer deaths. </w:t>
      </w:r>
      <w:r w:rsidR="00F02D43" w:rsidRPr="00C644F8">
        <w:rPr>
          <w:rFonts w:cs="Times New Roman"/>
          <w:sz w:val="24"/>
          <w:szCs w:val="24"/>
        </w:rPr>
        <w:t xml:space="preserve">Melanoma incidence and mortality were generally stable over the 5-year period covered by this report; however, there </w:t>
      </w:r>
      <w:r w:rsidR="00E732B6" w:rsidRPr="00C644F8">
        <w:rPr>
          <w:rFonts w:cs="Times New Roman"/>
          <w:sz w:val="24"/>
          <w:szCs w:val="24"/>
        </w:rPr>
        <w:t>was</w:t>
      </w:r>
      <w:r w:rsidR="00F02D43" w:rsidRPr="00C644F8">
        <w:rPr>
          <w:rFonts w:cs="Times New Roman"/>
          <w:sz w:val="24"/>
          <w:szCs w:val="24"/>
        </w:rPr>
        <w:t xml:space="preserve"> an unexplained </w:t>
      </w:r>
      <w:r w:rsidR="002C093C" w:rsidRPr="00C644F8">
        <w:rPr>
          <w:rFonts w:cs="Times New Roman"/>
          <w:sz w:val="24"/>
          <w:szCs w:val="24"/>
        </w:rPr>
        <w:t>25.</w:t>
      </w:r>
      <w:r w:rsidR="00936349">
        <w:rPr>
          <w:rFonts w:cs="Times New Roman"/>
          <w:sz w:val="24"/>
          <w:szCs w:val="24"/>
        </w:rPr>
        <w:t>1</w:t>
      </w:r>
      <w:r w:rsidR="00ED23AA" w:rsidRPr="00C644F8">
        <w:rPr>
          <w:rFonts w:cs="Times New Roman"/>
          <w:sz w:val="24"/>
          <w:szCs w:val="24"/>
        </w:rPr>
        <w:t xml:space="preserve">% increase </w:t>
      </w:r>
      <w:r w:rsidR="00F02D43" w:rsidRPr="00C644F8">
        <w:rPr>
          <w:rFonts w:cs="Times New Roman"/>
          <w:sz w:val="24"/>
          <w:szCs w:val="24"/>
        </w:rPr>
        <w:t xml:space="preserve">in </w:t>
      </w:r>
      <w:r w:rsidR="00ED23AA" w:rsidRPr="00C644F8">
        <w:rPr>
          <w:rFonts w:cs="Times New Roman"/>
          <w:sz w:val="24"/>
          <w:szCs w:val="24"/>
        </w:rPr>
        <w:t>the number of cases</w:t>
      </w:r>
      <w:r w:rsidR="00F02D43" w:rsidRPr="00C644F8">
        <w:rPr>
          <w:rFonts w:cs="Times New Roman"/>
          <w:sz w:val="24"/>
          <w:szCs w:val="24"/>
        </w:rPr>
        <w:t xml:space="preserve"> </w:t>
      </w:r>
      <w:r w:rsidR="002C093C" w:rsidRPr="00C644F8">
        <w:rPr>
          <w:rFonts w:cs="Times New Roman"/>
          <w:sz w:val="24"/>
          <w:szCs w:val="24"/>
        </w:rPr>
        <w:t xml:space="preserve">from 2008 to 2009 </w:t>
      </w:r>
      <w:r w:rsidR="00ED23AA" w:rsidRPr="00C644F8">
        <w:rPr>
          <w:rFonts w:cs="Times New Roman"/>
          <w:sz w:val="24"/>
          <w:szCs w:val="24"/>
        </w:rPr>
        <w:t xml:space="preserve">(See </w:t>
      </w:r>
      <w:hyperlink w:anchor="_Appendix_IX._Melanoma" w:history="1">
        <w:r w:rsidR="00ED23AA" w:rsidRPr="00C644F8">
          <w:rPr>
            <w:rStyle w:val="Hyperlink"/>
            <w:rFonts w:cs="Times New Roman"/>
            <w:sz w:val="24"/>
            <w:szCs w:val="24"/>
          </w:rPr>
          <w:t>Melanoma of Skin</w:t>
        </w:r>
      </w:hyperlink>
      <w:r w:rsidR="00ED23AA" w:rsidRPr="00C644F8">
        <w:rPr>
          <w:rFonts w:cs="Times New Roman"/>
          <w:sz w:val="24"/>
          <w:szCs w:val="24"/>
        </w:rPr>
        <w:t xml:space="preserve">). </w:t>
      </w:r>
      <w:r w:rsidR="00F02D43" w:rsidRPr="00C644F8">
        <w:rPr>
          <w:rFonts w:cs="Times New Roman"/>
          <w:sz w:val="24"/>
          <w:szCs w:val="24"/>
        </w:rPr>
        <w:t>Melanoma is the 5</w:t>
      </w:r>
      <w:r w:rsidR="00F02D43" w:rsidRPr="00C644F8">
        <w:rPr>
          <w:rFonts w:cs="Times New Roman"/>
          <w:sz w:val="24"/>
          <w:szCs w:val="24"/>
          <w:vertAlign w:val="superscript"/>
        </w:rPr>
        <w:t>th</w:t>
      </w:r>
      <w:r w:rsidR="00F02D43" w:rsidRPr="00C644F8">
        <w:rPr>
          <w:rFonts w:cs="Times New Roman"/>
          <w:sz w:val="24"/>
          <w:szCs w:val="24"/>
        </w:rPr>
        <w:t xml:space="preserve"> leading cause </w:t>
      </w:r>
      <w:r w:rsidR="00306E49" w:rsidRPr="00C644F8">
        <w:rPr>
          <w:rFonts w:cs="Times New Roman"/>
          <w:sz w:val="24"/>
          <w:szCs w:val="24"/>
        </w:rPr>
        <w:t>of cancer incidence (7,1</w:t>
      </w:r>
      <w:r w:rsidR="00E31A46" w:rsidRPr="00C644F8">
        <w:rPr>
          <w:rFonts w:cs="Times New Roman"/>
          <w:sz w:val="24"/>
          <w:szCs w:val="24"/>
        </w:rPr>
        <w:t>64</w:t>
      </w:r>
      <w:r w:rsidR="00306E49" w:rsidRPr="00C644F8">
        <w:rPr>
          <w:rFonts w:cs="Times New Roman"/>
          <w:sz w:val="24"/>
          <w:szCs w:val="24"/>
        </w:rPr>
        <w:t xml:space="preserve"> cases)</w:t>
      </w:r>
      <w:r w:rsidR="00F02D43" w:rsidRPr="00C644F8">
        <w:rPr>
          <w:rFonts w:cs="Times New Roman"/>
          <w:sz w:val="24"/>
          <w:szCs w:val="24"/>
        </w:rPr>
        <w:t xml:space="preserve"> in TN; however, </w:t>
      </w:r>
      <w:r w:rsidR="00306E49" w:rsidRPr="00C644F8">
        <w:rPr>
          <w:rFonts w:cs="Times New Roman"/>
          <w:sz w:val="24"/>
          <w:szCs w:val="24"/>
        </w:rPr>
        <w:t xml:space="preserve">the </w:t>
      </w:r>
      <w:r w:rsidR="006D0462">
        <w:rPr>
          <w:rFonts w:cs="Times New Roman"/>
          <w:sz w:val="24"/>
          <w:szCs w:val="24"/>
        </w:rPr>
        <w:t xml:space="preserve">total </w:t>
      </w:r>
      <w:r w:rsidR="00306E49" w:rsidRPr="00C644F8">
        <w:rPr>
          <w:rFonts w:cs="Times New Roman"/>
          <w:sz w:val="24"/>
          <w:szCs w:val="24"/>
        </w:rPr>
        <w:t xml:space="preserve">number of </w:t>
      </w:r>
      <w:r w:rsidR="00936349">
        <w:rPr>
          <w:rFonts w:cs="Times New Roman"/>
          <w:sz w:val="24"/>
          <w:szCs w:val="24"/>
        </w:rPr>
        <w:t>death</w:t>
      </w:r>
      <w:r w:rsidR="00306E49" w:rsidRPr="00C644F8">
        <w:rPr>
          <w:rFonts w:cs="Times New Roman"/>
          <w:sz w:val="24"/>
          <w:szCs w:val="24"/>
        </w:rPr>
        <w:t xml:space="preserve">s from melanoma of the skin </w:t>
      </w:r>
      <w:r w:rsidR="00F02D43" w:rsidRPr="00C644F8">
        <w:rPr>
          <w:rFonts w:cs="Times New Roman"/>
          <w:sz w:val="24"/>
          <w:szCs w:val="24"/>
        </w:rPr>
        <w:t>are low</w:t>
      </w:r>
      <w:r w:rsidR="00306E49" w:rsidRPr="00C644F8">
        <w:rPr>
          <w:rFonts w:cs="Times New Roman"/>
          <w:sz w:val="24"/>
          <w:szCs w:val="24"/>
        </w:rPr>
        <w:t xml:space="preserve"> (1,061 cases)</w:t>
      </w:r>
      <w:r w:rsidR="00F02D43" w:rsidRPr="00C644F8">
        <w:rPr>
          <w:rFonts w:cs="Times New Roman"/>
          <w:sz w:val="24"/>
          <w:szCs w:val="24"/>
        </w:rPr>
        <w:t>.</w:t>
      </w:r>
      <w:r w:rsidR="00AE66D8" w:rsidRPr="00C644F8">
        <w:rPr>
          <w:rFonts w:cs="Times New Roman"/>
          <w:sz w:val="24"/>
          <w:szCs w:val="24"/>
        </w:rPr>
        <w:t xml:space="preserve"> </w:t>
      </w:r>
      <w:r w:rsidR="00F02D43" w:rsidRPr="00C644F8">
        <w:rPr>
          <w:rFonts w:cs="Times New Roman"/>
          <w:sz w:val="24"/>
          <w:szCs w:val="24"/>
        </w:rPr>
        <w:t xml:space="preserve">TN experienced the </w:t>
      </w:r>
      <w:r w:rsidR="0046692F">
        <w:rPr>
          <w:rFonts w:cs="Times New Roman"/>
          <w:sz w:val="24"/>
          <w:szCs w:val="24"/>
        </w:rPr>
        <w:t>32</w:t>
      </w:r>
      <w:r w:rsidR="0046692F" w:rsidRPr="0046692F">
        <w:rPr>
          <w:rFonts w:cs="Times New Roman"/>
          <w:sz w:val="24"/>
          <w:szCs w:val="24"/>
          <w:vertAlign w:val="superscript"/>
        </w:rPr>
        <w:t>nd</w:t>
      </w:r>
      <w:r w:rsidR="0046692F">
        <w:rPr>
          <w:rFonts w:cs="Times New Roman"/>
          <w:sz w:val="24"/>
          <w:szCs w:val="24"/>
        </w:rPr>
        <w:t xml:space="preserve"> </w:t>
      </w:r>
      <w:r w:rsidR="00F02D43" w:rsidRPr="00C644F8">
        <w:rPr>
          <w:rFonts w:cs="Times New Roman"/>
          <w:sz w:val="24"/>
          <w:szCs w:val="24"/>
        </w:rPr>
        <w:t xml:space="preserve">highest incidence rate and the </w:t>
      </w:r>
      <w:r w:rsidR="00C04B0C">
        <w:rPr>
          <w:rFonts w:cs="Times New Roman"/>
          <w:sz w:val="24"/>
          <w:szCs w:val="24"/>
        </w:rPr>
        <w:t>16</w:t>
      </w:r>
      <w:r w:rsidR="00F02D43" w:rsidRPr="00C644F8">
        <w:rPr>
          <w:rFonts w:cs="Times New Roman"/>
          <w:sz w:val="24"/>
          <w:szCs w:val="24"/>
          <w:vertAlign w:val="superscript"/>
        </w:rPr>
        <w:t>th</w:t>
      </w:r>
      <w:r w:rsidR="00F02D43" w:rsidRPr="00C644F8">
        <w:rPr>
          <w:rFonts w:cs="Times New Roman"/>
          <w:sz w:val="24"/>
          <w:szCs w:val="24"/>
        </w:rPr>
        <w:t xml:space="preserve"> highest mortality rate in the U.S</w:t>
      </w:r>
      <w:r w:rsidR="00663E4B" w:rsidRPr="00C644F8">
        <w:rPr>
          <w:rFonts w:cs="Times New Roman"/>
          <w:sz w:val="24"/>
          <w:szCs w:val="24"/>
        </w:rPr>
        <w:t xml:space="preserve"> </w:t>
      </w:r>
      <w:r w:rsidR="002E0010">
        <w:rPr>
          <w:rFonts w:cs="Times New Roman"/>
          <w:sz w:val="24"/>
          <w:szCs w:val="24"/>
        </w:rPr>
        <w:t xml:space="preserve">from </w:t>
      </w:r>
      <w:r w:rsidR="00DB5209">
        <w:rPr>
          <w:rFonts w:cs="Times New Roman"/>
          <w:sz w:val="24"/>
          <w:szCs w:val="24"/>
        </w:rPr>
        <w:t>2008-2012</w:t>
      </w:r>
      <w:r w:rsidR="002E0010">
        <w:rPr>
          <w:rFonts w:cs="Times New Roman"/>
          <w:sz w:val="24"/>
          <w:szCs w:val="24"/>
        </w:rPr>
        <w:t xml:space="preserve">. </w:t>
      </w:r>
      <w:r w:rsidR="00AE66D8" w:rsidRPr="00C644F8">
        <w:rPr>
          <w:rFonts w:cs="Times New Roman"/>
          <w:sz w:val="24"/>
          <w:szCs w:val="24"/>
        </w:rPr>
        <w:t xml:space="preserve"> </w:t>
      </w:r>
    </w:p>
    <w:p w:rsidR="004E17B6" w:rsidRDefault="00F02D43" w:rsidP="00CC6B19">
      <w:pPr>
        <w:jc w:val="both"/>
        <w:rPr>
          <w:rFonts w:cs="Times New Roman"/>
          <w:sz w:val="24"/>
          <w:szCs w:val="24"/>
        </w:rPr>
      </w:pPr>
      <w:r w:rsidRPr="00C644F8">
        <w:rPr>
          <w:rFonts w:cs="Times New Roman"/>
          <w:sz w:val="24"/>
          <w:szCs w:val="24"/>
        </w:rPr>
        <w:t xml:space="preserve">Cancer screening is very effective at diagnosing </w:t>
      </w:r>
      <w:r w:rsidR="00D92BD3" w:rsidRPr="00C644F8">
        <w:rPr>
          <w:rFonts w:cs="Times New Roman"/>
          <w:sz w:val="24"/>
          <w:szCs w:val="24"/>
        </w:rPr>
        <w:t>melanoma</w:t>
      </w:r>
      <w:r w:rsidRPr="00C644F8">
        <w:rPr>
          <w:rFonts w:cs="Times New Roman"/>
          <w:sz w:val="24"/>
          <w:szCs w:val="24"/>
        </w:rPr>
        <w:t xml:space="preserve"> in </w:t>
      </w:r>
      <w:r w:rsidR="00D92BD3" w:rsidRPr="00C644F8">
        <w:rPr>
          <w:rFonts w:cs="Times New Roman"/>
          <w:sz w:val="24"/>
          <w:szCs w:val="24"/>
        </w:rPr>
        <w:t>its</w:t>
      </w:r>
      <w:r w:rsidRPr="00C644F8">
        <w:rPr>
          <w:rFonts w:cs="Times New Roman"/>
          <w:sz w:val="24"/>
          <w:szCs w:val="24"/>
        </w:rPr>
        <w:t xml:space="preserve"> early stages</w:t>
      </w:r>
      <w:r w:rsidR="0046692F">
        <w:rPr>
          <w:rFonts w:cs="Times New Roman"/>
          <w:sz w:val="24"/>
          <w:szCs w:val="24"/>
        </w:rPr>
        <w:t xml:space="preserve">; </w:t>
      </w:r>
      <w:r w:rsidR="0046692F" w:rsidRPr="00C644F8">
        <w:rPr>
          <w:rFonts w:cs="Times New Roman"/>
          <w:sz w:val="24"/>
          <w:szCs w:val="24"/>
        </w:rPr>
        <w:t>most skin cancers can be found early with skin exams</w:t>
      </w:r>
      <w:r w:rsidR="0046692F">
        <w:rPr>
          <w:rFonts w:cs="Times New Roman"/>
          <w:sz w:val="24"/>
          <w:szCs w:val="24"/>
        </w:rPr>
        <w:t>.</w:t>
      </w:r>
      <w:r w:rsidRPr="00C644F8">
        <w:rPr>
          <w:rFonts w:cs="Times New Roman"/>
          <w:sz w:val="24"/>
          <w:szCs w:val="24"/>
        </w:rPr>
        <w:t xml:space="preserve"> </w:t>
      </w:r>
      <w:r w:rsidR="006B5C55" w:rsidRPr="00C644F8">
        <w:rPr>
          <w:rFonts w:cs="Times New Roman"/>
          <w:sz w:val="24"/>
          <w:szCs w:val="24"/>
        </w:rPr>
        <w:t>90</w:t>
      </w:r>
      <w:r w:rsidR="00E31A46" w:rsidRPr="00C644F8">
        <w:rPr>
          <w:rFonts w:cs="Times New Roman"/>
          <w:sz w:val="24"/>
          <w:szCs w:val="24"/>
        </w:rPr>
        <w:t>.3</w:t>
      </w:r>
      <w:r w:rsidRPr="00C644F8">
        <w:rPr>
          <w:rFonts w:cs="Times New Roman"/>
          <w:sz w:val="24"/>
          <w:szCs w:val="24"/>
        </w:rPr>
        <w:t xml:space="preserve">% of all new cases </w:t>
      </w:r>
      <w:r w:rsidR="0046692F">
        <w:rPr>
          <w:rFonts w:cs="Times New Roman"/>
          <w:sz w:val="24"/>
          <w:szCs w:val="24"/>
        </w:rPr>
        <w:t xml:space="preserve">in TN </w:t>
      </w:r>
      <w:r w:rsidRPr="00C644F8">
        <w:rPr>
          <w:rFonts w:cs="Times New Roman"/>
          <w:sz w:val="24"/>
          <w:szCs w:val="24"/>
        </w:rPr>
        <w:t xml:space="preserve">during </w:t>
      </w:r>
      <w:r w:rsidR="00D1325B" w:rsidRPr="00C644F8">
        <w:rPr>
          <w:rFonts w:cs="Times New Roman"/>
          <w:sz w:val="24"/>
          <w:szCs w:val="24"/>
        </w:rPr>
        <w:t>200</w:t>
      </w:r>
      <w:r w:rsidR="002C093C" w:rsidRPr="00C644F8">
        <w:rPr>
          <w:rFonts w:cs="Times New Roman"/>
          <w:sz w:val="24"/>
          <w:szCs w:val="24"/>
        </w:rPr>
        <w:t>8</w:t>
      </w:r>
      <w:r w:rsidR="009F4A43">
        <w:rPr>
          <w:rFonts w:cs="Times New Roman"/>
          <w:sz w:val="24"/>
          <w:szCs w:val="24"/>
        </w:rPr>
        <w:t>-</w:t>
      </w:r>
      <w:r w:rsidR="006D0D50" w:rsidRPr="00C644F8">
        <w:rPr>
          <w:rFonts w:cs="Times New Roman"/>
          <w:sz w:val="24"/>
          <w:szCs w:val="24"/>
        </w:rPr>
        <w:t>2012</w:t>
      </w:r>
      <w:r w:rsidR="004852AA">
        <w:rPr>
          <w:rFonts w:cs="Times New Roman"/>
          <w:sz w:val="24"/>
          <w:szCs w:val="24"/>
        </w:rPr>
        <w:t xml:space="preserve"> </w:t>
      </w:r>
      <w:r w:rsidRPr="00C644F8">
        <w:rPr>
          <w:rFonts w:cs="Times New Roman"/>
          <w:sz w:val="24"/>
          <w:szCs w:val="24"/>
        </w:rPr>
        <w:t>were diagnose</w:t>
      </w:r>
      <w:r w:rsidR="006B5C55" w:rsidRPr="00C644F8">
        <w:rPr>
          <w:rFonts w:cs="Times New Roman"/>
          <w:sz w:val="24"/>
          <w:szCs w:val="24"/>
        </w:rPr>
        <w:t xml:space="preserve">d </w:t>
      </w:r>
      <w:r w:rsidR="004530A0" w:rsidRPr="00C644F8">
        <w:rPr>
          <w:rFonts w:cs="Times New Roman"/>
          <w:sz w:val="24"/>
          <w:szCs w:val="24"/>
        </w:rPr>
        <w:t>at</w:t>
      </w:r>
      <w:r w:rsidR="006B5C55" w:rsidRPr="00C644F8">
        <w:rPr>
          <w:rFonts w:cs="Times New Roman"/>
          <w:sz w:val="24"/>
          <w:szCs w:val="24"/>
        </w:rPr>
        <w:t xml:space="preserve"> early stages</w:t>
      </w:r>
      <w:r w:rsidR="0046692F">
        <w:rPr>
          <w:rFonts w:cs="Times New Roman"/>
          <w:sz w:val="24"/>
          <w:szCs w:val="24"/>
        </w:rPr>
        <w:t xml:space="preserve">. </w:t>
      </w:r>
      <w:r w:rsidR="004530A0" w:rsidRPr="00C644F8">
        <w:rPr>
          <w:rFonts w:cs="Times New Roman"/>
          <w:sz w:val="24"/>
          <w:szCs w:val="24"/>
        </w:rPr>
        <w:t>White</w:t>
      </w:r>
      <w:r w:rsidR="005117EB" w:rsidRPr="00C644F8">
        <w:rPr>
          <w:rFonts w:cs="Times New Roman"/>
          <w:sz w:val="24"/>
          <w:szCs w:val="24"/>
        </w:rPr>
        <w:t xml:space="preserve"> females</w:t>
      </w:r>
      <w:r w:rsidR="004530A0" w:rsidRPr="00C644F8">
        <w:rPr>
          <w:rFonts w:cs="Times New Roman"/>
          <w:sz w:val="24"/>
          <w:szCs w:val="24"/>
        </w:rPr>
        <w:t xml:space="preserve"> experience </w:t>
      </w:r>
      <w:r w:rsidR="005117EB" w:rsidRPr="00C644F8">
        <w:rPr>
          <w:rFonts w:cs="Times New Roman"/>
          <w:sz w:val="24"/>
          <w:szCs w:val="24"/>
        </w:rPr>
        <w:t>incidence rates that are 20 times higher than black females.</w:t>
      </w:r>
      <w:r w:rsidR="00F81AE4" w:rsidRPr="00C644F8">
        <w:rPr>
          <w:rFonts w:cs="Times New Roman"/>
          <w:sz w:val="24"/>
          <w:szCs w:val="24"/>
        </w:rPr>
        <w:t xml:space="preserve"> </w:t>
      </w:r>
      <w:r w:rsidR="005117EB" w:rsidRPr="00C644F8">
        <w:rPr>
          <w:rFonts w:cs="Times New Roman"/>
          <w:sz w:val="24"/>
          <w:szCs w:val="24"/>
        </w:rPr>
        <w:t>H</w:t>
      </w:r>
      <w:r w:rsidR="00F81AE4" w:rsidRPr="00C644F8">
        <w:rPr>
          <w:rFonts w:cs="Times New Roman"/>
          <w:sz w:val="24"/>
          <w:szCs w:val="24"/>
        </w:rPr>
        <w:t xml:space="preserve">owever, blacks experience a much higher mortality-incidence ratio for this disease, i.e. black patients survive </w:t>
      </w:r>
      <w:r w:rsidR="00D92BD3" w:rsidRPr="00C644F8">
        <w:rPr>
          <w:rFonts w:cs="Times New Roman"/>
          <w:sz w:val="24"/>
          <w:szCs w:val="24"/>
        </w:rPr>
        <w:t xml:space="preserve">for a </w:t>
      </w:r>
      <w:r w:rsidR="00F81AE4" w:rsidRPr="00C644F8">
        <w:rPr>
          <w:rFonts w:cs="Times New Roman"/>
          <w:sz w:val="24"/>
          <w:szCs w:val="24"/>
        </w:rPr>
        <w:t xml:space="preserve">much shorter </w:t>
      </w:r>
      <w:r w:rsidR="00D92BD3" w:rsidRPr="00C644F8">
        <w:rPr>
          <w:rFonts w:cs="Times New Roman"/>
          <w:sz w:val="24"/>
          <w:szCs w:val="24"/>
        </w:rPr>
        <w:t xml:space="preserve">time </w:t>
      </w:r>
      <w:r w:rsidR="00F81AE4" w:rsidRPr="00C644F8">
        <w:rPr>
          <w:rFonts w:cs="Times New Roman"/>
          <w:sz w:val="24"/>
          <w:szCs w:val="24"/>
        </w:rPr>
        <w:t xml:space="preserve">than white patients. This is at least partially attributable to the </w:t>
      </w:r>
      <w:r w:rsidR="000E3256" w:rsidRPr="00C644F8">
        <w:rPr>
          <w:rFonts w:cs="Times New Roman"/>
          <w:sz w:val="24"/>
          <w:szCs w:val="24"/>
        </w:rPr>
        <w:t>fact that blacks are</w:t>
      </w:r>
      <w:r w:rsidR="005117EB" w:rsidRPr="00C644F8">
        <w:rPr>
          <w:rFonts w:cs="Times New Roman"/>
          <w:sz w:val="24"/>
          <w:szCs w:val="24"/>
        </w:rPr>
        <w:t xml:space="preserve"> </w:t>
      </w:r>
      <w:r w:rsidR="005C1890" w:rsidRPr="00C644F8">
        <w:rPr>
          <w:rFonts w:cs="Times New Roman"/>
          <w:sz w:val="24"/>
          <w:szCs w:val="24"/>
        </w:rPr>
        <w:t xml:space="preserve">three </w:t>
      </w:r>
      <w:r w:rsidR="00ED516F" w:rsidRPr="00C644F8">
        <w:rPr>
          <w:rFonts w:cs="Times New Roman"/>
          <w:sz w:val="24"/>
          <w:szCs w:val="24"/>
        </w:rPr>
        <w:t xml:space="preserve">times </w:t>
      </w:r>
      <w:r w:rsidR="005C1890" w:rsidRPr="00C644F8">
        <w:rPr>
          <w:rFonts w:cs="Times New Roman"/>
          <w:sz w:val="24"/>
          <w:szCs w:val="24"/>
        </w:rPr>
        <w:t xml:space="preserve">more </w:t>
      </w:r>
      <w:r w:rsidR="00ED516F" w:rsidRPr="00C644F8">
        <w:rPr>
          <w:rFonts w:cs="Times New Roman"/>
          <w:sz w:val="24"/>
          <w:szCs w:val="24"/>
        </w:rPr>
        <w:t xml:space="preserve">likely than whites to be </w:t>
      </w:r>
      <w:r w:rsidR="000E3256" w:rsidRPr="00C644F8">
        <w:rPr>
          <w:rFonts w:cs="Times New Roman"/>
          <w:sz w:val="24"/>
          <w:szCs w:val="24"/>
        </w:rPr>
        <w:t>diagnosed at late stages</w:t>
      </w:r>
      <w:r w:rsidR="00ED516F" w:rsidRPr="00C644F8">
        <w:rPr>
          <w:rFonts w:cs="Times New Roman"/>
          <w:sz w:val="24"/>
          <w:szCs w:val="24"/>
        </w:rPr>
        <w:t xml:space="preserve"> for this cancer.</w:t>
      </w:r>
    </w:p>
    <w:p w:rsidR="00CE688E" w:rsidRDefault="00221700" w:rsidP="00CC6B19">
      <w:pPr>
        <w:jc w:val="both"/>
        <w:rPr>
          <w:rFonts w:cs="Times New Roman"/>
          <w:sz w:val="24"/>
          <w:szCs w:val="24"/>
        </w:rPr>
      </w:pPr>
      <w:r>
        <w:rPr>
          <w:noProof/>
          <w:sz w:val="22"/>
          <w:lang w:bidi="ar-SA"/>
        </w:rPr>
        <mc:AlternateContent>
          <mc:Choice Requires="wps">
            <w:drawing>
              <wp:anchor distT="0" distB="0" distL="114300" distR="114300" simplePos="0" relativeHeight="252441600" behindDoc="0" locked="0" layoutInCell="1" allowOverlap="1" wp14:anchorId="439DD0FC" wp14:editId="18672718">
                <wp:simplePos x="0" y="0"/>
                <wp:positionH relativeFrom="column">
                  <wp:posOffset>1270</wp:posOffset>
                </wp:positionH>
                <wp:positionV relativeFrom="paragraph">
                  <wp:posOffset>1305983</wp:posOffset>
                </wp:positionV>
                <wp:extent cx="8128000" cy="0"/>
                <wp:effectExtent l="0" t="0" r="25400" b="19050"/>
                <wp:wrapNone/>
                <wp:docPr id="76" name="Straight Connector 76"/>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85pt" to="640.1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" strokecolor="#1b587c [3206]" strokeweight="1pt"/>
            </w:pict>
          </mc:Fallback>
        </mc:AlternateContent>
      </w:r>
    </w:p>
    <w:p w:rsidR="00F02D43" w:rsidRPr="00976CBD" w:rsidRDefault="00611C88" w:rsidP="00903E48">
      <w:pPr>
        <w:pStyle w:val="Heading2"/>
      </w:pPr>
      <w:bookmarkStart w:id="114" w:name="_Toc346002112"/>
      <w:bookmarkStart w:id="115" w:name="_Toc374006810"/>
      <w:bookmarkStart w:id="116" w:name="_Toc400634509"/>
      <w:bookmarkStart w:id="117" w:name="_Toc421608525"/>
      <w:bookmarkStart w:id="118" w:name="_Toc421609343"/>
      <w:bookmarkStart w:id="119" w:name="_Toc421609677"/>
      <w:bookmarkStart w:id="120" w:name="_Toc421611202"/>
      <w:bookmarkStart w:id="121" w:name="_Toc439918833"/>
      <w:r w:rsidRPr="00976CBD">
        <w:lastRenderedPageBreak/>
        <w:t xml:space="preserve">Pancreatic </w:t>
      </w:r>
      <w:r w:rsidR="00E03AF9" w:rsidRPr="00976CBD">
        <w:t>C</w:t>
      </w:r>
      <w:r w:rsidRPr="00976CBD">
        <w:t>ancer</w:t>
      </w:r>
      <w:bookmarkEnd w:id="114"/>
      <w:bookmarkEnd w:id="115"/>
      <w:bookmarkEnd w:id="116"/>
      <w:bookmarkEnd w:id="117"/>
      <w:bookmarkEnd w:id="118"/>
      <w:bookmarkEnd w:id="119"/>
      <w:bookmarkEnd w:id="120"/>
      <w:bookmarkEnd w:id="121"/>
    </w:p>
    <w:p w:rsidR="00D463A4" w:rsidRPr="00C644F8" w:rsidRDefault="00FB086D" w:rsidP="00CC6B19">
      <w:pPr>
        <w:jc w:val="both"/>
        <w:rPr>
          <w:rFonts w:cs="Times New Roman"/>
          <w:sz w:val="24"/>
          <w:szCs w:val="24"/>
        </w:rPr>
      </w:pPr>
      <w:r w:rsidRPr="00C644F8">
        <w:rPr>
          <w:rFonts w:cs="Times New Roman"/>
          <w:sz w:val="24"/>
          <w:szCs w:val="24"/>
        </w:rPr>
        <w:t>From</w:t>
      </w:r>
      <w:r w:rsidR="00950AB7" w:rsidRPr="00C644F8">
        <w:rPr>
          <w:rFonts w:cs="Times New Roman"/>
          <w:sz w:val="24"/>
          <w:szCs w:val="24"/>
        </w:rPr>
        <w:t xml:space="preserve"> 2008</w:t>
      </w:r>
      <w:r w:rsidR="009F4A43">
        <w:rPr>
          <w:rFonts w:cs="Times New Roman"/>
          <w:sz w:val="24"/>
          <w:szCs w:val="24"/>
        </w:rPr>
        <w:t>-</w:t>
      </w:r>
      <w:r w:rsidR="00950AB7" w:rsidRPr="00C644F8">
        <w:rPr>
          <w:rFonts w:cs="Times New Roman"/>
          <w:sz w:val="24"/>
          <w:szCs w:val="24"/>
        </w:rPr>
        <w:t xml:space="preserve">2012, pancreatic cancer </w:t>
      </w:r>
      <w:r w:rsidR="000E4F24" w:rsidRPr="00C644F8">
        <w:rPr>
          <w:rFonts w:cs="Times New Roman"/>
          <w:sz w:val="24"/>
          <w:szCs w:val="24"/>
        </w:rPr>
        <w:t>accounted for</w:t>
      </w:r>
      <w:r w:rsidRPr="00C644F8">
        <w:rPr>
          <w:rFonts w:cs="Times New Roman"/>
          <w:sz w:val="24"/>
          <w:szCs w:val="24"/>
        </w:rPr>
        <w:t xml:space="preserve"> 4,168 cases or </w:t>
      </w:r>
      <w:r w:rsidR="00950AB7" w:rsidRPr="00C644F8">
        <w:rPr>
          <w:rFonts w:cs="Times New Roman"/>
          <w:sz w:val="24"/>
          <w:szCs w:val="24"/>
        </w:rPr>
        <w:t>2.</w:t>
      </w:r>
      <w:r w:rsidR="000E4F24" w:rsidRPr="00C644F8">
        <w:rPr>
          <w:rFonts w:cs="Times New Roman"/>
          <w:sz w:val="24"/>
          <w:szCs w:val="24"/>
        </w:rPr>
        <w:t>5</w:t>
      </w:r>
      <w:r w:rsidR="00950AB7" w:rsidRPr="00C644F8">
        <w:rPr>
          <w:rFonts w:cs="Times New Roman"/>
          <w:sz w:val="24"/>
          <w:szCs w:val="24"/>
        </w:rPr>
        <w:t xml:space="preserve">% of </w:t>
      </w:r>
      <w:r w:rsidR="000E4F24" w:rsidRPr="00C644F8">
        <w:rPr>
          <w:rFonts w:cs="Times New Roman"/>
          <w:sz w:val="24"/>
          <w:szCs w:val="24"/>
        </w:rPr>
        <w:t xml:space="preserve">all </w:t>
      </w:r>
      <w:r w:rsidR="00950AB7" w:rsidRPr="00C644F8">
        <w:rPr>
          <w:rFonts w:cs="Times New Roman"/>
          <w:sz w:val="24"/>
          <w:szCs w:val="24"/>
        </w:rPr>
        <w:t>new cancer cases. During the same period, pancreatic cancer was responsible for 3,857 deaths or 5.7% of all cancer deaths</w:t>
      </w:r>
      <w:r w:rsidR="0046692F">
        <w:rPr>
          <w:rFonts w:cs="Times New Roman"/>
          <w:sz w:val="24"/>
          <w:szCs w:val="24"/>
        </w:rPr>
        <w:t xml:space="preserve"> in TN</w:t>
      </w:r>
      <w:r w:rsidR="00950AB7" w:rsidRPr="00C644F8">
        <w:rPr>
          <w:rFonts w:cs="Times New Roman"/>
          <w:sz w:val="24"/>
          <w:szCs w:val="24"/>
        </w:rPr>
        <w:t>. P</w:t>
      </w:r>
      <w:r w:rsidR="00F02D43" w:rsidRPr="00C644F8">
        <w:rPr>
          <w:rFonts w:cs="Times New Roman"/>
          <w:sz w:val="24"/>
          <w:szCs w:val="24"/>
        </w:rPr>
        <w:t xml:space="preserve">ancreatic cancer </w:t>
      </w:r>
      <w:proofErr w:type="gramStart"/>
      <w:r w:rsidR="00F02D43" w:rsidRPr="00C644F8">
        <w:rPr>
          <w:rFonts w:cs="Times New Roman"/>
          <w:sz w:val="24"/>
          <w:szCs w:val="24"/>
        </w:rPr>
        <w:t>is</w:t>
      </w:r>
      <w:proofErr w:type="gramEnd"/>
      <w:r w:rsidR="00F02D43" w:rsidRPr="00C644F8">
        <w:rPr>
          <w:rFonts w:cs="Times New Roman"/>
          <w:sz w:val="24"/>
          <w:szCs w:val="24"/>
        </w:rPr>
        <w:t xml:space="preserve"> the 1</w:t>
      </w:r>
      <w:r w:rsidR="00E12493" w:rsidRPr="00C644F8">
        <w:rPr>
          <w:rFonts w:cs="Times New Roman"/>
          <w:sz w:val="24"/>
          <w:szCs w:val="24"/>
        </w:rPr>
        <w:t>2</w:t>
      </w:r>
      <w:r w:rsidR="00F02D43" w:rsidRPr="00C644F8">
        <w:rPr>
          <w:rFonts w:cs="Times New Roman"/>
          <w:sz w:val="24"/>
          <w:szCs w:val="24"/>
          <w:vertAlign w:val="superscript"/>
        </w:rPr>
        <w:t>th</w:t>
      </w:r>
      <w:r w:rsidR="00F02D43" w:rsidRPr="00C644F8">
        <w:rPr>
          <w:rFonts w:cs="Times New Roman"/>
          <w:sz w:val="24"/>
          <w:szCs w:val="24"/>
        </w:rPr>
        <w:t xml:space="preserve"> leading cause of </w:t>
      </w:r>
      <w:r w:rsidRPr="00C644F8">
        <w:rPr>
          <w:rFonts w:cs="Times New Roman"/>
          <w:sz w:val="24"/>
          <w:szCs w:val="24"/>
        </w:rPr>
        <w:t xml:space="preserve">cancer incidence </w:t>
      </w:r>
      <w:r w:rsidR="00F02D43" w:rsidRPr="00C644F8">
        <w:rPr>
          <w:rFonts w:cs="Times New Roman"/>
          <w:sz w:val="24"/>
          <w:szCs w:val="24"/>
        </w:rPr>
        <w:t>and the 4</w:t>
      </w:r>
      <w:r w:rsidR="00F02D43" w:rsidRPr="00C644F8">
        <w:rPr>
          <w:rFonts w:cs="Times New Roman"/>
          <w:sz w:val="24"/>
          <w:szCs w:val="24"/>
          <w:vertAlign w:val="superscript"/>
        </w:rPr>
        <w:t>th</w:t>
      </w:r>
      <w:r w:rsidR="00F02D43" w:rsidRPr="00C644F8">
        <w:rPr>
          <w:rFonts w:cs="Times New Roman"/>
          <w:sz w:val="24"/>
          <w:szCs w:val="24"/>
        </w:rPr>
        <w:t xml:space="preserve"> leading cause of cancer </w:t>
      </w:r>
      <w:r w:rsidR="008179D0" w:rsidRPr="00C644F8">
        <w:rPr>
          <w:rFonts w:cs="Times New Roman"/>
          <w:sz w:val="24"/>
          <w:szCs w:val="24"/>
        </w:rPr>
        <w:t xml:space="preserve">mortality </w:t>
      </w:r>
      <w:r w:rsidR="00F02D43" w:rsidRPr="00C644F8">
        <w:rPr>
          <w:rFonts w:cs="Times New Roman"/>
          <w:sz w:val="24"/>
          <w:szCs w:val="24"/>
        </w:rPr>
        <w:t>in TN.</w:t>
      </w:r>
      <w:r w:rsidR="00AE66D8" w:rsidRPr="00C644F8">
        <w:rPr>
          <w:rFonts w:cs="Times New Roman"/>
          <w:sz w:val="24"/>
          <w:szCs w:val="24"/>
        </w:rPr>
        <w:t xml:space="preserve"> </w:t>
      </w:r>
      <w:r w:rsidR="005917D7" w:rsidRPr="00C644F8">
        <w:rPr>
          <w:rFonts w:cs="Times New Roman"/>
          <w:sz w:val="24"/>
          <w:szCs w:val="24"/>
        </w:rPr>
        <w:t>From 2008 to 2012, i</w:t>
      </w:r>
      <w:r w:rsidR="00F02D43" w:rsidRPr="00C644F8">
        <w:rPr>
          <w:rFonts w:cs="Times New Roman"/>
          <w:sz w:val="24"/>
          <w:szCs w:val="24"/>
        </w:rPr>
        <w:t xml:space="preserve">ncidence </w:t>
      </w:r>
      <w:r w:rsidR="005917D7" w:rsidRPr="00C644F8">
        <w:rPr>
          <w:rFonts w:cs="Times New Roman"/>
          <w:sz w:val="24"/>
          <w:szCs w:val="24"/>
        </w:rPr>
        <w:t xml:space="preserve">rates </w:t>
      </w:r>
      <w:r w:rsidR="00D463A4" w:rsidRPr="00C644F8">
        <w:rPr>
          <w:rFonts w:cs="Times New Roman"/>
          <w:sz w:val="24"/>
          <w:szCs w:val="24"/>
        </w:rPr>
        <w:t xml:space="preserve">for pancreatic cancer </w:t>
      </w:r>
      <w:r w:rsidR="00B9674C" w:rsidRPr="00C644F8">
        <w:rPr>
          <w:rFonts w:cs="Times New Roman"/>
          <w:sz w:val="24"/>
          <w:szCs w:val="24"/>
        </w:rPr>
        <w:t>decreased by 2.</w:t>
      </w:r>
      <w:r w:rsidR="00F83069">
        <w:rPr>
          <w:rFonts w:cs="Times New Roman"/>
          <w:sz w:val="24"/>
          <w:szCs w:val="24"/>
        </w:rPr>
        <w:t>4</w:t>
      </w:r>
      <w:r w:rsidR="00B9674C" w:rsidRPr="00C644F8">
        <w:rPr>
          <w:rFonts w:cs="Times New Roman"/>
          <w:sz w:val="24"/>
          <w:szCs w:val="24"/>
        </w:rPr>
        <w:t>%</w:t>
      </w:r>
      <w:r w:rsidR="00AC51D2" w:rsidRPr="00C644F8">
        <w:rPr>
          <w:rFonts w:cs="Times New Roman"/>
          <w:sz w:val="24"/>
          <w:szCs w:val="24"/>
        </w:rPr>
        <w:t xml:space="preserve"> and</w:t>
      </w:r>
      <w:r w:rsidR="00F02D43" w:rsidRPr="00C644F8">
        <w:rPr>
          <w:rFonts w:cs="Times New Roman"/>
          <w:sz w:val="24"/>
          <w:szCs w:val="24"/>
        </w:rPr>
        <w:t xml:space="preserve"> mortality rates </w:t>
      </w:r>
      <w:r w:rsidR="002E4FBF" w:rsidRPr="00C644F8">
        <w:rPr>
          <w:rFonts w:cs="Times New Roman"/>
          <w:sz w:val="24"/>
          <w:szCs w:val="24"/>
        </w:rPr>
        <w:t>de</w:t>
      </w:r>
      <w:r w:rsidR="00D463A4" w:rsidRPr="00C644F8">
        <w:rPr>
          <w:rFonts w:cs="Times New Roman"/>
          <w:sz w:val="24"/>
          <w:szCs w:val="24"/>
        </w:rPr>
        <w:t>creased</w:t>
      </w:r>
      <w:r w:rsidR="002E4FBF" w:rsidRPr="00C644F8">
        <w:rPr>
          <w:rFonts w:cs="Times New Roman"/>
          <w:sz w:val="24"/>
          <w:szCs w:val="24"/>
        </w:rPr>
        <w:t xml:space="preserve"> by 7.</w:t>
      </w:r>
      <w:r w:rsidR="00F83069">
        <w:rPr>
          <w:rFonts w:cs="Times New Roman"/>
          <w:sz w:val="24"/>
          <w:szCs w:val="24"/>
        </w:rPr>
        <w:t>6</w:t>
      </w:r>
      <w:r w:rsidR="002E4FBF" w:rsidRPr="00C644F8">
        <w:rPr>
          <w:rFonts w:cs="Times New Roman"/>
          <w:sz w:val="24"/>
          <w:szCs w:val="24"/>
        </w:rPr>
        <w:t>%</w:t>
      </w:r>
      <w:r w:rsidR="00D463A4" w:rsidRPr="00C644F8">
        <w:rPr>
          <w:rFonts w:cs="Times New Roman"/>
          <w:sz w:val="24"/>
          <w:szCs w:val="24"/>
        </w:rPr>
        <w:t>,</w:t>
      </w:r>
      <w:r w:rsidR="005917D7" w:rsidRPr="00C644F8">
        <w:rPr>
          <w:rFonts w:cs="Times New Roman"/>
          <w:sz w:val="24"/>
          <w:szCs w:val="24"/>
        </w:rPr>
        <w:t xml:space="preserve"> </w:t>
      </w:r>
      <w:r w:rsidR="000972CD" w:rsidRPr="00C644F8">
        <w:rPr>
          <w:rFonts w:cs="Times New Roman"/>
          <w:sz w:val="24"/>
          <w:szCs w:val="24"/>
        </w:rPr>
        <w:t>and these changes</w:t>
      </w:r>
      <w:r w:rsidR="00D463A4" w:rsidRPr="00C644F8">
        <w:rPr>
          <w:rFonts w:cs="Times New Roman"/>
          <w:sz w:val="24"/>
          <w:szCs w:val="24"/>
        </w:rPr>
        <w:t xml:space="preserve"> w</w:t>
      </w:r>
      <w:r w:rsidR="000972CD" w:rsidRPr="00C644F8">
        <w:rPr>
          <w:rFonts w:cs="Times New Roman"/>
          <w:sz w:val="24"/>
          <w:szCs w:val="24"/>
        </w:rPr>
        <w:t>ere</w:t>
      </w:r>
      <w:r w:rsidR="00D463A4" w:rsidRPr="00C644F8">
        <w:rPr>
          <w:rFonts w:cs="Times New Roman"/>
          <w:sz w:val="24"/>
          <w:szCs w:val="24"/>
        </w:rPr>
        <w:t xml:space="preserve"> statistically </w:t>
      </w:r>
      <w:r w:rsidR="005917D7" w:rsidRPr="00C644F8">
        <w:rPr>
          <w:rFonts w:cs="Times New Roman"/>
          <w:sz w:val="24"/>
          <w:szCs w:val="24"/>
        </w:rPr>
        <w:t>significant</w:t>
      </w:r>
      <w:r w:rsidR="00F02D43" w:rsidRPr="00C644F8">
        <w:rPr>
          <w:rFonts w:cs="Times New Roman"/>
          <w:sz w:val="24"/>
          <w:szCs w:val="24"/>
        </w:rPr>
        <w:t>.</w:t>
      </w:r>
      <w:r w:rsidR="00AE66D8" w:rsidRPr="00C644F8">
        <w:rPr>
          <w:rFonts w:cs="Times New Roman"/>
          <w:sz w:val="24"/>
          <w:szCs w:val="24"/>
        </w:rPr>
        <w:t xml:space="preserve"> </w:t>
      </w:r>
      <w:r w:rsidR="00F02D43" w:rsidRPr="00C644F8">
        <w:rPr>
          <w:rFonts w:cs="Times New Roman"/>
          <w:sz w:val="24"/>
          <w:szCs w:val="24"/>
        </w:rPr>
        <w:t xml:space="preserve">TN experienced the </w:t>
      </w:r>
      <w:r w:rsidR="0046692F">
        <w:rPr>
          <w:rFonts w:cs="Times New Roman"/>
          <w:sz w:val="24"/>
          <w:szCs w:val="24"/>
        </w:rPr>
        <w:t>4</w:t>
      </w:r>
      <w:r w:rsidR="00C559EC">
        <w:rPr>
          <w:rFonts w:cs="Times New Roman"/>
          <w:sz w:val="24"/>
          <w:szCs w:val="24"/>
        </w:rPr>
        <w:t>2</w:t>
      </w:r>
      <w:r w:rsidR="00C559EC" w:rsidRPr="00C559EC">
        <w:rPr>
          <w:rFonts w:cs="Times New Roman"/>
          <w:sz w:val="24"/>
          <w:szCs w:val="24"/>
          <w:vertAlign w:val="superscript"/>
        </w:rPr>
        <w:t>nd</w:t>
      </w:r>
      <w:r w:rsidR="00C559EC">
        <w:rPr>
          <w:rFonts w:cs="Times New Roman"/>
          <w:sz w:val="24"/>
          <w:szCs w:val="24"/>
        </w:rPr>
        <w:t xml:space="preserve"> </w:t>
      </w:r>
      <w:r w:rsidR="00F02D43" w:rsidRPr="00C644F8">
        <w:rPr>
          <w:rFonts w:cs="Times New Roman"/>
          <w:sz w:val="24"/>
          <w:szCs w:val="24"/>
        </w:rPr>
        <w:t xml:space="preserve">highest pancreatic cancer incidence rate and the </w:t>
      </w:r>
      <w:r w:rsidR="000D6983">
        <w:rPr>
          <w:rFonts w:cs="Times New Roman"/>
          <w:sz w:val="24"/>
          <w:szCs w:val="24"/>
        </w:rPr>
        <w:t>40</w:t>
      </w:r>
      <w:r w:rsidR="006E7EB9" w:rsidRPr="00C644F8">
        <w:rPr>
          <w:rFonts w:cs="Times New Roman"/>
          <w:sz w:val="24"/>
          <w:szCs w:val="24"/>
          <w:vertAlign w:val="superscript"/>
        </w:rPr>
        <w:t>th</w:t>
      </w:r>
      <w:r w:rsidR="006E7EB9" w:rsidRPr="00C644F8">
        <w:rPr>
          <w:rFonts w:cs="Times New Roman"/>
          <w:sz w:val="24"/>
          <w:szCs w:val="24"/>
        </w:rPr>
        <w:t xml:space="preserve"> </w:t>
      </w:r>
      <w:r w:rsidR="00F02D43" w:rsidRPr="00C644F8">
        <w:rPr>
          <w:rFonts w:cs="Times New Roman"/>
          <w:sz w:val="24"/>
          <w:szCs w:val="24"/>
        </w:rPr>
        <w:t>highest pancreatic cancer mortality rate in the U.S</w:t>
      </w:r>
      <w:r w:rsidR="00D24055">
        <w:rPr>
          <w:rFonts w:cs="Times New Roman"/>
          <w:sz w:val="24"/>
          <w:szCs w:val="24"/>
        </w:rPr>
        <w:t xml:space="preserve"> from 2008</w:t>
      </w:r>
      <w:r w:rsidR="009F4A43">
        <w:rPr>
          <w:rFonts w:cs="Times New Roman"/>
          <w:sz w:val="24"/>
          <w:szCs w:val="24"/>
        </w:rPr>
        <w:t>-</w:t>
      </w:r>
      <w:r w:rsidR="006E7EB9" w:rsidRPr="00C644F8">
        <w:rPr>
          <w:rFonts w:cs="Times New Roman"/>
          <w:sz w:val="24"/>
          <w:szCs w:val="24"/>
        </w:rPr>
        <w:t>201</w:t>
      </w:r>
      <w:r w:rsidR="00E0263F">
        <w:rPr>
          <w:rFonts w:cs="Times New Roman"/>
          <w:sz w:val="24"/>
          <w:szCs w:val="24"/>
        </w:rPr>
        <w:t>2</w:t>
      </w:r>
      <w:r w:rsidR="00F02D43" w:rsidRPr="00C644F8">
        <w:rPr>
          <w:rFonts w:cs="Times New Roman"/>
          <w:sz w:val="24"/>
          <w:szCs w:val="24"/>
        </w:rPr>
        <w:t>.</w:t>
      </w:r>
      <w:r w:rsidR="00D24055">
        <w:rPr>
          <w:rFonts w:cs="Times New Roman"/>
          <w:sz w:val="24"/>
          <w:szCs w:val="24"/>
        </w:rPr>
        <w:t xml:space="preserve"> </w:t>
      </w:r>
      <w:r w:rsidR="00AE66D8" w:rsidRPr="00C644F8">
        <w:rPr>
          <w:rFonts w:cs="Times New Roman"/>
          <w:sz w:val="24"/>
          <w:szCs w:val="24"/>
        </w:rPr>
        <w:t xml:space="preserve"> </w:t>
      </w:r>
    </w:p>
    <w:p w:rsidR="00CE5AD9" w:rsidRDefault="002E4FBF" w:rsidP="00CC6B19">
      <w:pPr>
        <w:jc w:val="both"/>
        <w:rPr>
          <w:rFonts w:cs="Times New Roman"/>
          <w:sz w:val="24"/>
          <w:szCs w:val="24"/>
        </w:rPr>
      </w:pPr>
      <w:r w:rsidRPr="00C644F8">
        <w:rPr>
          <w:rFonts w:cs="Times New Roman"/>
          <w:sz w:val="24"/>
          <w:szCs w:val="24"/>
        </w:rPr>
        <w:t>Pancreatic cancer</w:t>
      </w:r>
      <w:r w:rsidR="00F02D43" w:rsidRPr="00C644F8">
        <w:rPr>
          <w:rFonts w:cs="Times New Roman"/>
          <w:sz w:val="24"/>
          <w:szCs w:val="24"/>
        </w:rPr>
        <w:t xml:space="preserve"> </w:t>
      </w:r>
      <w:r w:rsidR="00924874" w:rsidRPr="00C644F8">
        <w:rPr>
          <w:rFonts w:cs="Times New Roman"/>
          <w:sz w:val="24"/>
          <w:szCs w:val="24"/>
        </w:rPr>
        <w:t>is</w:t>
      </w:r>
      <w:r w:rsidR="00896336" w:rsidRPr="00C644F8">
        <w:rPr>
          <w:rFonts w:cs="Times New Roman"/>
          <w:sz w:val="24"/>
          <w:szCs w:val="24"/>
        </w:rPr>
        <w:t xml:space="preserve"> </w:t>
      </w:r>
      <w:r w:rsidR="000D6983">
        <w:rPr>
          <w:rFonts w:cs="Times New Roman"/>
          <w:sz w:val="24"/>
          <w:szCs w:val="24"/>
        </w:rPr>
        <w:t xml:space="preserve">the </w:t>
      </w:r>
      <w:r w:rsidR="00CD4F4B" w:rsidRPr="00C644F8">
        <w:rPr>
          <w:rFonts w:cs="Times New Roman"/>
          <w:sz w:val="24"/>
          <w:szCs w:val="24"/>
        </w:rPr>
        <w:t>deadliest</w:t>
      </w:r>
      <w:r w:rsidR="00F02D43" w:rsidRPr="00C644F8">
        <w:rPr>
          <w:rFonts w:cs="Times New Roman"/>
          <w:sz w:val="24"/>
          <w:szCs w:val="24"/>
        </w:rPr>
        <w:t xml:space="preserve"> form of cancer</w:t>
      </w:r>
      <w:r w:rsidR="00CD4F4B" w:rsidRPr="00C644F8">
        <w:rPr>
          <w:rFonts w:cs="Times New Roman"/>
          <w:sz w:val="24"/>
          <w:szCs w:val="24"/>
        </w:rPr>
        <w:t xml:space="preserve"> in </w:t>
      </w:r>
      <w:r w:rsidR="00F83069">
        <w:rPr>
          <w:rFonts w:cs="Times New Roman"/>
          <w:sz w:val="24"/>
          <w:szCs w:val="24"/>
        </w:rPr>
        <w:t>TN</w:t>
      </w:r>
      <w:r w:rsidR="00CD4F4B" w:rsidRPr="00C644F8">
        <w:rPr>
          <w:rFonts w:cs="Times New Roman"/>
          <w:sz w:val="24"/>
          <w:szCs w:val="24"/>
        </w:rPr>
        <w:t xml:space="preserve"> with a mortality-to-incidence ratio of 0.9</w:t>
      </w:r>
      <w:r w:rsidR="006D0462">
        <w:rPr>
          <w:rFonts w:cs="Times New Roman"/>
          <w:sz w:val="24"/>
          <w:szCs w:val="24"/>
        </w:rPr>
        <w:t>3</w:t>
      </w:r>
      <w:r w:rsidR="00CD4F4B" w:rsidRPr="00C644F8">
        <w:rPr>
          <w:rFonts w:cs="Times New Roman"/>
          <w:sz w:val="24"/>
          <w:szCs w:val="24"/>
        </w:rPr>
        <w:t xml:space="preserve"> </w:t>
      </w:r>
      <w:r w:rsidR="00F02D43" w:rsidRPr="00C644F8">
        <w:rPr>
          <w:rFonts w:cs="Times New Roman"/>
          <w:sz w:val="24"/>
          <w:szCs w:val="24"/>
        </w:rPr>
        <w:t>and currently there is no effective screening method.</w:t>
      </w:r>
      <w:r w:rsidR="00AE66D8" w:rsidRPr="00C644F8">
        <w:rPr>
          <w:rFonts w:cs="Times New Roman"/>
          <w:sz w:val="24"/>
          <w:szCs w:val="24"/>
        </w:rPr>
        <w:t xml:space="preserve"> </w:t>
      </w:r>
      <w:r w:rsidR="00CD4F4B" w:rsidRPr="00C644F8">
        <w:rPr>
          <w:rFonts w:cs="Times New Roman"/>
          <w:sz w:val="24"/>
          <w:szCs w:val="24"/>
        </w:rPr>
        <w:t>The pancreas is so deep inside the body</w:t>
      </w:r>
      <w:r w:rsidR="000D6983">
        <w:rPr>
          <w:rFonts w:cs="Times New Roman"/>
          <w:sz w:val="24"/>
          <w:szCs w:val="24"/>
        </w:rPr>
        <w:t xml:space="preserve"> that</w:t>
      </w:r>
      <w:r w:rsidR="00CD4F4B" w:rsidRPr="00C644F8">
        <w:rPr>
          <w:rFonts w:cs="Times New Roman"/>
          <w:sz w:val="24"/>
          <w:szCs w:val="24"/>
        </w:rPr>
        <w:t xml:space="preserve"> early tumors </w:t>
      </w:r>
      <w:r w:rsidR="000D6983">
        <w:rPr>
          <w:rFonts w:cs="Times New Roman"/>
          <w:sz w:val="24"/>
          <w:szCs w:val="24"/>
        </w:rPr>
        <w:t xml:space="preserve">are difficult to detect through imaging and </w:t>
      </w:r>
      <w:r w:rsidR="00CD4F4B" w:rsidRPr="00C644F8">
        <w:rPr>
          <w:rFonts w:cs="Times New Roman"/>
          <w:sz w:val="24"/>
          <w:szCs w:val="24"/>
        </w:rPr>
        <w:t xml:space="preserve">can’t be </w:t>
      </w:r>
      <w:r w:rsidR="000D6983">
        <w:rPr>
          <w:rFonts w:cs="Times New Roman"/>
          <w:sz w:val="24"/>
          <w:szCs w:val="24"/>
        </w:rPr>
        <w:t>readily palpated</w:t>
      </w:r>
      <w:r w:rsidR="00CD4F4B" w:rsidRPr="00C644F8">
        <w:rPr>
          <w:rFonts w:cs="Times New Roman"/>
          <w:sz w:val="24"/>
          <w:szCs w:val="24"/>
        </w:rPr>
        <w:t xml:space="preserve"> by health care professionals during routine physical exams. Thus, o</w:t>
      </w:r>
      <w:r w:rsidR="00F02D43" w:rsidRPr="00C644F8">
        <w:rPr>
          <w:rFonts w:cs="Times New Roman"/>
          <w:sz w:val="24"/>
          <w:szCs w:val="24"/>
        </w:rPr>
        <w:t>nly 1</w:t>
      </w:r>
      <w:r w:rsidR="006E7EB9" w:rsidRPr="00C644F8">
        <w:rPr>
          <w:rFonts w:cs="Times New Roman"/>
          <w:sz w:val="24"/>
          <w:szCs w:val="24"/>
        </w:rPr>
        <w:t>5</w:t>
      </w:r>
      <w:r w:rsidR="00052489" w:rsidRPr="00C644F8">
        <w:rPr>
          <w:rFonts w:cs="Times New Roman"/>
          <w:sz w:val="24"/>
          <w:szCs w:val="24"/>
        </w:rPr>
        <w:t>.2</w:t>
      </w:r>
      <w:r w:rsidR="00720D82" w:rsidRPr="00C644F8">
        <w:rPr>
          <w:rFonts w:cs="Times New Roman"/>
          <w:sz w:val="24"/>
          <w:szCs w:val="24"/>
        </w:rPr>
        <w:t xml:space="preserve">% of </w:t>
      </w:r>
      <w:r w:rsidR="00F02D43" w:rsidRPr="00C644F8">
        <w:rPr>
          <w:rFonts w:cs="Times New Roman"/>
          <w:sz w:val="24"/>
          <w:szCs w:val="24"/>
        </w:rPr>
        <w:t xml:space="preserve">cases </w:t>
      </w:r>
      <w:r w:rsidR="00663E4B" w:rsidRPr="00C644F8">
        <w:rPr>
          <w:rFonts w:cs="Times New Roman"/>
          <w:sz w:val="24"/>
          <w:szCs w:val="24"/>
        </w:rPr>
        <w:t xml:space="preserve">with known stage information </w:t>
      </w:r>
      <w:r w:rsidR="00F02D43" w:rsidRPr="00C644F8">
        <w:rPr>
          <w:rFonts w:cs="Times New Roman"/>
          <w:sz w:val="24"/>
          <w:szCs w:val="24"/>
        </w:rPr>
        <w:t xml:space="preserve">are </w:t>
      </w:r>
      <w:r w:rsidR="00CD4F4B" w:rsidRPr="00C644F8">
        <w:rPr>
          <w:rFonts w:cs="Times New Roman"/>
          <w:sz w:val="24"/>
          <w:szCs w:val="24"/>
        </w:rPr>
        <w:t>d</w:t>
      </w:r>
      <w:r w:rsidR="00976709">
        <w:rPr>
          <w:rFonts w:cs="Times New Roman"/>
          <w:sz w:val="24"/>
          <w:szCs w:val="24"/>
        </w:rPr>
        <w:t xml:space="preserve">iagnosed at early stages in TN.  </w:t>
      </w:r>
      <w:r w:rsidR="006E7EB9" w:rsidRPr="00C644F8">
        <w:rPr>
          <w:rFonts w:cs="Times New Roman"/>
          <w:sz w:val="24"/>
          <w:szCs w:val="24"/>
        </w:rPr>
        <w:t>B</w:t>
      </w:r>
      <w:r w:rsidR="00F02D43" w:rsidRPr="00C644F8">
        <w:rPr>
          <w:rFonts w:cs="Times New Roman"/>
          <w:sz w:val="24"/>
          <w:szCs w:val="24"/>
        </w:rPr>
        <w:t>la</w:t>
      </w:r>
      <w:r w:rsidR="00FB086D" w:rsidRPr="00C644F8">
        <w:rPr>
          <w:rFonts w:cs="Times New Roman"/>
          <w:sz w:val="24"/>
          <w:szCs w:val="24"/>
        </w:rPr>
        <w:t>ck males</w:t>
      </w:r>
      <w:r w:rsidR="00F02D43" w:rsidRPr="00C644F8">
        <w:rPr>
          <w:rFonts w:cs="Times New Roman"/>
          <w:sz w:val="24"/>
          <w:szCs w:val="24"/>
        </w:rPr>
        <w:t xml:space="preserve"> display statistically significantly higher </w:t>
      </w:r>
      <w:r w:rsidR="00D92BD3" w:rsidRPr="00C644F8">
        <w:rPr>
          <w:rFonts w:cs="Times New Roman"/>
          <w:sz w:val="24"/>
          <w:szCs w:val="24"/>
        </w:rPr>
        <w:t xml:space="preserve">pancreatic cancer </w:t>
      </w:r>
      <w:r w:rsidR="00F02D43" w:rsidRPr="00C644F8">
        <w:rPr>
          <w:rFonts w:cs="Times New Roman"/>
          <w:sz w:val="24"/>
          <w:szCs w:val="24"/>
        </w:rPr>
        <w:t xml:space="preserve">incidence and mortality rates compared to </w:t>
      </w:r>
      <w:r w:rsidR="00976709">
        <w:rPr>
          <w:rFonts w:cs="Times New Roman"/>
          <w:sz w:val="24"/>
          <w:szCs w:val="24"/>
        </w:rPr>
        <w:t xml:space="preserve">black females, </w:t>
      </w:r>
      <w:r w:rsidR="00F02D43" w:rsidRPr="00C644F8">
        <w:rPr>
          <w:rFonts w:cs="Times New Roman"/>
          <w:sz w:val="24"/>
          <w:szCs w:val="24"/>
        </w:rPr>
        <w:t>white</w:t>
      </w:r>
      <w:r w:rsidR="00FB086D" w:rsidRPr="00C644F8">
        <w:rPr>
          <w:rFonts w:cs="Times New Roman"/>
          <w:sz w:val="24"/>
          <w:szCs w:val="24"/>
        </w:rPr>
        <w:t xml:space="preserve"> females and white males.</w:t>
      </w:r>
    </w:p>
    <w:p w:rsidR="00CE5AD9" w:rsidRDefault="00CE5AD9">
      <w:pPr>
        <w:rPr>
          <w:rFonts w:cs="Times New Roman"/>
          <w:sz w:val="24"/>
          <w:szCs w:val="24"/>
        </w:rPr>
      </w:pPr>
      <w:r>
        <w:rPr>
          <w:rFonts w:cs="Times New Roman"/>
          <w:sz w:val="24"/>
          <w:szCs w:val="24"/>
        </w:rPr>
        <w:br w:type="page"/>
      </w:r>
    </w:p>
    <w:p w:rsidR="005A7B0B" w:rsidRDefault="005A7B0B" w:rsidP="00903E48">
      <w:pPr>
        <w:pStyle w:val="Heading2"/>
        <w:sectPr w:rsidR="005A7B0B" w:rsidSect="000A3765">
          <w:type w:val="continuous"/>
          <w:pgSz w:w="15840" w:h="12240" w:orient="landscape"/>
          <w:pgMar w:top="1080" w:right="1440" w:bottom="1080" w:left="1440" w:header="720" w:footer="288" w:gutter="0"/>
          <w:pgNumType w:fmt="numberInDash"/>
          <w:cols w:num="2" w:space="720"/>
          <w:docGrid w:linePitch="360"/>
        </w:sectPr>
      </w:pPr>
      <w:bookmarkStart w:id="122" w:name="_Toc421608526"/>
      <w:bookmarkStart w:id="123" w:name="_Toc421609344"/>
      <w:bookmarkStart w:id="124" w:name="_Toc421609678"/>
      <w:bookmarkStart w:id="125" w:name="_Toc421611203"/>
    </w:p>
    <w:p w:rsidR="004E17B6" w:rsidRPr="00976CBD" w:rsidRDefault="004E17B6" w:rsidP="00903E48">
      <w:pPr>
        <w:pStyle w:val="Heading2"/>
      </w:pPr>
      <w:bookmarkStart w:id="126" w:name="_Toc439918834"/>
      <w:r w:rsidRPr="00976CBD">
        <w:lastRenderedPageBreak/>
        <w:t>Childhood Cancer</w:t>
      </w:r>
      <w:bookmarkEnd w:id="122"/>
      <w:bookmarkEnd w:id="123"/>
      <w:bookmarkEnd w:id="124"/>
      <w:bookmarkEnd w:id="125"/>
      <w:bookmarkEnd w:id="126"/>
    </w:p>
    <w:p w:rsidR="005A7B0B" w:rsidRDefault="005A7B0B" w:rsidP="00CC6B19">
      <w:pPr>
        <w:jc w:val="both"/>
        <w:rPr>
          <w:rFonts w:cs="Times New Roman"/>
          <w:sz w:val="24"/>
          <w:szCs w:val="24"/>
        </w:rPr>
        <w:sectPr w:rsidR="005A7B0B" w:rsidSect="000A3765">
          <w:type w:val="continuous"/>
          <w:pgSz w:w="15840" w:h="12240" w:orient="landscape"/>
          <w:pgMar w:top="1080" w:right="1440" w:bottom="1080" w:left="1440" w:header="720" w:footer="288" w:gutter="0"/>
          <w:pgNumType w:fmt="numberInDash"/>
          <w:cols w:space="720"/>
          <w:docGrid w:linePitch="360"/>
        </w:sectPr>
      </w:pPr>
    </w:p>
    <w:p w:rsidR="00052489" w:rsidRPr="00C644F8" w:rsidRDefault="00052489" w:rsidP="00CC6B19">
      <w:pPr>
        <w:jc w:val="both"/>
        <w:rPr>
          <w:rFonts w:cs="Times New Roman"/>
          <w:sz w:val="24"/>
          <w:szCs w:val="24"/>
        </w:rPr>
      </w:pPr>
      <w:r w:rsidRPr="00C644F8">
        <w:rPr>
          <w:rFonts w:cs="Times New Roman"/>
          <w:sz w:val="24"/>
          <w:szCs w:val="24"/>
        </w:rPr>
        <w:lastRenderedPageBreak/>
        <w:t xml:space="preserve">The </w:t>
      </w:r>
      <w:r w:rsidR="006D0462">
        <w:rPr>
          <w:rFonts w:cs="Times New Roman"/>
          <w:sz w:val="24"/>
          <w:szCs w:val="24"/>
        </w:rPr>
        <w:t>distributions</w:t>
      </w:r>
      <w:r w:rsidRPr="00C644F8">
        <w:rPr>
          <w:rFonts w:cs="Times New Roman"/>
          <w:sz w:val="24"/>
          <w:szCs w:val="24"/>
        </w:rPr>
        <w:t xml:space="preserve"> of cancers that develop in children are often</w:t>
      </w:r>
      <w:r w:rsidR="00976709">
        <w:rPr>
          <w:rFonts w:cs="Times New Roman"/>
          <w:sz w:val="24"/>
          <w:szCs w:val="24"/>
        </w:rPr>
        <w:t xml:space="preserve"> quite</w:t>
      </w:r>
      <w:r w:rsidRPr="00C644F8">
        <w:rPr>
          <w:rFonts w:cs="Times New Roman"/>
          <w:sz w:val="24"/>
          <w:szCs w:val="24"/>
        </w:rPr>
        <w:t xml:space="preserve"> different </w:t>
      </w:r>
      <w:r w:rsidR="00976709">
        <w:rPr>
          <w:rFonts w:cs="Times New Roman"/>
          <w:sz w:val="24"/>
          <w:szCs w:val="24"/>
        </w:rPr>
        <w:t>compared to the distribution of t</w:t>
      </w:r>
      <w:r w:rsidRPr="00C644F8">
        <w:rPr>
          <w:rFonts w:cs="Times New Roman"/>
          <w:sz w:val="24"/>
          <w:szCs w:val="24"/>
        </w:rPr>
        <w:t xml:space="preserve">ypes that </w:t>
      </w:r>
      <w:r w:rsidR="00976709">
        <w:rPr>
          <w:rFonts w:cs="Times New Roman"/>
          <w:sz w:val="24"/>
          <w:szCs w:val="24"/>
        </w:rPr>
        <w:t>occur</w:t>
      </w:r>
      <w:r w:rsidRPr="00C644F8">
        <w:rPr>
          <w:rFonts w:cs="Times New Roman"/>
          <w:sz w:val="24"/>
          <w:szCs w:val="24"/>
        </w:rPr>
        <w:t xml:space="preserve"> in adults. Childhood cancers are the result of DNA changes in cells that take place very early in life, sometimes even before birth. Unlike many cancers in adults, childhood cancers are not strongly linked to lifestyle or environmental risk factors </w:t>
      </w:r>
      <w:r w:rsidR="00116ECB" w:rsidRPr="00C644F8">
        <w:rPr>
          <w:rFonts w:cs="Times New Roman"/>
          <w:sz w:val="24"/>
          <w:szCs w:val="24"/>
        </w:rPr>
        <w:t>(American Cancer Society, 2015).</w:t>
      </w:r>
      <w:r w:rsidR="003D6F24" w:rsidRPr="00C644F8">
        <w:rPr>
          <w:rFonts w:cs="Times New Roman"/>
          <w:sz w:val="24"/>
          <w:szCs w:val="24"/>
        </w:rPr>
        <w:t xml:space="preserve"> </w:t>
      </w:r>
    </w:p>
    <w:p w:rsidR="00720D82" w:rsidRPr="00C644F8" w:rsidRDefault="00F02D43" w:rsidP="00CC6B19">
      <w:pPr>
        <w:jc w:val="both"/>
        <w:rPr>
          <w:rFonts w:cs="Times New Roman"/>
          <w:sz w:val="24"/>
          <w:szCs w:val="24"/>
        </w:rPr>
      </w:pPr>
      <w:r w:rsidRPr="00C644F8">
        <w:rPr>
          <w:rFonts w:cs="Times New Roman"/>
          <w:sz w:val="24"/>
          <w:szCs w:val="24"/>
        </w:rPr>
        <w:t>There were 1,</w:t>
      </w:r>
      <w:r w:rsidR="005917D7" w:rsidRPr="00C644F8">
        <w:rPr>
          <w:rFonts w:cs="Times New Roman"/>
          <w:sz w:val="24"/>
          <w:szCs w:val="24"/>
        </w:rPr>
        <w:t>52</w:t>
      </w:r>
      <w:r w:rsidR="00926FC1" w:rsidRPr="00C644F8">
        <w:rPr>
          <w:rFonts w:cs="Times New Roman"/>
          <w:sz w:val="24"/>
          <w:szCs w:val="24"/>
        </w:rPr>
        <w:t>7</w:t>
      </w:r>
      <w:r w:rsidRPr="00C644F8">
        <w:rPr>
          <w:rFonts w:cs="Times New Roman"/>
          <w:sz w:val="24"/>
          <w:szCs w:val="24"/>
        </w:rPr>
        <w:t xml:space="preserve"> new invasive cancer cases and 20</w:t>
      </w:r>
      <w:r w:rsidR="005917D7" w:rsidRPr="00C644F8">
        <w:rPr>
          <w:rFonts w:cs="Times New Roman"/>
          <w:sz w:val="24"/>
          <w:szCs w:val="24"/>
        </w:rPr>
        <w:t>9</w:t>
      </w:r>
      <w:r w:rsidRPr="00C644F8">
        <w:rPr>
          <w:rFonts w:cs="Times New Roman"/>
          <w:sz w:val="24"/>
          <w:szCs w:val="24"/>
        </w:rPr>
        <w:t xml:space="preserve"> deaths due to cancer in children</w:t>
      </w:r>
      <w:r w:rsidR="00DC2FD2" w:rsidRPr="00C644F8">
        <w:rPr>
          <w:rFonts w:cs="Times New Roman"/>
          <w:sz w:val="24"/>
          <w:szCs w:val="24"/>
        </w:rPr>
        <w:t xml:space="preserve"> less than 20 years of age in T</w:t>
      </w:r>
      <w:r w:rsidR="00896336" w:rsidRPr="00C644F8">
        <w:rPr>
          <w:rFonts w:cs="Times New Roman"/>
          <w:sz w:val="24"/>
          <w:szCs w:val="24"/>
        </w:rPr>
        <w:t>N</w:t>
      </w:r>
      <w:r w:rsidR="00D92BD3" w:rsidRPr="00C644F8">
        <w:rPr>
          <w:rFonts w:cs="Times New Roman"/>
          <w:sz w:val="24"/>
          <w:szCs w:val="24"/>
        </w:rPr>
        <w:t xml:space="preserve"> during </w:t>
      </w:r>
      <w:r w:rsidR="001D4790" w:rsidRPr="00C644F8">
        <w:rPr>
          <w:rFonts w:cs="Times New Roman"/>
          <w:sz w:val="24"/>
          <w:szCs w:val="24"/>
        </w:rPr>
        <w:t>200</w:t>
      </w:r>
      <w:r w:rsidR="005917D7" w:rsidRPr="00C644F8">
        <w:rPr>
          <w:rFonts w:cs="Times New Roman"/>
          <w:sz w:val="24"/>
          <w:szCs w:val="24"/>
        </w:rPr>
        <w:t>8 and 2012</w:t>
      </w:r>
      <w:r w:rsidR="001D4790" w:rsidRPr="00C644F8">
        <w:rPr>
          <w:rFonts w:cs="Times New Roman"/>
          <w:sz w:val="24"/>
          <w:szCs w:val="24"/>
        </w:rPr>
        <w:t xml:space="preserve">. </w:t>
      </w:r>
      <w:r w:rsidRPr="00C644F8">
        <w:rPr>
          <w:rFonts w:cs="Times New Roman"/>
          <w:sz w:val="24"/>
          <w:szCs w:val="24"/>
        </w:rPr>
        <w:t xml:space="preserve">TN experienced the </w:t>
      </w:r>
      <w:r w:rsidR="00AA45DB">
        <w:rPr>
          <w:rFonts w:cs="Times New Roman"/>
          <w:sz w:val="24"/>
          <w:szCs w:val="24"/>
        </w:rPr>
        <w:t>3</w:t>
      </w:r>
      <w:r w:rsidR="00244A57">
        <w:rPr>
          <w:rFonts w:cs="Times New Roman"/>
          <w:sz w:val="24"/>
          <w:szCs w:val="24"/>
        </w:rPr>
        <w:t>0</w:t>
      </w:r>
      <w:r w:rsidR="00244A57" w:rsidRPr="00244A57">
        <w:rPr>
          <w:rFonts w:cs="Times New Roman"/>
          <w:sz w:val="24"/>
          <w:szCs w:val="24"/>
          <w:vertAlign w:val="superscript"/>
        </w:rPr>
        <w:t>th</w:t>
      </w:r>
      <w:r w:rsidR="00244A57">
        <w:rPr>
          <w:rFonts w:cs="Times New Roman"/>
          <w:sz w:val="24"/>
          <w:szCs w:val="24"/>
        </w:rPr>
        <w:t xml:space="preserve"> </w:t>
      </w:r>
      <w:r w:rsidRPr="00C644F8">
        <w:rPr>
          <w:rFonts w:cs="Times New Roman"/>
          <w:sz w:val="24"/>
          <w:szCs w:val="24"/>
        </w:rPr>
        <w:t xml:space="preserve">highest childhood cancer incidence rate and the </w:t>
      </w:r>
      <w:r w:rsidR="00AA45DB">
        <w:rPr>
          <w:rFonts w:cs="Times New Roman"/>
          <w:sz w:val="24"/>
          <w:szCs w:val="24"/>
        </w:rPr>
        <w:t>6</w:t>
      </w:r>
      <w:r w:rsidR="00D24055" w:rsidRPr="00D24055">
        <w:rPr>
          <w:rFonts w:cs="Times New Roman"/>
          <w:sz w:val="24"/>
          <w:szCs w:val="24"/>
          <w:vertAlign w:val="superscript"/>
        </w:rPr>
        <w:t>th</w:t>
      </w:r>
      <w:r w:rsidR="00D24055">
        <w:rPr>
          <w:rFonts w:cs="Times New Roman"/>
          <w:sz w:val="24"/>
          <w:szCs w:val="24"/>
        </w:rPr>
        <w:t xml:space="preserve"> </w:t>
      </w:r>
      <w:r w:rsidRPr="00C644F8">
        <w:rPr>
          <w:rFonts w:cs="Times New Roman"/>
          <w:sz w:val="24"/>
          <w:szCs w:val="24"/>
        </w:rPr>
        <w:t>highest childhood cancer mortality rate in the U.S</w:t>
      </w:r>
      <w:r w:rsidR="00D24055">
        <w:rPr>
          <w:rFonts w:cs="Times New Roman"/>
          <w:sz w:val="24"/>
          <w:szCs w:val="24"/>
        </w:rPr>
        <w:t xml:space="preserve"> from 2008</w:t>
      </w:r>
      <w:r w:rsidR="009F4A43">
        <w:rPr>
          <w:rFonts w:cs="Times New Roman"/>
          <w:sz w:val="24"/>
          <w:szCs w:val="24"/>
        </w:rPr>
        <w:t>-</w:t>
      </w:r>
      <w:r w:rsidR="00F6423B" w:rsidRPr="00C644F8">
        <w:rPr>
          <w:rFonts w:cs="Times New Roman"/>
          <w:sz w:val="24"/>
          <w:szCs w:val="24"/>
        </w:rPr>
        <w:t>201</w:t>
      </w:r>
      <w:r w:rsidR="00D24055">
        <w:rPr>
          <w:rFonts w:cs="Times New Roman"/>
          <w:sz w:val="24"/>
          <w:szCs w:val="24"/>
        </w:rPr>
        <w:t>2</w:t>
      </w:r>
      <w:r w:rsidRPr="00C644F8">
        <w:rPr>
          <w:rFonts w:cs="Times New Roman"/>
          <w:sz w:val="24"/>
          <w:szCs w:val="24"/>
        </w:rPr>
        <w:t xml:space="preserve">. Only </w:t>
      </w:r>
      <w:r w:rsidR="005917D7" w:rsidRPr="00C644F8">
        <w:rPr>
          <w:rFonts w:cs="Times New Roman"/>
          <w:sz w:val="24"/>
          <w:szCs w:val="24"/>
        </w:rPr>
        <w:t>40</w:t>
      </w:r>
      <w:r w:rsidR="002203A6" w:rsidRPr="00C644F8">
        <w:rPr>
          <w:rFonts w:cs="Times New Roman"/>
          <w:sz w:val="24"/>
          <w:szCs w:val="24"/>
        </w:rPr>
        <w:t>.3</w:t>
      </w:r>
      <w:r w:rsidRPr="00C644F8">
        <w:rPr>
          <w:rFonts w:cs="Times New Roman"/>
          <w:sz w:val="24"/>
          <w:szCs w:val="24"/>
        </w:rPr>
        <w:t xml:space="preserve">% of all new cases </w:t>
      </w:r>
      <w:r w:rsidR="00663E4B" w:rsidRPr="00C644F8">
        <w:rPr>
          <w:rFonts w:cs="Times New Roman"/>
          <w:sz w:val="24"/>
          <w:szCs w:val="24"/>
        </w:rPr>
        <w:t xml:space="preserve">with known stage information </w:t>
      </w:r>
      <w:r w:rsidRPr="00C644F8">
        <w:rPr>
          <w:rFonts w:cs="Times New Roman"/>
          <w:sz w:val="24"/>
          <w:szCs w:val="24"/>
        </w:rPr>
        <w:t xml:space="preserve">are diagnosed </w:t>
      </w:r>
      <w:r w:rsidR="00864D74" w:rsidRPr="00C644F8">
        <w:rPr>
          <w:rFonts w:cs="Times New Roman"/>
          <w:sz w:val="24"/>
          <w:szCs w:val="24"/>
        </w:rPr>
        <w:t>at</w:t>
      </w:r>
      <w:r w:rsidRPr="00C644F8">
        <w:rPr>
          <w:rFonts w:cs="Times New Roman"/>
          <w:sz w:val="24"/>
          <w:szCs w:val="24"/>
        </w:rPr>
        <w:t xml:space="preserve"> early stages of the disease.</w:t>
      </w:r>
      <w:r w:rsidR="002203A6" w:rsidRPr="00C644F8">
        <w:rPr>
          <w:rFonts w:cs="Times New Roman"/>
          <w:sz w:val="24"/>
          <w:szCs w:val="24"/>
        </w:rPr>
        <w:t xml:space="preserve"> Of the 1,527</w:t>
      </w:r>
      <w:r w:rsidR="00720D82" w:rsidRPr="00C644F8">
        <w:rPr>
          <w:rFonts w:cs="Times New Roman"/>
          <w:sz w:val="24"/>
          <w:szCs w:val="24"/>
        </w:rPr>
        <w:t xml:space="preserve"> new invasive cancer cases in children less than 20 years of age in T</w:t>
      </w:r>
      <w:r w:rsidR="00896336" w:rsidRPr="00C644F8">
        <w:rPr>
          <w:rFonts w:cs="Times New Roman"/>
          <w:sz w:val="24"/>
          <w:szCs w:val="24"/>
        </w:rPr>
        <w:t xml:space="preserve">N </w:t>
      </w:r>
      <w:r w:rsidR="002203A6" w:rsidRPr="00C644F8">
        <w:rPr>
          <w:rFonts w:cs="Times New Roman"/>
          <w:sz w:val="24"/>
          <w:szCs w:val="24"/>
        </w:rPr>
        <w:t xml:space="preserve">from 2008 to 2012, blacks accounted for about one out of every five (18.6%) </w:t>
      </w:r>
      <w:r w:rsidR="002203A6" w:rsidRPr="00C644F8">
        <w:rPr>
          <w:rFonts w:cs="Times New Roman"/>
          <w:sz w:val="24"/>
          <w:szCs w:val="24"/>
        </w:rPr>
        <w:lastRenderedPageBreak/>
        <w:t>childhood cancer cases. Whites accounted for three out of every four childhood cancer cases (</w:t>
      </w:r>
      <w:r w:rsidR="00E443FC" w:rsidRPr="00C644F8">
        <w:rPr>
          <w:rFonts w:cs="Times New Roman"/>
          <w:sz w:val="24"/>
          <w:szCs w:val="24"/>
        </w:rPr>
        <w:t>76.7</w:t>
      </w:r>
      <w:r w:rsidR="002203A6" w:rsidRPr="00C644F8">
        <w:rPr>
          <w:rFonts w:cs="Times New Roman"/>
          <w:sz w:val="24"/>
          <w:szCs w:val="24"/>
        </w:rPr>
        <w:t>%) of all childhood cancer cases</w:t>
      </w:r>
      <w:r w:rsidR="00720D82" w:rsidRPr="00C644F8">
        <w:rPr>
          <w:rFonts w:cs="Times New Roman"/>
          <w:sz w:val="24"/>
          <w:szCs w:val="24"/>
        </w:rPr>
        <w:t>. The leading cause of cancer incidence in children less than 20 years of age was leukemia, followed by central nervous system (2</w:t>
      </w:r>
      <w:r w:rsidR="00720D82" w:rsidRPr="00C644F8">
        <w:rPr>
          <w:rFonts w:cs="Times New Roman"/>
          <w:sz w:val="24"/>
          <w:szCs w:val="24"/>
          <w:vertAlign w:val="superscript"/>
        </w:rPr>
        <w:t>nd</w:t>
      </w:r>
      <w:r w:rsidR="00720D82" w:rsidRPr="00C644F8">
        <w:rPr>
          <w:rFonts w:cs="Times New Roman"/>
          <w:sz w:val="24"/>
          <w:szCs w:val="24"/>
        </w:rPr>
        <w:t>), lymphoma (3</w:t>
      </w:r>
      <w:r w:rsidR="00720D82" w:rsidRPr="00C644F8">
        <w:rPr>
          <w:rFonts w:cs="Times New Roman"/>
          <w:sz w:val="24"/>
          <w:szCs w:val="24"/>
          <w:vertAlign w:val="superscript"/>
        </w:rPr>
        <w:t>rd</w:t>
      </w:r>
      <w:r w:rsidR="00720D82" w:rsidRPr="00C644F8">
        <w:rPr>
          <w:rFonts w:cs="Times New Roman"/>
          <w:sz w:val="24"/>
          <w:szCs w:val="24"/>
        </w:rPr>
        <w:t>), melanoma (4</w:t>
      </w:r>
      <w:r w:rsidR="00720D82" w:rsidRPr="00C644F8">
        <w:rPr>
          <w:rFonts w:cs="Times New Roman"/>
          <w:sz w:val="24"/>
          <w:szCs w:val="24"/>
          <w:vertAlign w:val="superscript"/>
        </w:rPr>
        <w:t>th</w:t>
      </w:r>
      <w:r w:rsidR="00720D82" w:rsidRPr="00C644F8">
        <w:rPr>
          <w:rFonts w:cs="Times New Roman"/>
          <w:sz w:val="24"/>
          <w:szCs w:val="24"/>
        </w:rPr>
        <w:t>), and soft tissues (5</w:t>
      </w:r>
      <w:r w:rsidR="00720D82" w:rsidRPr="00C644F8">
        <w:rPr>
          <w:rFonts w:cs="Times New Roman"/>
          <w:sz w:val="24"/>
          <w:szCs w:val="24"/>
          <w:vertAlign w:val="superscript"/>
        </w:rPr>
        <w:t>th</w:t>
      </w:r>
      <w:r w:rsidR="002765A4" w:rsidRPr="00C644F8">
        <w:rPr>
          <w:rFonts w:cs="Times New Roman"/>
          <w:sz w:val="24"/>
          <w:szCs w:val="24"/>
        </w:rPr>
        <w:t>); the</w:t>
      </w:r>
      <w:r w:rsidR="00514E1B" w:rsidRPr="00C644F8">
        <w:rPr>
          <w:rFonts w:cs="Times New Roman"/>
          <w:sz w:val="24"/>
          <w:szCs w:val="24"/>
        </w:rPr>
        <w:t>se five c</w:t>
      </w:r>
      <w:r w:rsidR="002765A4" w:rsidRPr="00C644F8">
        <w:rPr>
          <w:rFonts w:cs="Times New Roman"/>
          <w:sz w:val="24"/>
          <w:szCs w:val="24"/>
        </w:rPr>
        <w:t xml:space="preserve">auses of cancer incidence represented </w:t>
      </w:r>
      <w:r w:rsidR="00E443FC" w:rsidRPr="00C644F8">
        <w:rPr>
          <w:rFonts w:cs="Times New Roman"/>
          <w:sz w:val="24"/>
          <w:szCs w:val="24"/>
        </w:rPr>
        <w:t>74.7</w:t>
      </w:r>
      <w:r w:rsidR="002765A4" w:rsidRPr="00C644F8">
        <w:rPr>
          <w:rFonts w:cs="Times New Roman"/>
          <w:sz w:val="24"/>
          <w:szCs w:val="24"/>
        </w:rPr>
        <w:t xml:space="preserve">% of all childhood cancer cases. </w:t>
      </w:r>
    </w:p>
    <w:p w:rsidR="00720D82" w:rsidRPr="00C644F8" w:rsidRDefault="00720D82" w:rsidP="00CC6B19">
      <w:pPr>
        <w:jc w:val="both"/>
        <w:rPr>
          <w:rFonts w:cs="Times New Roman"/>
          <w:sz w:val="24"/>
          <w:szCs w:val="24"/>
        </w:rPr>
      </w:pPr>
      <w:r w:rsidRPr="00C644F8">
        <w:rPr>
          <w:rFonts w:cs="Times New Roman"/>
          <w:sz w:val="24"/>
          <w:szCs w:val="24"/>
        </w:rPr>
        <w:t>The early diagnosis of childhood cancer is often hampered by nonspecific symptoms that are similar to those of more common childhood diseases.</w:t>
      </w:r>
      <w:r w:rsidR="00AE66D8" w:rsidRPr="00C644F8">
        <w:rPr>
          <w:rFonts w:cs="Times New Roman"/>
          <w:sz w:val="24"/>
          <w:szCs w:val="24"/>
        </w:rPr>
        <w:t xml:space="preserve"> </w:t>
      </w:r>
      <w:r w:rsidR="00F02D43" w:rsidRPr="00C644F8">
        <w:rPr>
          <w:rFonts w:cs="Times New Roman"/>
          <w:sz w:val="24"/>
          <w:szCs w:val="24"/>
        </w:rPr>
        <w:t>There</w:t>
      </w:r>
      <w:r w:rsidR="00465594" w:rsidRPr="00C644F8">
        <w:rPr>
          <w:rFonts w:cs="Times New Roman"/>
          <w:sz w:val="24"/>
          <w:szCs w:val="24"/>
        </w:rPr>
        <w:t xml:space="preserve"> are</w:t>
      </w:r>
      <w:r w:rsidR="00F02D43" w:rsidRPr="00C644F8">
        <w:rPr>
          <w:rFonts w:cs="Times New Roman"/>
          <w:sz w:val="24"/>
          <w:szCs w:val="24"/>
        </w:rPr>
        <w:t xml:space="preserve"> currentl</w:t>
      </w:r>
      <w:r w:rsidR="005917D7" w:rsidRPr="00C644F8">
        <w:rPr>
          <w:rFonts w:cs="Times New Roman"/>
          <w:sz w:val="24"/>
          <w:szCs w:val="24"/>
        </w:rPr>
        <w:t>y no effective screening method</w:t>
      </w:r>
      <w:r w:rsidR="00F02D43" w:rsidRPr="00C644F8">
        <w:rPr>
          <w:rFonts w:cs="Times New Roman"/>
          <w:sz w:val="24"/>
          <w:szCs w:val="24"/>
        </w:rPr>
        <w:t>s for childhood-related cancers.</w:t>
      </w:r>
      <w:r w:rsidR="00AE66D8" w:rsidRPr="00C644F8">
        <w:rPr>
          <w:rFonts w:cs="Times New Roman"/>
          <w:sz w:val="24"/>
          <w:szCs w:val="24"/>
        </w:rPr>
        <w:t xml:space="preserve"> </w:t>
      </w:r>
      <w:r w:rsidR="00F02D43" w:rsidRPr="00C644F8">
        <w:rPr>
          <w:rFonts w:cs="Times New Roman"/>
          <w:sz w:val="24"/>
          <w:szCs w:val="24"/>
        </w:rPr>
        <w:t xml:space="preserve">In general, white children tend to have </w:t>
      </w:r>
      <w:r w:rsidR="00257C88" w:rsidRPr="00C644F8">
        <w:rPr>
          <w:rFonts w:cs="Times New Roman"/>
          <w:sz w:val="24"/>
          <w:szCs w:val="24"/>
        </w:rPr>
        <w:t xml:space="preserve">a </w:t>
      </w:r>
      <w:r w:rsidR="00F02D43" w:rsidRPr="00C644F8">
        <w:rPr>
          <w:rFonts w:cs="Times New Roman"/>
          <w:sz w:val="24"/>
          <w:szCs w:val="24"/>
        </w:rPr>
        <w:t>slightly higher cancer incidence rate compared to black children, but the difference</w:t>
      </w:r>
      <w:r w:rsidR="00257C88" w:rsidRPr="00C644F8">
        <w:rPr>
          <w:rFonts w:cs="Times New Roman"/>
          <w:sz w:val="24"/>
          <w:szCs w:val="24"/>
        </w:rPr>
        <w:t xml:space="preserve"> is</w:t>
      </w:r>
      <w:r w:rsidR="00465594" w:rsidRPr="00C644F8">
        <w:rPr>
          <w:rFonts w:cs="Times New Roman"/>
          <w:sz w:val="24"/>
          <w:szCs w:val="24"/>
        </w:rPr>
        <w:t xml:space="preserve"> not stati</w:t>
      </w:r>
      <w:r w:rsidR="009116CF" w:rsidRPr="00C644F8">
        <w:rPr>
          <w:rFonts w:cs="Times New Roman"/>
          <w:sz w:val="24"/>
          <w:szCs w:val="24"/>
        </w:rPr>
        <w:t xml:space="preserve">stically significant. </w:t>
      </w:r>
      <w:r w:rsidR="003D5841" w:rsidRPr="00C644F8">
        <w:rPr>
          <w:rFonts w:cs="Times New Roman"/>
          <w:sz w:val="24"/>
          <w:szCs w:val="24"/>
        </w:rPr>
        <w:t>Over</w:t>
      </w:r>
      <w:r w:rsidR="009116CF" w:rsidRPr="00C644F8">
        <w:rPr>
          <w:rFonts w:cs="Times New Roman"/>
          <w:sz w:val="24"/>
          <w:szCs w:val="24"/>
        </w:rPr>
        <w:t xml:space="preserve"> this five year period, the</w:t>
      </w:r>
      <w:r w:rsidR="00D226E0" w:rsidRPr="00C644F8">
        <w:rPr>
          <w:rFonts w:cs="Times New Roman"/>
          <w:sz w:val="24"/>
          <w:szCs w:val="24"/>
        </w:rPr>
        <w:t xml:space="preserve"> </w:t>
      </w:r>
      <w:r w:rsidR="009116CF" w:rsidRPr="00C644F8">
        <w:rPr>
          <w:rFonts w:cs="Times New Roman"/>
          <w:sz w:val="24"/>
          <w:szCs w:val="24"/>
        </w:rPr>
        <w:t xml:space="preserve">age adjusted incidence rate for childhood cancers was </w:t>
      </w:r>
      <w:r w:rsidR="003C1DE4" w:rsidRPr="00C644F8">
        <w:rPr>
          <w:rFonts w:cs="Times New Roman"/>
          <w:sz w:val="24"/>
          <w:szCs w:val="24"/>
        </w:rPr>
        <w:t>182.1</w:t>
      </w:r>
      <w:r w:rsidR="003542F8" w:rsidRPr="00C644F8">
        <w:rPr>
          <w:rFonts w:cs="Times New Roman"/>
          <w:sz w:val="24"/>
          <w:szCs w:val="24"/>
        </w:rPr>
        <w:t xml:space="preserve"> per </w:t>
      </w:r>
      <w:r w:rsidR="009116CF" w:rsidRPr="00C644F8">
        <w:rPr>
          <w:rFonts w:cs="Times New Roman"/>
          <w:sz w:val="24"/>
          <w:szCs w:val="24"/>
        </w:rPr>
        <w:t>1</w:t>
      </w:r>
      <w:r w:rsidR="0060200E" w:rsidRPr="00C644F8">
        <w:rPr>
          <w:rFonts w:cs="Times New Roman"/>
          <w:sz w:val="24"/>
          <w:szCs w:val="24"/>
        </w:rPr>
        <w:t>,0</w:t>
      </w:r>
      <w:r w:rsidR="009116CF" w:rsidRPr="00C644F8">
        <w:rPr>
          <w:rFonts w:cs="Times New Roman"/>
          <w:sz w:val="24"/>
          <w:szCs w:val="24"/>
        </w:rPr>
        <w:t>00,000 and the mortality rate was 25</w:t>
      </w:r>
      <w:r w:rsidR="003C1DE4" w:rsidRPr="00C644F8">
        <w:rPr>
          <w:rFonts w:cs="Times New Roman"/>
          <w:sz w:val="24"/>
          <w:szCs w:val="24"/>
        </w:rPr>
        <w:t>.0</w:t>
      </w:r>
      <w:r w:rsidR="003542F8" w:rsidRPr="00C644F8">
        <w:rPr>
          <w:rFonts w:cs="Times New Roman"/>
          <w:sz w:val="24"/>
          <w:szCs w:val="24"/>
        </w:rPr>
        <w:t xml:space="preserve"> per </w:t>
      </w:r>
      <w:r w:rsidRPr="00C644F8">
        <w:rPr>
          <w:rFonts w:cs="Times New Roman"/>
          <w:sz w:val="24"/>
          <w:szCs w:val="24"/>
        </w:rPr>
        <w:t>1</w:t>
      </w:r>
      <w:r w:rsidR="0060200E" w:rsidRPr="00C644F8">
        <w:rPr>
          <w:rFonts w:cs="Times New Roman"/>
          <w:sz w:val="24"/>
          <w:szCs w:val="24"/>
        </w:rPr>
        <w:t>,0</w:t>
      </w:r>
      <w:r w:rsidRPr="00C644F8">
        <w:rPr>
          <w:rFonts w:cs="Times New Roman"/>
          <w:sz w:val="24"/>
          <w:szCs w:val="24"/>
        </w:rPr>
        <w:t>00,000.</w:t>
      </w:r>
    </w:p>
    <w:p w:rsidR="000878F1" w:rsidRDefault="000878F1" w:rsidP="009116CF">
      <w:pPr>
        <w:spacing w:line="240" w:lineRule="auto"/>
        <w:jc w:val="both"/>
        <w:rPr>
          <w:rFonts w:cs="Times New Roman"/>
          <w:sz w:val="22"/>
          <w:szCs w:val="22"/>
        </w:rPr>
        <w:sectPr w:rsidR="000878F1" w:rsidSect="00F2283B">
          <w:type w:val="continuous"/>
          <w:pgSz w:w="15840" w:h="12240" w:orient="landscape"/>
          <w:pgMar w:top="1080" w:right="1440" w:bottom="1080" w:left="1440" w:header="720" w:footer="288" w:gutter="0"/>
          <w:pgNumType w:fmt="lowerRoman"/>
          <w:cols w:num="2" w:space="720"/>
          <w:docGrid w:linePitch="360"/>
        </w:sectPr>
      </w:pPr>
    </w:p>
    <w:p w:rsidR="00503CA9" w:rsidRDefault="00503CA9" w:rsidP="009116CF">
      <w:pPr>
        <w:spacing w:line="240" w:lineRule="auto"/>
        <w:jc w:val="both"/>
        <w:rPr>
          <w:rFonts w:cs="Times New Roman"/>
          <w:sz w:val="22"/>
          <w:szCs w:val="22"/>
        </w:rPr>
      </w:pPr>
    </w:p>
    <w:p w:rsidR="00CE5AD9" w:rsidRDefault="00CE5AD9" w:rsidP="009116CF">
      <w:pPr>
        <w:spacing w:line="240" w:lineRule="auto"/>
        <w:jc w:val="both"/>
        <w:rPr>
          <w:rFonts w:cs="Times New Roman"/>
          <w:sz w:val="22"/>
          <w:szCs w:val="22"/>
        </w:rPr>
      </w:pPr>
    </w:p>
    <w:p w:rsidR="00CE5AD9" w:rsidRDefault="00CE5AD9" w:rsidP="009116CF">
      <w:pPr>
        <w:spacing w:line="240" w:lineRule="auto"/>
        <w:jc w:val="both"/>
        <w:rPr>
          <w:rFonts w:cs="Times New Roman"/>
          <w:sz w:val="22"/>
          <w:szCs w:val="22"/>
        </w:rPr>
      </w:pPr>
    </w:p>
    <w:p w:rsidR="00CE5AD9" w:rsidRDefault="00CE5AD9" w:rsidP="009116CF">
      <w:pPr>
        <w:spacing w:line="240" w:lineRule="auto"/>
        <w:jc w:val="both"/>
        <w:rPr>
          <w:rFonts w:cs="Times New Roman"/>
          <w:sz w:val="22"/>
          <w:szCs w:val="22"/>
        </w:rPr>
      </w:pPr>
    </w:p>
    <w:p w:rsidR="00CE5AD9" w:rsidRDefault="00CE5AD9" w:rsidP="009116CF">
      <w:pPr>
        <w:spacing w:line="240" w:lineRule="auto"/>
        <w:jc w:val="both"/>
        <w:rPr>
          <w:rFonts w:cs="Times New Roman"/>
          <w:sz w:val="22"/>
          <w:szCs w:val="22"/>
        </w:rPr>
      </w:pPr>
    </w:p>
    <w:p w:rsidR="00CE5AD9" w:rsidRDefault="00CE5AD9" w:rsidP="009116CF">
      <w:pPr>
        <w:spacing w:line="240" w:lineRule="auto"/>
        <w:jc w:val="both"/>
        <w:rPr>
          <w:rFonts w:cs="Times New Roman"/>
          <w:sz w:val="22"/>
          <w:szCs w:val="22"/>
        </w:rPr>
      </w:pPr>
    </w:p>
    <w:p w:rsidR="00CE5AD9" w:rsidRDefault="00CE5AD9" w:rsidP="009116CF">
      <w:pPr>
        <w:spacing w:line="240" w:lineRule="auto"/>
        <w:jc w:val="both"/>
        <w:rPr>
          <w:rFonts w:cs="Times New Roman"/>
          <w:sz w:val="22"/>
          <w:szCs w:val="22"/>
        </w:rPr>
      </w:pPr>
    </w:p>
    <w:p w:rsidR="00CE5AD9" w:rsidRDefault="005A7B0B" w:rsidP="009116CF">
      <w:pPr>
        <w:spacing w:line="240" w:lineRule="auto"/>
        <w:jc w:val="both"/>
        <w:rPr>
          <w:rFonts w:cs="Times New Roman"/>
          <w:sz w:val="22"/>
          <w:szCs w:val="22"/>
        </w:rPr>
      </w:pPr>
      <w:r>
        <w:rPr>
          <w:noProof/>
          <w:sz w:val="22"/>
          <w:lang w:bidi="ar-SA"/>
        </w:rPr>
        <mc:AlternateContent>
          <mc:Choice Requires="wps">
            <w:drawing>
              <wp:anchor distT="0" distB="0" distL="114300" distR="114300" simplePos="0" relativeHeight="252339200" behindDoc="0" locked="0" layoutInCell="1" allowOverlap="1" wp14:anchorId="48538B80" wp14:editId="481B87CA">
                <wp:simplePos x="0" y="0"/>
                <wp:positionH relativeFrom="column">
                  <wp:posOffset>3598</wp:posOffset>
                </wp:positionH>
                <wp:positionV relativeFrom="paragraph">
                  <wp:posOffset>360468</wp:posOffset>
                </wp:positionV>
                <wp:extent cx="8128000" cy="0"/>
                <wp:effectExtent l="0" t="0" r="25400" b="19050"/>
                <wp:wrapNone/>
                <wp:docPr id="320" name="Straight Connector 320"/>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 o:spid="_x0000_s1026" style="position:absolute;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8.4pt" to="640.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" strokecolor="#1b587c [3206]" strokeweight="1pt"/>
            </w:pict>
          </mc:Fallback>
        </mc:AlternateContent>
      </w:r>
    </w:p>
    <w:p w:rsidR="00EA34F7" w:rsidRPr="00976CBD" w:rsidRDefault="00EA34F7" w:rsidP="00903E48">
      <w:pPr>
        <w:pStyle w:val="Heading2"/>
      </w:pPr>
      <w:bookmarkStart w:id="127" w:name="_Toc421608527"/>
      <w:bookmarkStart w:id="128" w:name="_Toc421609345"/>
      <w:bookmarkStart w:id="129" w:name="_Toc421609679"/>
      <w:bookmarkStart w:id="130" w:name="_Toc421611204"/>
      <w:bookmarkStart w:id="131" w:name="_Toc439918835"/>
      <w:r w:rsidRPr="00976CBD">
        <w:lastRenderedPageBreak/>
        <w:t>Cancer Site Specific Webpages</w:t>
      </w:r>
      <w:bookmarkEnd w:id="127"/>
      <w:bookmarkEnd w:id="128"/>
      <w:bookmarkEnd w:id="129"/>
      <w:bookmarkEnd w:id="130"/>
      <w:bookmarkEnd w:id="131"/>
    </w:p>
    <w:p w:rsidR="00EA34F7" w:rsidRPr="00EA34F7" w:rsidRDefault="00EA34F7" w:rsidP="00EA34F7">
      <w:pPr>
        <w:spacing w:line="240" w:lineRule="auto"/>
        <w:jc w:val="both"/>
        <w:rPr>
          <w:rFonts w:cs="Times New Roman"/>
          <w:sz w:val="24"/>
          <w:szCs w:val="24"/>
        </w:rPr>
      </w:pPr>
      <w:r w:rsidRPr="00EA34F7">
        <w:rPr>
          <w:rFonts w:cs="Times New Roman"/>
          <w:sz w:val="24"/>
          <w:szCs w:val="24"/>
        </w:rPr>
        <w:t>More information can be found on the cancers discussed in this report a</w:t>
      </w:r>
      <w:r w:rsidR="00D9038F">
        <w:rPr>
          <w:rFonts w:cs="Times New Roman"/>
          <w:sz w:val="24"/>
          <w:szCs w:val="24"/>
        </w:rPr>
        <w:t>t</w:t>
      </w:r>
      <w:r w:rsidRPr="00EA34F7">
        <w:rPr>
          <w:rFonts w:cs="Times New Roman"/>
          <w:sz w:val="24"/>
          <w:szCs w:val="24"/>
        </w:rPr>
        <w:t xml:space="preserve"> the American Cancer Society, which include:</w:t>
      </w:r>
    </w:p>
    <w:tbl>
      <w:tblPr>
        <w:tblStyle w:val="TableGrid"/>
        <w:tblW w:w="5000" w:type="pct"/>
        <w:tblBorders>
          <w:top w:val="single" w:sz="4" w:space="0" w:color="1B587C" w:themeColor="accent3"/>
          <w:left w:val="single" w:sz="4" w:space="0" w:color="1B587C" w:themeColor="accent3"/>
          <w:bottom w:val="single" w:sz="4" w:space="0" w:color="1B587C" w:themeColor="accent3"/>
          <w:right w:val="single" w:sz="4" w:space="0" w:color="1B587C" w:themeColor="accent3"/>
          <w:insideH w:val="single" w:sz="4" w:space="0" w:color="1B587C" w:themeColor="accent3"/>
          <w:insideV w:val="single" w:sz="4" w:space="0" w:color="1B587C" w:themeColor="accent3"/>
        </w:tblBorders>
        <w:tblLook w:val="04A0" w:firstRow="1" w:lastRow="0" w:firstColumn="1" w:lastColumn="0" w:noHBand="0" w:noVBand="1"/>
      </w:tblPr>
      <w:tblGrid>
        <w:gridCol w:w="6274"/>
        <w:gridCol w:w="6902"/>
      </w:tblGrid>
      <w:tr w:rsidR="00BB4BCE" w:rsidTr="00F2283B">
        <w:tc>
          <w:tcPr>
            <w:tcW w:w="2381" w:type="pct"/>
            <w:shd w:val="clear" w:color="auto" w:fill="E3DED1" w:themeFill="background2"/>
            <w:vAlign w:val="center"/>
          </w:tcPr>
          <w:p w:rsidR="00BB4BCE" w:rsidRPr="00700772" w:rsidRDefault="00BB4BCE" w:rsidP="00BB4BCE">
            <w:pPr>
              <w:pStyle w:val="NoSpacing"/>
              <w:spacing w:line="360" w:lineRule="auto"/>
              <w:rPr>
                <w:rFonts w:asciiTheme="majorHAnsi" w:hAnsiTheme="majorHAnsi"/>
                <w:b/>
                <w:sz w:val="26"/>
                <w:szCs w:val="26"/>
              </w:rPr>
            </w:pPr>
            <w:r w:rsidRPr="00700772">
              <w:rPr>
                <w:rFonts w:asciiTheme="majorHAnsi" w:hAnsiTheme="majorHAnsi"/>
                <w:b/>
                <w:sz w:val="26"/>
                <w:szCs w:val="26"/>
              </w:rPr>
              <w:t>Specific Cancer</w:t>
            </w:r>
            <w:r w:rsidR="00F13BD5">
              <w:rPr>
                <w:rFonts w:asciiTheme="majorHAnsi" w:hAnsiTheme="majorHAnsi"/>
                <w:b/>
                <w:sz w:val="26"/>
                <w:szCs w:val="26"/>
              </w:rPr>
              <w:t xml:space="preserve"> Site</w:t>
            </w:r>
          </w:p>
        </w:tc>
        <w:tc>
          <w:tcPr>
            <w:tcW w:w="2619" w:type="pct"/>
            <w:shd w:val="clear" w:color="auto" w:fill="E3DED1" w:themeFill="background2"/>
            <w:vAlign w:val="center"/>
          </w:tcPr>
          <w:p w:rsidR="00BB4BCE" w:rsidRPr="00700772" w:rsidRDefault="00BB4BCE" w:rsidP="00BB4BCE">
            <w:pPr>
              <w:pStyle w:val="NoSpacing"/>
              <w:spacing w:line="360" w:lineRule="auto"/>
              <w:rPr>
                <w:rFonts w:asciiTheme="majorHAnsi" w:hAnsiTheme="majorHAnsi"/>
                <w:b/>
                <w:sz w:val="26"/>
                <w:szCs w:val="26"/>
              </w:rPr>
            </w:pPr>
            <w:r w:rsidRPr="00700772">
              <w:rPr>
                <w:rFonts w:asciiTheme="majorHAnsi" w:hAnsiTheme="majorHAnsi"/>
                <w:b/>
                <w:sz w:val="26"/>
                <w:szCs w:val="26"/>
              </w:rPr>
              <w:t>Website</w:t>
            </w:r>
          </w:p>
        </w:tc>
      </w:tr>
      <w:tr w:rsidR="00BB4BCE" w:rsidTr="00F2283B">
        <w:tc>
          <w:tcPr>
            <w:tcW w:w="2381" w:type="pct"/>
            <w:vAlign w:val="center"/>
          </w:tcPr>
          <w:p w:rsidR="00BB4BCE" w:rsidRPr="00BB4BCE" w:rsidRDefault="00BB4BCE" w:rsidP="00BB4BCE">
            <w:pPr>
              <w:pStyle w:val="NoSpacing"/>
              <w:spacing w:line="360" w:lineRule="auto"/>
              <w:rPr>
                <w:rFonts w:cstheme="minorHAnsi"/>
                <w:b/>
                <w:sz w:val="24"/>
                <w:szCs w:val="24"/>
              </w:rPr>
            </w:pPr>
            <w:r w:rsidRPr="00BB4BCE">
              <w:rPr>
                <w:rFonts w:cstheme="minorHAnsi"/>
                <w:b/>
                <w:sz w:val="24"/>
                <w:szCs w:val="24"/>
              </w:rPr>
              <w:t>Lung Cancer</w:t>
            </w:r>
          </w:p>
        </w:tc>
        <w:tc>
          <w:tcPr>
            <w:tcW w:w="2619" w:type="pct"/>
            <w:vAlign w:val="center"/>
          </w:tcPr>
          <w:p w:rsidR="00BB4BCE" w:rsidRDefault="00964E4C" w:rsidP="00BB4BCE">
            <w:pPr>
              <w:pStyle w:val="NoSpacing"/>
              <w:spacing w:line="360" w:lineRule="auto"/>
              <w:rPr>
                <w:rFonts w:asciiTheme="majorHAnsi" w:hAnsiTheme="majorHAnsi"/>
                <w:b/>
                <w:sz w:val="24"/>
                <w:szCs w:val="24"/>
              </w:rPr>
            </w:pPr>
            <w:hyperlink r:id="rId25" w:history="1">
              <w:r w:rsidR="00BB4BCE" w:rsidRPr="00EA34F7">
                <w:rPr>
                  <w:rStyle w:val="Hyperlink"/>
                  <w:sz w:val="24"/>
                  <w:szCs w:val="24"/>
                </w:rPr>
                <w:t>http://www.cancer.org/cancer/lungcancer/</w:t>
              </w:r>
            </w:hyperlink>
          </w:p>
        </w:tc>
      </w:tr>
      <w:tr w:rsidR="00BB4BCE" w:rsidTr="00F2283B">
        <w:tc>
          <w:tcPr>
            <w:tcW w:w="2381" w:type="pct"/>
            <w:vAlign w:val="center"/>
          </w:tcPr>
          <w:p w:rsidR="00BB4BCE" w:rsidRPr="00BB4BCE" w:rsidRDefault="00BB4BCE" w:rsidP="00BB4BCE">
            <w:pPr>
              <w:pStyle w:val="NoSpacing"/>
              <w:spacing w:line="360" w:lineRule="auto"/>
              <w:rPr>
                <w:rFonts w:cstheme="minorHAnsi"/>
                <w:b/>
                <w:sz w:val="24"/>
                <w:szCs w:val="24"/>
              </w:rPr>
            </w:pPr>
            <w:r w:rsidRPr="00BB4BCE">
              <w:rPr>
                <w:rFonts w:cstheme="minorHAnsi"/>
                <w:b/>
                <w:sz w:val="24"/>
                <w:szCs w:val="24"/>
              </w:rPr>
              <w:t>Prostate Cancer</w:t>
            </w:r>
          </w:p>
        </w:tc>
        <w:tc>
          <w:tcPr>
            <w:tcW w:w="2619" w:type="pct"/>
            <w:vAlign w:val="center"/>
          </w:tcPr>
          <w:p w:rsidR="00BB4BCE" w:rsidRDefault="00964E4C" w:rsidP="00BB4BCE">
            <w:pPr>
              <w:pStyle w:val="NoSpacing"/>
              <w:spacing w:line="360" w:lineRule="auto"/>
              <w:rPr>
                <w:rFonts w:asciiTheme="majorHAnsi" w:hAnsiTheme="majorHAnsi"/>
                <w:b/>
                <w:sz w:val="24"/>
                <w:szCs w:val="24"/>
              </w:rPr>
            </w:pPr>
            <w:hyperlink r:id="rId26" w:history="1">
              <w:r w:rsidR="00BB4BCE" w:rsidRPr="00EA34F7">
                <w:rPr>
                  <w:rStyle w:val="Hyperlink"/>
                  <w:sz w:val="24"/>
                  <w:szCs w:val="24"/>
                </w:rPr>
                <w:t>http://www.cancer.org/cancer/prostatecancer/</w:t>
              </w:r>
            </w:hyperlink>
          </w:p>
        </w:tc>
      </w:tr>
      <w:tr w:rsidR="00BB4BCE" w:rsidTr="00F2283B">
        <w:tc>
          <w:tcPr>
            <w:tcW w:w="2381" w:type="pct"/>
            <w:vAlign w:val="center"/>
          </w:tcPr>
          <w:p w:rsidR="00BB4BCE" w:rsidRPr="00BB4BCE" w:rsidRDefault="00BB4BCE" w:rsidP="00BB4BCE">
            <w:pPr>
              <w:pStyle w:val="NoSpacing"/>
              <w:spacing w:line="360" w:lineRule="auto"/>
              <w:rPr>
                <w:rFonts w:cstheme="minorHAnsi"/>
                <w:b/>
                <w:sz w:val="24"/>
                <w:szCs w:val="24"/>
              </w:rPr>
            </w:pPr>
            <w:r w:rsidRPr="00BB4BCE">
              <w:rPr>
                <w:rFonts w:cstheme="minorHAnsi"/>
                <w:b/>
                <w:sz w:val="24"/>
                <w:szCs w:val="24"/>
              </w:rPr>
              <w:t>Breast Cancer</w:t>
            </w:r>
          </w:p>
        </w:tc>
        <w:tc>
          <w:tcPr>
            <w:tcW w:w="2619" w:type="pct"/>
            <w:vAlign w:val="center"/>
          </w:tcPr>
          <w:p w:rsidR="00BB4BCE" w:rsidRDefault="00964E4C" w:rsidP="00BB4BCE">
            <w:pPr>
              <w:pStyle w:val="NoSpacing"/>
              <w:spacing w:line="360" w:lineRule="auto"/>
              <w:rPr>
                <w:rFonts w:asciiTheme="majorHAnsi" w:hAnsiTheme="majorHAnsi"/>
                <w:b/>
                <w:sz w:val="24"/>
                <w:szCs w:val="24"/>
              </w:rPr>
            </w:pPr>
            <w:hyperlink r:id="rId27" w:history="1">
              <w:r w:rsidR="00BB4BCE" w:rsidRPr="00EA34F7">
                <w:rPr>
                  <w:rStyle w:val="Hyperlink"/>
                  <w:sz w:val="24"/>
                  <w:szCs w:val="24"/>
                </w:rPr>
                <w:t>http://www.cancer.org/cancer/breastcancer/</w:t>
              </w:r>
            </w:hyperlink>
            <w:r w:rsidR="00BB4BCE" w:rsidRPr="00EA34F7">
              <w:rPr>
                <w:sz w:val="24"/>
                <w:szCs w:val="24"/>
              </w:rPr>
              <w:t xml:space="preserve">  </w:t>
            </w:r>
          </w:p>
        </w:tc>
      </w:tr>
      <w:tr w:rsidR="00BB4BCE" w:rsidTr="00F2283B">
        <w:tc>
          <w:tcPr>
            <w:tcW w:w="2381" w:type="pct"/>
            <w:vAlign w:val="center"/>
          </w:tcPr>
          <w:p w:rsidR="00BB4BCE" w:rsidRPr="00BB4BCE" w:rsidRDefault="00BB4BCE" w:rsidP="00BB4BCE">
            <w:pPr>
              <w:pStyle w:val="NoSpacing"/>
              <w:spacing w:line="360" w:lineRule="auto"/>
              <w:rPr>
                <w:rFonts w:cstheme="minorHAnsi"/>
                <w:b/>
                <w:sz w:val="24"/>
                <w:szCs w:val="24"/>
              </w:rPr>
            </w:pPr>
            <w:r w:rsidRPr="00BB4BCE">
              <w:rPr>
                <w:rFonts w:cstheme="minorHAnsi"/>
                <w:b/>
                <w:sz w:val="24"/>
                <w:szCs w:val="24"/>
              </w:rPr>
              <w:t>Colorectal Cancer</w:t>
            </w:r>
          </w:p>
        </w:tc>
        <w:tc>
          <w:tcPr>
            <w:tcW w:w="2619" w:type="pct"/>
            <w:vAlign w:val="center"/>
          </w:tcPr>
          <w:p w:rsidR="00BB4BCE" w:rsidRDefault="00964E4C" w:rsidP="00BB4BCE">
            <w:pPr>
              <w:pStyle w:val="NoSpacing"/>
              <w:spacing w:line="360" w:lineRule="auto"/>
              <w:rPr>
                <w:rFonts w:asciiTheme="majorHAnsi" w:hAnsiTheme="majorHAnsi"/>
                <w:b/>
                <w:sz w:val="24"/>
                <w:szCs w:val="24"/>
              </w:rPr>
            </w:pPr>
            <w:hyperlink r:id="rId28" w:history="1">
              <w:r w:rsidR="00BB4BCE" w:rsidRPr="00EA34F7">
                <w:rPr>
                  <w:rStyle w:val="Hyperlink"/>
                  <w:sz w:val="24"/>
                  <w:szCs w:val="24"/>
                </w:rPr>
                <w:t>http://www.cancer.org/cancer/colonandrectumcancer/</w:t>
              </w:r>
            </w:hyperlink>
          </w:p>
        </w:tc>
      </w:tr>
      <w:tr w:rsidR="00BB4BCE" w:rsidTr="00F2283B">
        <w:tc>
          <w:tcPr>
            <w:tcW w:w="2381" w:type="pct"/>
            <w:vAlign w:val="center"/>
          </w:tcPr>
          <w:p w:rsidR="00BB4BCE" w:rsidRPr="00BB4BCE" w:rsidRDefault="00BB4BCE" w:rsidP="00BB4BCE">
            <w:pPr>
              <w:pStyle w:val="NoSpacing"/>
              <w:spacing w:line="360" w:lineRule="auto"/>
              <w:rPr>
                <w:rFonts w:cstheme="minorHAnsi"/>
                <w:b/>
                <w:sz w:val="24"/>
                <w:szCs w:val="24"/>
              </w:rPr>
            </w:pPr>
            <w:r w:rsidRPr="00BB4BCE">
              <w:rPr>
                <w:rFonts w:cstheme="minorHAnsi"/>
                <w:b/>
                <w:sz w:val="24"/>
                <w:szCs w:val="24"/>
              </w:rPr>
              <w:t>Melanoma Skin Cancer</w:t>
            </w:r>
          </w:p>
        </w:tc>
        <w:tc>
          <w:tcPr>
            <w:tcW w:w="2619" w:type="pct"/>
            <w:vAlign w:val="center"/>
          </w:tcPr>
          <w:p w:rsidR="00BB4BCE" w:rsidRDefault="00964E4C" w:rsidP="00BB4BCE">
            <w:pPr>
              <w:pStyle w:val="NoSpacing"/>
              <w:spacing w:line="360" w:lineRule="auto"/>
              <w:rPr>
                <w:rFonts w:asciiTheme="majorHAnsi" w:hAnsiTheme="majorHAnsi"/>
                <w:b/>
                <w:sz w:val="24"/>
                <w:szCs w:val="24"/>
              </w:rPr>
            </w:pPr>
            <w:hyperlink r:id="rId29" w:history="1">
              <w:r w:rsidR="00BB4BCE" w:rsidRPr="00EA34F7">
                <w:rPr>
                  <w:rStyle w:val="Hyperlink"/>
                  <w:sz w:val="24"/>
                  <w:szCs w:val="24"/>
                </w:rPr>
                <w:t>http://www.cancer.org/cancer/skincancer-melanoma/</w:t>
              </w:r>
            </w:hyperlink>
          </w:p>
        </w:tc>
      </w:tr>
      <w:tr w:rsidR="00BB4BCE" w:rsidTr="00F2283B">
        <w:tc>
          <w:tcPr>
            <w:tcW w:w="2381" w:type="pct"/>
            <w:vAlign w:val="center"/>
          </w:tcPr>
          <w:p w:rsidR="00BB4BCE" w:rsidRPr="00BB4BCE" w:rsidRDefault="00BB4BCE" w:rsidP="00BB4BCE">
            <w:pPr>
              <w:pStyle w:val="NoSpacing"/>
              <w:spacing w:line="360" w:lineRule="auto"/>
              <w:rPr>
                <w:rFonts w:cstheme="minorHAnsi"/>
                <w:b/>
                <w:sz w:val="24"/>
                <w:szCs w:val="24"/>
              </w:rPr>
            </w:pPr>
            <w:r w:rsidRPr="00BB4BCE">
              <w:rPr>
                <w:rFonts w:cstheme="minorHAnsi"/>
                <w:b/>
                <w:sz w:val="24"/>
                <w:szCs w:val="24"/>
              </w:rPr>
              <w:t>Pancreatic Cancer</w:t>
            </w:r>
          </w:p>
        </w:tc>
        <w:tc>
          <w:tcPr>
            <w:tcW w:w="2619" w:type="pct"/>
            <w:vAlign w:val="center"/>
          </w:tcPr>
          <w:p w:rsidR="00BB4BCE" w:rsidRDefault="00964E4C" w:rsidP="00BB4BCE">
            <w:pPr>
              <w:pStyle w:val="NoSpacing"/>
              <w:spacing w:line="360" w:lineRule="auto"/>
              <w:rPr>
                <w:rFonts w:asciiTheme="majorHAnsi" w:hAnsiTheme="majorHAnsi"/>
                <w:b/>
                <w:sz w:val="24"/>
                <w:szCs w:val="24"/>
              </w:rPr>
            </w:pPr>
            <w:hyperlink r:id="rId30" w:history="1">
              <w:r w:rsidR="00BB4BCE" w:rsidRPr="00EA34F7">
                <w:rPr>
                  <w:rStyle w:val="Hyperlink"/>
                  <w:sz w:val="24"/>
                  <w:szCs w:val="24"/>
                </w:rPr>
                <w:t>http://www.cancer.org/cancer/pancreaticcancer/</w:t>
              </w:r>
            </w:hyperlink>
            <w:r w:rsidR="00BB4BCE" w:rsidRPr="00EA34F7">
              <w:rPr>
                <w:sz w:val="24"/>
                <w:szCs w:val="24"/>
              </w:rPr>
              <w:t xml:space="preserve">  </w:t>
            </w:r>
          </w:p>
        </w:tc>
      </w:tr>
      <w:tr w:rsidR="00BB4BCE" w:rsidTr="00F2283B">
        <w:tc>
          <w:tcPr>
            <w:tcW w:w="2381" w:type="pct"/>
            <w:vAlign w:val="center"/>
          </w:tcPr>
          <w:p w:rsidR="00BB4BCE" w:rsidRPr="00BB4BCE" w:rsidRDefault="00BB4BCE" w:rsidP="00BB4BCE">
            <w:pPr>
              <w:pStyle w:val="NoSpacing"/>
              <w:spacing w:line="360" w:lineRule="auto"/>
              <w:rPr>
                <w:rFonts w:cstheme="minorHAnsi"/>
                <w:b/>
                <w:sz w:val="24"/>
                <w:szCs w:val="24"/>
              </w:rPr>
            </w:pPr>
            <w:r w:rsidRPr="00BB4BCE">
              <w:rPr>
                <w:rFonts w:cstheme="minorHAnsi"/>
                <w:b/>
                <w:sz w:val="24"/>
                <w:szCs w:val="24"/>
              </w:rPr>
              <w:t>Childhood Cancer</w:t>
            </w:r>
          </w:p>
        </w:tc>
        <w:tc>
          <w:tcPr>
            <w:tcW w:w="2619" w:type="pct"/>
            <w:vAlign w:val="center"/>
          </w:tcPr>
          <w:p w:rsidR="00BB4BCE" w:rsidRDefault="00964E4C" w:rsidP="00BB4BCE">
            <w:pPr>
              <w:pStyle w:val="NoSpacing"/>
              <w:spacing w:line="360" w:lineRule="auto"/>
              <w:rPr>
                <w:rFonts w:asciiTheme="majorHAnsi" w:hAnsiTheme="majorHAnsi"/>
                <w:b/>
                <w:sz w:val="24"/>
                <w:szCs w:val="24"/>
              </w:rPr>
            </w:pPr>
            <w:hyperlink r:id="rId31" w:history="1">
              <w:r w:rsidR="00BB4BCE" w:rsidRPr="00EA34F7">
                <w:rPr>
                  <w:rStyle w:val="Hyperlink"/>
                  <w:sz w:val="24"/>
                  <w:szCs w:val="24"/>
                </w:rPr>
                <w:t>http://www.cancer.org/cancer/cancerinchildren/index</w:t>
              </w:r>
            </w:hyperlink>
          </w:p>
        </w:tc>
      </w:tr>
    </w:tbl>
    <w:p w:rsidR="00BB4BCE" w:rsidRDefault="00BB4BCE" w:rsidP="00EA34F7">
      <w:pPr>
        <w:pStyle w:val="NoSpacing"/>
        <w:rPr>
          <w:rFonts w:asciiTheme="majorHAnsi" w:hAnsiTheme="majorHAnsi"/>
          <w:b/>
          <w:sz w:val="24"/>
          <w:szCs w:val="24"/>
        </w:rPr>
      </w:pPr>
    </w:p>
    <w:p w:rsidR="00BB4BCE" w:rsidRDefault="00BB4BCE" w:rsidP="00EA34F7">
      <w:pPr>
        <w:pStyle w:val="NoSpacing"/>
        <w:rPr>
          <w:rFonts w:asciiTheme="majorHAnsi" w:hAnsiTheme="majorHAnsi"/>
          <w:b/>
          <w:sz w:val="24"/>
          <w:szCs w:val="24"/>
        </w:rPr>
      </w:pPr>
    </w:p>
    <w:p w:rsidR="00CE5AD9" w:rsidRDefault="00CE5AD9" w:rsidP="009116CF">
      <w:pPr>
        <w:spacing w:line="240" w:lineRule="auto"/>
        <w:jc w:val="both"/>
        <w:rPr>
          <w:rFonts w:cs="Times New Roman"/>
          <w:sz w:val="24"/>
          <w:szCs w:val="24"/>
        </w:rPr>
      </w:pPr>
    </w:p>
    <w:p w:rsidR="00BB4BCE" w:rsidRDefault="00BB4BCE" w:rsidP="009116CF">
      <w:pPr>
        <w:spacing w:line="240" w:lineRule="auto"/>
        <w:jc w:val="both"/>
        <w:rPr>
          <w:rFonts w:cs="Times New Roman"/>
          <w:sz w:val="24"/>
          <w:szCs w:val="24"/>
        </w:rPr>
      </w:pPr>
    </w:p>
    <w:p w:rsidR="00BB4BCE" w:rsidRDefault="00BB4BCE" w:rsidP="009116CF">
      <w:pPr>
        <w:spacing w:line="240" w:lineRule="auto"/>
        <w:jc w:val="both"/>
        <w:rPr>
          <w:rFonts w:cs="Times New Roman"/>
          <w:sz w:val="24"/>
          <w:szCs w:val="24"/>
        </w:rPr>
      </w:pPr>
    </w:p>
    <w:p w:rsidR="00BB4BCE" w:rsidRDefault="00BB4BCE" w:rsidP="009116CF">
      <w:pPr>
        <w:spacing w:line="240" w:lineRule="auto"/>
        <w:jc w:val="both"/>
        <w:rPr>
          <w:rFonts w:cs="Times New Roman"/>
          <w:sz w:val="24"/>
          <w:szCs w:val="24"/>
        </w:rPr>
      </w:pPr>
    </w:p>
    <w:p w:rsidR="00EA34F7" w:rsidRDefault="00EA34F7" w:rsidP="009116CF">
      <w:pPr>
        <w:spacing w:line="240" w:lineRule="auto"/>
        <w:jc w:val="both"/>
        <w:rPr>
          <w:rFonts w:cs="Times New Roman"/>
          <w:sz w:val="24"/>
          <w:szCs w:val="24"/>
        </w:rPr>
      </w:pPr>
    </w:p>
    <w:p w:rsidR="00EA34F7" w:rsidRDefault="00EA34F7" w:rsidP="009116CF">
      <w:pPr>
        <w:spacing w:line="240" w:lineRule="auto"/>
        <w:jc w:val="both"/>
        <w:rPr>
          <w:rFonts w:cs="Times New Roman"/>
          <w:sz w:val="24"/>
          <w:szCs w:val="24"/>
        </w:rPr>
      </w:pPr>
    </w:p>
    <w:p w:rsidR="00EA34F7" w:rsidRDefault="00EA34F7" w:rsidP="009116CF">
      <w:pPr>
        <w:spacing w:line="240" w:lineRule="auto"/>
        <w:jc w:val="both"/>
        <w:rPr>
          <w:rFonts w:cs="Times New Roman"/>
          <w:sz w:val="24"/>
          <w:szCs w:val="24"/>
        </w:rPr>
      </w:pPr>
    </w:p>
    <w:p w:rsidR="00EA34F7" w:rsidRDefault="00EA34F7" w:rsidP="009116CF">
      <w:pPr>
        <w:spacing w:line="240" w:lineRule="auto"/>
        <w:jc w:val="both"/>
        <w:rPr>
          <w:rFonts w:cs="Times New Roman"/>
          <w:sz w:val="24"/>
          <w:szCs w:val="24"/>
        </w:rPr>
      </w:pPr>
    </w:p>
    <w:p w:rsidR="00EA34F7" w:rsidRDefault="00221700" w:rsidP="009116CF">
      <w:pPr>
        <w:spacing w:line="240" w:lineRule="auto"/>
        <w:jc w:val="both"/>
        <w:rPr>
          <w:rFonts w:cs="Times New Roman"/>
          <w:sz w:val="24"/>
          <w:szCs w:val="24"/>
        </w:rPr>
      </w:pPr>
      <w:r>
        <w:rPr>
          <w:noProof/>
          <w:sz w:val="22"/>
          <w:lang w:bidi="ar-SA"/>
        </w:rPr>
        <mc:AlternateContent>
          <mc:Choice Requires="wps">
            <w:drawing>
              <wp:anchor distT="0" distB="0" distL="114300" distR="114300" simplePos="0" relativeHeight="252341248" behindDoc="0" locked="0" layoutInCell="1" allowOverlap="1" wp14:anchorId="63352580" wp14:editId="08EC8688">
                <wp:simplePos x="0" y="0"/>
                <wp:positionH relativeFrom="column">
                  <wp:posOffset>1270</wp:posOffset>
                </wp:positionH>
                <wp:positionV relativeFrom="paragraph">
                  <wp:posOffset>451485</wp:posOffset>
                </wp:positionV>
                <wp:extent cx="8128000" cy="0"/>
                <wp:effectExtent l="0" t="0" r="25400" b="19050"/>
                <wp:wrapNone/>
                <wp:docPr id="321" name="Straight Connector 321"/>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55pt" to="640.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" strokecolor="#1b587c [3206]" strokeweight="1pt"/>
            </w:pict>
          </mc:Fallback>
        </mc:AlternateContent>
      </w:r>
    </w:p>
    <w:p w:rsidR="00E6562A" w:rsidRPr="00976CBD" w:rsidRDefault="00E6562A" w:rsidP="00903E48">
      <w:pPr>
        <w:pStyle w:val="Heading2"/>
      </w:pPr>
      <w:bookmarkStart w:id="132" w:name="_Toc421608528"/>
      <w:bookmarkStart w:id="133" w:name="_Toc421609346"/>
      <w:bookmarkStart w:id="134" w:name="_Toc421609680"/>
      <w:bookmarkStart w:id="135" w:name="_Toc421611205"/>
      <w:bookmarkStart w:id="136" w:name="_Toc439918836"/>
      <w:r w:rsidRPr="00976CBD">
        <w:lastRenderedPageBreak/>
        <w:t>National Organizations and Websites</w:t>
      </w:r>
      <w:bookmarkEnd w:id="132"/>
      <w:bookmarkEnd w:id="133"/>
      <w:bookmarkEnd w:id="134"/>
      <w:bookmarkEnd w:id="135"/>
      <w:bookmarkEnd w:id="136"/>
    </w:p>
    <w:p w:rsidR="00296C00" w:rsidRDefault="00296C00" w:rsidP="00E6562A">
      <w:pPr>
        <w:pStyle w:val="NoSpacing"/>
        <w:spacing w:line="276" w:lineRule="auto"/>
        <w:rPr>
          <w:sz w:val="22"/>
          <w:szCs w:val="22"/>
        </w:rPr>
        <w:sectPr w:rsidR="00296C00" w:rsidSect="000A3765">
          <w:type w:val="continuous"/>
          <w:pgSz w:w="15840" w:h="12240" w:orient="landscape"/>
          <w:pgMar w:top="1080" w:right="1440" w:bottom="1080" w:left="1440" w:header="720" w:footer="288" w:gutter="0"/>
          <w:pgNumType w:fmt="numberInDash"/>
          <w:cols w:space="720"/>
          <w:docGrid w:linePitch="360"/>
        </w:sectPr>
      </w:pPr>
    </w:p>
    <w:p w:rsidR="00E6562A" w:rsidRDefault="00E6562A" w:rsidP="00E6562A">
      <w:pPr>
        <w:pStyle w:val="NoSpacing"/>
        <w:spacing w:line="276" w:lineRule="auto"/>
        <w:rPr>
          <w:sz w:val="22"/>
          <w:szCs w:val="22"/>
        </w:rPr>
      </w:pPr>
    </w:p>
    <w:p w:rsidR="00EA34F7" w:rsidRDefault="00EA34F7" w:rsidP="00E6562A">
      <w:pPr>
        <w:pStyle w:val="NoSpacing"/>
        <w:spacing w:line="276" w:lineRule="auto"/>
        <w:rPr>
          <w:sz w:val="22"/>
          <w:szCs w:val="22"/>
        </w:rPr>
        <w:sectPr w:rsidR="00EA34F7" w:rsidSect="00F2283B">
          <w:type w:val="continuous"/>
          <w:pgSz w:w="15840" w:h="12240" w:orient="landscape"/>
          <w:pgMar w:top="1080" w:right="1440" w:bottom="1080" w:left="1440" w:header="720" w:footer="288" w:gutter="0"/>
          <w:pgNumType w:fmt="lowerRoman"/>
          <w:cols w:num="2" w:space="720"/>
          <w:docGrid w:linePitch="360"/>
        </w:sectPr>
      </w:pPr>
    </w:p>
    <w:p w:rsidR="00E6562A" w:rsidRPr="00EA34F7" w:rsidRDefault="008C6350" w:rsidP="00E6562A">
      <w:pPr>
        <w:pStyle w:val="NoSpacing"/>
        <w:spacing w:line="276" w:lineRule="auto"/>
        <w:rPr>
          <w:sz w:val="24"/>
          <w:szCs w:val="24"/>
        </w:rPr>
      </w:pPr>
      <w:r w:rsidRPr="00EA34F7">
        <w:rPr>
          <w:sz w:val="24"/>
          <w:szCs w:val="24"/>
        </w:rPr>
        <w:lastRenderedPageBreak/>
        <w:t>If interested, o</w:t>
      </w:r>
      <w:r w:rsidR="00E6562A" w:rsidRPr="00EA34F7">
        <w:rPr>
          <w:sz w:val="24"/>
          <w:szCs w:val="24"/>
        </w:rPr>
        <w:t>ther sources of information and support include:</w:t>
      </w:r>
    </w:p>
    <w:p w:rsidR="00E6562A" w:rsidRDefault="00E6562A" w:rsidP="00E6562A">
      <w:pPr>
        <w:pStyle w:val="NoSpacing"/>
        <w:spacing w:line="276" w:lineRule="auto"/>
        <w:rPr>
          <w:sz w:val="24"/>
          <w:szCs w:val="24"/>
        </w:rPr>
      </w:pPr>
    </w:p>
    <w:tbl>
      <w:tblPr>
        <w:tblStyle w:val="TableGrid"/>
        <w:tblW w:w="5000" w:type="pct"/>
        <w:tblBorders>
          <w:top w:val="single" w:sz="4" w:space="0" w:color="1B587C" w:themeColor="accent3"/>
          <w:left w:val="single" w:sz="4" w:space="0" w:color="1B587C" w:themeColor="accent3"/>
          <w:bottom w:val="single" w:sz="4" w:space="0" w:color="1B587C" w:themeColor="accent3"/>
          <w:right w:val="single" w:sz="4" w:space="0" w:color="1B587C" w:themeColor="accent3"/>
          <w:insideH w:val="single" w:sz="4" w:space="0" w:color="1B587C" w:themeColor="accent3"/>
          <w:insideV w:val="single" w:sz="4" w:space="0" w:color="1B587C" w:themeColor="accent3"/>
        </w:tblBorders>
        <w:tblLook w:val="04A0" w:firstRow="1" w:lastRow="0" w:firstColumn="1" w:lastColumn="0" w:noHBand="0" w:noVBand="1"/>
      </w:tblPr>
      <w:tblGrid>
        <w:gridCol w:w="6842"/>
        <w:gridCol w:w="6334"/>
      </w:tblGrid>
      <w:tr w:rsidR="00B30288" w:rsidRPr="00B30288" w:rsidTr="00F2283B">
        <w:trPr>
          <w:trHeight w:val="288"/>
        </w:trPr>
        <w:tc>
          <w:tcPr>
            <w:tcW w:w="2500" w:type="pct"/>
            <w:shd w:val="clear" w:color="auto" w:fill="E3DED1" w:themeFill="background2"/>
            <w:noWrap/>
            <w:vAlign w:val="center"/>
            <w:hideMark/>
          </w:tcPr>
          <w:p w:rsidR="00B30288" w:rsidRPr="00B30288" w:rsidRDefault="00B30288" w:rsidP="00700772">
            <w:pPr>
              <w:spacing w:line="360" w:lineRule="auto"/>
              <w:rPr>
                <w:rFonts w:ascii="Cambria" w:eastAsia="Times New Roman" w:hAnsi="Cambria" w:cs="Calibri"/>
                <w:b/>
                <w:bCs/>
                <w:color w:val="000000"/>
                <w:sz w:val="26"/>
                <w:szCs w:val="26"/>
                <w:lang w:bidi="ar-SA"/>
              </w:rPr>
            </w:pPr>
            <w:r w:rsidRPr="00B30288">
              <w:rPr>
                <w:rFonts w:ascii="Cambria" w:eastAsia="Times New Roman" w:hAnsi="Cambria" w:cs="Calibri"/>
                <w:b/>
                <w:bCs/>
                <w:color w:val="000000"/>
                <w:sz w:val="26"/>
                <w:szCs w:val="26"/>
                <w:lang w:bidi="ar-SA"/>
              </w:rPr>
              <w:t>Organization</w:t>
            </w:r>
          </w:p>
        </w:tc>
        <w:tc>
          <w:tcPr>
            <w:tcW w:w="2500" w:type="pct"/>
            <w:shd w:val="clear" w:color="auto" w:fill="E3DED1" w:themeFill="background2"/>
            <w:noWrap/>
            <w:vAlign w:val="center"/>
            <w:hideMark/>
          </w:tcPr>
          <w:p w:rsidR="00B30288" w:rsidRPr="00B30288" w:rsidRDefault="00B30288" w:rsidP="00700772">
            <w:pPr>
              <w:spacing w:line="360" w:lineRule="auto"/>
              <w:rPr>
                <w:rFonts w:ascii="Cambria" w:eastAsia="Times New Roman" w:hAnsi="Cambria" w:cs="Calibri"/>
                <w:b/>
                <w:bCs/>
                <w:color w:val="000000"/>
                <w:sz w:val="26"/>
                <w:szCs w:val="26"/>
                <w:lang w:bidi="ar-SA"/>
              </w:rPr>
            </w:pPr>
            <w:r w:rsidRPr="00B30288">
              <w:rPr>
                <w:rFonts w:ascii="Cambria" w:eastAsia="Times New Roman" w:hAnsi="Cambria" w:cs="Calibri"/>
                <w:b/>
                <w:bCs/>
                <w:color w:val="000000"/>
                <w:sz w:val="26"/>
                <w:szCs w:val="26"/>
                <w:lang w:bidi="ar-SA"/>
              </w:rPr>
              <w:t>Website</w:t>
            </w:r>
          </w:p>
        </w:tc>
      </w:tr>
      <w:tr w:rsidR="00B30288" w:rsidRPr="00B30288" w:rsidTr="00F2283B">
        <w:trPr>
          <w:trHeight w:val="300"/>
        </w:trPr>
        <w:tc>
          <w:tcPr>
            <w:tcW w:w="2500" w:type="pct"/>
            <w:noWrap/>
            <w:vAlign w:val="center"/>
            <w:hideMark/>
          </w:tcPr>
          <w:p w:rsidR="00B30288" w:rsidRPr="00B30288" w:rsidRDefault="00B30288" w:rsidP="00700772">
            <w:pPr>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American Association for Cancer Research (AACR)</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http://www.aacr.org/Pages/Home.aspx</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American Cancer Society (ACS)</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http://www.cancer.org/</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American Society of Clinical Oncology (ASCO)</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http://www.asco.org/</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Cancer Research Network (CRN)</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http://crn.cancer.gov/</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Center for Cancer Research (CCR)</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https://ccr.cancer.gov/</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 xml:space="preserve">Centers for Disease Control </w:t>
            </w:r>
            <w:r w:rsidR="00D9038F">
              <w:rPr>
                <w:rFonts w:eastAsia="Times New Roman" w:cstheme="minorHAnsi"/>
                <w:b/>
                <w:bCs/>
                <w:color w:val="000000"/>
                <w:sz w:val="24"/>
                <w:szCs w:val="24"/>
                <w:lang w:bidi="ar-SA"/>
              </w:rPr>
              <w:t xml:space="preserve">&amp; Prevention </w:t>
            </w:r>
            <w:r w:rsidRPr="00B30288">
              <w:rPr>
                <w:rFonts w:eastAsia="Times New Roman" w:cstheme="minorHAnsi"/>
                <w:b/>
                <w:bCs/>
                <w:color w:val="000000"/>
                <w:sz w:val="24"/>
                <w:szCs w:val="24"/>
                <w:lang w:bidi="ar-SA"/>
              </w:rPr>
              <w:t>(CDC)</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http://www.cdc.gov/cancer/dcpc/data/index.htm</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Commission on Cancer (CoC)</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https://www.facs.org/quality-programs/cancer/coc</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Conquer Cancer Foundation</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https://www.conquercancerfoundation.org/</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Journal of Clinical Oncology</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http://jco.ascopubs.org/</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National Cancer Informatics Program (NCIP)</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http://cbiit.nci.nih.gov/ncip</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National Cancer Institute (NCI)</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http://www.cancer.gov/</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National Comprehensive Cancer Network (NCCN)</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http://www.nccn.org/</w:t>
            </w:r>
          </w:p>
        </w:tc>
      </w:tr>
      <w:tr w:rsidR="00B30288" w:rsidRPr="00B30288" w:rsidTr="00F2283B">
        <w:trPr>
          <w:trHeight w:val="300"/>
        </w:trPr>
        <w:tc>
          <w:tcPr>
            <w:tcW w:w="2500" w:type="pct"/>
            <w:noWrap/>
            <w:vAlign w:val="center"/>
            <w:hideMark/>
          </w:tcPr>
          <w:p w:rsidR="00B30288" w:rsidRPr="00B30288" w:rsidRDefault="00B30288" w:rsidP="00700772">
            <w:pPr>
              <w:spacing w:line="360" w:lineRule="auto"/>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 xml:space="preserve">National Program of Cancer Registries (NPCR) </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http://www.cdc.gov/cancer/npcr/</w:t>
            </w:r>
          </w:p>
        </w:tc>
      </w:tr>
      <w:tr w:rsidR="00B30288" w:rsidRPr="00B30288" w:rsidTr="00F2283B">
        <w:trPr>
          <w:trHeight w:val="300"/>
        </w:trPr>
        <w:tc>
          <w:tcPr>
            <w:tcW w:w="2500" w:type="pct"/>
            <w:noWrap/>
            <w:vAlign w:val="center"/>
            <w:hideMark/>
          </w:tcPr>
          <w:p w:rsidR="00B30288" w:rsidRPr="00B30288" w:rsidRDefault="00B30288" w:rsidP="00700772">
            <w:pPr>
              <w:rPr>
                <w:rFonts w:eastAsia="Times New Roman" w:cstheme="minorHAnsi"/>
                <w:b/>
                <w:bCs/>
                <w:color w:val="000000"/>
                <w:sz w:val="24"/>
                <w:szCs w:val="24"/>
                <w:lang w:bidi="ar-SA"/>
              </w:rPr>
            </w:pPr>
            <w:r w:rsidRPr="00B30288">
              <w:rPr>
                <w:rFonts w:eastAsia="Times New Roman" w:cstheme="minorHAnsi"/>
                <w:b/>
                <w:bCs/>
                <w:color w:val="000000"/>
                <w:sz w:val="24"/>
                <w:szCs w:val="24"/>
                <w:lang w:bidi="ar-SA"/>
              </w:rPr>
              <w:t>North American Association of Central Cancer Registries (NAACCR)</w:t>
            </w:r>
          </w:p>
        </w:tc>
        <w:tc>
          <w:tcPr>
            <w:tcW w:w="2500" w:type="pct"/>
            <w:noWrap/>
            <w:vAlign w:val="center"/>
            <w:hideMark/>
          </w:tcPr>
          <w:p w:rsidR="00B30288" w:rsidRPr="00B30288" w:rsidRDefault="00B30288" w:rsidP="00700772">
            <w:pPr>
              <w:spacing w:line="360" w:lineRule="auto"/>
              <w:rPr>
                <w:rFonts w:ascii="Calibri" w:eastAsia="Times New Roman" w:hAnsi="Calibri" w:cs="Calibri"/>
                <w:color w:val="0000FF"/>
                <w:sz w:val="24"/>
                <w:szCs w:val="24"/>
                <w:u w:val="single"/>
                <w:lang w:bidi="ar-SA"/>
              </w:rPr>
            </w:pPr>
            <w:r w:rsidRPr="00B30288">
              <w:rPr>
                <w:rFonts w:ascii="Calibri" w:eastAsia="Times New Roman" w:hAnsi="Calibri" w:cs="Calibri"/>
                <w:color w:val="0000FF"/>
                <w:sz w:val="24"/>
                <w:szCs w:val="24"/>
                <w:u w:val="single"/>
                <w:lang w:bidi="ar-SA"/>
              </w:rPr>
              <w:t>http://www.naaccr.org/</w:t>
            </w:r>
          </w:p>
        </w:tc>
      </w:tr>
      <w:tr w:rsidR="00D9038F" w:rsidRPr="00B30288" w:rsidTr="00F2283B">
        <w:trPr>
          <w:trHeight w:val="300"/>
        </w:trPr>
        <w:tc>
          <w:tcPr>
            <w:tcW w:w="2500" w:type="pct"/>
            <w:noWrap/>
            <w:vAlign w:val="center"/>
          </w:tcPr>
          <w:p w:rsidR="00D9038F" w:rsidRPr="00B30288" w:rsidRDefault="00D9038F" w:rsidP="00700772">
            <w:pPr>
              <w:rPr>
                <w:rFonts w:eastAsia="Times New Roman" w:cstheme="minorHAnsi"/>
                <w:b/>
                <w:bCs/>
                <w:color w:val="000000"/>
                <w:sz w:val="24"/>
                <w:szCs w:val="24"/>
                <w:lang w:bidi="ar-SA"/>
              </w:rPr>
            </w:pPr>
            <w:r>
              <w:rPr>
                <w:rFonts w:eastAsia="Times New Roman" w:cstheme="minorHAnsi"/>
                <w:b/>
                <w:bCs/>
                <w:color w:val="000000"/>
                <w:sz w:val="24"/>
                <w:szCs w:val="24"/>
                <w:lang w:bidi="ar-SA"/>
              </w:rPr>
              <w:t>International Agency for Research on Cancer</w:t>
            </w:r>
          </w:p>
        </w:tc>
        <w:tc>
          <w:tcPr>
            <w:tcW w:w="2500" w:type="pct"/>
            <w:noWrap/>
            <w:vAlign w:val="center"/>
          </w:tcPr>
          <w:p w:rsidR="00D9038F" w:rsidRPr="00B30288" w:rsidRDefault="00D9038F" w:rsidP="00700772">
            <w:pPr>
              <w:spacing w:line="360" w:lineRule="auto"/>
              <w:rPr>
                <w:rFonts w:ascii="Calibri" w:eastAsia="Times New Roman" w:hAnsi="Calibri" w:cs="Calibri"/>
                <w:color w:val="0000FF"/>
                <w:sz w:val="24"/>
                <w:szCs w:val="24"/>
                <w:u w:val="single"/>
                <w:lang w:bidi="ar-SA"/>
              </w:rPr>
            </w:pPr>
            <w:r w:rsidRPr="00D9038F">
              <w:rPr>
                <w:rFonts w:ascii="Calibri" w:eastAsia="Times New Roman" w:hAnsi="Calibri" w:cs="Calibri"/>
                <w:color w:val="0000FF"/>
                <w:sz w:val="24"/>
                <w:szCs w:val="24"/>
                <w:u w:val="single"/>
                <w:lang w:bidi="ar-SA"/>
              </w:rPr>
              <w:t>http://www.iarc.fr/</w:t>
            </w:r>
          </w:p>
        </w:tc>
      </w:tr>
    </w:tbl>
    <w:p w:rsidR="00B30288" w:rsidRDefault="00B30288" w:rsidP="00E6562A">
      <w:pPr>
        <w:pStyle w:val="NoSpacing"/>
        <w:spacing w:line="276" w:lineRule="auto"/>
        <w:rPr>
          <w:sz w:val="24"/>
          <w:szCs w:val="24"/>
        </w:rPr>
      </w:pPr>
    </w:p>
    <w:p w:rsidR="00B30288" w:rsidRDefault="00B30288" w:rsidP="00E6562A">
      <w:pPr>
        <w:pStyle w:val="NoSpacing"/>
        <w:spacing w:line="276" w:lineRule="auto"/>
        <w:rPr>
          <w:sz w:val="24"/>
          <w:szCs w:val="24"/>
        </w:rPr>
      </w:pPr>
    </w:p>
    <w:p w:rsidR="00B30288" w:rsidRPr="00EA34F7" w:rsidRDefault="00B30288" w:rsidP="00E6562A">
      <w:pPr>
        <w:pStyle w:val="NoSpacing"/>
        <w:spacing w:line="276" w:lineRule="auto"/>
        <w:rPr>
          <w:sz w:val="24"/>
          <w:szCs w:val="24"/>
        </w:rPr>
      </w:pPr>
    </w:p>
    <w:p w:rsidR="00EA34F7" w:rsidRDefault="00D778BE" w:rsidP="00E6562A">
      <w:pPr>
        <w:pStyle w:val="NoSpacing"/>
        <w:rPr>
          <w:b/>
          <w:sz w:val="24"/>
          <w:szCs w:val="24"/>
        </w:rPr>
        <w:sectPr w:rsidR="00EA34F7" w:rsidSect="00F2283B">
          <w:type w:val="continuous"/>
          <w:pgSz w:w="15840" w:h="12240" w:orient="landscape"/>
          <w:pgMar w:top="1080" w:right="1440" w:bottom="1080" w:left="1440" w:header="720" w:footer="288" w:gutter="0"/>
          <w:pgNumType w:fmt="lowerRoman"/>
          <w:cols w:space="720"/>
          <w:docGrid w:linePitch="360"/>
        </w:sectPr>
      </w:pPr>
      <w:r>
        <w:rPr>
          <w:noProof/>
          <w:sz w:val="22"/>
          <w:lang w:bidi="ar-SA"/>
        </w:rPr>
        <mc:AlternateContent>
          <mc:Choice Requires="wps">
            <w:drawing>
              <wp:anchor distT="0" distB="0" distL="114300" distR="114300" simplePos="0" relativeHeight="252343296" behindDoc="0" locked="0" layoutInCell="1" allowOverlap="1" wp14:anchorId="74F1B983" wp14:editId="7866D9F0">
                <wp:simplePos x="0" y="0"/>
                <wp:positionH relativeFrom="column">
                  <wp:posOffset>1270</wp:posOffset>
                </wp:positionH>
                <wp:positionV relativeFrom="paragraph">
                  <wp:posOffset>219287</wp:posOffset>
                </wp:positionV>
                <wp:extent cx="8128000" cy="0"/>
                <wp:effectExtent l="0" t="0" r="25400" b="19050"/>
                <wp:wrapNone/>
                <wp:docPr id="322" name="Straight Connector 322"/>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 o:spid="_x0000_s1026" style="position:absolute;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25pt" to="640.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" strokecolor="#1b587c [3206]" strokeweight="1pt"/>
            </w:pict>
          </mc:Fallback>
        </mc:AlternateContent>
      </w:r>
    </w:p>
    <w:p w:rsidR="005160B9" w:rsidRPr="00EC03DB" w:rsidRDefault="002D44EC" w:rsidP="00F37C3F">
      <w:pPr>
        <w:pStyle w:val="Heading1"/>
      </w:pPr>
      <w:bookmarkStart w:id="137" w:name="_Toc341099527"/>
      <w:bookmarkStart w:id="138" w:name="_Toc421608529"/>
      <w:bookmarkStart w:id="139" w:name="_Toc421609347"/>
      <w:bookmarkStart w:id="140" w:name="_Toc421609681"/>
      <w:bookmarkStart w:id="141" w:name="_Toc421611207"/>
      <w:bookmarkStart w:id="142" w:name="_Toc439918837"/>
      <w:r w:rsidRPr="00EC03DB">
        <w:lastRenderedPageBreak/>
        <w:t xml:space="preserve">Top </w:t>
      </w:r>
      <w:r w:rsidR="004F1079">
        <w:t>F</w:t>
      </w:r>
      <w:r w:rsidRPr="00EC03DB">
        <w:t xml:space="preserve">ive </w:t>
      </w:r>
      <w:r w:rsidR="004F1079">
        <w:t>L</w:t>
      </w:r>
      <w:r w:rsidRPr="00EC03DB">
        <w:t xml:space="preserve">eading </w:t>
      </w:r>
      <w:r w:rsidR="004F1079">
        <w:t>C</w:t>
      </w:r>
      <w:r w:rsidRPr="00EC03DB">
        <w:t xml:space="preserve">auses of </w:t>
      </w:r>
      <w:r w:rsidR="004F1079">
        <w:t>D</w:t>
      </w:r>
      <w:r w:rsidRPr="00EC03DB">
        <w:t xml:space="preserve">eath in Tennessee, </w:t>
      </w:r>
      <w:r w:rsidR="00D1325B">
        <w:t>201</w:t>
      </w:r>
      <w:bookmarkEnd w:id="137"/>
      <w:r w:rsidR="00543CBB">
        <w:t>2</w:t>
      </w:r>
      <w:bookmarkEnd w:id="138"/>
      <w:bookmarkEnd w:id="139"/>
      <w:bookmarkEnd w:id="140"/>
      <w:bookmarkEnd w:id="141"/>
      <w:bookmarkEnd w:id="142"/>
    </w:p>
    <w:p w:rsidR="001C04C6" w:rsidRDefault="00A11358" w:rsidP="001C04C6">
      <w:pPr>
        <w:jc w:val="center"/>
      </w:pPr>
      <w:r>
        <w:rPr>
          <w:noProof/>
          <w:lang w:bidi="ar-SA"/>
        </w:rPr>
        <mc:AlternateContent>
          <mc:Choice Requires="wps">
            <w:drawing>
              <wp:anchor distT="0" distB="0" distL="114300" distR="114300" simplePos="0" relativeHeight="252448768" behindDoc="0" locked="0" layoutInCell="1" allowOverlap="1" wp14:anchorId="1CC3B610" wp14:editId="1B2C509E">
                <wp:simplePos x="0" y="0"/>
                <wp:positionH relativeFrom="column">
                  <wp:posOffset>7258050</wp:posOffset>
                </wp:positionH>
                <wp:positionV relativeFrom="paragraph">
                  <wp:posOffset>820420</wp:posOffset>
                </wp:positionV>
                <wp:extent cx="400050" cy="247650"/>
                <wp:effectExtent l="0" t="0" r="19050" b="19050"/>
                <wp:wrapNone/>
                <wp:docPr id="71" name="Straight Connector 71"/>
                <wp:cNvGraphicFramePr/>
                <a:graphic xmlns:a="http://schemas.openxmlformats.org/drawingml/2006/main">
                  <a:graphicData uri="http://schemas.microsoft.com/office/word/2010/wordprocessingShape">
                    <wps:wsp>
                      <wps:cNvCnPr/>
                      <wps:spPr>
                        <a:xfrm flipH="1">
                          <a:off x="0" y="0"/>
                          <a:ext cx="4000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flip:x;z-index:252448768;visibility:visible;mso-wrap-style:square;mso-wrap-distance-left:9pt;mso-wrap-distance-top:0;mso-wrap-distance-right:9pt;mso-wrap-distance-bottom:0;mso-position-horizontal:absolute;mso-position-horizontal-relative:text;mso-position-vertical:absolute;mso-position-vertical-relative:text" from="571.5pt,64.6pt" to="603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" strokecolor="black [3213]"/>
            </w:pict>
          </mc:Fallback>
        </mc:AlternateContent>
      </w:r>
      <w:r>
        <w:rPr>
          <w:noProof/>
          <w:lang w:bidi="ar-SA"/>
        </w:rPr>
        <mc:AlternateContent>
          <mc:Choice Requires="wps">
            <w:drawing>
              <wp:anchor distT="0" distB="0" distL="114300" distR="114300" simplePos="0" relativeHeight="252447744" behindDoc="0" locked="0" layoutInCell="1" allowOverlap="1" wp14:anchorId="0E1D77D9" wp14:editId="1B8B6706">
                <wp:simplePos x="0" y="0"/>
                <wp:positionH relativeFrom="column">
                  <wp:posOffset>7162800</wp:posOffset>
                </wp:positionH>
                <wp:positionV relativeFrom="paragraph">
                  <wp:posOffset>496570</wp:posOffset>
                </wp:positionV>
                <wp:extent cx="1295400" cy="3238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3850"/>
                        </a:xfrm>
                        <a:prstGeom prst="rect">
                          <a:avLst/>
                        </a:prstGeom>
                        <a:noFill/>
                        <a:ln w="9525">
                          <a:noFill/>
                          <a:miter lim="800000"/>
                          <a:headEnd/>
                          <a:tailEnd/>
                        </a:ln>
                      </wps:spPr>
                      <wps:txbx>
                        <w:txbxContent>
                          <w:p w:rsidR="00CF610C" w:rsidRPr="00FA1AE8" w:rsidRDefault="00CF610C" w:rsidP="00A11358">
                            <w:pPr>
                              <w:rPr>
                                <w:sz w:val="14"/>
                              </w:rPr>
                            </w:pPr>
                            <w:r w:rsidRPr="00FA1AE8">
                              <w:rPr>
                                <w:sz w:val="14"/>
                              </w:rPr>
                              <w:t xml:space="preserve">Unintentional Injuries, </w:t>
                            </w:r>
                            <w:r>
                              <w:rPr>
                                <w:sz w:val="14"/>
                              </w:rPr>
                              <w:t>6.6</w:t>
                            </w:r>
                            <w:r w:rsidRPr="00FA1AE8">
                              <w:rPr>
                                <w:sz w:val="1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64pt;margin-top:39.1pt;width:102pt;height:25.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" filled="f" stroked="f">
                <v:textbox>
                  <w:txbxContent>
                    <w:p w:rsidR="00CF610C" w:rsidRPr="00FA1AE8" w:rsidRDefault="00CF610C" w:rsidP="00A11358">
                      <w:pPr>
                        <w:rPr>
                          <w:sz w:val="14"/>
                        </w:rPr>
                      </w:pPr>
                      <w:r w:rsidRPr="00FA1AE8">
                        <w:rPr>
                          <w:sz w:val="14"/>
                        </w:rPr>
                        <w:t xml:space="preserve">Unintentional Injuries, </w:t>
                      </w:r>
                      <w:r>
                        <w:rPr>
                          <w:sz w:val="14"/>
                        </w:rPr>
                        <w:t>6.6</w:t>
                      </w:r>
                      <w:r w:rsidRPr="00FA1AE8">
                        <w:rPr>
                          <w:sz w:val="14"/>
                        </w:rPr>
                        <w:t>%</w:t>
                      </w:r>
                    </w:p>
                  </w:txbxContent>
                </v:textbox>
              </v:shape>
            </w:pict>
          </mc:Fallback>
        </mc:AlternateContent>
      </w:r>
      <w:r w:rsidR="00FA1AE8">
        <w:rPr>
          <w:noProof/>
          <w:lang w:bidi="ar-SA"/>
        </w:rPr>
        <mc:AlternateContent>
          <mc:Choice Requires="wps">
            <w:drawing>
              <wp:anchor distT="0" distB="0" distL="114300" distR="114300" simplePos="0" relativeHeight="252445696" behindDoc="0" locked="0" layoutInCell="1" allowOverlap="1" wp14:anchorId="4DFC0494" wp14:editId="584892D5">
                <wp:simplePos x="0" y="0"/>
                <wp:positionH relativeFrom="column">
                  <wp:posOffset>2676525</wp:posOffset>
                </wp:positionH>
                <wp:positionV relativeFrom="paragraph">
                  <wp:posOffset>1068070</wp:posOffset>
                </wp:positionV>
                <wp:extent cx="1295400" cy="3238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3850"/>
                        </a:xfrm>
                        <a:prstGeom prst="rect">
                          <a:avLst/>
                        </a:prstGeom>
                        <a:noFill/>
                        <a:ln w="9525">
                          <a:noFill/>
                          <a:miter lim="800000"/>
                          <a:headEnd/>
                          <a:tailEnd/>
                        </a:ln>
                      </wps:spPr>
                      <wps:txbx>
                        <w:txbxContent>
                          <w:p w:rsidR="00CF610C" w:rsidRPr="00FA1AE8" w:rsidRDefault="00CF610C" w:rsidP="00FA1AE8">
                            <w:pPr>
                              <w:rPr>
                                <w:sz w:val="14"/>
                              </w:rPr>
                            </w:pPr>
                            <w:r w:rsidRPr="00FA1AE8">
                              <w:rPr>
                                <w:sz w:val="14"/>
                              </w:rPr>
                              <w:t>Unintentional Injuries, 5.</w:t>
                            </w:r>
                            <w:r>
                              <w:rPr>
                                <w:sz w:val="14"/>
                              </w:rPr>
                              <w:t>4</w:t>
                            </w:r>
                            <w:r w:rsidRPr="00FA1AE8">
                              <w:rPr>
                                <w:sz w:val="1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0.75pt;margin-top:84.1pt;width:102pt;height:25.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" filled="f" stroked="f">
                <v:textbox>
                  <w:txbxContent>
                    <w:p w:rsidR="00CF610C" w:rsidRPr="00FA1AE8" w:rsidRDefault="00CF610C" w:rsidP="00FA1AE8">
                      <w:pPr>
                        <w:rPr>
                          <w:sz w:val="14"/>
                        </w:rPr>
                      </w:pPr>
                      <w:r w:rsidRPr="00FA1AE8">
                        <w:rPr>
                          <w:sz w:val="14"/>
                        </w:rPr>
                        <w:t>Unintentional Injuries, 5.</w:t>
                      </w:r>
                      <w:r>
                        <w:rPr>
                          <w:sz w:val="14"/>
                        </w:rPr>
                        <w:t>4</w:t>
                      </w:r>
                      <w:r w:rsidRPr="00FA1AE8">
                        <w:rPr>
                          <w:sz w:val="14"/>
                        </w:rPr>
                        <w:t>%</w:t>
                      </w:r>
                    </w:p>
                  </w:txbxContent>
                </v:textbox>
              </v:shape>
            </w:pict>
          </mc:Fallback>
        </mc:AlternateContent>
      </w:r>
      <w:r w:rsidR="00FA1AE8">
        <w:rPr>
          <w:noProof/>
          <w:lang w:bidi="ar-SA"/>
        </w:rPr>
        <mc:AlternateContent>
          <mc:Choice Requires="wps">
            <w:drawing>
              <wp:anchor distT="0" distB="0" distL="114300" distR="114300" simplePos="0" relativeHeight="251642865" behindDoc="0" locked="0" layoutInCell="1" allowOverlap="1" wp14:anchorId="7335D2E3" wp14:editId="72E842AD">
                <wp:simplePos x="0" y="0"/>
                <wp:positionH relativeFrom="column">
                  <wp:posOffset>304800</wp:posOffset>
                </wp:positionH>
                <wp:positionV relativeFrom="paragraph">
                  <wp:posOffset>1325245</wp:posOffset>
                </wp:positionV>
                <wp:extent cx="1295400" cy="3238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3850"/>
                        </a:xfrm>
                        <a:prstGeom prst="rect">
                          <a:avLst/>
                        </a:prstGeom>
                        <a:noFill/>
                        <a:ln w="9525">
                          <a:noFill/>
                          <a:miter lim="800000"/>
                          <a:headEnd/>
                          <a:tailEnd/>
                        </a:ln>
                      </wps:spPr>
                      <wps:txbx>
                        <w:txbxContent>
                          <w:p w:rsidR="00CF610C" w:rsidRPr="00FA1AE8" w:rsidRDefault="00CF610C">
                            <w:pPr>
                              <w:rPr>
                                <w:sz w:val="14"/>
                              </w:rPr>
                            </w:pPr>
                            <w:r w:rsidRPr="00FA1AE8">
                              <w:rPr>
                                <w:sz w:val="14"/>
                              </w:rPr>
                              <w:t>Unintentional Injuries, 5.3%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pt;margin-top:104.35pt;width:102pt;height:25.5pt;z-index:251642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" filled="f" stroked="f">
                <v:textbox>
                  <w:txbxContent>
                    <w:p w:rsidR="00CF610C" w:rsidRPr="00FA1AE8" w:rsidRDefault="00CF610C">
                      <w:pPr>
                        <w:rPr>
                          <w:sz w:val="14"/>
                        </w:rPr>
                      </w:pPr>
                      <w:r w:rsidRPr="00FA1AE8">
                        <w:rPr>
                          <w:sz w:val="14"/>
                        </w:rPr>
                        <w:t>Unintentional Injuries, 5.3%</w:t>
                      </w:r>
                    </w:p>
                  </w:txbxContent>
                </v:textbox>
              </v:shape>
            </w:pict>
          </mc:Fallback>
        </mc:AlternateContent>
      </w:r>
      <w:r w:rsidR="00A23301">
        <w:rPr>
          <w:noProof/>
          <w:lang w:bidi="ar-SA"/>
        </w:rPr>
        <w:drawing>
          <wp:inline distT="0" distB="0" distL="0" distR="0" wp14:anchorId="5352DC8F" wp14:editId="2CE44194">
            <wp:extent cx="2409825" cy="1562100"/>
            <wp:effectExtent l="0" t="0" r="0" b="0"/>
            <wp:docPr id="89" name="Chart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ab/>
      </w:r>
      <w:r w:rsidR="004F192B">
        <w:rPr>
          <w:noProof/>
          <w:lang w:bidi="ar-SA"/>
        </w:rPr>
        <w:drawing>
          <wp:inline distT="0" distB="0" distL="0" distR="0" wp14:anchorId="4BB48642" wp14:editId="678F745B">
            <wp:extent cx="2107285" cy="1628775"/>
            <wp:effectExtent l="0" t="0" r="7620" b="0"/>
            <wp:docPr id="81" name="Chart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ab/>
      </w:r>
      <w:r w:rsidR="00A23301">
        <w:rPr>
          <w:noProof/>
          <w:lang w:bidi="ar-SA"/>
        </w:rPr>
        <w:drawing>
          <wp:inline distT="0" distB="0" distL="0" distR="0" wp14:anchorId="056FB3DC" wp14:editId="2953A882">
            <wp:extent cx="1921933" cy="1532466"/>
            <wp:effectExtent l="0" t="0" r="2540" b="0"/>
            <wp:docPr id="292" name="Chart 2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4781D" w:rsidRDefault="00297483" w:rsidP="001C04C6">
      <w:pPr>
        <w:jc w:val="center"/>
        <w:rPr>
          <w:noProof/>
          <w:lang w:bidi="ar-SA"/>
        </w:rPr>
      </w:pPr>
      <w:r>
        <w:rPr>
          <w:noProof/>
          <w:lang w:bidi="ar-SA"/>
        </w:rPr>
        <mc:AlternateContent>
          <mc:Choice Requires="wps">
            <w:drawing>
              <wp:anchor distT="0" distB="0" distL="114300" distR="114300" simplePos="0" relativeHeight="252454912" behindDoc="0" locked="0" layoutInCell="1" allowOverlap="1" wp14:anchorId="097455CD" wp14:editId="4F0C5364">
                <wp:simplePos x="0" y="0"/>
                <wp:positionH relativeFrom="column">
                  <wp:posOffset>1235286</wp:posOffset>
                </wp:positionH>
                <wp:positionV relativeFrom="paragraph">
                  <wp:posOffset>781050</wp:posOffset>
                </wp:positionV>
                <wp:extent cx="1184910" cy="3124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12420"/>
                        </a:xfrm>
                        <a:prstGeom prst="rect">
                          <a:avLst/>
                        </a:prstGeom>
                        <a:noFill/>
                        <a:ln w="9525">
                          <a:noFill/>
                          <a:miter lim="800000"/>
                          <a:headEnd/>
                          <a:tailEnd/>
                        </a:ln>
                      </wps:spPr>
                      <wps:txbx>
                        <w:txbxContent>
                          <w:p w:rsidR="00CF610C" w:rsidRPr="00297483" w:rsidRDefault="00CF610C">
                            <w:pPr>
                              <w:rPr>
                                <w:sz w:val="14"/>
                              </w:rPr>
                            </w:pPr>
                            <w:r w:rsidRPr="00297483">
                              <w:rPr>
                                <w:sz w:val="14"/>
                              </w:rPr>
                              <w:t>Diabetes Mellitus, 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7.25pt;margin-top:61.5pt;width:93.3pt;height:24.6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" filled="f" stroked="f">
                <v:textbox>
                  <w:txbxContent>
                    <w:p w:rsidR="00CF610C" w:rsidRPr="00297483" w:rsidRDefault="00CF610C">
                      <w:pPr>
                        <w:rPr>
                          <w:sz w:val="14"/>
                        </w:rPr>
                      </w:pPr>
                      <w:r w:rsidRPr="00297483">
                        <w:rPr>
                          <w:sz w:val="14"/>
                        </w:rPr>
                        <w:t>Diabetes Mellitus, 5.5%</w:t>
                      </w:r>
                    </w:p>
                  </w:txbxContent>
                </v:textbox>
              </v:shape>
            </w:pict>
          </mc:Fallback>
        </mc:AlternateContent>
      </w:r>
      <w:r w:rsidRPr="00AB265B">
        <w:rPr>
          <w:noProof/>
          <w:sz w:val="24"/>
          <w:lang w:bidi="ar-SA"/>
        </w:rPr>
        <mc:AlternateContent>
          <mc:Choice Requires="wps">
            <w:drawing>
              <wp:anchor distT="0" distB="0" distL="114300" distR="114300" simplePos="0" relativeHeight="252450816" behindDoc="0" locked="0" layoutInCell="1" allowOverlap="1" wp14:anchorId="26E80CD4" wp14:editId="2F40F144">
                <wp:simplePos x="0" y="0"/>
                <wp:positionH relativeFrom="column">
                  <wp:posOffset>1178348</wp:posOffset>
                </wp:positionH>
                <wp:positionV relativeFrom="paragraph">
                  <wp:posOffset>468630</wp:posOffset>
                </wp:positionV>
                <wp:extent cx="1143000" cy="35306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53060"/>
                        </a:xfrm>
                        <a:prstGeom prst="rect">
                          <a:avLst/>
                        </a:prstGeom>
                        <a:noFill/>
                        <a:ln w="9525">
                          <a:noFill/>
                          <a:miter lim="800000"/>
                          <a:headEnd/>
                          <a:tailEnd/>
                        </a:ln>
                      </wps:spPr>
                      <wps:txbx>
                        <w:txbxContent>
                          <w:p w:rsidR="00CF610C" w:rsidRPr="00AB265B" w:rsidRDefault="00CF610C">
                            <w:pPr>
                              <w:rPr>
                                <w:sz w:val="14"/>
                              </w:rPr>
                            </w:pPr>
                            <w:r w:rsidRPr="00AB265B">
                              <w:rPr>
                                <w:sz w:val="14"/>
                              </w:rPr>
                              <w:t>Alzheimer’s Disease</w:t>
                            </w:r>
                            <w:r>
                              <w:rPr>
                                <w:sz w:val="14"/>
                              </w:rPr>
                              <w:t>,</w:t>
                            </w:r>
                            <w:r w:rsidRPr="00AB265B">
                              <w:rPr>
                                <w:sz w:val="14"/>
                              </w:rPr>
                              <w:t xml:space="preserve"> 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2.8pt;margin-top:36.9pt;width:90pt;height:27.8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" filled="f" stroked="f">
                <v:textbox>
                  <w:txbxContent>
                    <w:p w:rsidR="00CF610C" w:rsidRPr="00AB265B" w:rsidRDefault="00CF610C">
                      <w:pPr>
                        <w:rPr>
                          <w:sz w:val="14"/>
                        </w:rPr>
                      </w:pPr>
                      <w:r w:rsidRPr="00AB265B">
                        <w:rPr>
                          <w:sz w:val="14"/>
                        </w:rPr>
                        <w:t>Alzheimer’s Disease</w:t>
                      </w:r>
                      <w:r>
                        <w:rPr>
                          <w:sz w:val="14"/>
                        </w:rPr>
                        <w:t>,</w:t>
                      </w:r>
                      <w:r w:rsidRPr="00AB265B">
                        <w:rPr>
                          <w:sz w:val="14"/>
                        </w:rPr>
                        <w:t xml:space="preserve"> 4.1%</w:t>
                      </w:r>
                    </w:p>
                  </w:txbxContent>
                </v:textbox>
              </v:shape>
            </w:pict>
          </mc:Fallback>
        </mc:AlternateContent>
      </w:r>
      <w:r w:rsidR="00C809FC" w:rsidRPr="00AB265B">
        <w:rPr>
          <w:noProof/>
          <w:sz w:val="24"/>
          <w:lang w:bidi="ar-SA"/>
        </w:rPr>
        <mc:AlternateContent>
          <mc:Choice Requires="wps">
            <w:drawing>
              <wp:anchor distT="0" distB="0" distL="114300" distR="114300" simplePos="0" relativeHeight="252452864" behindDoc="0" locked="0" layoutInCell="1" allowOverlap="1" wp14:anchorId="697485C8" wp14:editId="363D3FD2">
                <wp:simplePos x="0" y="0"/>
                <wp:positionH relativeFrom="column">
                  <wp:posOffset>6021281</wp:posOffset>
                </wp:positionH>
                <wp:positionV relativeFrom="paragraph">
                  <wp:posOffset>544407</wp:posOffset>
                </wp:positionV>
                <wp:extent cx="1233054" cy="35306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054" cy="353060"/>
                        </a:xfrm>
                        <a:prstGeom prst="rect">
                          <a:avLst/>
                        </a:prstGeom>
                        <a:noFill/>
                        <a:ln w="9525">
                          <a:noFill/>
                          <a:miter lim="800000"/>
                          <a:headEnd/>
                          <a:tailEnd/>
                        </a:ln>
                      </wps:spPr>
                      <wps:txbx>
                        <w:txbxContent>
                          <w:p w:rsidR="00CF610C" w:rsidRPr="00AB265B" w:rsidRDefault="00CF610C" w:rsidP="00C809FC">
                            <w:pPr>
                              <w:rPr>
                                <w:sz w:val="14"/>
                              </w:rPr>
                            </w:pPr>
                            <w:r>
                              <w:rPr>
                                <w:sz w:val="14"/>
                              </w:rPr>
                              <w:t>Alzheimer ’s D</w:t>
                            </w:r>
                            <w:r w:rsidRPr="00AB265B">
                              <w:rPr>
                                <w:sz w:val="14"/>
                              </w:rPr>
                              <w:t>isease</w:t>
                            </w:r>
                            <w:r>
                              <w:rPr>
                                <w:sz w:val="14"/>
                              </w:rPr>
                              <w:t>,</w:t>
                            </w:r>
                            <w:r w:rsidRPr="00AB265B">
                              <w:rPr>
                                <w:sz w:val="14"/>
                              </w:rPr>
                              <w:t xml:space="preserve"> </w:t>
                            </w:r>
                            <w:r>
                              <w:rPr>
                                <w:sz w:val="14"/>
                              </w:rPr>
                              <w:t>6.1</w:t>
                            </w:r>
                            <w:r w:rsidRPr="00AB265B">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74.1pt;margin-top:42.85pt;width:97.1pt;height:27.8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" filled="f" stroked="f">
                <v:textbox>
                  <w:txbxContent>
                    <w:p w:rsidR="00CF610C" w:rsidRPr="00AB265B" w:rsidRDefault="00CF610C" w:rsidP="00C809FC">
                      <w:pPr>
                        <w:rPr>
                          <w:sz w:val="14"/>
                        </w:rPr>
                      </w:pPr>
                      <w:r>
                        <w:rPr>
                          <w:sz w:val="14"/>
                        </w:rPr>
                        <w:t>Alzheimer ’s D</w:t>
                      </w:r>
                      <w:r w:rsidRPr="00AB265B">
                        <w:rPr>
                          <w:sz w:val="14"/>
                        </w:rPr>
                        <w:t>isease</w:t>
                      </w:r>
                      <w:r>
                        <w:rPr>
                          <w:sz w:val="14"/>
                        </w:rPr>
                        <w:t>,</w:t>
                      </w:r>
                      <w:r w:rsidRPr="00AB265B">
                        <w:rPr>
                          <w:sz w:val="14"/>
                        </w:rPr>
                        <w:t xml:space="preserve"> </w:t>
                      </w:r>
                      <w:r>
                        <w:rPr>
                          <w:sz w:val="14"/>
                        </w:rPr>
                        <w:t>6.1</w:t>
                      </w:r>
                      <w:r w:rsidRPr="00AB265B">
                        <w:rPr>
                          <w:sz w:val="14"/>
                        </w:rPr>
                        <w:t>%</w:t>
                      </w:r>
                    </w:p>
                  </w:txbxContent>
                </v:textbox>
              </v:shape>
            </w:pict>
          </mc:Fallback>
        </mc:AlternateContent>
      </w:r>
      <w:r w:rsidR="004F192B">
        <w:rPr>
          <w:noProof/>
          <w:lang w:bidi="ar-SA"/>
        </w:rPr>
        <w:drawing>
          <wp:inline distT="0" distB="0" distL="0" distR="0" wp14:anchorId="66C61FEC" wp14:editId="59C38942">
            <wp:extent cx="2055233" cy="1600200"/>
            <wp:effectExtent l="0" t="0" r="2540" b="0"/>
            <wp:docPr id="301" name="Chart 3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A11358">
        <w:rPr>
          <w:noProof/>
          <w:lang w:bidi="ar-SA"/>
        </w:rPr>
        <w:tab/>
      </w:r>
      <w:r w:rsidR="00FC68D0">
        <w:rPr>
          <w:noProof/>
          <w:lang w:bidi="ar-SA"/>
        </w:rPr>
        <w:drawing>
          <wp:inline distT="0" distB="0" distL="0" distR="0" wp14:anchorId="3D7591BA" wp14:editId="626463DC">
            <wp:extent cx="1828800" cy="1592580"/>
            <wp:effectExtent l="0" t="0" r="0" b="7620"/>
            <wp:docPr id="303" name="Chart 3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23301" w:rsidRDefault="00D778BE" w:rsidP="00A23301">
      <w:pPr>
        <w:pStyle w:val="NoSpacing"/>
        <w:spacing w:line="276" w:lineRule="auto"/>
        <w:ind w:left="720"/>
        <w:jc w:val="both"/>
        <w:rPr>
          <w:sz w:val="24"/>
        </w:rPr>
      </w:pPr>
      <w:r>
        <w:rPr>
          <w:noProof/>
          <w:sz w:val="22"/>
          <w:lang w:bidi="ar-SA"/>
        </w:rPr>
        <mc:AlternateContent>
          <mc:Choice Requires="wps">
            <w:drawing>
              <wp:anchor distT="0" distB="0" distL="114300" distR="114300" simplePos="0" relativeHeight="252345344" behindDoc="0" locked="0" layoutInCell="1" allowOverlap="1" wp14:anchorId="4057E037" wp14:editId="06416A09">
                <wp:simplePos x="0" y="0"/>
                <wp:positionH relativeFrom="column">
                  <wp:posOffset>1480</wp:posOffset>
                </wp:positionH>
                <wp:positionV relativeFrom="paragraph">
                  <wp:posOffset>22126</wp:posOffset>
                </wp:positionV>
                <wp:extent cx="8128000" cy="0"/>
                <wp:effectExtent l="0" t="0" r="25400" b="19050"/>
                <wp:wrapNone/>
                <wp:docPr id="323" name="Straight Connector 323"/>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 o:spid="_x0000_s1026" style="position:absolute;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5pt" to="640.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" strokecolor="#1b587c [3206]" strokeweight="1pt"/>
            </w:pict>
          </mc:Fallback>
        </mc:AlternateContent>
      </w:r>
    </w:p>
    <w:p w:rsidR="00A64253" w:rsidRPr="006C18BC" w:rsidRDefault="00A64253" w:rsidP="008A7576">
      <w:pPr>
        <w:pStyle w:val="NoSpacing"/>
        <w:numPr>
          <w:ilvl w:val="0"/>
          <w:numId w:val="32"/>
        </w:numPr>
        <w:spacing w:line="276" w:lineRule="auto"/>
        <w:jc w:val="both"/>
        <w:rPr>
          <w:sz w:val="24"/>
        </w:rPr>
      </w:pPr>
      <w:r w:rsidRPr="006C18BC">
        <w:rPr>
          <w:sz w:val="24"/>
        </w:rPr>
        <w:t>Heart disease was the leading cause of death for all Tennesseans, claiming 14,228 lives in 2012.</w:t>
      </w:r>
    </w:p>
    <w:p w:rsidR="00C8749B" w:rsidRPr="006C18BC" w:rsidRDefault="00C8749B" w:rsidP="008A7576">
      <w:pPr>
        <w:pStyle w:val="NoSpacing"/>
        <w:numPr>
          <w:ilvl w:val="0"/>
          <w:numId w:val="32"/>
        </w:numPr>
        <w:spacing w:line="276" w:lineRule="auto"/>
        <w:jc w:val="both"/>
        <w:rPr>
          <w:sz w:val="24"/>
        </w:rPr>
      </w:pPr>
      <w:r w:rsidRPr="006C18BC">
        <w:rPr>
          <w:sz w:val="24"/>
        </w:rPr>
        <w:t>Heart disease was the leading cause of death among white males</w:t>
      </w:r>
      <w:r w:rsidR="00E12FE5">
        <w:rPr>
          <w:sz w:val="24"/>
        </w:rPr>
        <w:t xml:space="preserve"> and</w:t>
      </w:r>
      <w:r w:rsidRPr="006C18BC">
        <w:rPr>
          <w:sz w:val="24"/>
        </w:rPr>
        <w:t xml:space="preserve"> white females, </w:t>
      </w:r>
      <w:r w:rsidR="00E12FE5">
        <w:rPr>
          <w:sz w:val="24"/>
        </w:rPr>
        <w:t>but was</w:t>
      </w:r>
      <w:r w:rsidRPr="006C18BC">
        <w:rPr>
          <w:sz w:val="24"/>
        </w:rPr>
        <w:t xml:space="preserve"> the 2</w:t>
      </w:r>
      <w:r w:rsidRPr="006C18BC">
        <w:rPr>
          <w:sz w:val="24"/>
          <w:vertAlign w:val="superscript"/>
        </w:rPr>
        <w:t>nd</w:t>
      </w:r>
      <w:r w:rsidRPr="006C18BC">
        <w:rPr>
          <w:sz w:val="24"/>
        </w:rPr>
        <w:t xml:space="preserve"> leading cause of death among black males and black females.</w:t>
      </w:r>
    </w:p>
    <w:p w:rsidR="00C8749B" w:rsidRPr="006C18BC" w:rsidRDefault="00C8749B" w:rsidP="008A7576">
      <w:pPr>
        <w:pStyle w:val="NoSpacing"/>
        <w:numPr>
          <w:ilvl w:val="0"/>
          <w:numId w:val="32"/>
        </w:numPr>
        <w:spacing w:line="276" w:lineRule="auto"/>
        <w:jc w:val="both"/>
        <w:rPr>
          <w:sz w:val="24"/>
        </w:rPr>
      </w:pPr>
      <w:r w:rsidRPr="006C18BC">
        <w:rPr>
          <w:sz w:val="24"/>
        </w:rPr>
        <w:t>Cancer was the 2</w:t>
      </w:r>
      <w:r w:rsidRPr="006C18BC">
        <w:rPr>
          <w:sz w:val="24"/>
          <w:vertAlign w:val="superscript"/>
        </w:rPr>
        <w:t>nd</w:t>
      </w:r>
      <w:r w:rsidRPr="006C18BC">
        <w:rPr>
          <w:sz w:val="24"/>
        </w:rPr>
        <w:t xml:space="preserve"> leading cause of death for all Tennesseans, claiming 13,630 lives </w:t>
      </w:r>
      <w:r w:rsidR="00FE3FC1">
        <w:rPr>
          <w:sz w:val="24"/>
        </w:rPr>
        <w:t>during 2012</w:t>
      </w:r>
      <w:r w:rsidRPr="006C18BC">
        <w:rPr>
          <w:sz w:val="24"/>
        </w:rPr>
        <w:t>.</w:t>
      </w:r>
    </w:p>
    <w:p w:rsidR="00A64253" w:rsidRPr="006C18BC" w:rsidRDefault="00C8749B" w:rsidP="008A7576">
      <w:pPr>
        <w:pStyle w:val="NoSpacing"/>
        <w:numPr>
          <w:ilvl w:val="0"/>
          <w:numId w:val="32"/>
        </w:numPr>
        <w:spacing w:line="276" w:lineRule="auto"/>
        <w:jc w:val="both"/>
        <w:rPr>
          <w:sz w:val="24"/>
        </w:rPr>
      </w:pPr>
      <w:r w:rsidRPr="006C18BC">
        <w:rPr>
          <w:sz w:val="24"/>
        </w:rPr>
        <w:t>Cancer was the 1</w:t>
      </w:r>
      <w:r w:rsidRPr="006C18BC">
        <w:rPr>
          <w:sz w:val="24"/>
          <w:vertAlign w:val="superscript"/>
        </w:rPr>
        <w:t>st</w:t>
      </w:r>
      <w:r w:rsidRPr="006C18BC">
        <w:rPr>
          <w:sz w:val="24"/>
        </w:rPr>
        <w:t xml:space="preserve"> leading cause of death among black males and black females, and the 2</w:t>
      </w:r>
      <w:r w:rsidRPr="006C18BC">
        <w:rPr>
          <w:sz w:val="24"/>
          <w:vertAlign w:val="superscript"/>
        </w:rPr>
        <w:t>nd</w:t>
      </w:r>
      <w:r w:rsidRPr="006C18BC">
        <w:rPr>
          <w:sz w:val="24"/>
        </w:rPr>
        <w:t xml:space="preserve"> leading cause for white males and white females.</w:t>
      </w:r>
    </w:p>
    <w:p w:rsidR="00C8749B" w:rsidRDefault="002414D2" w:rsidP="00105F6B">
      <w:pPr>
        <w:contextualSpacing/>
        <w:jc w:val="both"/>
      </w:pPr>
      <w:r>
        <w:rPr>
          <w:noProof/>
          <w:sz w:val="22"/>
          <w:lang w:bidi="ar-SA"/>
        </w:rPr>
        <mc:AlternateContent>
          <mc:Choice Requires="wps">
            <w:drawing>
              <wp:anchor distT="0" distB="0" distL="114300" distR="114300" simplePos="0" relativeHeight="252347392" behindDoc="0" locked="0" layoutInCell="1" allowOverlap="1" wp14:anchorId="168D9CC2" wp14:editId="51C38EE0">
                <wp:simplePos x="0" y="0"/>
                <wp:positionH relativeFrom="column">
                  <wp:posOffset>1270</wp:posOffset>
                </wp:positionH>
                <wp:positionV relativeFrom="paragraph">
                  <wp:posOffset>384810</wp:posOffset>
                </wp:positionV>
                <wp:extent cx="8128000" cy="0"/>
                <wp:effectExtent l="0" t="0" r="25400" b="19050"/>
                <wp:wrapNone/>
                <wp:docPr id="324" name="Straight Connector 324"/>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 o:spid="_x0000_s1026" style="position:absolute;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0.3pt" to="640.1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" strokecolor="#1b587c [3206]" strokeweight="1pt"/>
            </w:pict>
          </mc:Fallback>
        </mc:AlternateContent>
      </w:r>
      <w:r w:rsidR="00C8749B" w:rsidRPr="006C18BC">
        <w:rPr>
          <w:sz w:val="24"/>
        </w:rPr>
        <w:t>Note: CLRD stands for chronic lower respiratory diseases.</w:t>
      </w:r>
      <w:r w:rsidR="00543CBB" w:rsidRPr="006C18BC">
        <w:rPr>
          <w:sz w:val="22"/>
        </w:rPr>
        <w:t xml:space="preserve">  </w:t>
      </w:r>
      <w:r w:rsidR="007B2460" w:rsidRPr="006C18BC">
        <w:rPr>
          <w:sz w:val="22"/>
        </w:rPr>
        <w:t xml:space="preserve"> </w:t>
      </w:r>
      <w:r w:rsidR="007B2460">
        <w:tab/>
      </w:r>
      <w:r w:rsidR="007B2460">
        <w:tab/>
        <w:t xml:space="preserve">       </w:t>
      </w:r>
    </w:p>
    <w:p w:rsidR="00A64253" w:rsidRDefault="00A64253" w:rsidP="006C18BC">
      <w:pPr>
        <w:pStyle w:val="NoSpacing"/>
        <w:jc w:val="right"/>
        <w:rPr>
          <w:rStyle w:val="Hyperlink"/>
        </w:rPr>
      </w:pPr>
      <w:r>
        <w:t xml:space="preserve"> </w:t>
      </w:r>
    </w:p>
    <w:p w:rsidR="00A23301" w:rsidRDefault="00A64253" w:rsidP="006C18BC">
      <w:pPr>
        <w:pStyle w:val="NoSpacing"/>
        <w:jc w:val="right"/>
        <w:rPr>
          <w:rStyle w:val="Hyperlink"/>
        </w:rPr>
      </w:pPr>
      <w:r>
        <w:fldChar w:fldCharType="begin"/>
      </w:r>
      <w:r>
        <w:instrText>HYPERLINK  \l "_Data_Sources_1"</w:instrText>
      </w:r>
      <w:r>
        <w:fldChar w:fldCharType="separate"/>
      </w:r>
      <w:r w:rsidRPr="00285431">
        <w:rPr>
          <w:rStyle w:val="Hyperlink"/>
        </w:rPr>
        <w:t>Data Source</w:t>
      </w:r>
      <w:r w:rsidR="00A23301">
        <w:rPr>
          <w:rStyle w:val="Hyperlink"/>
        </w:rPr>
        <w:t xml:space="preserve"> </w:t>
      </w:r>
    </w:p>
    <w:p w:rsidR="00A23301" w:rsidRDefault="00A23301" w:rsidP="006C18BC">
      <w:pPr>
        <w:pStyle w:val="NoSpacing"/>
        <w:jc w:val="right"/>
        <w:rPr>
          <w:rStyle w:val="Hyperlink"/>
        </w:rPr>
      </w:pPr>
    </w:p>
    <w:p w:rsidR="00673569" w:rsidRPr="00A64253" w:rsidRDefault="00A64253" w:rsidP="00B65845">
      <w:pPr>
        <w:pStyle w:val="Heading1"/>
        <w:rPr>
          <w:sz w:val="22"/>
          <w:szCs w:val="24"/>
        </w:rPr>
      </w:pPr>
      <w:r>
        <w:lastRenderedPageBreak/>
        <w:fldChar w:fldCharType="end"/>
      </w:r>
      <w:bookmarkStart w:id="143" w:name="_Toc341099528"/>
      <w:bookmarkStart w:id="144" w:name="_Toc421608530"/>
      <w:bookmarkStart w:id="145" w:name="_Toc421609348"/>
      <w:bookmarkStart w:id="146" w:name="_Toc421609682"/>
      <w:bookmarkStart w:id="147" w:name="_Toc421611208"/>
      <w:bookmarkStart w:id="148" w:name="_Toc439918838"/>
      <w:r w:rsidR="00C13647">
        <w:t xml:space="preserve">Tennessee </w:t>
      </w:r>
      <w:r w:rsidR="004F1079">
        <w:t>C</w:t>
      </w:r>
      <w:r w:rsidR="00C13647">
        <w:t>ompared to the United States</w:t>
      </w:r>
      <w:bookmarkEnd w:id="143"/>
      <w:bookmarkEnd w:id="144"/>
      <w:bookmarkEnd w:id="145"/>
      <w:bookmarkEnd w:id="146"/>
      <w:bookmarkEnd w:id="147"/>
      <w:bookmarkEnd w:id="148"/>
    </w:p>
    <w:p w:rsidR="006B5379" w:rsidRPr="00976CBD" w:rsidRDefault="00095B76" w:rsidP="00903E48">
      <w:pPr>
        <w:pStyle w:val="Heading2"/>
      </w:pPr>
      <w:bookmarkStart w:id="149" w:name="_Toc341099529"/>
      <w:r w:rsidRPr="00976CBD">
        <w:t xml:space="preserve"> </w:t>
      </w:r>
      <w:bookmarkStart w:id="150" w:name="_Toc421608531"/>
      <w:bookmarkStart w:id="151" w:name="_Toc421609349"/>
      <w:bookmarkStart w:id="152" w:name="_Toc421609683"/>
      <w:bookmarkStart w:id="153" w:name="_Toc421611209"/>
      <w:bookmarkStart w:id="154" w:name="_Toc439918839"/>
      <w:r w:rsidR="000C699F" w:rsidRPr="00976CBD">
        <w:t>C</w:t>
      </w:r>
      <w:r w:rsidR="006B5379" w:rsidRPr="00976CBD">
        <w:t xml:space="preserve">ancer </w:t>
      </w:r>
      <w:r w:rsidR="00DF4915" w:rsidRPr="00976CBD">
        <w:t>M</w:t>
      </w:r>
      <w:r w:rsidR="006B5379" w:rsidRPr="00976CBD">
        <w:t xml:space="preserve">ortality </w:t>
      </w:r>
      <w:r w:rsidR="00DF4915" w:rsidRPr="00976CBD">
        <w:t>T</w:t>
      </w:r>
      <w:r w:rsidR="006B5379" w:rsidRPr="00976CBD">
        <w:t>rend, 199</w:t>
      </w:r>
      <w:r w:rsidR="00F22B39">
        <w:t>2</w:t>
      </w:r>
      <w:r w:rsidR="006B5379" w:rsidRPr="00976CBD">
        <w:t>-</w:t>
      </w:r>
      <w:r w:rsidR="00D1325B" w:rsidRPr="00976CBD">
        <w:t>201</w:t>
      </w:r>
      <w:bookmarkEnd w:id="149"/>
      <w:bookmarkEnd w:id="150"/>
      <w:bookmarkEnd w:id="151"/>
      <w:bookmarkEnd w:id="152"/>
      <w:bookmarkEnd w:id="153"/>
      <w:r w:rsidR="00F22B39">
        <w:t>2</w:t>
      </w:r>
      <w:bookmarkEnd w:id="154"/>
    </w:p>
    <w:p w:rsidR="005D465D" w:rsidRDefault="001E6F68">
      <w:r>
        <w:rPr>
          <w:noProof/>
          <w:lang w:bidi="ar-SA"/>
        </w:rPr>
        <mc:AlternateContent>
          <mc:Choice Requires="wps">
            <w:drawing>
              <wp:anchor distT="0" distB="0" distL="114300" distR="114300" simplePos="0" relativeHeight="252300288" behindDoc="0" locked="0" layoutInCell="1" allowOverlap="1" wp14:anchorId="564CFD64" wp14:editId="62A1D33F">
                <wp:simplePos x="0" y="0"/>
                <wp:positionH relativeFrom="column">
                  <wp:posOffset>461010</wp:posOffset>
                </wp:positionH>
                <wp:positionV relativeFrom="paragraph">
                  <wp:posOffset>2949661</wp:posOffset>
                </wp:positionV>
                <wp:extent cx="2965142" cy="409575"/>
                <wp:effectExtent l="0" t="0" r="6985"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142" cy="409575"/>
                        </a:xfrm>
                        <a:prstGeom prst="rect">
                          <a:avLst/>
                        </a:prstGeom>
                        <a:solidFill>
                          <a:srgbClr val="FFFFFF"/>
                        </a:solidFill>
                        <a:ln w="9525">
                          <a:noFill/>
                          <a:miter lim="800000"/>
                          <a:headEnd/>
                          <a:tailEnd/>
                        </a:ln>
                      </wps:spPr>
                      <wps:txbx>
                        <w:txbxContent>
                          <w:p w:rsidR="00CF610C" w:rsidRPr="001E6F68" w:rsidRDefault="00CF610C" w:rsidP="001E6F68">
                            <w:pPr>
                              <w:pStyle w:val="NoSpacing"/>
                              <w:rPr>
                                <w:sz w:val="16"/>
                                <w:szCs w:val="16"/>
                              </w:rPr>
                            </w:pPr>
                            <w:r w:rsidRPr="001E6F68">
                              <w:rPr>
                                <w:sz w:val="16"/>
                                <w:szCs w:val="16"/>
                              </w:rPr>
                              <w:t xml:space="preserve">Source: National Cancer Institute (NCI). State Cancer Profiles. </w:t>
                            </w:r>
                          </w:p>
                          <w:p w:rsidR="00CF610C" w:rsidRPr="001E6F68" w:rsidRDefault="00CF610C" w:rsidP="001E6F68">
                            <w:pPr>
                              <w:pStyle w:val="NoSpacing"/>
                              <w:rPr>
                                <w:sz w:val="16"/>
                                <w:szCs w:val="16"/>
                              </w:rPr>
                            </w:pPr>
                            <w:r w:rsidRPr="001E6F68">
                              <w:rPr>
                                <w:sz w:val="16"/>
                                <w:szCs w:val="16"/>
                              </w:rPr>
                              <w:t xml:space="preserve">Retrieved from </w:t>
                            </w:r>
                            <w:hyperlink r:id="rId37" w:history="1">
                              <w:r w:rsidRPr="001E6F68">
                                <w:rPr>
                                  <w:rStyle w:val="Hyperlink"/>
                                  <w:sz w:val="16"/>
                                  <w:szCs w:val="16"/>
                                </w:rPr>
                                <w:t>http://statecancerprofiles.cancer.gov/index.html</w:t>
                              </w:r>
                            </w:hyperlink>
                            <w:r w:rsidRPr="001E6F68">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3pt;margin-top:232.25pt;width:233.5pt;height:32.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NlJAIAACM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" stroked="f">
                <v:textbox>
                  <w:txbxContent>
                    <w:p w:rsidR="00CF610C" w:rsidRPr="001E6F68" w:rsidRDefault="00CF610C" w:rsidP="001E6F68">
                      <w:pPr>
                        <w:pStyle w:val="NoSpacing"/>
                        <w:rPr>
                          <w:sz w:val="16"/>
                          <w:szCs w:val="16"/>
                        </w:rPr>
                      </w:pPr>
                      <w:r w:rsidRPr="001E6F68">
                        <w:rPr>
                          <w:sz w:val="16"/>
                          <w:szCs w:val="16"/>
                        </w:rPr>
                        <w:t xml:space="preserve">Source: National Cancer Institute (NCI). State Cancer Profiles. </w:t>
                      </w:r>
                    </w:p>
                    <w:p w:rsidR="00CF610C" w:rsidRPr="001E6F68" w:rsidRDefault="00CF610C" w:rsidP="001E6F68">
                      <w:pPr>
                        <w:pStyle w:val="NoSpacing"/>
                        <w:rPr>
                          <w:sz w:val="16"/>
                          <w:szCs w:val="16"/>
                        </w:rPr>
                      </w:pPr>
                      <w:r w:rsidRPr="001E6F68">
                        <w:rPr>
                          <w:sz w:val="16"/>
                          <w:szCs w:val="16"/>
                        </w:rPr>
                        <w:t xml:space="preserve">Retrieved from </w:t>
                      </w:r>
                      <w:hyperlink r:id="rId38" w:history="1">
                        <w:r w:rsidRPr="001E6F68">
                          <w:rPr>
                            <w:rStyle w:val="Hyperlink"/>
                            <w:sz w:val="16"/>
                            <w:szCs w:val="16"/>
                          </w:rPr>
                          <w:t>http://statecancerprofiles.cancer.gov/index.html</w:t>
                        </w:r>
                      </w:hyperlink>
                      <w:r w:rsidRPr="001E6F68">
                        <w:rPr>
                          <w:sz w:val="16"/>
                          <w:szCs w:val="16"/>
                        </w:rPr>
                        <w:t xml:space="preserve"> </w:t>
                      </w:r>
                    </w:p>
                  </w:txbxContent>
                </v:textbox>
              </v:shape>
            </w:pict>
          </mc:Fallback>
        </mc:AlternateContent>
      </w:r>
      <w:r w:rsidR="00F22B39">
        <w:rPr>
          <w:noProof/>
          <w:lang w:bidi="ar-SA"/>
        </w:rPr>
        <w:drawing>
          <wp:inline distT="0" distB="0" distL="0" distR="0" wp14:anchorId="753203A1" wp14:editId="1AC23F56">
            <wp:extent cx="8229600" cy="3231472"/>
            <wp:effectExtent l="0" t="0" r="0" b="762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0AD8" w:rsidRDefault="00C63224" w:rsidP="00EE0AD8">
      <w:pPr>
        <w:ind w:left="360" w:hanging="360"/>
      </w:pPr>
      <w:r>
        <w:rPr>
          <w:noProof/>
          <w:sz w:val="22"/>
          <w:lang w:bidi="ar-SA"/>
        </w:rPr>
        <mc:AlternateContent>
          <mc:Choice Requires="wps">
            <w:drawing>
              <wp:anchor distT="0" distB="0" distL="114300" distR="114300" simplePos="0" relativeHeight="252349440" behindDoc="0" locked="0" layoutInCell="1" allowOverlap="1" wp14:anchorId="290485DC" wp14:editId="2D900491">
                <wp:simplePos x="0" y="0"/>
                <wp:positionH relativeFrom="column">
                  <wp:posOffset>-7398</wp:posOffset>
                </wp:positionH>
                <wp:positionV relativeFrom="paragraph">
                  <wp:posOffset>254739</wp:posOffset>
                </wp:positionV>
                <wp:extent cx="8128000" cy="0"/>
                <wp:effectExtent l="0" t="0" r="25400" b="19050"/>
                <wp:wrapNone/>
                <wp:docPr id="325" name="Straight Connector 325"/>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 o:spid="_x0000_s1026" style="position:absolute;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0.05pt" to="639.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" strokecolor="#1b587c [3206]" strokeweight="1pt"/>
            </w:pict>
          </mc:Fallback>
        </mc:AlternateContent>
      </w:r>
    </w:p>
    <w:p w:rsidR="00FE3FC1" w:rsidRDefault="00FE3FC1" w:rsidP="008A7576">
      <w:pPr>
        <w:pStyle w:val="ListParagraph"/>
        <w:numPr>
          <w:ilvl w:val="0"/>
          <w:numId w:val="33"/>
        </w:numPr>
        <w:jc w:val="both"/>
      </w:pPr>
      <w:r>
        <w:t>In TN and the U.S., cancer was the second leading cause of death.</w:t>
      </w:r>
    </w:p>
    <w:p w:rsidR="005D465D" w:rsidRDefault="00F22B39" w:rsidP="008A7576">
      <w:pPr>
        <w:pStyle w:val="ListParagraph"/>
        <w:numPr>
          <w:ilvl w:val="0"/>
          <w:numId w:val="33"/>
        </w:numPr>
        <w:jc w:val="both"/>
      </w:pPr>
      <w:r>
        <w:t xml:space="preserve">The age-adjusted cancer mortality rate in </w:t>
      </w:r>
      <w:r w:rsidR="00410258">
        <w:t>TN</w:t>
      </w:r>
      <w:r>
        <w:t xml:space="preserve"> and the U.S. decreased over time, by 15.</w:t>
      </w:r>
      <w:r w:rsidR="00F9491E">
        <w:t>3</w:t>
      </w:r>
      <w:r>
        <w:t>% and 22.</w:t>
      </w:r>
      <w:r w:rsidR="00F9491E">
        <w:t>1</w:t>
      </w:r>
      <w:r>
        <w:t>%, respectively, from 1992 to 2012.</w:t>
      </w:r>
    </w:p>
    <w:p w:rsidR="007F284C" w:rsidRDefault="00F22B39" w:rsidP="008A7576">
      <w:pPr>
        <w:pStyle w:val="ListParagraph"/>
        <w:numPr>
          <w:ilvl w:val="0"/>
          <w:numId w:val="33"/>
        </w:numPr>
        <w:jc w:val="both"/>
      </w:pPr>
      <w:r>
        <w:t>In 1992, the T</w:t>
      </w:r>
      <w:r w:rsidR="00410258">
        <w:t>N</w:t>
      </w:r>
      <w:r>
        <w:t xml:space="preserve"> cancer mortality rate was 2.</w:t>
      </w:r>
      <w:r w:rsidR="00F9491E">
        <w:t>9</w:t>
      </w:r>
      <w:r>
        <w:t>% higher than t</w:t>
      </w:r>
      <w:r w:rsidR="007F284C">
        <w:t>he U.S.</w:t>
      </w:r>
      <w:r w:rsidR="0030215E">
        <w:t xml:space="preserve"> rate</w:t>
      </w:r>
      <w:r w:rsidR="007F284C">
        <w:t>.</w:t>
      </w:r>
    </w:p>
    <w:p w:rsidR="00F22B39" w:rsidRDefault="004F3CCE" w:rsidP="008A7576">
      <w:pPr>
        <w:pStyle w:val="ListParagraph"/>
        <w:numPr>
          <w:ilvl w:val="0"/>
          <w:numId w:val="33"/>
        </w:numPr>
        <w:jc w:val="both"/>
      </w:pPr>
      <w:r>
        <w:t>I</w:t>
      </w:r>
      <w:r w:rsidR="0030215E">
        <w:t>n 2012</w:t>
      </w:r>
      <w:r w:rsidR="007F284C">
        <w:t>,</w:t>
      </w:r>
      <w:r w:rsidR="0030215E">
        <w:t xml:space="preserve"> Tennessee’s cancer mortality rate was 12</w:t>
      </w:r>
      <w:r>
        <w:t>.0</w:t>
      </w:r>
      <w:r w:rsidR="0030215E">
        <w:t>% higher than the U.S. rate.</w:t>
      </w:r>
    </w:p>
    <w:p w:rsidR="008C6898" w:rsidRDefault="002414D2" w:rsidP="008A7576">
      <w:pPr>
        <w:pStyle w:val="ListParagraph"/>
        <w:numPr>
          <w:ilvl w:val="0"/>
          <w:numId w:val="33"/>
        </w:numPr>
        <w:jc w:val="both"/>
      </w:pPr>
      <w:r>
        <w:rPr>
          <w:noProof/>
          <w:sz w:val="22"/>
          <w:lang w:bidi="ar-SA"/>
        </w:rPr>
        <mc:AlternateContent>
          <mc:Choice Requires="wps">
            <w:drawing>
              <wp:anchor distT="0" distB="0" distL="114300" distR="114300" simplePos="0" relativeHeight="252351488" behindDoc="0" locked="0" layoutInCell="1" allowOverlap="1" wp14:anchorId="090BF8A2" wp14:editId="2B4E1D0B">
                <wp:simplePos x="0" y="0"/>
                <wp:positionH relativeFrom="column">
                  <wp:posOffset>-8742</wp:posOffset>
                </wp:positionH>
                <wp:positionV relativeFrom="paragraph">
                  <wp:posOffset>445770</wp:posOffset>
                </wp:positionV>
                <wp:extent cx="8128000" cy="0"/>
                <wp:effectExtent l="0" t="0" r="25400" b="19050"/>
                <wp:wrapNone/>
                <wp:docPr id="326" name="Straight Connector 326"/>
                <wp:cNvGraphicFramePr/>
                <a:graphic xmlns:a="http://schemas.openxmlformats.org/drawingml/2006/main">
                  <a:graphicData uri="http://schemas.microsoft.com/office/word/2010/wordprocessingShape">
                    <wps:wsp>
                      <wps:cNvCnPr/>
                      <wps:spPr>
                        <a:xfrm>
                          <a:off x="0" y="0"/>
                          <a:ext cx="812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35.1pt" to="639.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" strokecolor="#1b587c [3206]" strokeweight="1pt"/>
            </w:pict>
          </mc:Fallback>
        </mc:AlternateContent>
      </w:r>
      <w:r w:rsidR="006A2E18">
        <w:t xml:space="preserve">In 1995, </w:t>
      </w:r>
      <w:r w:rsidR="00F1653D">
        <w:t>Tennesse</w:t>
      </w:r>
      <w:r w:rsidR="00410258">
        <w:t>ans</w:t>
      </w:r>
      <w:r w:rsidR="00F1653D">
        <w:t xml:space="preserve"> experienced </w:t>
      </w:r>
      <w:r w:rsidR="004F3CCE">
        <w:t>the</w:t>
      </w:r>
      <w:r w:rsidR="00F1653D">
        <w:t xml:space="preserve"> highest cancer mortality rate</w:t>
      </w:r>
      <w:r w:rsidR="004F3CCE">
        <w:t xml:space="preserve">, </w:t>
      </w:r>
      <w:r w:rsidR="00F1653D">
        <w:t>223.3 per 100,000</w:t>
      </w:r>
      <w:r w:rsidR="008C6898">
        <w:t>.</w:t>
      </w:r>
    </w:p>
    <w:p w:rsidR="00985E14" w:rsidRDefault="008C6898" w:rsidP="008A7576">
      <w:pPr>
        <w:pStyle w:val="ListParagraph"/>
        <w:numPr>
          <w:ilvl w:val="0"/>
          <w:numId w:val="33"/>
        </w:numPr>
        <w:jc w:val="both"/>
      </w:pPr>
      <w:r>
        <w:t>Since 1995, the cancer</w:t>
      </w:r>
      <w:r w:rsidR="00F1653D">
        <w:t xml:space="preserve"> mortality rate</w:t>
      </w:r>
      <w:r w:rsidR="00BB2616">
        <w:t xml:space="preserve"> in TN</w:t>
      </w:r>
      <w:r w:rsidR="00F1653D">
        <w:t xml:space="preserve"> has dropped by </w:t>
      </w:r>
      <w:r w:rsidR="00F9491E">
        <w:t>20.1</w:t>
      </w:r>
      <w:r w:rsidR="00F1653D">
        <w:t>%.</w:t>
      </w:r>
    </w:p>
    <w:p w:rsidR="00F22B39" w:rsidRDefault="00964E4C" w:rsidP="00F22B39">
      <w:pPr>
        <w:jc w:val="right"/>
      </w:pPr>
      <w:hyperlink w:anchor="_Data_Sources_2" w:history="1">
        <w:r w:rsidR="00F22B39" w:rsidRPr="00F22B39">
          <w:rPr>
            <w:rStyle w:val="Hyperlink"/>
          </w:rPr>
          <w:t>Data Source</w:t>
        </w:r>
      </w:hyperlink>
    </w:p>
    <w:p w:rsidR="004D5451" w:rsidRPr="00976CBD" w:rsidRDefault="004D5451" w:rsidP="00903E48">
      <w:pPr>
        <w:pStyle w:val="Heading2"/>
      </w:pPr>
      <w:bookmarkStart w:id="155" w:name="_Toc341099530"/>
      <w:bookmarkStart w:id="156" w:name="_Toc421608532"/>
      <w:bookmarkStart w:id="157" w:name="_Toc421609350"/>
      <w:bookmarkStart w:id="158" w:name="_Toc421609684"/>
      <w:bookmarkStart w:id="159" w:name="_Toc421611210"/>
      <w:bookmarkStart w:id="160" w:name="_Toc439918840"/>
      <w:r w:rsidRPr="00976CBD">
        <w:lastRenderedPageBreak/>
        <w:t xml:space="preserve">Tennessee </w:t>
      </w:r>
      <w:r w:rsidR="000E268C">
        <w:t xml:space="preserve">Cancer Incidence and Mortality </w:t>
      </w:r>
      <w:r w:rsidRPr="00976CBD">
        <w:t xml:space="preserve">Rankings, </w:t>
      </w:r>
      <w:bookmarkEnd w:id="155"/>
      <w:r w:rsidR="008976BF">
        <w:t>2008-</w:t>
      </w:r>
      <w:r>
        <w:t>2012</w:t>
      </w:r>
      <w:bookmarkEnd w:id="156"/>
      <w:bookmarkEnd w:id="157"/>
      <w:bookmarkEnd w:id="158"/>
      <w:bookmarkEnd w:id="159"/>
      <w:bookmarkEnd w:id="160"/>
    </w:p>
    <w:p w:rsidR="004D5451" w:rsidRDefault="00736BC2" w:rsidP="00A44974">
      <w:pPr>
        <w:tabs>
          <w:tab w:val="right" w:pos="12960"/>
        </w:tabs>
      </w:pPr>
      <w:r>
        <w:rPr>
          <w:noProof/>
          <w:lang w:bidi="ar-SA"/>
        </w:rPr>
        <mc:AlternateContent>
          <mc:Choice Requires="wps">
            <w:drawing>
              <wp:anchor distT="0" distB="0" distL="114300" distR="114300" simplePos="0" relativeHeight="252456960" behindDoc="0" locked="0" layoutInCell="1" allowOverlap="1" wp14:anchorId="6EBCFFB1" wp14:editId="63AA1B31">
                <wp:simplePos x="0" y="0"/>
                <wp:positionH relativeFrom="column">
                  <wp:posOffset>401108</wp:posOffset>
                </wp:positionH>
                <wp:positionV relativeFrom="paragraph">
                  <wp:posOffset>2434590</wp:posOffset>
                </wp:positionV>
                <wp:extent cx="2964815" cy="40957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409575"/>
                        </a:xfrm>
                        <a:prstGeom prst="rect">
                          <a:avLst/>
                        </a:prstGeom>
                        <a:noFill/>
                        <a:ln w="9525">
                          <a:noFill/>
                          <a:miter lim="800000"/>
                          <a:headEnd/>
                          <a:tailEnd/>
                        </a:ln>
                      </wps:spPr>
                      <wps:txbx>
                        <w:txbxContent>
                          <w:p w:rsidR="00CF610C" w:rsidRPr="001E6F68" w:rsidRDefault="00CF610C" w:rsidP="00736BC2">
                            <w:pPr>
                              <w:pStyle w:val="NoSpacing"/>
                              <w:rPr>
                                <w:sz w:val="16"/>
                                <w:szCs w:val="16"/>
                              </w:rPr>
                            </w:pPr>
                            <w:r w:rsidRPr="001E6F68">
                              <w:rPr>
                                <w:sz w:val="16"/>
                                <w:szCs w:val="16"/>
                              </w:rPr>
                              <w:t xml:space="preserve">Source: National Cancer Institute (NCI). State Cancer Profiles. </w:t>
                            </w:r>
                          </w:p>
                          <w:p w:rsidR="00CF610C" w:rsidRPr="001E6F68" w:rsidRDefault="00CF610C" w:rsidP="00736BC2">
                            <w:pPr>
                              <w:pStyle w:val="NoSpacing"/>
                              <w:rPr>
                                <w:sz w:val="16"/>
                                <w:szCs w:val="16"/>
                              </w:rPr>
                            </w:pPr>
                            <w:r w:rsidRPr="001E6F68">
                              <w:rPr>
                                <w:sz w:val="16"/>
                                <w:szCs w:val="16"/>
                              </w:rPr>
                              <w:t xml:space="preserve">Retrieved from </w:t>
                            </w:r>
                            <w:hyperlink r:id="rId40" w:history="1">
                              <w:r w:rsidRPr="001E6F68">
                                <w:rPr>
                                  <w:rStyle w:val="Hyperlink"/>
                                  <w:sz w:val="16"/>
                                  <w:szCs w:val="16"/>
                                </w:rPr>
                                <w:t>http://statecancerprofiles.cancer.gov/index.html</w:t>
                              </w:r>
                            </w:hyperlink>
                            <w:r w:rsidRPr="001E6F68">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6pt;margin-top:191.7pt;width:233.45pt;height:32.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" filled="f" stroked="f">
                <v:textbox>
                  <w:txbxContent>
                    <w:p w:rsidR="00CF610C" w:rsidRPr="001E6F68" w:rsidRDefault="00CF610C" w:rsidP="00736BC2">
                      <w:pPr>
                        <w:pStyle w:val="NoSpacing"/>
                        <w:rPr>
                          <w:sz w:val="16"/>
                          <w:szCs w:val="16"/>
                        </w:rPr>
                      </w:pPr>
                      <w:r w:rsidRPr="001E6F68">
                        <w:rPr>
                          <w:sz w:val="16"/>
                          <w:szCs w:val="16"/>
                        </w:rPr>
                        <w:t xml:space="preserve">Source: National Cancer Institute (NCI). State Cancer Profiles. </w:t>
                      </w:r>
                    </w:p>
                    <w:p w:rsidR="00CF610C" w:rsidRPr="001E6F68" w:rsidRDefault="00CF610C" w:rsidP="00736BC2">
                      <w:pPr>
                        <w:pStyle w:val="NoSpacing"/>
                        <w:rPr>
                          <w:sz w:val="16"/>
                          <w:szCs w:val="16"/>
                        </w:rPr>
                      </w:pPr>
                      <w:r w:rsidRPr="001E6F68">
                        <w:rPr>
                          <w:sz w:val="16"/>
                          <w:szCs w:val="16"/>
                        </w:rPr>
                        <w:t xml:space="preserve">Retrieved from </w:t>
                      </w:r>
                      <w:hyperlink r:id="rId41" w:history="1">
                        <w:r w:rsidRPr="001E6F68">
                          <w:rPr>
                            <w:rStyle w:val="Hyperlink"/>
                            <w:sz w:val="16"/>
                            <w:szCs w:val="16"/>
                          </w:rPr>
                          <w:t>http://statecancerprofiles.cancer.gov/index.html</w:t>
                        </w:r>
                      </w:hyperlink>
                      <w:r w:rsidRPr="001E6F68">
                        <w:rPr>
                          <w:sz w:val="16"/>
                          <w:szCs w:val="16"/>
                        </w:rPr>
                        <w:t xml:space="preserve"> </w:t>
                      </w:r>
                    </w:p>
                  </w:txbxContent>
                </v:textbox>
              </v:shape>
            </w:pict>
          </mc:Fallback>
        </mc:AlternateContent>
      </w:r>
      <w:r w:rsidR="00C63224">
        <w:rPr>
          <w:noProof/>
          <w:lang w:bidi="ar-SA"/>
        </w:rPr>
        <mc:AlternateContent>
          <mc:Choice Requires="wps">
            <w:drawing>
              <wp:anchor distT="0" distB="0" distL="114300" distR="114300" simplePos="0" relativeHeight="252353536" behindDoc="0" locked="0" layoutInCell="1" allowOverlap="1" wp14:anchorId="0FE2043D" wp14:editId="6CC95F0A">
                <wp:simplePos x="0" y="0"/>
                <wp:positionH relativeFrom="column">
                  <wp:posOffset>5468645</wp:posOffset>
                </wp:positionH>
                <wp:positionV relativeFrom="paragraph">
                  <wp:posOffset>1320708</wp:posOffset>
                </wp:positionV>
                <wp:extent cx="2717726" cy="3027286"/>
                <wp:effectExtent l="0" t="0" r="2603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726" cy="3027286"/>
                        </a:xfrm>
                        <a:prstGeom prst="rect">
                          <a:avLst/>
                        </a:prstGeom>
                        <a:solidFill>
                          <a:srgbClr val="FFFFFF"/>
                        </a:solidFill>
                        <a:ln w="9525">
                          <a:solidFill>
                            <a:schemeClr val="accent3">
                              <a:lumMod val="75000"/>
                            </a:schemeClr>
                          </a:solidFill>
                          <a:miter lim="800000"/>
                          <a:headEnd/>
                          <a:tailEnd/>
                        </a:ln>
                      </wps:spPr>
                      <wps:txbx>
                        <w:txbxContent>
                          <w:p w:rsidR="00CF610C" w:rsidRDefault="00CF610C" w:rsidP="008A7576">
                            <w:pPr>
                              <w:pStyle w:val="ListParagraph"/>
                              <w:numPr>
                                <w:ilvl w:val="0"/>
                                <w:numId w:val="37"/>
                              </w:numPr>
                              <w:jc w:val="both"/>
                            </w:pPr>
                            <w:r>
                              <w:t xml:space="preserve">Cancer incidence and mortality rates in TN were well above the national average, but incidence and mortality rates have declined by 4.9% and 5.3%, respectively, from 2008 to 2012. </w:t>
                            </w:r>
                          </w:p>
                          <w:p w:rsidR="00CF610C" w:rsidRDefault="00CF610C" w:rsidP="008A7576">
                            <w:pPr>
                              <w:pStyle w:val="ListParagraph"/>
                              <w:numPr>
                                <w:ilvl w:val="0"/>
                                <w:numId w:val="37"/>
                              </w:numPr>
                              <w:jc w:val="both"/>
                            </w:pPr>
                            <w:r>
                              <w:t xml:space="preserve">It should be noted that in TN, blacks (.48) had a higher mortality-to-incidence ratio than whites (.40) in TN, indicating that whites in TN have a longer average survival than blacks in Tennessee. </w:t>
                            </w:r>
                          </w:p>
                          <w:p w:rsidR="00CF610C" w:rsidRDefault="00CF6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30.6pt;margin-top:104pt;width:214pt;height:238.3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" strokecolor="#14415c [2406]">
                <v:textbox>
                  <w:txbxContent>
                    <w:p w:rsidR="00CF610C" w:rsidRDefault="00CF610C" w:rsidP="008A7576">
                      <w:pPr>
                        <w:pStyle w:val="ListParagraph"/>
                        <w:numPr>
                          <w:ilvl w:val="0"/>
                          <w:numId w:val="37"/>
                        </w:numPr>
                        <w:jc w:val="both"/>
                      </w:pPr>
                      <w:r>
                        <w:t xml:space="preserve">Cancer incidence and mortality rates in TN were well above the national average, but incidence and mortality rates have declined by 4.9% and 5.3%, respectively, from 2008 to 2012. </w:t>
                      </w:r>
                    </w:p>
                    <w:p w:rsidR="00CF610C" w:rsidRDefault="00CF610C" w:rsidP="008A7576">
                      <w:pPr>
                        <w:pStyle w:val="ListParagraph"/>
                        <w:numPr>
                          <w:ilvl w:val="0"/>
                          <w:numId w:val="37"/>
                        </w:numPr>
                        <w:jc w:val="both"/>
                      </w:pPr>
                      <w:r>
                        <w:t xml:space="preserve">It should be noted that in TN, blacks (.48) had a higher mortality-to-incidence ratio than whites (.40) in TN, indicating that whites in TN have a longer average survival than blacks in Tennessee. </w:t>
                      </w:r>
                    </w:p>
                    <w:p w:rsidR="00CF610C" w:rsidRDefault="00CF610C"/>
                  </w:txbxContent>
                </v:textbox>
              </v:shape>
            </w:pict>
          </mc:Fallback>
        </mc:AlternateContent>
      </w:r>
      <w:r w:rsidR="004D5451">
        <w:rPr>
          <w:noProof/>
          <w:lang w:bidi="ar-SA"/>
        </w:rPr>
        <w:drawing>
          <wp:inline distT="0" distB="0" distL="0" distR="0" wp14:anchorId="044FFC65" wp14:editId="0B92689D">
            <wp:extent cx="5468645" cy="2743200"/>
            <wp:effectExtent l="0" t="0" r="0" b="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A44974">
        <w:tab/>
      </w:r>
    </w:p>
    <w:p w:rsidR="004D5451" w:rsidRDefault="00736BC2" w:rsidP="004D5451">
      <w:r>
        <w:rPr>
          <w:noProof/>
          <w:lang w:bidi="ar-SA"/>
        </w:rPr>
        <mc:AlternateContent>
          <mc:Choice Requires="wps">
            <w:drawing>
              <wp:anchor distT="0" distB="0" distL="114300" distR="114300" simplePos="0" relativeHeight="252459008" behindDoc="0" locked="0" layoutInCell="1" allowOverlap="1" wp14:anchorId="0AC4122D" wp14:editId="1EF9F23C">
                <wp:simplePos x="0" y="0"/>
                <wp:positionH relativeFrom="column">
                  <wp:posOffset>397933</wp:posOffset>
                </wp:positionH>
                <wp:positionV relativeFrom="paragraph">
                  <wp:posOffset>2340398</wp:posOffset>
                </wp:positionV>
                <wp:extent cx="2964815" cy="409575"/>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409575"/>
                        </a:xfrm>
                        <a:prstGeom prst="rect">
                          <a:avLst/>
                        </a:prstGeom>
                        <a:noFill/>
                        <a:ln w="9525">
                          <a:noFill/>
                          <a:miter lim="800000"/>
                          <a:headEnd/>
                          <a:tailEnd/>
                        </a:ln>
                      </wps:spPr>
                      <wps:txbx>
                        <w:txbxContent>
                          <w:p w:rsidR="00CF610C" w:rsidRPr="001E6F68" w:rsidRDefault="00CF610C" w:rsidP="00736BC2">
                            <w:pPr>
                              <w:pStyle w:val="NoSpacing"/>
                              <w:rPr>
                                <w:sz w:val="16"/>
                                <w:szCs w:val="16"/>
                              </w:rPr>
                            </w:pPr>
                            <w:r w:rsidRPr="001E6F68">
                              <w:rPr>
                                <w:sz w:val="16"/>
                                <w:szCs w:val="16"/>
                              </w:rPr>
                              <w:t>Source: National Cancer Institute</w:t>
                            </w:r>
                            <w:r>
                              <w:rPr>
                                <w:sz w:val="16"/>
                                <w:szCs w:val="16"/>
                              </w:rPr>
                              <w:t xml:space="preserve"> (NCI). State Cancer Profiles. </w:t>
                            </w:r>
                            <w:r w:rsidRPr="001E6F68">
                              <w:rPr>
                                <w:sz w:val="16"/>
                                <w:szCs w:val="16"/>
                              </w:rPr>
                              <w:t xml:space="preserve">Retrieved from </w:t>
                            </w:r>
                            <w:hyperlink r:id="rId43" w:history="1">
                              <w:r w:rsidRPr="001E6F68">
                                <w:rPr>
                                  <w:rStyle w:val="Hyperlink"/>
                                  <w:sz w:val="16"/>
                                  <w:szCs w:val="16"/>
                                </w:rPr>
                                <w:t>http://statecancerprofiles.cancer.gov/index.html</w:t>
                              </w:r>
                            </w:hyperlink>
                            <w:r w:rsidRPr="001E6F68">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35pt;margin-top:184.3pt;width:233.45pt;height:32.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" filled="f" stroked="f">
                <v:textbox>
                  <w:txbxContent>
                    <w:p w:rsidR="00CF610C" w:rsidRPr="001E6F68" w:rsidRDefault="00CF610C" w:rsidP="00736BC2">
                      <w:pPr>
                        <w:pStyle w:val="NoSpacing"/>
                        <w:rPr>
                          <w:sz w:val="16"/>
                          <w:szCs w:val="16"/>
                        </w:rPr>
                      </w:pPr>
                      <w:r w:rsidRPr="001E6F68">
                        <w:rPr>
                          <w:sz w:val="16"/>
                          <w:szCs w:val="16"/>
                        </w:rPr>
                        <w:t>Source: National Cancer Institute</w:t>
                      </w:r>
                      <w:r>
                        <w:rPr>
                          <w:sz w:val="16"/>
                          <w:szCs w:val="16"/>
                        </w:rPr>
                        <w:t xml:space="preserve"> (NCI). State Cancer Profiles. </w:t>
                      </w:r>
                      <w:r w:rsidRPr="001E6F68">
                        <w:rPr>
                          <w:sz w:val="16"/>
                          <w:szCs w:val="16"/>
                        </w:rPr>
                        <w:t xml:space="preserve">Retrieved from </w:t>
                      </w:r>
                      <w:hyperlink r:id="rId44" w:history="1">
                        <w:r w:rsidRPr="001E6F68">
                          <w:rPr>
                            <w:rStyle w:val="Hyperlink"/>
                            <w:sz w:val="16"/>
                            <w:szCs w:val="16"/>
                          </w:rPr>
                          <w:t>http://statecancerprofiles.cancer.gov/index.html</w:t>
                        </w:r>
                      </w:hyperlink>
                      <w:r w:rsidRPr="001E6F68">
                        <w:rPr>
                          <w:sz w:val="16"/>
                          <w:szCs w:val="16"/>
                        </w:rPr>
                        <w:t xml:space="preserve"> </w:t>
                      </w:r>
                    </w:p>
                  </w:txbxContent>
                </v:textbox>
              </v:shape>
            </w:pict>
          </mc:Fallback>
        </mc:AlternateContent>
      </w:r>
      <w:r w:rsidR="004D5451">
        <w:rPr>
          <w:noProof/>
          <w:lang w:bidi="ar-SA"/>
        </w:rPr>
        <w:drawing>
          <wp:inline distT="0" distB="0" distL="0" distR="0" wp14:anchorId="75CEAFE0" wp14:editId="153E1A8A">
            <wp:extent cx="5468645" cy="2743200"/>
            <wp:effectExtent l="0" t="0" r="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C1CB0" w:rsidRDefault="00B17D9A" w:rsidP="00EC1CB0">
      <w:pPr>
        <w:ind w:left="360" w:hanging="360"/>
        <w:jc w:val="right"/>
      </w:pPr>
      <w:r>
        <w:rPr>
          <w:noProof/>
          <w:sz w:val="22"/>
          <w:lang w:bidi="ar-SA"/>
        </w:rPr>
        <mc:AlternateContent>
          <mc:Choice Requires="wps">
            <w:drawing>
              <wp:anchor distT="0" distB="0" distL="114300" distR="114300" simplePos="0" relativeHeight="252357632" behindDoc="0" locked="0" layoutInCell="1" allowOverlap="1" wp14:anchorId="0A8CE4D8" wp14:editId="5A33FB99">
                <wp:simplePos x="0" y="0"/>
                <wp:positionH relativeFrom="column">
                  <wp:posOffset>0</wp:posOffset>
                </wp:positionH>
                <wp:positionV relativeFrom="paragraph">
                  <wp:posOffset>247995</wp:posOffset>
                </wp:positionV>
                <wp:extent cx="8247355" cy="0"/>
                <wp:effectExtent l="0" t="0" r="20955" b="19050"/>
                <wp:wrapNone/>
                <wp:docPr id="328" name="Straight Connector 328"/>
                <wp:cNvGraphicFramePr/>
                <a:graphic xmlns:a="http://schemas.openxmlformats.org/drawingml/2006/main">
                  <a:graphicData uri="http://schemas.microsoft.com/office/word/2010/wordprocessingShape">
                    <wps:wsp>
                      <wps:cNvCnPr/>
                      <wps:spPr>
                        <a:xfrm>
                          <a:off x="0" y="0"/>
                          <a:ext cx="824735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5pt" to="649.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" strokecolor="#1b587c [3206]" strokeweight="1pt"/>
            </w:pict>
          </mc:Fallback>
        </mc:AlternateContent>
      </w:r>
      <w:hyperlink w:anchor="_Data_Sources_2" w:history="1">
        <w:r w:rsidR="00EC1CB0" w:rsidRPr="001E2481">
          <w:rPr>
            <w:rStyle w:val="Hyperlink"/>
          </w:rPr>
          <w:t>Data Source</w:t>
        </w:r>
      </w:hyperlink>
    </w:p>
    <w:p w:rsidR="000A63EE" w:rsidRDefault="000A63EE" w:rsidP="00494849">
      <w:pPr>
        <w:pStyle w:val="Heading5"/>
      </w:pPr>
      <w:r>
        <w:lastRenderedPageBreak/>
        <w:t xml:space="preserve">Tennessee Rankings, </w:t>
      </w:r>
      <w:r w:rsidR="00752AA6" w:rsidRPr="00752AA6">
        <w:t>CANCER INCIDENCE</w:t>
      </w:r>
      <w:r w:rsidR="00752AA6">
        <w:t xml:space="preserve"> AND MORTALITY RANKINGS, 2008</w:t>
      </w:r>
      <w:r w:rsidR="009F4A43">
        <w:t>-</w:t>
      </w:r>
      <w:r w:rsidR="00752AA6" w:rsidRPr="00752AA6">
        <w:t>2012</w:t>
      </w:r>
      <w:r w:rsidR="00752AA6">
        <w:t xml:space="preserve"> </w:t>
      </w:r>
      <w:r>
        <w:t>Continued</w:t>
      </w:r>
    </w:p>
    <w:p w:rsidR="00752AA6" w:rsidRDefault="00736BC2" w:rsidP="00043EDC">
      <w:pPr>
        <w:pStyle w:val="NoSpacing"/>
      </w:pPr>
      <w:r>
        <w:rPr>
          <w:noProof/>
          <w:lang w:bidi="ar-SA"/>
        </w:rPr>
        <mc:AlternateContent>
          <mc:Choice Requires="wps">
            <w:drawing>
              <wp:anchor distT="0" distB="0" distL="114300" distR="114300" simplePos="0" relativeHeight="252461056" behindDoc="0" locked="0" layoutInCell="1" allowOverlap="1" wp14:anchorId="17480137" wp14:editId="40634C49">
                <wp:simplePos x="0" y="0"/>
                <wp:positionH relativeFrom="column">
                  <wp:posOffset>364067</wp:posOffset>
                </wp:positionH>
                <wp:positionV relativeFrom="paragraph">
                  <wp:posOffset>2171065</wp:posOffset>
                </wp:positionV>
                <wp:extent cx="2964815" cy="409575"/>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409575"/>
                        </a:xfrm>
                        <a:prstGeom prst="rect">
                          <a:avLst/>
                        </a:prstGeom>
                        <a:noFill/>
                        <a:ln w="9525">
                          <a:noFill/>
                          <a:miter lim="800000"/>
                          <a:headEnd/>
                          <a:tailEnd/>
                        </a:ln>
                      </wps:spPr>
                      <wps:txbx>
                        <w:txbxContent>
                          <w:p w:rsidR="00CF610C" w:rsidRPr="001E6F68" w:rsidRDefault="00CF610C" w:rsidP="00736BC2">
                            <w:pPr>
                              <w:pStyle w:val="NoSpacing"/>
                              <w:rPr>
                                <w:sz w:val="16"/>
                                <w:szCs w:val="16"/>
                              </w:rPr>
                            </w:pPr>
                            <w:r w:rsidRPr="001E6F68">
                              <w:rPr>
                                <w:sz w:val="16"/>
                                <w:szCs w:val="16"/>
                              </w:rPr>
                              <w:t xml:space="preserve">Source: National Cancer Institute (NCI). State Cancer Profiles. </w:t>
                            </w:r>
                          </w:p>
                          <w:p w:rsidR="00CF610C" w:rsidRPr="001E6F68" w:rsidRDefault="00CF610C" w:rsidP="00736BC2">
                            <w:pPr>
                              <w:pStyle w:val="NoSpacing"/>
                              <w:rPr>
                                <w:sz w:val="16"/>
                                <w:szCs w:val="16"/>
                              </w:rPr>
                            </w:pPr>
                            <w:r w:rsidRPr="001E6F68">
                              <w:rPr>
                                <w:sz w:val="16"/>
                                <w:szCs w:val="16"/>
                              </w:rPr>
                              <w:t xml:space="preserve">Retrieved from </w:t>
                            </w:r>
                            <w:hyperlink r:id="rId46" w:history="1">
                              <w:r w:rsidRPr="001E6F68">
                                <w:rPr>
                                  <w:rStyle w:val="Hyperlink"/>
                                  <w:sz w:val="16"/>
                                  <w:szCs w:val="16"/>
                                </w:rPr>
                                <w:t>http://statecancerprofiles.cancer.gov/index.html</w:t>
                              </w:r>
                            </w:hyperlink>
                            <w:r w:rsidRPr="001E6F68">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8.65pt;margin-top:170.95pt;width:233.45pt;height:32.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" filled="f" stroked="f">
                <v:textbox>
                  <w:txbxContent>
                    <w:p w:rsidR="00CF610C" w:rsidRPr="001E6F68" w:rsidRDefault="00CF610C" w:rsidP="00736BC2">
                      <w:pPr>
                        <w:pStyle w:val="NoSpacing"/>
                        <w:rPr>
                          <w:sz w:val="16"/>
                          <w:szCs w:val="16"/>
                        </w:rPr>
                      </w:pPr>
                      <w:r w:rsidRPr="001E6F68">
                        <w:rPr>
                          <w:sz w:val="16"/>
                          <w:szCs w:val="16"/>
                        </w:rPr>
                        <w:t xml:space="preserve">Source: National Cancer Institute (NCI). State Cancer Profiles. </w:t>
                      </w:r>
                    </w:p>
                    <w:p w:rsidR="00CF610C" w:rsidRPr="001E6F68" w:rsidRDefault="00CF610C" w:rsidP="00736BC2">
                      <w:pPr>
                        <w:pStyle w:val="NoSpacing"/>
                        <w:rPr>
                          <w:sz w:val="16"/>
                          <w:szCs w:val="16"/>
                        </w:rPr>
                      </w:pPr>
                      <w:r w:rsidRPr="001E6F68">
                        <w:rPr>
                          <w:sz w:val="16"/>
                          <w:szCs w:val="16"/>
                        </w:rPr>
                        <w:t xml:space="preserve">Retrieved from </w:t>
                      </w:r>
                      <w:hyperlink r:id="rId47" w:history="1">
                        <w:r w:rsidRPr="001E6F68">
                          <w:rPr>
                            <w:rStyle w:val="Hyperlink"/>
                            <w:sz w:val="16"/>
                            <w:szCs w:val="16"/>
                          </w:rPr>
                          <w:t>http://statecancerprofiles.cancer.gov/index.html</w:t>
                        </w:r>
                      </w:hyperlink>
                      <w:r w:rsidRPr="001E6F68">
                        <w:rPr>
                          <w:sz w:val="16"/>
                          <w:szCs w:val="16"/>
                        </w:rPr>
                        <w:t xml:space="preserve"> </w:t>
                      </w:r>
                    </w:p>
                  </w:txbxContent>
                </v:textbox>
              </v:shape>
            </w:pict>
          </mc:Fallback>
        </mc:AlternateContent>
      </w:r>
      <w:r w:rsidR="00C63224" w:rsidRPr="00C63224">
        <w:rPr>
          <w:rStyle w:val="Hyperlink"/>
          <w:noProof/>
          <w:lang w:bidi="ar-SA"/>
        </w:rPr>
        <mc:AlternateContent>
          <mc:Choice Requires="wps">
            <w:drawing>
              <wp:anchor distT="0" distB="0" distL="114300" distR="114300" simplePos="0" relativeHeight="252355584" behindDoc="0" locked="0" layoutInCell="1" allowOverlap="1" wp14:anchorId="3C7253ED" wp14:editId="090A88E9">
                <wp:simplePos x="0" y="0"/>
                <wp:positionH relativeFrom="column">
                  <wp:posOffset>5585460</wp:posOffset>
                </wp:positionH>
                <wp:positionV relativeFrom="paragraph">
                  <wp:posOffset>1503046</wp:posOffset>
                </wp:positionV>
                <wp:extent cx="2676716" cy="2720340"/>
                <wp:effectExtent l="0" t="0" r="28575" b="2286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716" cy="2720340"/>
                        </a:xfrm>
                        <a:prstGeom prst="rect">
                          <a:avLst/>
                        </a:prstGeom>
                        <a:solidFill>
                          <a:srgbClr val="FFFFFF"/>
                        </a:solidFill>
                        <a:ln w="9525">
                          <a:solidFill>
                            <a:schemeClr val="accent3"/>
                          </a:solidFill>
                          <a:miter lim="800000"/>
                          <a:headEnd/>
                          <a:tailEnd/>
                        </a:ln>
                      </wps:spPr>
                      <wps:txbx>
                        <w:txbxContent>
                          <w:p w:rsidR="00CF610C" w:rsidRDefault="00CF610C" w:rsidP="008A7576">
                            <w:pPr>
                              <w:pStyle w:val="ListParagraph"/>
                              <w:numPr>
                                <w:ilvl w:val="0"/>
                                <w:numId w:val="34"/>
                              </w:numPr>
                              <w:jc w:val="both"/>
                            </w:pPr>
                            <w:r>
                              <w:t xml:space="preserve">Among the most common cancers in TN, lung cancer, prostate cancer, and colorectal cancer were significantly higher than the U.S. incidence rates. </w:t>
                            </w:r>
                          </w:p>
                          <w:p w:rsidR="00CF610C" w:rsidRDefault="00CF610C" w:rsidP="008A7576">
                            <w:pPr>
                              <w:pStyle w:val="ListParagraph"/>
                              <w:numPr>
                                <w:ilvl w:val="0"/>
                                <w:numId w:val="34"/>
                              </w:numPr>
                              <w:jc w:val="both"/>
                            </w:pPr>
                            <w:r>
                              <w:t>Among the most common causes of cancer mortality, TN had statistically significantly higher than U.S. average mortality rates for lung cancer and colorectal cancer.</w:t>
                            </w:r>
                          </w:p>
                          <w:p w:rsidR="00CF610C" w:rsidRDefault="00CF6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39.8pt;margin-top:118.35pt;width:210.75pt;height:214.2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" strokecolor="#1b587c [3206]">
                <v:textbox>
                  <w:txbxContent>
                    <w:p w:rsidR="00CF610C" w:rsidRDefault="00CF610C" w:rsidP="008A7576">
                      <w:pPr>
                        <w:pStyle w:val="ListParagraph"/>
                        <w:numPr>
                          <w:ilvl w:val="0"/>
                          <w:numId w:val="34"/>
                        </w:numPr>
                        <w:jc w:val="both"/>
                      </w:pPr>
                      <w:r>
                        <w:t xml:space="preserve">Among the most common cancers in TN, lung cancer, prostate cancer, and colorectal cancer were significantly higher than the U.S. incidence rates. </w:t>
                      </w:r>
                    </w:p>
                    <w:p w:rsidR="00CF610C" w:rsidRDefault="00CF610C" w:rsidP="008A7576">
                      <w:pPr>
                        <w:pStyle w:val="ListParagraph"/>
                        <w:numPr>
                          <w:ilvl w:val="0"/>
                          <w:numId w:val="34"/>
                        </w:numPr>
                        <w:jc w:val="both"/>
                      </w:pPr>
                      <w:r>
                        <w:t>Among the most common causes of cancer mortality, TN had statistically significantly higher than U.S. average mortality rates for lung cancer and colorectal cancer.</w:t>
                      </w:r>
                    </w:p>
                    <w:p w:rsidR="00CF610C" w:rsidRDefault="00CF610C"/>
                  </w:txbxContent>
                </v:textbox>
              </v:shape>
            </w:pict>
          </mc:Fallback>
        </mc:AlternateContent>
      </w:r>
      <w:r w:rsidR="00E47203" w:rsidRPr="00E47203">
        <w:rPr>
          <w:noProof/>
          <w:lang w:bidi="ar-SA"/>
        </w:rPr>
        <w:t xml:space="preserve"> </w:t>
      </w:r>
      <w:r w:rsidR="00D33877">
        <w:rPr>
          <w:noProof/>
          <w:lang w:bidi="ar-SA"/>
        </w:rPr>
        <w:drawing>
          <wp:inline distT="0" distB="0" distL="0" distR="0" wp14:anchorId="74331601" wp14:editId="66E00984">
            <wp:extent cx="5386009" cy="2560744"/>
            <wp:effectExtent l="0" t="0" r="5715"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D248A" w:rsidRDefault="00736BC2" w:rsidP="00C63224">
      <w:r>
        <w:rPr>
          <w:noProof/>
          <w:lang w:bidi="ar-SA"/>
        </w:rPr>
        <mc:AlternateContent>
          <mc:Choice Requires="wps">
            <w:drawing>
              <wp:anchor distT="0" distB="0" distL="114300" distR="114300" simplePos="0" relativeHeight="252463104" behindDoc="0" locked="0" layoutInCell="1" allowOverlap="1" wp14:anchorId="3BD9EF09" wp14:editId="32B3FD31">
                <wp:simplePos x="0" y="0"/>
                <wp:positionH relativeFrom="column">
                  <wp:posOffset>506730</wp:posOffset>
                </wp:positionH>
                <wp:positionV relativeFrom="paragraph">
                  <wp:posOffset>2631651</wp:posOffset>
                </wp:positionV>
                <wp:extent cx="2964815" cy="409575"/>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409575"/>
                        </a:xfrm>
                        <a:prstGeom prst="rect">
                          <a:avLst/>
                        </a:prstGeom>
                        <a:noFill/>
                        <a:ln w="9525">
                          <a:noFill/>
                          <a:miter lim="800000"/>
                          <a:headEnd/>
                          <a:tailEnd/>
                        </a:ln>
                      </wps:spPr>
                      <wps:txbx>
                        <w:txbxContent>
                          <w:p w:rsidR="00CF610C" w:rsidRPr="001E6F68" w:rsidRDefault="00CF610C" w:rsidP="00736BC2">
                            <w:pPr>
                              <w:pStyle w:val="NoSpacing"/>
                              <w:rPr>
                                <w:sz w:val="16"/>
                                <w:szCs w:val="16"/>
                              </w:rPr>
                            </w:pPr>
                            <w:r w:rsidRPr="001E6F68">
                              <w:rPr>
                                <w:sz w:val="16"/>
                                <w:szCs w:val="16"/>
                              </w:rPr>
                              <w:t xml:space="preserve">Source: National Cancer Institute (NCI). State Cancer Profiles. </w:t>
                            </w:r>
                          </w:p>
                          <w:p w:rsidR="00CF610C" w:rsidRPr="001E6F68" w:rsidRDefault="00CF610C" w:rsidP="00736BC2">
                            <w:pPr>
                              <w:pStyle w:val="NoSpacing"/>
                              <w:rPr>
                                <w:sz w:val="16"/>
                                <w:szCs w:val="16"/>
                              </w:rPr>
                            </w:pPr>
                            <w:r w:rsidRPr="001E6F68">
                              <w:rPr>
                                <w:sz w:val="16"/>
                                <w:szCs w:val="16"/>
                              </w:rPr>
                              <w:t xml:space="preserve">Retrieved from </w:t>
                            </w:r>
                            <w:hyperlink r:id="rId49" w:history="1">
                              <w:r w:rsidRPr="001E6F68">
                                <w:rPr>
                                  <w:rStyle w:val="Hyperlink"/>
                                  <w:sz w:val="16"/>
                                  <w:szCs w:val="16"/>
                                </w:rPr>
                                <w:t>http://statecancerprofiles.cancer.gov/index.html</w:t>
                              </w:r>
                            </w:hyperlink>
                            <w:r w:rsidRPr="001E6F68">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9.9pt;margin-top:207.2pt;width:233.45pt;height:32.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" filled="f" stroked="f">
                <v:textbox>
                  <w:txbxContent>
                    <w:p w:rsidR="00CF610C" w:rsidRPr="001E6F68" w:rsidRDefault="00CF610C" w:rsidP="00736BC2">
                      <w:pPr>
                        <w:pStyle w:val="NoSpacing"/>
                        <w:rPr>
                          <w:sz w:val="16"/>
                          <w:szCs w:val="16"/>
                        </w:rPr>
                      </w:pPr>
                      <w:r w:rsidRPr="001E6F68">
                        <w:rPr>
                          <w:sz w:val="16"/>
                          <w:szCs w:val="16"/>
                        </w:rPr>
                        <w:t xml:space="preserve">Source: National Cancer Institute (NCI). State Cancer Profiles. </w:t>
                      </w:r>
                    </w:p>
                    <w:p w:rsidR="00CF610C" w:rsidRPr="001E6F68" w:rsidRDefault="00CF610C" w:rsidP="00736BC2">
                      <w:pPr>
                        <w:pStyle w:val="NoSpacing"/>
                        <w:rPr>
                          <w:sz w:val="16"/>
                          <w:szCs w:val="16"/>
                        </w:rPr>
                      </w:pPr>
                      <w:r w:rsidRPr="001E6F68">
                        <w:rPr>
                          <w:sz w:val="16"/>
                          <w:szCs w:val="16"/>
                        </w:rPr>
                        <w:t xml:space="preserve">Retrieved from </w:t>
                      </w:r>
                      <w:hyperlink r:id="rId50" w:history="1">
                        <w:r w:rsidRPr="001E6F68">
                          <w:rPr>
                            <w:rStyle w:val="Hyperlink"/>
                            <w:sz w:val="16"/>
                            <w:szCs w:val="16"/>
                          </w:rPr>
                          <w:t>http://statecancerprofiles.cancer.gov/index.html</w:t>
                        </w:r>
                      </w:hyperlink>
                      <w:r w:rsidRPr="001E6F68">
                        <w:rPr>
                          <w:sz w:val="16"/>
                          <w:szCs w:val="16"/>
                        </w:rPr>
                        <w:t xml:space="preserve"> </w:t>
                      </w:r>
                    </w:p>
                  </w:txbxContent>
                </v:textbox>
              </v:shape>
            </w:pict>
          </mc:Fallback>
        </mc:AlternateContent>
      </w:r>
      <w:r w:rsidR="00C63224">
        <w:rPr>
          <w:noProof/>
          <w:lang w:bidi="ar-SA"/>
        </w:rPr>
        <w:drawing>
          <wp:inline distT="0" distB="0" distL="0" distR="0" wp14:anchorId="3E05213C" wp14:editId="65D8CBDE">
            <wp:extent cx="5521911" cy="2840855"/>
            <wp:effectExtent l="0" t="0" r="3175"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72019" w:rsidRDefault="00B17D9A" w:rsidP="00AD248A">
      <w:pPr>
        <w:pStyle w:val="NoSpacing"/>
        <w:jc w:val="right"/>
      </w:pPr>
      <w:r>
        <w:rPr>
          <w:noProof/>
          <w:sz w:val="22"/>
          <w:lang w:bidi="ar-SA"/>
        </w:rPr>
        <mc:AlternateContent>
          <mc:Choice Requires="wps">
            <w:drawing>
              <wp:anchor distT="0" distB="0" distL="114300" distR="114300" simplePos="0" relativeHeight="252359680" behindDoc="0" locked="0" layoutInCell="1" allowOverlap="1" wp14:anchorId="4911F205" wp14:editId="507E72A5">
                <wp:simplePos x="0" y="0"/>
                <wp:positionH relativeFrom="column">
                  <wp:posOffset>0</wp:posOffset>
                </wp:positionH>
                <wp:positionV relativeFrom="paragraph">
                  <wp:posOffset>233366</wp:posOffset>
                </wp:positionV>
                <wp:extent cx="8260579" cy="0"/>
                <wp:effectExtent l="0" t="0" r="26670" b="19050"/>
                <wp:wrapNone/>
                <wp:docPr id="329" name="Straight Connector 329"/>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 o:spid="_x0000_s1026" style="position:absolute;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4pt" to="650.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" strokecolor="#1b587c [3206]" strokeweight="1pt"/>
            </w:pict>
          </mc:Fallback>
        </mc:AlternateContent>
      </w:r>
      <w:hyperlink w:anchor="_Data_Sources_2" w:history="1">
        <w:r w:rsidR="00AD248A" w:rsidRPr="00043EDC">
          <w:rPr>
            <w:rStyle w:val="Hyperlink"/>
          </w:rPr>
          <w:t>Data Source</w:t>
        </w:r>
      </w:hyperlink>
      <w:r w:rsidR="00AD248A">
        <w:rPr>
          <w:rStyle w:val="Hyperlink"/>
        </w:rPr>
        <w:t xml:space="preserve"> </w:t>
      </w:r>
      <w:r w:rsidR="000A63EE">
        <w:br w:type="page"/>
      </w:r>
    </w:p>
    <w:p w:rsidR="00AD248A" w:rsidRDefault="00AD248A" w:rsidP="00AD248A">
      <w:pPr>
        <w:sectPr w:rsidR="00AD248A" w:rsidSect="00F2283B">
          <w:footerReference w:type="default" r:id="rId52"/>
          <w:pgSz w:w="15840" w:h="12240" w:orient="landscape"/>
          <w:pgMar w:top="1080" w:right="1440" w:bottom="1080" w:left="1440" w:header="720" w:footer="144" w:gutter="0"/>
          <w:pgNumType w:fmt="numberInDash"/>
          <w:cols w:space="720"/>
          <w:docGrid w:linePitch="360"/>
        </w:sectPr>
      </w:pPr>
    </w:p>
    <w:p w:rsidR="00FF0F8D" w:rsidRPr="00B0687F" w:rsidRDefault="00FF0F8D" w:rsidP="00F37C3F">
      <w:pPr>
        <w:pStyle w:val="Heading1"/>
      </w:pPr>
      <w:bookmarkStart w:id="161" w:name="_Toc341099532"/>
      <w:bookmarkStart w:id="162" w:name="_Toc421608533"/>
      <w:bookmarkStart w:id="163" w:name="_Toc421609351"/>
      <w:bookmarkStart w:id="164" w:name="_Toc421609685"/>
      <w:bookmarkStart w:id="165" w:name="_Toc421611211"/>
      <w:bookmarkStart w:id="166" w:name="_Toc439918841"/>
      <w:r w:rsidRPr="00B0687F">
        <w:lastRenderedPageBreak/>
        <w:t xml:space="preserve">Types of </w:t>
      </w:r>
      <w:r w:rsidR="004F1079" w:rsidRPr="00B0687F">
        <w:t>C</w:t>
      </w:r>
      <w:r w:rsidRPr="00B0687F">
        <w:t>ancers in Tennessee</w:t>
      </w:r>
      <w:bookmarkEnd w:id="161"/>
      <w:r w:rsidR="001A04EB">
        <w:t>, 2008-2012</w:t>
      </w:r>
      <w:bookmarkEnd w:id="162"/>
      <w:bookmarkEnd w:id="163"/>
      <w:bookmarkEnd w:id="164"/>
      <w:bookmarkEnd w:id="165"/>
      <w:bookmarkEnd w:id="166"/>
    </w:p>
    <w:p w:rsidR="00FF0F8D" w:rsidRPr="00976CBD" w:rsidRDefault="00CE284E" w:rsidP="00903E48">
      <w:pPr>
        <w:pStyle w:val="Heading2"/>
        <w:rPr>
          <w:rStyle w:val="SubtleEmphasis"/>
          <w:b w:val="0"/>
          <w:i w:val="0"/>
          <w:iCs w:val="0"/>
          <w:color w:val="30243C" w:themeColor="accent5" w:themeShade="80"/>
        </w:rPr>
      </w:pPr>
      <w:bookmarkStart w:id="167" w:name="_Toc341099533"/>
      <w:bookmarkStart w:id="168" w:name="_Toc421608534"/>
      <w:bookmarkStart w:id="169" w:name="_Toc421609352"/>
      <w:bookmarkStart w:id="170" w:name="_Toc421609686"/>
      <w:bookmarkStart w:id="171" w:name="_Toc421611212"/>
      <w:bookmarkStart w:id="172" w:name="_Toc439918842"/>
      <w:r w:rsidRPr="00976CBD">
        <w:rPr>
          <w:rStyle w:val="SubtleEmphasis"/>
          <w:b w:val="0"/>
          <w:i w:val="0"/>
          <w:iCs w:val="0"/>
          <w:color w:val="30243C" w:themeColor="accent5" w:themeShade="80"/>
        </w:rPr>
        <w:t xml:space="preserve">Leading </w:t>
      </w:r>
      <w:r w:rsidR="004F1079" w:rsidRPr="00976CBD">
        <w:rPr>
          <w:rStyle w:val="SubtleEmphasis"/>
          <w:b w:val="0"/>
          <w:i w:val="0"/>
          <w:iCs w:val="0"/>
          <w:color w:val="0D2B3E" w:themeColor="accent3" w:themeShade="80"/>
        </w:rPr>
        <w:t>C</w:t>
      </w:r>
      <w:r w:rsidRPr="00976CBD">
        <w:rPr>
          <w:rStyle w:val="SubtleEmphasis"/>
          <w:b w:val="0"/>
          <w:i w:val="0"/>
          <w:iCs w:val="0"/>
          <w:color w:val="0D2B3E" w:themeColor="accent3" w:themeShade="80"/>
        </w:rPr>
        <w:t>auses</w:t>
      </w:r>
      <w:r w:rsidRPr="00976CBD">
        <w:rPr>
          <w:rStyle w:val="SubtleEmphasis"/>
          <w:b w:val="0"/>
          <w:i w:val="0"/>
          <w:iCs w:val="0"/>
          <w:color w:val="30243C" w:themeColor="accent5" w:themeShade="80"/>
        </w:rPr>
        <w:t xml:space="preserve"> of </w:t>
      </w:r>
      <w:r w:rsidR="004F1079" w:rsidRPr="00976CBD">
        <w:rPr>
          <w:rStyle w:val="SubtleEmphasis"/>
          <w:b w:val="0"/>
          <w:i w:val="0"/>
          <w:iCs w:val="0"/>
          <w:color w:val="30243C" w:themeColor="accent5" w:themeShade="80"/>
        </w:rPr>
        <w:t>C</w:t>
      </w:r>
      <w:r w:rsidRPr="00976CBD">
        <w:rPr>
          <w:rStyle w:val="SubtleEmphasis"/>
          <w:b w:val="0"/>
          <w:i w:val="0"/>
          <w:iCs w:val="0"/>
          <w:color w:val="30243C" w:themeColor="accent5" w:themeShade="80"/>
        </w:rPr>
        <w:t xml:space="preserve">ancer </w:t>
      </w:r>
      <w:r w:rsidR="004F1079" w:rsidRPr="00976CBD">
        <w:rPr>
          <w:rStyle w:val="SubtleEmphasis"/>
          <w:b w:val="0"/>
          <w:i w:val="0"/>
          <w:iCs w:val="0"/>
          <w:color w:val="30243C" w:themeColor="accent5" w:themeShade="80"/>
        </w:rPr>
        <w:t>I</w:t>
      </w:r>
      <w:r w:rsidRPr="00976CBD">
        <w:rPr>
          <w:rStyle w:val="SubtleEmphasis"/>
          <w:b w:val="0"/>
          <w:i w:val="0"/>
          <w:iCs w:val="0"/>
          <w:color w:val="30243C" w:themeColor="accent5" w:themeShade="80"/>
        </w:rPr>
        <w:t xml:space="preserve">ncidence, </w:t>
      </w:r>
      <w:r w:rsidR="0081093A" w:rsidRPr="00976CBD">
        <w:rPr>
          <w:rStyle w:val="SubtleEmphasis"/>
          <w:b w:val="0"/>
          <w:i w:val="0"/>
          <w:iCs w:val="0"/>
          <w:color w:val="30243C" w:themeColor="accent5" w:themeShade="80"/>
        </w:rPr>
        <w:t>200</w:t>
      </w:r>
      <w:r w:rsidR="00D72402" w:rsidRPr="00976CBD">
        <w:rPr>
          <w:rStyle w:val="SubtleEmphasis"/>
          <w:b w:val="0"/>
          <w:i w:val="0"/>
          <w:iCs w:val="0"/>
          <w:color w:val="30243C" w:themeColor="accent5" w:themeShade="80"/>
        </w:rPr>
        <w:t>8</w:t>
      </w:r>
      <w:r w:rsidRPr="00976CBD">
        <w:rPr>
          <w:rStyle w:val="SubtleEmphasis"/>
          <w:b w:val="0"/>
          <w:i w:val="0"/>
          <w:iCs w:val="0"/>
          <w:color w:val="30243C" w:themeColor="accent5" w:themeShade="80"/>
        </w:rPr>
        <w:t>-</w:t>
      </w:r>
      <w:r w:rsidR="00D1325B" w:rsidRPr="00976CBD">
        <w:rPr>
          <w:rStyle w:val="SubtleEmphasis"/>
          <w:b w:val="0"/>
          <w:i w:val="0"/>
          <w:iCs w:val="0"/>
          <w:color w:val="30243C" w:themeColor="accent5" w:themeShade="80"/>
        </w:rPr>
        <w:t>201</w:t>
      </w:r>
      <w:bookmarkEnd w:id="167"/>
      <w:r w:rsidR="00D72402" w:rsidRPr="00976CBD">
        <w:rPr>
          <w:rStyle w:val="SubtleEmphasis"/>
          <w:b w:val="0"/>
          <w:i w:val="0"/>
          <w:iCs w:val="0"/>
          <w:color w:val="30243C" w:themeColor="accent5" w:themeShade="80"/>
        </w:rPr>
        <w:t>2</w:t>
      </w:r>
      <w:bookmarkEnd w:id="168"/>
      <w:bookmarkEnd w:id="169"/>
      <w:bookmarkEnd w:id="170"/>
      <w:bookmarkEnd w:id="171"/>
      <w:bookmarkEnd w:id="172"/>
    </w:p>
    <w:p w:rsidR="00FF0F8D" w:rsidRDefault="00673892" w:rsidP="00777EEF">
      <w:r>
        <w:rPr>
          <w:noProof/>
          <w:sz w:val="22"/>
          <w:lang w:bidi="ar-SA"/>
        </w:rPr>
        <mc:AlternateContent>
          <mc:Choice Requires="wps">
            <w:drawing>
              <wp:anchor distT="0" distB="0" distL="114300" distR="114300" simplePos="0" relativeHeight="252361728" behindDoc="0" locked="0" layoutInCell="1" allowOverlap="1" wp14:anchorId="1E011310" wp14:editId="2A450E9A">
                <wp:simplePos x="0" y="0"/>
                <wp:positionH relativeFrom="column">
                  <wp:posOffset>1270</wp:posOffset>
                </wp:positionH>
                <wp:positionV relativeFrom="paragraph">
                  <wp:posOffset>3758639</wp:posOffset>
                </wp:positionV>
                <wp:extent cx="8260080" cy="0"/>
                <wp:effectExtent l="0" t="0" r="26670" b="19050"/>
                <wp:wrapNone/>
                <wp:docPr id="330" name="Straight Connector 330"/>
                <wp:cNvGraphicFramePr/>
                <a:graphic xmlns:a="http://schemas.openxmlformats.org/drawingml/2006/main">
                  <a:graphicData uri="http://schemas.microsoft.com/office/word/2010/wordprocessingShape">
                    <wps:wsp>
                      <wps:cNvCnPr/>
                      <wps:spPr>
                        <a:xfrm>
                          <a:off x="0" y="0"/>
                          <a:ext cx="826008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 o:spid="_x0000_s1026" style="position:absolute;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95.95pt" to="650.5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" strokecolor="#1b587c [3206]" strokeweight="1pt"/>
            </w:pict>
          </mc:Fallback>
        </mc:AlternateContent>
      </w:r>
      <w:r w:rsidR="00777EEF">
        <w:rPr>
          <w:noProof/>
          <w:lang w:bidi="ar-SA"/>
        </w:rPr>
        <w:drawing>
          <wp:inline distT="0" distB="0" distL="0" distR="0" wp14:anchorId="364DEFDB" wp14:editId="66F76A17">
            <wp:extent cx="8176334" cy="3675355"/>
            <wp:effectExtent l="0" t="0" r="0" b="190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A5050" w:rsidRPr="000F481A" w:rsidRDefault="00872019" w:rsidP="008A746D">
      <w:pPr>
        <w:spacing w:after="0"/>
        <w:jc w:val="both"/>
        <w:rPr>
          <w:sz w:val="24"/>
        </w:rPr>
      </w:pPr>
      <w:r w:rsidRPr="000F481A">
        <w:rPr>
          <w:sz w:val="24"/>
        </w:rPr>
        <w:t xml:space="preserve">This figure presents the Leading Causes of Cancer Incidence in Tennessee from 2008 to 2012. </w:t>
      </w:r>
    </w:p>
    <w:p w:rsidR="00C644F8" w:rsidRPr="000F481A" w:rsidRDefault="00C644F8" w:rsidP="00EA6169">
      <w:pPr>
        <w:pStyle w:val="ListParagraph"/>
        <w:spacing w:before="0"/>
        <w:jc w:val="both"/>
      </w:pPr>
      <w:r w:rsidRPr="000F481A">
        <w:t>From 2008 to 2012, there were 169,03</w:t>
      </w:r>
      <w:r w:rsidR="00F2283B">
        <w:t>1</w:t>
      </w:r>
      <w:r w:rsidRPr="000F481A">
        <w:t xml:space="preserve"> new cases of cancer incidence among </w:t>
      </w:r>
      <w:r w:rsidR="009A7D0C">
        <w:t>Tennesseans</w:t>
      </w:r>
      <w:r w:rsidR="00F2283B">
        <w:t>.</w:t>
      </w:r>
    </w:p>
    <w:p w:rsidR="00C644F8" w:rsidRDefault="00C644F8" w:rsidP="00EA6169">
      <w:pPr>
        <w:pStyle w:val="ListParagraph"/>
        <w:jc w:val="both"/>
      </w:pPr>
      <w:r w:rsidRPr="000F481A">
        <w:t>From 2008</w:t>
      </w:r>
      <w:r w:rsidR="009F4A43">
        <w:t>-</w:t>
      </w:r>
      <w:r w:rsidRPr="000F481A">
        <w:t>2012, lung cancer accounted for the most cancer incidence cases (28,002 cases), followed by female breast cancer (23,035 cases), prostate cancer (22,9</w:t>
      </w:r>
      <w:r w:rsidR="00746E9B">
        <w:t>70</w:t>
      </w:r>
      <w:r w:rsidRPr="000F481A">
        <w:t xml:space="preserve"> cases), colorectal cancer (15,223 cases), melanoma of the skin (7,164 cases), urinary bladder (6,903 cases), non-Hodgkin lymphoma (6,502 cases), kidney </w:t>
      </w:r>
      <w:r w:rsidR="00A55D8A">
        <w:t xml:space="preserve">and renal pelvis </w:t>
      </w:r>
      <w:r w:rsidRPr="000F481A">
        <w:t>cancer (6,153 cases), leukemia (4,44</w:t>
      </w:r>
      <w:r w:rsidR="00746E9B">
        <w:t>6</w:t>
      </w:r>
      <w:r w:rsidRPr="000F481A">
        <w:t xml:space="preserve"> cases), and oral cavity and pharynx (4,44</w:t>
      </w:r>
      <w:r w:rsidR="00746E9B">
        <w:t>2</w:t>
      </w:r>
      <w:r w:rsidRPr="000F481A">
        <w:t xml:space="preserve"> cases). </w:t>
      </w:r>
    </w:p>
    <w:p w:rsidR="00856C81" w:rsidRPr="00370C9B" w:rsidRDefault="005E61B4" w:rsidP="00856C81">
      <w:pPr>
        <w:pStyle w:val="ListParagraph"/>
      </w:pPr>
      <w:r>
        <w:rPr>
          <w:noProof/>
          <w:sz w:val="22"/>
          <w:lang w:bidi="ar-SA"/>
        </w:rPr>
        <mc:AlternateContent>
          <mc:Choice Requires="wps">
            <w:drawing>
              <wp:anchor distT="0" distB="0" distL="114300" distR="114300" simplePos="0" relativeHeight="252363776" behindDoc="0" locked="0" layoutInCell="1" allowOverlap="1" wp14:anchorId="3CADE3C6" wp14:editId="76080096">
                <wp:simplePos x="0" y="0"/>
                <wp:positionH relativeFrom="column">
                  <wp:posOffset>1270</wp:posOffset>
                </wp:positionH>
                <wp:positionV relativeFrom="paragraph">
                  <wp:posOffset>258445</wp:posOffset>
                </wp:positionV>
                <wp:extent cx="8260080" cy="0"/>
                <wp:effectExtent l="0" t="0" r="26670" b="19050"/>
                <wp:wrapNone/>
                <wp:docPr id="331" name="Straight Connector 331"/>
                <wp:cNvGraphicFramePr/>
                <a:graphic xmlns:a="http://schemas.openxmlformats.org/drawingml/2006/main">
                  <a:graphicData uri="http://schemas.microsoft.com/office/word/2010/wordprocessingShape">
                    <wps:wsp>
                      <wps:cNvCnPr/>
                      <wps:spPr>
                        <a:xfrm>
                          <a:off x="0" y="0"/>
                          <a:ext cx="826008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0.35pt" to="650.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" strokecolor="#1b587c [3206]" strokeweight="1pt"/>
            </w:pict>
          </mc:Fallback>
        </mc:AlternateContent>
      </w:r>
      <w:r w:rsidR="00856C81" w:rsidRPr="00370C9B">
        <w:t xml:space="preserve">The 10 most common cancers associated with </w:t>
      </w:r>
      <w:r w:rsidR="00856C81">
        <w:t>incidence</w:t>
      </w:r>
      <w:r w:rsidR="00856C81" w:rsidRPr="00370C9B">
        <w:t>, shown above, accounted for 7</w:t>
      </w:r>
      <w:r w:rsidR="00856C81">
        <w:t>3</w:t>
      </w:r>
      <w:r w:rsidR="00856C81" w:rsidRPr="00370C9B">
        <w:t>.</w:t>
      </w:r>
      <w:r w:rsidR="000D4F86">
        <w:t>9</w:t>
      </w:r>
      <w:r w:rsidR="00856C81" w:rsidRPr="00370C9B">
        <w:t xml:space="preserve">% of all </w:t>
      </w:r>
      <w:r w:rsidR="000D4F86">
        <w:t xml:space="preserve">new cases of </w:t>
      </w:r>
      <w:r w:rsidR="00856C81" w:rsidRPr="00370C9B">
        <w:t xml:space="preserve">cancer. </w:t>
      </w:r>
    </w:p>
    <w:p w:rsidR="00BF0577" w:rsidRDefault="00964E4C" w:rsidP="00E455D6">
      <w:pPr>
        <w:pStyle w:val="NoSpacing"/>
        <w:jc w:val="right"/>
      </w:pPr>
      <w:hyperlink w:anchor="_Data_Sources_1" w:history="1">
        <w:r w:rsidR="00285431" w:rsidRPr="009C6DD1">
          <w:rPr>
            <w:rStyle w:val="Hyperlink"/>
          </w:rPr>
          <w:t xml:space="preserve">Data </w:t>
        </w:r>
        <w:r w:rsidR="00E455D6" w:rsidRPr="009C6DD1">
          <w:rPr>
            <w:rStyle w:val="Hyperlink"/>
          </w:rPr>
          <w:t>Source</w:t>
        </w:r>
        <w:r w:rsidR="009C6DD1" w:rsidRPr="009C6DD1">
          <w:rPr>
            <w:rStyle w:val="Hyperlink"/>
          </w:rPr>
          <w:t xml:space="preserve"> </w:t>
        </w:r>
      </w:hyperlink>
      <w:r w:rsidR="00BF0577">
        <w:t xml:space="preserve"> </w:t>
      </w:r>
    </w:p>
    <w:p w:rsidR="00E455D6" w:rsidRPr="009C6DD1" w:rsidRDefault="009C6DD1" w:rsidP="00494849">
      <w:pPr>
        <w:pStyle w:val="Heading5"/>
      </w:pPr>
      <w:r>
        <w:lastRenderedPageBreak/>
        <w:t>Leading Causes of Cancer Incidence, 2008-2012, Continued</w:t>
      </w:r>
    </w:p>
    <w:p w:rsidR="00CA55A5" w:rsidRDefault="00673892" w:rsidP="00CA55A5">
      <w:r>
        <w:rPr>
          <w:noProof/>
          <w:lang w:bidi="ar-SA"/>
        </w:rPr>
        <mc:AlternateContent>
          <mc:Choice Requires="wps">
            <w:drawing>
              <wp:anchor distT="0" distB="0" distL="114300" distR="114300" simplePos="0" relativeHeight="252365824" behindDoc="0" locked="0" layoutInCell="1" allowOverlap="1" wp14:anchorId="2C0B7CA5" wp14:editId="4FB98D0C">
                <wp:simplePos x="0" y="0"/>
                <wp:positionH relativeFrom="column">
                  <wp:posOffset>5524500</wp:posOffset>
                </wp:positionH>
                <wp:positionV relativeFrom="paragraph">
                  <wp:posOffset>55245</wp:posOffset>
                </wp:positionV>
                <wp:extent cx="2787650" cy="3009900"/>
                <wp:effectExtent l="0" t="0" r="12700" b="1905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3009900"/>
                        </a:xfrm>
                        <a:prstGeom prst="rect">
                          <a:avLst/>
                        </a:prstGeom>
                        <a:solidFill>
                          <a:srgbClr val="FFFFFF"/>
                        </a:solidFill>
                        <a:ln w="9525">
                          <a:solidFill>
                            <a:schemeClr val="accent3"/>
                          </a:solidFill>
                          <a:miter lim="800000"/>
                          <a:headEnd/>
                          <a:tailEnd/>
                        </a:ln>
                      </wps:spPr>
                      <wps:txbx>
                        <w:txbxContent>
                          <w:p w:rsidR="00CF610C" w:rsidRPr="00CA55A5" w:rsidRDefault="00CF610C" w:rsidP="008A7576">
                            <w:pPr>
                              <w:pStyle w:val="ListParagraph"/>
                              <w:numPr>
                                <w:ilvl w:val="0"/>
                                <w:numId w:val="21"/>
                              </w:numPr>
                              <w:jc w:val="both"/>
                            </w:pPr>
                            <w:r w:rsidRPr="00CA55A5">
                              <w:t xml:space="preserve">Among blacks, prostate cancer was the leading cause of cancer incidence in </w:t>
                            </w:r>
                            <w:r>
                              <w:t>2008-2012</w:t>
                            </w:r>
                            <w:r w:rsidRPr="00CA55A5">
                              <w:t xml:space="preserve">, accounting for 17.6% of total </w:t>
                            </w:r>
                            <w:r>
                              <w:t xml:space="preserve">new </w:t>
                            </w:r>
                            <w:r w:rsidRPr="00CA55A5">
                              <w:t>cancer cases among blacks.</w:t>
                            </w:r>
                          </w:p>
                          <w:p w:rsidR="00CF610C" w:rsidRPr="00CA55A5" w:rsidRDefault="00CF610C" w:rsidP="008A7576">
                            <w:pPr>
                              <w:pStyle w:val="ListParagraph"/>
                              <w:numPr>
                                <w:ilvl w:val="0"/>
                                <w:numId w:val="21"/>
                              </w:numPr>
                              <w:jc w:val="both"/>
                            </w:pPr>
                            <w:r>
                              <w:t>Female b</w:t>
                            </w:r>
                            <w:r w:rsidRPr="00CA55A5">
                              <w:t>reast cancer was the 2</w:t>
                            </w:r>
                            <w:r w:rsidRPr="00CA55A5">
                              <w:rPr>
                                <w:vertAlign w:val="superscript"/>
                              </w:rPr>
                              <w:t>nd</w:t>
                            </w:r>
                            <w:r w:rsidRPr="00CA55A5">
                              <w:t xml:space="preserve"> leading cause, followed by lung (3</w:t>
                            </w:r>
                            <w:r w:rsidRPr="00CA55A5">
                              <w:rPr>
                                <w:vertAlign w:val="superscript"/>
                              </w:rPr>
                              <w:t>rd</w:t>
                            </w:r>
                            <w:r w:rsidRPr="00CA55A5">
                              <w:t>), colon and rectum (4</w:t>
                            </w:r>
                            <w:r w:rsidRPr="00CA55A5">
                              <w:rPr>
                                <w:vertAlign w:val="superscript"/>
                              </w:rPr>
                              <w:t>th</w:t>
                            </w:r>
                            <w:r w:rsidRPr="00CA55A5">
                              <w:t>), and kidney (5</w:t>
                            </w:r>
                            <w:r w:rsidRPr="00CA55A5">
                              <w:rPr>
                                <w:vertAlign w:val="superscript"/>
                              </w:rPr>
                              <w:t>th</w:t>
                            </w:r>
                            <w:r w:rsidRPr="00CA55A5">
                              <w:t>).</w:t>
                            </w:r>
                          </w:p>
                          <w:p w:rsidR="00CF610C" w:rsidRPr="00CA55A5" w:rsidRDefault="00CF610C" w:rsidP="008A7576">
                            <w:pPr>
                              <w:pStyle w:val="ListParagraph"/>
                              <w:numPr>
                                <w:ilvl w:val="0"/>
                                <w:numId w:val="21"/>
                              </w:numPr>
                              <w:jc w:val="both"/>
                            </w:pPr>
                            <w:r w:rsidRPr="00CA55A5">
                              <w:t>There were 21,54</w:t>
                            </w:r>
                            <w:r>
                              <w:t>6</w:t>
                            </w:r>
                            <w:r w:rsidRPr="00CA55A5">
                              <w:t xml:space="preserve"> new cases of cancer </w:t>
                            </w:r>
                            <w:r>
                              <w:t>am</w:t>
                            </w:r>
                            <w:r w:rsidRPr="00CA55A5">
                              <w:t>ong blacks from 2008</w:t>
                            </w:r>
                            <w:r>
                              <w:t>-</w:t>
                            </w:r>
                            <w:r w:rsidRPr="00CA55A5">
                              <w:t xml:space="preserve">2012; blacks represented 12.7% of all </w:t>
                            </w:r>
                            <w:r>
                              <w:t xml:space="preserve">new </w:t>
                            </w:r>
                            <w:r w:rsidRPr="00CA55A5">
                              <w:t>cancer cases in TN.</w:t>
                            </w:r>
                            <w:r w:rsidRPr="00CA55A5">
                              <w:rPr>
                                <w:noProof/>
                                <w:lang w:bidi="ar-SA"/>
                              </w:rPr>
                              <w:t xml:space="preserve"> </w:t>
                            </w:r>
                          </w:p>
                          <w:p w:rsidR="00CF610C" w:rsidRDefault="00CF6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35pt;margin-top:4.35pt;width:219.5pt;height:237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" strokecolor="#1b587c [3206]">
                <v:textbox>
                  <w:txbxContent>
                    <w:p w:rsidR="00CF610C" w:rsidRPr="00CA55A5" w:rsidRDefault="00CF610C" w:rsidP="008A7576">
                      <w:pPr>
                        <w:pStyle w:val="ListParagraph"/>
                        <w:numPr>
                          <w:ilvl w:val="0"/>
                          <w:numId w:val="21"/>
                        </w:numPr>
                        <w:jc w:val="both"/>
                      </w:pPr>
                      <w:r w:rsidRPr="00CA55A5">
                        <w:t xml:space="preserve">Among blacks, prostate cancer was the leading cause of cancer incidence in </w:t>
                      </w:r>
                      <w:r>
                        <w:t>2008-2012</w:t>
                      </w:r>
                      <w:r w:rsidRPr="00CA55A5">
                        <w:t xml:space="preserve">, accounting for 17.6% of total </w:t>
                      </w:r>
                      <w:r>
                        <w:t xml:space="preserve">new </w:t>
                      </w:r>
                      <w:r w:rsidRPr="00CA55A5">
                        <w:t>cancer cases among blacks.</w:t>
                      </w:r>
                    </w:p>
                    <w:p w:rsidR="00CF610C" w:rsidRPr="00CA55A5" w:rsidRDefault="00CF610C" w:rsidP="008A7576">
                      <w:pPr>
                        <w:pStyle w:val="ListParagraph"/>
                        <w:numPr>
                          <w:ilvl w:val="0"/>
                          <w:numId w:val="21"/>
                        </w:numPr>
                        <w:jc w:val="both"/>
                      </w:pPr>
                      <w:r>
                        <w:t>Female b</w:t>
                      </w:r>
                      <w:r w:rsidRPr="00CA55A5">
                        <w:t>reast cancer was the 2</w:t>
                      </w:r>
                      <w:r w:rsidRPr="00CA55A5">
                        <w:rPr>
                          <w:vertAlign w:val="superscript"/>
                        </w:rPr>
                        <w:t>nd</w:t>
                      </w:r>
                      <w:r w:rsidRPr="00CA55A5">
                        <w:t xml:space="preserve"> leading cause, followed by lung (3</w:t>
                      </w:r>
                      <w:r w:rsidRPr="00CA55A5">
                        <w:rPr>
                          <w:vertAlign w:val="superscript"/>
                        </w:rPr>
                        <w:t>rd</w:t>
                      </w:r>
                      <w:r w:rsidRPr="00CA55A5">
                        <w:t>), colon and rectum (4</w:t>
                      </w:r>
                      <w:r w:rsidRPr="00CA55A5">
                        <w:rPr>
                          <w:vertAlign w:val="superscript"/>
                        </w:rPr>
                        <w:t>th</w:t>
                      </w:r>
                      <w:r w:rsidRPr="00CA55A5">
                        <w:t>), and kidney (5</w:t>
                      </w:r>
                      <w:r w:rsidRPr="00CA55A5">
                        <w:rPr>
                          <w:vertAlign w:val="superscript"/>
                        </w:rPr>
                        <w:t>th</w:t>
                      </w:r>
                      <w:r w:rsidRPr="00CA55A5">
                        <w:t>).</w:t>
                      </w:r>
                    </w:p>
                    <w:p w:rsidR="00CF610C" w:rsidRPr="00CA55A5" w:rsidRDefault="00CF610C" w:rsidP="008A7576">
                      <w:pPr>
                        <w:pStyle w:val="ListParagraph"/>
                        <w:numPr>
                          <w:ilvl w:val="0"/>
                          <w:numId w:val="21"/>
                        </w:numPr>
                        <w:jc w:val="both"/>
                      </w:pPr>
                      <w:r w:rsidRPr="00CA55A5">
                        <w:t>There were 21,54</w:t>
                      </w:r>
                      <w:r>
                        <w:t>6</w:t>
                      </w:r>
                      <w:r w:rsidRPr="00CA55A5">
                        <w:t xml:space="preserve"> new cases of cancer </w:t>
                      </w:r>
                      <w:r>
                        <w:t>am</w:t>
                      </w:r>
                      <w:r w:rsidRPr="00CA55A5">
                        <w:t>ong blacks from 2008</w:t>
                      </w:r>
                      <w:r>
                        <w:t>-</w:t>
                      </w:r>
                      <w:r w:rsidRPr="00CA55A5">
                        <w:t xml:space="preserve">2012; blacks represented 12.7% of all </w:t>
                      </w:r>
                      <w:r>
                        <w:t xml:space="preserve">new </w:t>
                      </w:r>
                      <w:r w:rsidRPr="00CA55A5">
                        <w:t>cancer cases in TN.</w:t>
                      </w:r>
                      <w:r w:rsidRPr="00CA55A5">
                        <w:rPr>
                          <w:noProof/>
                          <w:lang w:bidi="ar-SA"/>
                        </w:rPr>
                        <w:t xml:space="preserve"> </w:t>
                      </w:r>
                    </w:p>
                    <w:p w:rsidR="00CF610C" w:rsidRDefault="00CF610C"/>
                  </w:txbxContent>
                </v:textbox>
              </v:shape>
            </w:pict>
          </mc:Fallback>
        </mc:AlternateContent>
      </w:r>
      <w:r w:rsidR="009C6DD1">
        <w:rPr>
          <w:noProof/>
          <w:lang w:bidi="ar-SA"/>
        </w:rPr>
        <w:drawing>
          <wp:inline distT="0" distB="0" distL="0" distR="0" wp14:anchorId="1C64EDA9" wp14:editId="66FE403D">
            <wp:extent cx="5559552" cy="2651760"/>
            <wp:effectExtent l="0" t="0" r="3175"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73892" w:rsidRDefault="00673892" w:rsidP="00673892">
      <w:r>
        <w:rPr>
          <w:noProof/>
          <w:lang w:bidi="ar-SA"/>
        </w:rPr>
        <mc:AlternateContent>
          <mc:Choice Requires="wps">
            <w:drawing>
              <wp:anchor distT="0" distB="0" distL="114300" distR="114300" simplePos="0" relativeHeight="252367872" behindDoc="0" locked="0" layoutInCell="1" allowOverlap="1" wp14:anchorId="42F347D1" wp14:editId="0A16E6BC">
                <wp:simplePos x="0" y="0"/>
                <wp:positionH relativeFrom="column">
                  <wp:posOffset>5530215</wp:posOffset>
                </wp:positionH>
                <wp:positionV relativeFrom="paragraph">
                  <wp:posOffset>251983</wp:posOffset>
                </wp:positionV>
                <wp:extent cx="2787712" cy="2143322"/>
                <wp:effectExtent l="0" t="0" r="12700" b="285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712" cy="2143322"/>
                        </a:xfrm>
                        <a:prstGeom prst="rect">
                          <a:avLst/>
                        </a:prstGeom>
                        <a:solidFill>
                          <a:srgbClr val="FFFFFF"/>
                        </a:solidFill>
                        <a:ln w="9525">
                          <a:solidFill>
                            <a:schemeClr val="accent3"/>
                          </a:solidFill>
                          <a:miter lim="800000"/>
                          <a:headEnd/>
                          <a:tailEnd/>
                        </a:ln>
                      </wps:spPr>
                      <wps:txbx>
                        <w:txbxContent>
                          <w:p w:rsidR="00CF610C" w:rsidRPr="00CA55A5" w:rsidRDefault="00CF610C" w:rsidP="008A7576">
                            <w:pPr>
                              <w:pStyle w:val="NoSpacing"/>
                              <w:numPr>
                                <w:ilvl w:val="0"/>
                                <w:numId w:val="22"/>
                              </w:numPr>
                              <w:spacing w:line="276" w:lineRule="auto"/>
                              <w:jc w:val="both"/>
                              <w:rPr>
                                <w:sz w:val="24"/>
                              </w:rPr>
                            </w:pPr>
                            <w:r w:rsidRPr="00CA55A5">
                              <w:rPr>
                                <w:sz w:val="24"/>
                              </w:rPr>
                              <w:t>Among whites, lung cancer was the leading cause of cancer incidence in 2008</w:t>
                            </w:r>
                            <w:r>
                              <w:rPr>
                                <w:sz w:val="24"/>
                              </w:rPr>
                              <w:t>-</w:t>
                            </w:r>
                            <w:r w:rsidRPr="00CA55A5">
                              <w:rPr>
                                <w:sz w:val="24"/>
                              </w:rPr>
                              <w:t>2012, accounting for 16.9% of all cancer cases among whites.</w:t>
                            </w:r>
                          </w:p>
                          <w:p w:rsidR="00CF610C" w:rsidRPr="00CA55A5" w:rsidRDefault="00CF610C" w:rsidP="008A7576">
                            <w:pPr>
                              <w:pStyle w:val="NoSpacing"/>
                              <w:numPr>
                                <w:ilvl w:val="0"/>
                                <w:numId w:val="22"/>
                              </w:numPr>
                              <w:spacing w:line="276" w:lineRule="auto"/>
                              <w:jc w:val="both"/>
                            </w:pPr>
                            <w:r w:rsidRPr="00CA55A5">
                              <w:rPr>
                                <w:sz w:val="24"/>
                              </w:rPr>
                              <w:t>There were 145,13</w:t>
                            </w:r>
                            <w:r>
                              <w:rPr>
                                <w:sz w:val="24"/>
                              </w:rPr>
                              <w:t>4</w:t>
                            </w:r>
                            <w:r w:rsidRPr="00CA55A5">
                              <w:rPr>
                                <w:sz w:val="24"/>
                              </w:rPr>
                              <w:t xml:space="preserve"> new cases of cancer between 2008 and 2012 among whites; whites represented nearly 86% (85.9%) of all cancer incidence cases in TN.</w:t>
                            </w:r>
                          </w:p>
                          <w:p w:rsidR="00CF610C" w:rsidRDefault="00CF6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5.45pt;margin-top:19.85pt;width:219.5pt;height:168.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" strokecolor="#1b587c [3206]">
                <v:textbox>
                  <w:txbxContent>
                    <w:p w:rsidR="00CF610C" w:rsidRPr="00CA55A5" w:rsidRDefault="00CF610C" w:rsidP="008A7576">
                      <w:pPr>
                        <w:pStyle w:val="NoSpacing"/>
                        <w:numPr>
                          <w:ilvl w:val="0"/>
                          <w:numId w:val="22"/>
                        </w:numPr>
                        <w:spacing w:line="276" w:lineRule="auto"/>
                        <w:jc w:val="both"/>
                        <w:rPr>
                          <w:sz w:val="24"/>
                        </w:rPr>
                      </w:pPr>
                      <w:r w:rsidRPr="00CA55A5">
                        <w:rPr>
                          <w:sz w:val="24"/>
                        </w:rPr>
                        <w:t>Among whites, lung cancer was the leading cause of cancer incidence in 2008</w:t>
                      </w:r>
                      <w:r>
                        <w:rPr>
                          <w:sz w:val="24"/>
                        </w:rPr>
                        <w:t>-</w:t>
                      </w:r>
                      <w:r w:rsidRPr="00CA55A5">
                        <w:rPr>
                          <w:sz w:val="24"/>
                        </w:rPr>
                        <w:t>2012, accounting for 16.9% of all cancer cases among whites.</w:t>
                      </w:r>
                    </w:p>
                    <w:p w:rsidR="00CF610C" w:rsidRPr="00CA55A5" w:rsidRDefault="00CF610C" w:rsidP="008A7576">
                      <w:pPr>
                        <w:pStyle w:val="NoSpacing"/>
                        <w:numPr>
                          <w:ilvl w:val="0"/>
                          <w:numId w:val="22"/>
                        </w:numPr>
                        <w:spacing w:line="276" w:lineRule="auto"/>
                        <w:jc w:val="both"/>
                      </w:pPr>
                      <w:r w:rsidRPr="00CA55A5">
                        <w:rPr>
                          <w:sz w:val="24"/>
                        </w:rPr>
                        <w:t>There were 145,13</w:t>
                      </w:r>
                      <w:r>
                        <w:rPr>
                          <w:sz w:val="24"/>
                        </w:rPr>
                        <w:t>4</w:t>
                      </w:r>
                      <w:r w:rsidRPr="00CA55A5">
                        <w:rPr>
                          <w:sz w:val="24"/>
                        </w:rPr>
                        <w:t xml:space="preserve"> new cases of cancer between 2008 and 2012 among whites; whites represented nearly 86% (85.9%) of all cancer incidence cases in TN.</w:t>
                      </w:r>
                    </w:p>
                    <w:p w:rsidR="00CF610C" w:rsidRDefault="00CF610C"/>
                  </w:txbxContent>
                </v:textbox>
              </v:shape>
            </w:pict>
          </mc:Fallback>
        </mc:AlternateContent>
      </w:r>
      <w:r w:rsidR="009C6DD1">
        <w:rPr>
          <w:noProof/>
          <w:lang w:bidi="ar-SA"/>
        </w:rPr>
        <w:drawing>
          <wp:inline distT="0" distB="0" distL="0" distR="0" wp14:anchorId="2B9E6A8D" wp14:editId="776A7C29">
            <wp:extent cx="5559552" cy="2651760"/>
            <wp:effectExtent l="0" t="0" r="3175" b="0"/>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537DF4">
        <w:t xml:space="preserve"> </w:t>
      </w:r>
    </w:p>
    <w:p w:rsidR="00BF0577" w:rsidRDefault="00964E4C" w:rsidP="00673892">
      <w:pPr>
        <w:pStyle w:val="NoSpacing"/>
        <w:jc w:val="right"/>
      </w:pPr>
      <w:hyperlink w:anchor="_Data_Sources_1" w:history="1">
        <w:r w:rsidR="00EA3185" w:rsidRPr="00EA3185">
          <w:rPr>
            <w:rStyle w:val="Hyperlink"/>
          </w:rPr>
          <w:t>Data Source</w:t>
        </w:r>
      </w:hyperlink>
    </w:p>
    <w:p w:rsidR="009C6DD1" w:rsidRDefault="00FA3482" w:rsidP="00673892">
      <w:pPr>
        <w:pStyle w:val="NoSpacing"/>
        <w:jc w:val="right"/>
      </w:pPr>
      <w:r>
        <w:rPr>
          <w:noProof/>
          <w:sz w:val="22"/>
          <w:lang w:bidi="ar-SA"/>
        </w:rPr>
        <mc:AlternateContent>
          <mc:Choice Requires="wps">
            <w:drawing>
              <wp:anchor distT="0" distB="0" distL="114300" distR="114300" simplePos="0" relativeHeight="252382208" behindDoc="0" locked="0" layoutInCell="1" allowOverlap="1" wp14:anchorId="4B2A2209" wp14:editId="2A6897C0">
                <wp:simplePos x="0" y="0"/>
                <wp:positionH relativeFrom="column">
                  <wp:posOffset>2750</wp:posOffset>
                </wp:positionH>
                <wp:positionV relativeFrom="paragraph">
                  <wp:posOffset>311674</wp:posOffset>
                </wp:positionV>
                <wp:extent cx="8260579" cy="0"/>
                <wp:effectExtent l="0" t="0" r="26670" b="19050"/>
                <wp:wrapNone/>
                <wp:docPr id="340" name="Straight Connector 340"/>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 o:spid="_x0000_s1026" style="position:absolute;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55pt" to="650.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" strokecolor="#1b587c [3206]" strokeweight="1pt"/>
            </w:pict>
          </mc:Fallback>
        </mc:AlternateContent>
      </w:r>
      <w:r w:rsidR="003476CD">
        <w:t xml:space="preserve"> </w:t>
      </w:r>
      <w:r w:rsidR="009C6DD1">
        <w:br w:type="page"/>
      </w:r>
    </w:p>
    <w:p w:rsidR="009C6DD1" w:rsidRDefault="00EA3185" w:rsidP="00494849">
      <w:pPr>
        <w:pStyle w:val="Heading5"/>
      </w:pPr>
      <w:r w:rsidRPr="00EA3185">
        <w:lastRenderedPageBreak/>
        <w:t>LEADING CAUSES OF CANCER INCIDENCE, 2008-2012, CONTINUED</w:t>
      </w:r>
    </w:p>
    <w:p w:rsidR="00EA3185" w:rsidRPr="00EA3185" w:rsidRDefault="00673892" w:rsidP="00EA3185">
      <w:r>
        <w:rPr>
          <w:noProof/>
          <w:lang w:bidi="ar-SA"/>
        </w:rPr>
        <mc:AlternateContent>
          <mc:Choice Requires="wps">
            <w:drawing>
              <wp:anchor distT="0" distB="0" distL="114300" distR="114300" simplePos="0" relativeHeight="252369920" behindDoc="0" locked="0" layoutInCell="1" allowOverlap="1" wp14:anchorId="09926A7C" wp14:editId="510BC055">
                <wp:simplePos x="0" y="0"/>
                <wp:positionH relativeFrom="column">
                  <wp:posOffset>5237825</wp:posOffset>
                </wp:positionH>
                <wp:positionV relativeFrom="paragraph">
                  <wp:posOffset>411572</wp:posOffset>
                </wp:positionV>
                <wp:extent cx="3071674" cy="2414727"/>
                <wp:effectExtent l="0" t="0" r="14605" b="2413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674" cy="2414727"/>
                        </a:xfrm>
                        <a:prstGeom prst="rect">
                          <a:avLst/>
                        </a:prstGeom>
                        <a:solidFill>
                          <a:srgbClr val="FFFFFF"/>
                        </a:solidFill>
                        <a:ln w="9525">
                          <a:solidFill>
                            <a:schemeClr val="accent3"/>
                          </a:solidFill>
                          <a:miter lim="800000"/>
                          <a:headEnd/>
                          <a:tailEnd/>
                        </a:ln>
                      </wps:spPr>
                      <wps:txbx>
                        <w:txbxContent>
                          <w:p w:rsidR="00CF610C" w:rsidRPr="00EA6169" w:rsidRDefault="00CF610C" w:rsidP="008A7576">
                            <w:pPr>
                              <w:pStyle w:val="ListParagraph"/>
                              <w:numPr>
                                <w:ilvl w:val="0"/>
                                <w:numId w:val="23"/>
                              </w:numPr>
                              <w:jc w:val="both"/>
                            </w:pPr>
                            <w:r w:rsidRPr="00EA6169">
                              <w:t>Breast cancer was the leading cause of cancer incidence among Tennessee females in 2008</w:t>
                            </w:r>
                            <w:r>
                              <w:t>-</w:t>
                            </w:r>
                            <w:r w:rsidRPr="00EA6169">
                              <w:t>2012, accounting for 28.7% of total cancer cases among women.</w:t>
                            </w:r>
                          </w:p>
                          <w:p w:rsidR="00CF610C" w:rsidRPr="00EA6169" w:rsidRDefault="00CF610C" w:rsidP="008A7576">
                            <w:pPr>
                              <w:pStyle w:val="ListParagraph"/>
                              <w:numPr>
                                <w:ilvl w:val="0"/>
                                <w:numId w:val="23"/>
                              </w:numPr>
                              <w:jc w:val="both"/>
                            </w:pPr>
                            <w:r w:rsidRPr="00EA6169">
                              <w:t>Lung cancer was the 2</w:t>
                            </w:r>
                            <w:r w:rsidRPr="00EA6169">
                              <w:rPr>
                                <w:vertAlign w:val="superscript"/>
                              </w:rPr>
                              <w:t>nd</w:t>
                            </w:r>
                            <w:r w:rsidRPr="00EA6169">
                              <w:t xml:space="preserve"> leading cause, followed by colorectal cancer (3</w:t>
                            </w:r>
                            <w:r w:rsidRPr="00EA6169">
                              <w:rPr>
                                <w:vertAlign w:val="superscript"/>
                              </w:rPr>
                              <w:t>rd</w:t>
                            </w:r>
                            <w:r w:rsidRPr="00EA6169">
                              <w:t>), uterine cancer (4</w:t>
                            </w:r>
                            <w:r w:rsidRPr="00EA6169">
                              <w:rPr>
                                <w:vertAlign w:val="superscript"/>
                              </w:rPr>
                              <w:t>th</w:t>
                            </w:r>
                            <w:r w:rsidRPr="00EA6169">
                              <w:t>), and thyroid cancer (5</w:t>
                            </w:r>
                            <w:r w:rsidRPr="00EA6169">
                              <w:rPr>
                                <w:vertAlign w:val="superscript"/>
                              </w:rPr>
                              <w:t>th</w:t>
                            </w:r>
                            <w:r w:rsidRPr="00EA6169">
                              <w:t>).</w:t>
                            </w:r>
                          </w:p>
                          <w:p w:rsidR="00CF610C" w:rsidRPr="00EA6169" w:rsidRDefault="00CF610C" w:rsidP="008A7576">
                            <w:pPr>
                              <w:pStyle w:val="ListParagraph"/>
                              <w:numPr>
                                <w:ilvl w:val="0"/>
                                <w:numId w:val="23"/>
                              </w:numPr>
                              <w:jc w:val="both"/>
                            </w:pPr>
                            <w:r w:rsidRPr="00EA6169">
                              <w:t xml:space="preserve">There were 80,275 new cases of cancer among females </w:t>
                            </w:r>
                            <w:r>
                              <w:t>from</w:t>
                            </w:r>
                            <w:r w:rsidRPr="00EA6169">
                              <w:t xml:space="preserve"> 2008</w:t>
                            </w:r>
                            <w:r>
                              <w:t>-</w:t>
                            </w:r>
                            <w:r w:rsidRPr="00EA6169">
                              <w:t>2012.</w:t>
                            </w:r>
                            <w:r w:rsidRPr="00EA6169">
                              <w:rPr>
                                <w:noProof/>
                                <w:lang w:bidi="ar-SA"/>
                              </w:rPr>
                              <w:t xml:space="preserve"> </w:t>
                            </w:r>
                          </w:p>
                          <w:p w:rsidR="00CF610C" w:rsidRDefault="00CF6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12.45pt;margin-top:32.4pt;width:241.85pt;height:190.1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" strokecolor="#1b587c [3206]">
                <v:textbox>
                  <w:txbxContent>
                    <w:p w:rsidR="00CF610C" w:rsidRPr="00EA6169" w:rsidRDefault="00CF610C" w:rsidP="008A7576">
                      <w:pPr>
                        <w:pStyle w:val="ListParagraph"/>
                        <w:numPr>
                          <w:ilvl w:val="0"/>
                          <w:numId w:val="23"/>
                        </w:numPr>
                        <w:jc w:val="both"/>
                      </w:pPr>
                      <w:r w:rsidRPr="00EA6169">
                        <w:t>Breast cancer was the leading cause of cancer incidence among Tennessee females in 2008</w:t>
                      </w:r>
                      <w:r>
                        <w:t>-</w:t>
                      </w:r>
                      <w:r w:rsidRPr="00EA6169">
                        <w:t>2012, accounting for 28.7% of total cancer cases among women.</w:t>
                      </w:r>
                    </w:p>
                    <w:p w:rsidR="00CF610C" w:rsidRPr="00EA6169" w:rsidRDefault="00CF610C" w:rsidP="008A7576">
                      <w:pPr>
                        <w:pStyle w:val="ListParagraph"/>
                        <w:numPr>
                          <w:ilvl w:val="0"/>
                          <w:numId w:val="23"/>
                        </w:numPr>
                        <w:jc w:val="both"/>
                      </w:pPr>
                      <w:r w:rsidRPr="00EA6169">
                        <w:t>Lung cancer was the 2</w:t>
                      </w:r>
                      <w:r w:rsidRPr="00EA6169">
                        <w:rPr>
                          <w:vertAlign w:val="superscript"/>
                        </w:rPr>
                        <w:t>nd</w:t>
                      </w:r>
                      <w:r w:rsidRPr="00EA6169">
                        <w:t xml:space="preserve"> leading cause, followed by colorectal cancer (3</w:t>
                      </w:r>
                      <w:r w:rsidRPr="00EA6169">
                        <w:rPr>
                          <w:vertAlign w:val="superscript"/>
                        </w:rPr>
                        <w:t>rd</w:t>
                      </w:r>
                      <w:r w:rsidRPr="00EA6169">
                        <w:t>), uterine cancer (4</w:t>
                      </w:r>
                      <w:r w:rsidRPr="00EA6169">
                        <w:rPr>
                          <w:vertAlign w:val="superscript"/>
                        </w:rPr>
                        <w:t>th</w:t>
                      </w:r>
                      <w:r w:rsidRPr="00EA6169">
                        <w:t>), and thyroid cancer (5</w:t>
                      </w:r>
                      <w:r w:rsidRPr="00EA6169">
                        <w:rPr>
                          <w:vertAlign w:val="superscript"/>
                        </w:rPr>
                        <w:t>th</w:t>
                      </w:r>
                      <w:r w:rsidRPr="00EA6169">
                        <w:t>).</w:t>
                      </w:r>
                    </w:p>
                    <w:p w:rsidR="00CF610C" w:rsidRPr="00EA6169" w:rsidRDefault="00CF610C" w:rsidP="008A7576">
                      <w:pPr>
                        <w:pStyle w:val="ListParagraph"/>
                        <w:numPr>
                          <w:ilvl w:val="0"/>
                          <w:numId w:val="23"/>
                        </w:numPr>
                        <w:jc w:val="both"/>
                      </w:pPr>
                      <w:r w:rsidRPr="00EA6169">
                        <w:t xml:space="preserve">There were 80,275 new cases of cancer among females </w:t>
                      </w:r>
                      <w:r>
                        <w:t>from</w:t>
                      </w:r>
                      <w:r w:rsidRPr="00EA6169">
                        <w:t xml:space="preserve"> 2008</w:t>
                      </w:r>
                      <w:r>
                        <w:t>-</w:t>
                      </w:r>
                      <w:r w:rsidRPr="00EA6169">
                        <w:t>2012.</w:t>
                      </w:r>
                      <w:r w:rsidRPr="00EA6169">
                        <w:rPr>
                          <w:noProof/>
                          <w:lang w:bidi="ar-SA"/>
                        </w:rPr>
                        <w:t xml:space="preserve"> </w:t>
                      </w:r>
                    </w:p>
                    <w:p w:rsidR="00CF610C" w:rsidRDefault="00CF610C"/>
                  </w:txbxContent>
                </v:textbox>
              </v:shape>
            </w:pict>
          </mc:Fallback>
        </mc:AlternateContent>
      </w:r>
      <w:r w:rsidR="00EA3185">
        <w:rPr>
          <w:noProof/>
          <w:lang w:bidi="ar-SA"/>
        </w:rPr>
        <w:drawing>
          <wp:inline distT="0" distB="0" distL="0" distR="0" wp14:anchorId="4ADE59F1" wp14:editId="4F2D3CF4">
            <wp:extent cx="5237825" cy="2654423"/>
            <wp:effectExtent l="0" t="0" r="127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A3185" w:rsidRDefault="00673892" w:rsidP="00EA3185">
      <w:r>
        <w:rPr>
          <w:noProof/>
          <w:lang w:bidi="ar-SA"/>
        </w:rPr>
        <mc:AlternateContent>
          <mc:Choice Requires="wps">
            <w:drawing>
              <wp:anchor distT="0" distB="0" distL="114300" distR="114300" simplePos="0" relativeHeight="252371968" behindDoc="0" locked="0" layoutInCell="1" allowOverlap="1" wp14:anchorId="158844A5" wp14:editId="27BE25EA">
                <wp:simplePos x="0" y="0"/>
                <wp:positionH relativeFrom="column">
                  <wp:posOffset>5237825</wp:posOffset>
                </wp:positionH>
                <wp:positionV relativeFrom="paragraph">
                  <wp:posOffset>172887</wp:posOffset>
                </wp:positionV>
                <wp:extent cx="3071495" cy="2423604"/>
                <wp:effectExtent l="0" t="0" r="14605" b="1524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2423604"/>
                        </a:xfrm>
                        <a:prstGeom prst="rect">
                          <a:avLst/>
                        </a:prstGeom>
                        <a:solidFill>
                          <a:srgbClr val="FFFFFF"/>
                        </a:solidFill>
                        <a:ln w="9525">
                          <a:solidFill>
                            <a:schemeClr val="accent3"/>
                          </a:solidFill>
                          <a:miter lim="800000"/>
                          <a:headEnd/>
                          <a:tailEnd/>
                        </a:ln>
                      </wps:spPr>
                      <wps:txbx>
                        <w:txbxContent>
                          <w:p w:rsidR="00CF610C" w:rsidRPr="00370C9B" w:rsidRDefault="00CF610C" w:rsidP="008A7576">
                            <w:pPr>
                              <w:pStyle w:val="ListParagraph"/>
                              <w:numPr>
                                <w:ilvl w:val="0"/>
                                <w:numId w:val="24"/>
                              </w:numPr>
                              <w:jc w:val="both"/>
                            </w:pPr>
                            <w:r w:rsidRPr="00370C9B">
                              <w:t>Prostate cancer was the leading cause of cancer incidence among Tennessee males in 2008</w:t>
                            </w:r>
                            <w:r>
                              <w:t>-</w:t>
                            </w:r>
                            <w:r w:rsidRPr="00370C9B">
                              <w:t>2012, accounting for 25.9% of total cancer cases among men.</w:t>
                            </w:r>
                          </w:p>
                          <w:p w:rsidR="00CF610C" w:rsidRPr="00370C9B" w:rsidRDefault="00CF610C" w:rsidP="008A7576">
                            <w:pPr>
                              <w:pStyle w:val="ListParagraph"/>
                              <w:numPr>
                                <w:ilvl w:val="0"/>
                                <w:numId w:val="24"/>
                              </w:numPr>
                              <w:jc w:val="both"/>
                            </w:pPr>
                            <w:r w:rsidRPr="00370C9B">
                              <w:t>Lung cancer was the 2</w:t>
                            </w:r>
                            <w:r w:rsidRPr="00370C9B">
                              <w:rPr>
                                <w:vertAlign w:val="superscript"/>
                              </w:rPr>
                              <w:t>nd</w:t>
                            </w:r>
                            <w:r w:rsidRPr="00370C9B">
                              <w:t xml:space="preserve"> leading cause, followed by colorectal cancer (3</w:t>
                            </w:r>
                            <w:r w:rsidRPr="00370C9B">
                              <w:rPr>
                                <w:vertAlign w:val="superscript"/>
                              </w:rPr>
                              <w:t>rd</w:t>
                            </w:r>
                            <w:r w:rsidRPr="00370C9B">
                              <w:t>), bladder cancer (4</w:t>
                            </w:r>
                            <w:r w:rsidRPr="00370C9B">
                              <w:rPr>
                                <w:vertAlign w:val="superscript"/>
                              </w:rPr>
                              <w:t>th</w:t>
                            </w:r>
                            <w:r w:rsidRPr="00370C9B">
                              <w:t>) and melanoma of the skin (5</w:t>
                            </w:r>
                            <w:r w:rsidRPr="00370C9B">
                              <w:rPr>
                                <w:vertAlign w:val="superscript"/>
                              </w:rPr>
                              <w:t>th</w:t>
                            </w:r>
                            <w:r w:rsidRPr="00370C9B">
                              <w:t>).</w:t>
                            </w:r>
                          </w:p>
                          <w:p w:rsidR="00CF610C" w:rsidRPr="00370C9B" w:rsidRDefault="00CF610C" w:rsidP="008A7576">
                            <w:pPr>
                              <w:pStyle w:val="ListParagraph"/>
                              <w:numPr>
                                <w:ilvl w:val="0"/>
                                <w:numId w:val="24"/>
                              </w:numPr>
                              <w:jc w:val="both"/>
                            </w:pPr>
                            <w:r w:rsidRPr="00370C9B">
                              <w:t>There were 88,75</w:t>
                            </w:r>
                            <w:r>
                              <w:t>6</w:t>
                            </w:r>
                            <w:r w:rsidRPr="00370C9B">
                              <w:t xml:space="preserve"> new cases of cancer among males from 2008</w:t>
                            </w:r>
                            <w:r>
                              <w:t>-</w:t>
                            </w:r>
                            <w:r w:rsidRPr="00370C9B">
                              <w:t>2012.</w:t>
                            </w:r>
                          </w:p>
                          <w:p w:rsidR="00CF610C" w:rsidRDefault="00CF6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12.45pt;margin-top:13.6pt;width:241.85pt;height:190.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" strokecolor="#1b587c [3206]">
                <v:textbox>
                  <w:txbxContent>
                    <w:p w:rsidR="00CF610C" w:rsidRPr="00370C9B" w:rsidRDefault="00CF610C" w:rsidP="008A7576">
                      <w:pPr>
                        <w:pStyle w:val="ListParagraph"/>
                        <w:numPr>
                          <w:ilvl w:val="0"/>
                          <w:numId w:val="24"/>
                        </w:numPr>
                        <w:jc w:val="both"/>
                      </w:pPr>
                      <w:r w:rsidRPr="00370C9B">
                        <w:t>Prostate cancer was the leading cause of cancer incidence among Tennessee males in 2008</w:t>
                      </w:r>
                      <w:r>
                        <w:t>-</w:t>
                      </w:r>
                      <w:r w:rsidRPr="00370C9B">
                        <w:t>2012, accounting for 25.9% of total cancer cases among men.</w:t>
                      </w:r>
                    </w:p>
                    <w:p w:rsidR="00CF610C" w:rsidRPr="00370C9B" w:rsidRDefault="00CF610C" w:rsidP="008A7576">
                      <w:pPr>
                        <w:pStyle w:val="ListParagraph"/>
                        <w:numPr>
                          <w:ilvl w:val="0"/>
                          <w:numId w:val="24"/>
                        </w:numPr>
                        <w:jc w:val="both"/>
                      </w:pPr>
                      <w:r w:rsidRPr="00370C9B">
                        <w:t>Lung cancer was the 2</w:t>
                      </w:r>
                      <w:r w:rsidRPr="00370C9B">
                        <w:rPr>
                          <w:vertAlign w:val="superscript"/>
                        </w:rPr>
                        <w:t>nd</w:t>
                      </w:r>
                      <w:r w:rsidRPr="00370C9B">
                        <w:t xml:space="preserve"> leading cause, followed by colorectal cancer (3</w:t>
                      </w:r>
                      <w:r w:rsidRPr="00370C9B">
                        <w:rPr>
                          <w:vertAlign w:val="superscript"/>
                        </w:rPr>
                        <w:t>rd</w:t>
                      </w:r>
                      <w:r w:rsidRPr="00370C9B">
                        <w:t>), bladder cancer (4</w:t>
                      </w:r>
                      <w:r w:rsidRPr="00370C9B">
                        <w:rPr>
                          <w:vertAlign w:val="superscript"/>
                        </w:rPr>
                        <w:t>th</w:t>
                      </w:r>
                      <w:r w:rsidRPr="00370C9B">
                        <w:t>) and melanoma of the skin (5</w:t>
                      </w:r>
                      <w:r w:rsidRPr="00370C9B">
                        <w:rPr>
                          <w:vertAlign w:val="superscript"/>
                        </w:rPr>
                        <w:t>th</w:t>
                      </w:r>
                      <w:r w:rsidRPr="00370C9B">
                        <w:t>).</w:t>
                      </w:r>
                    </w:p>
                    <w:p w:rsidR="00CF610C" w:rsidRPr="00370C9B" w:rsidRDefault="00CF610C" w:rsidP="008A7576">
                      <w:pPr>
                        <w:pStyle w:val="ListParagraph"/>
                        <w:numPr>
                          <w:ilvl w:val="0"/>
                          <w:numId w:val="24"/>
                        </w:numPr>
                        <w:jc w:val="both"/>
                      </w:pPr>
                      <w:r w:rsidRPr="00370C9B">
                        <w:t>There were 88,75</w:t>
                      </w:r>
                      <w:r>
                        <w:t>6</w:t>
                      </w:r>
                      <w:r w:rsidRPr="00370C9B">
                        <w:t xml:space="preserve"> new cases of cancer among males from 2008</w:t>
                      </w:r>
                      <w:r>
                        <w:t>-</w:t>
                      </w:r>
                      <w:r w:rsidRPr="00370C9B">
                        <w:t>2012.</w:t>
                      </w:r>
                    </w:p>
                    <w:p w:rsidR="00CF610C" w:rsidRDefault="00CF610C"/>
                  </w:txbxContent>
                </v:textbox>
              </v:shape>
            </w:pict>
          </mc:Fallback>
        </mc:AlternateContent>
      </w:r>
      <w:r w:rsidR="00EA3185">
        <w:rPr>
          <w:noProof/>
          <w:lang w:bidi="ar-SA"/>
        </w:rPr>
        <w:drawing>
          <wp:inline distT="0" distB="0" distL="0" distR="0" wp14:anchorId="44C14FC9" wp14:editId="471E9A53">
            <wp:extent cx="5353235" cy="2654423"/>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A3185" w:rsidRDefault="00964E4C" w:rsidP="00EE59BE">
      <w:pPr>
        <w:pStyle w:val="NoSpacing"/>
        <w:jc w:val="right"/>
      </w:pPr>
      <w:hyperlink w:anchor="_Data_Sources_1" w:history="1">
        <w:r w:rsidR="00EA3185" w:rsidRPr="00EA3185">
          <w:rPr>
            <w:rStyle w:val="Hyperlink"/>
          </w:rPr>
          <w:t>Data Source</w:t>
        </w:r>
      </w:hyperlink>
    </w:p>
    <w:p w:rsidR="00BF0577" w:rsidRDefault="00FA3482" w:rsidP="0054413A">
      <w:pPr>
        <w:pStyle w:val="NoSpacing"/>
        <w:jc w:val="right"/>
        <w:rPr>
          <w:rStyle w:val="Hyperlink"/>
        </w:rPr>
      </w:pPr>
      <w:r>
        <w:rPr>
          <w:noProof/>
          <w:sz w:val="22"/>
          <w:lang w:bidi="ar-SA"/>
        </w:rPr>
        <mc:AlternateContent>
          <mc:Choice Requires="wps">
            <w:drawing>
              <wp:anchor distT="0" distB="0" distL="114300" distR="114300" simplePos="0" relativeHeight="252384256" behindDoc="0" locked="0" layoutInCell="1" allowOverlap="1" wp14:anchorId="7C1346DA" wp14:editId="0A921E32">
                <wp:simplePos x="0" y="0"/>
                <wp:positionH relativeFrom="column">
                  <wp:posOffset>2540</wp:posOffset>
                </wp:positionH>
                <wp:positionV relativeFrom="paragraph">
                  <wp:posOffset>245110</wp:posOffset>
                </wp:positionV>
                <wp:extent cx="8260579" cy="0"/>
                <wp:effectExtent l="0" t="0" r="26670" b="19050"/>
                <wp:wrapNone/>
                <wp:docPr id="341" name="Straight Connector 341"/>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9.3pt" to="650.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" strokecolor="#1b587c [3206]" strokeweight="1pt"/>
            </w:pict>
          </mc:Fallback>
        </mc:AlternateContent>
      </w:r>
      <w:r w:rsidR="00EE59BE">
        <w:rPr>
          <w:rStyle w:val="Hyperlink"/>
        </w:rPr>
        <w:t xml:space="preserve"> </w:t>
      </w:r>
    </w:p>
    <w:p w:rsidR="00580D3F" w:rsidRPr="00976CBD" w:rsidRDefault="00580D3F" w:rsidP="00903E48">
      <w:pPr>
        <w:pStyle w:val="Heading2"/>
        <w:rPr>
          <w:rStyle w:val="SubtleEmphasis"/>
          <w:b w:val="0"/>
          <w:i w:val="0"/>
          <w:iCs w:val="0"/>
          <w:color w:val="auto"/>
        </w:rPr>
      </w:pPr>
      <w:bookmarkStart w:id="173" w:name="_Toc421608535"/>
      <w:bookmarkStart w:id="174" w:name="_Toc421609353"/>
      <w:bookmarkStart w:id="175" w:name="_Toc421609687"/>
      <w:bookmarkStart w:id="176" w:name="_Toc421611213"/>
      <w:bookmarkStart w:id="177" w:name="_Toc439918843"/>
      <w:r w:rsidRPr="00976CBD">
        <w:rPr>
          <w:rStyle w:val="SubtleEmphasis"/>
          <w:b w:val="0"/>
          <w:i w:val="0"/>
          <w:iCs w:val="0"/>
          <w:color w:val="30243C" w:themeColor="accent5" w:themeShade="80"/>
        </w:rPr>
        <w:lastRenderedPageBreak/>
        <w:t xml:space="preserve">Leading </w:t>
      </w:r>
      <w:r w:rsidR="00E03AF9" w:rsidRPr="00976CBD">
        <w:rPr>
          <w:rStyle w:val="SubtleEmphasis"/>
          <w:b w:val="0"/>
          <w:i w:val="0"/>
          <w:iCs w:val="0"/>
          <w:color w:val="30243C" w:themeColor="accent5" w:themeShade="80"/>
        </w:rPr>
        <w:t>C</w:t>
      </w:r>
      <w:r w:rsidRPr="00976CBD">
        <w:rPr>
          <w:rStyle w:val="SubtleEmphasis"/>
          <w:b w:val="0"/>
          <w:i w:val="0"/>
          <w:iCs w:val="0"/>
          <w:color w:val="30243C" w:themeColor="accent5" w:themeShade="80"/>
        </w:rPr>
        <w:t xml:space="preserve">auses of </w:t>
      </w:r>
      <w:r w:rsidR="00E03AF9" w:rsidRPr="00976CBD">
        <w:rPr>
          <w:rStyle w:val="SubtleEmphasis"/>
          <w:b w:val="0"/>
          <w:i w:val="0"/>
          <w:iCs w:val="0"/>
          <w:color w:val="30243C" w:themeColor="accent5" w:themeShade="80"/>
        </w:rPr>
        <w:t>C</w:t>
      </w:r>
      <w:r w:rsidRPr="00976CBD">
        <w:rPr>
          <w:rStyle w:val="SubtleEmphasis"/>
          <w:b w:val="0"/>
          <w:i w:val="0"/>
          <w:iCs w:val="0"/>
          <w:color w:val="30243C" w:themeColor="accent5" w:themeShade="80"/>
        </w:rPr>
        <w:t xml:space="preserve">ancer </w:t>
      </w:r>
      <w:r w:rsidR="00E03AF9" w:rsidRPr="00976CBD">
        <w:rPr>
          <w:rStyle w:val="SubtleEmphasis"/>
          <w:b w:val="0"/>
          <w:i w:val="0"/>
          <w:iCs w:val="0"/>
          <w:color w:val="30243C" w:themeColor="accent5" w:themeShade="80"/>
        </w:rPr>
        <w:t>M</w:t>
      </w:r>
      <w:r w:rsidRPr="00976CBD">
        <w:rPr>
          <w:rStyle w:val="SubtleEmphasis"/>
          <w:b w:val="0"/>
          <w:i w:val="0"/>
          <w:iCs w:val="0"/>
          <w:color w:val="30243C" w:themeColor="accent5" w:themeShade="80"/>
        </w:rPr>
        <w:t>ortality, 2008-2012</w:t>
      </w:r>
      <w:bookmarkEnd w:id="173"/>
      <w:bookmarkEnd w:id="174"/>
      <w:bookmarkEnd w:id="175"/>
      <w:bookmarkEnd w:id="176"/>
      <w:bookmarkEnd w:id="177"/>
      <w:r w:rsidRPr="00976CBD">
        <w:rPr>
          <w:rStyle w:val="SubtleEmphasis"/>
          <w:b w:val="0"/>
          <w:i w:val="0"/>
          <w:iCs w:val="0"/>
          <w:color w:val="30243C" w:themeColor="accent5" w:themeShade="80"/>
        </w:rPr>
        <w:t xml:space="preserve"> </w:t>
      </w:r>
    </w:p>
    <w:p w:rsidR="00FF0F8D" w:rsidRPr="00580D3F" w:rsidRDefault="002414D2" w:rsidP="00B35B1F">
      <w:pPr>
        <w:rPr>
          <w:color w:val="30243C" w:themeColor="accent5" w:themeShade="80"/>
        </w:rPr>
      </w:pPr>
      <w:r>
        <w:rPr>
          <w:noProof/>
          <w:sz w:val="22"/>
          <w:lang w:bidi="ar-SA"/>
        </w:rPr>
        <mc:AlternateContent>
          <mc:Choice Requires="wps">
            <w:drawing>
              <wp:anchor distT="0" distB="0" distL="114300" distR="114300" simplePos="0" relativeHeight="252429312" behindDoc="0" locked="0" layoutInCell="1" allowOverlap="1" wp14:anchorId="229D2787" wp14:editId="020224D6">
                <wp:simplePos x="0" y="0"/>
                <wp:positionH relativeFrom="column">
                  <wp:posOffset>3810</wp:posOffset>
                </wp:positionH>
                <wp:positionV relativeFrom="paragraph">
                  <wp:posOffset>3786505</wp:posOffset>
                </wp:positionV>
                <wp:extent cx="8260080" cy="0"/>
                <wp:effectExtent l="0" t="0" r="26670" b="19050"/>
                <wp:wrapNone/>
                <wp:docPr id="363" name="Straight Connector 363"/>
                <wp:cNvGraphicFramePr/>
                <a:graphic xmlns:a="http://schemas.openxmlformats.org/drawingml/2006/main">
                  <a:graphicData uri="http://schemas.microsoft.com/office/word/2010/wordprocessingShape">
                    <wps:wsp>
                      <wps:cNvCnPr/>
                      <wps:spPr>
                        <a:xfrm>
                          <a:off x="0" y="0"/>
                          <a:ext cx="826008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3" o:spid="_x0000_s1026" style="position:absolute;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98.15pt" to="650.7pt,2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" strokecolor="#1b587c [3206]" strokeweight="1pt"/>
            </w:pict>
          </mc:Fallback>
        </mc:AlternateContent>
      </w:r>
      <w:r w:rsidR="00354C3B">
        <w:rPr>
          <w:noProof/>
          <w:lang w:bidi="ar-SA"/>
        </w:rPr>
        <w:drawing>
          <wp:inline distT="0" distB="0" distL="0" distR="0" wp14:anchorId="274BE176" wp14:editId="25153CCB">
            <wp:extent cx="8202967" cy="3710866"/>
            <wp:effectExtent l="0" t="0" r="7620" b="4445"/>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70C9B" w:rsidRPr="00370C9B" w:rsidRDefault="00370C9B" w:rsidP="00370C9B">
      <w:pPr>
        <w:spacing w:before="0"/>
        <w:contextualSpacing/>
        <w:jc w:val="both"/>
        <w:rPr>
          <w:rFonts w:ascii="Calibri" w:eastAsia="Times New Roman" w:hAnsi="Calibri" w:cs="Times New Roman"/>
          <w:sz w:val="24"/>
          <w:szCs w:val="24"/>
        </w:rPr>
      </w:pPr>
      <w:r w:rsidRPr="00370C9B">
        <w:rPr>
          <w:rFonts w:ascii="Calibri" w:eastAsia="Times New Roman" w:hAnsi="Calibri" w:cs="Times New Roman"/>
          <w:sz w:val="24"/>
          <w:szCs w:val="24"/>
        </w:rPr>
        <w:t xml:space="preserve">This figure represents the most common cancers recorded as an underlying cause of death for Tennesseans from 2008 to 2012. </w:t>
      </w:r>
    </w:p>
    <w:p w:rsidR="00EA3185" w:rsidRPr="00370C9B" w:rsidRDefault="00EA3185" w:rsidP="008A7576">
      <w:pPr>
        <w:numPr>
          <w:ilvl w:val="0"/>
          <w:numId w:val="14"/>
        </w:numPr>
        <w:spacing w:before="0"/>
        <w:contextualSpacing/>
        <w:jc w:val="both"/>
        <w:rPr>
          <w:rFonts w:ascii="Calibri" w:eastAsia="Times New Roman" w:hAnsi="Calibri" w:cs="Times New Roman"/>
          <w:sz w:val="24"/>
          <w:szCs w:val="24"/>
        </w:rPr>
      </w:pPr>
      <w:r w:rsidRPr="00370C9B">
        <w:rPr>
          <w:rFonts w:ascii="Calibri" w:eastAsia="Times New Roman" w:hAnsi="Calibri" w:cs="Times New Roman"/>
          <w:sz w:val="24"/>
          <w:szCs w:val="24"/>
        </w:rPr>
        <w:t xml:space="preserve">Lung cancer was the leading cause of cancer mortality in the overall Tennessee population </w:t>
      </w:r>
      <w:r w:rsidR="004E3728">
        <w:rPr>
          <w:rFonts w:ascii="Calibri" w:eastAsia="Times New Roman" w:hAnsi="Calibri" w:cs="Times New Roman"/>
          <w:sz w:val="24"/>
          <w:szCs w:val="24"/>
        </w:rPr>
        <w:t>during this 5-year period</w:t>
      </w:r>
      <w:r w:rsidR="00B528A5">
        <w:rPr>
          <w:rFonts w:ascii="Calibri" w:eastAsia="Times New Roman" w:hAnsi="Calibri" w:cs="Times New Roman"/>
          <w:sz w:val="24"/>
          <w:szCs w:val="24"/>
        </w:rPr>
        <w:t xml:space="preserve"> and accounted for 32.3% of all cancer </w:t>
      </w:r>
      <w:r w:rsidR="00E75BD3">
        <w:rPr>
          <w:rFonts w:ascii="Calibri" w:eastAsia="Times New Roman" w:hAnsi="Calibri" w:cs="Times New Roman"/>
          <w:sz w:val="24"/>
          <w:szCs w:val="24"/>
        </w:rPr>
        <w:t>death</w:t>
      </w:r>
      <w:r w:rsidR="00B528A5">
        <w:rPr>
          <w:rFonts w:ascii="Calibri" w:eastAsia="Times New Roman" w:hAnsi="Calibri" w:cs="Times New Roman"/>
          <w:sz w:val="24"/>
          <w:szCs w:val="24"/>
        </w:rPr>
        <w:t>s</w:t>
      </w:r>
      <w:r w:rsidRPr="00370C9B">
        <w:rPr>
          <w:rFonts w:ascii="Calibri" w:eastAsia="Times New Roman" w:hAnsi="Calibri" w:cs="Times New Roman"/>
          <w:sz w:val="24"/>
          <w:szCs w:val="24"/>
        </w:rPr>
        <w:t xml:space="preserve">. </w:t>
      </w:r>
    </w:p>
    <w:p w:rsidR="00EA3185" w:rsidRPr="00370C9B" w:rsidRDefault="00370C9B" w:rsidP="008A7576">
      <w:pPr>
        <w:numPr>
          <w:ilvl w:val="0"/>
          <w:numId w:val="14"/>
        </w:numPr>
        <w:spacing w:before="0"/>
        <w:contextualSpacing/>
        <w:jc w:val="both"/>
        <w:rPr>
          <w:rFonts w:ascii="Calibri" w:eastAsia="Times New Roman" w:hAnsi="Calibri" w:cs="Times New Roman"/>
          <w:sz w:val="24"/>
          <w:szCs w:val="24"/>
        </w:rPr>
      </w:pPr>
      <w:r>
        <w:rPr>
          <w:rFonts w:ascii="Calibri" w:eastAsia="Times New Roman" w:hAnsi="Calibri" w:cs="Times New Roman"/>
          <w:sz w:val="24"/>
          <w:szCs w:val="24"/>
        </w:rPr>
        <w:t>From 2008</w:t>
      </w:r>
      <w:r w:rsidR="00B11923">
        <w:rPr>
          <w:rFonts w:ascii="Calibri" w:eastAsia="Times New Roman" w:hAnsi="Calibri" w:cs="Times New Roman"/>
          <w:sz w:val="24"/>
          <w:szCs w:val="24"/>
        </w:rPr>
        <w:t>-</w:t>
      </w:r>
      <w:r>
        <w:rPr>
          <w:rFonts w:ascii="Calibri" w:eastAsia="Times New Roman" w:hAnsi="Calibri" w:cs="Times New Roman"/>
          <w:sz w:val="24"/>
          <w:szCs w:val="24"/>
        </w:rPr>
        <w:t xml:space="preserve">2012, lung cancer accounted for most cancer </w:t>
      </w:r>
      <w:r w:rsidR="00E75BD3">
        <w:rPr>
          <w:rFonts w:ascii="Calibri" w:eastAsia="Times New Roman" w:hAnsi="Calibri" w:cs="Times New Roman"/>
          <w:sz w:val="24"/>
          <w:szCs w:val="24"/>
        </w:rPr>
        <w:t>death</w:t>
      </w:r>
      <w:r>
        <w:rPr>
          <w:rFonts w:ascii="Calibri" w:eastAsia="Times New Roman" w:hAnsi="Calibri" w:cs="Times New Roman"/>
          <w:sz w:val="24"/>
          <w:szCs w:val="24"/>
        </w:rPr>
        <w:t xml:space="preserve">s (21,661 cases), followed by colorectal cancer (6,038 cases), female breast cancer (4,366 cases), pancreatic cancer (3,857 cases), prostate cancer (2,871 cases), leukemia (2,523 cases), non-Hodgkin Lymphoma (2,232 cases), liver </w:t>
      </w:r>
      <w:r w:rsidR="00A8386D">
        <w:rPr>
          <w:rFonts w:ascii="Calibri" w:eastAsia="Times New Roman" w:hAnsi="Calibri" w:cs="Times New Roman"/>
          <w:sz w:val="24"/>
          <w:szCs w:val="24"/>
        </w:rPr>
        <w:t xml:space="preserve">&amp; intrahepatic bile duct </w:t>
      </w:r>
      <w:r>
        <w:rPr>
          <w:rFonts w:ascii="Calibri" w:eastAsia="Times New Roman" w:hAnsi="Calibri" w:cs="Times New Roman"/>
          <w:sz w:val="24"/>
          <w:szCs w:val="24"/>
        </w:rPr>
        <w:t xml:space="preserve">cancer (2,213 cases), brain </w:t>
      </w:r>
      <w:r w:rsidR="00A8386D">
        <w:rPr>
          <w:rFonts w:ascii="Calibri" w:eastAsia="Times New Roman" w:hAnsi="Calibri" w:cs="Times New Roman"/>
          <w:sz w:val="24"/>
          <w:szCs w:val="24"/>
        </w:rPr>
        <w:t xml:space="preserve">&amp; other nervous system </w:t>
      </w:r>
      <w:r>
        <w:rPr>
          <w:rFonts w:ascii="Calibri" w:eastAsia="Times New Roman" w:hAnsi="Calibri" w:cs="Times New Roman"/>
          <w:sz w:val="24"/>
          <w:szCs w:val="24"/>
        </w:rPr>
        <w:t>cancer</w:t>
      </w:r>
      <w:r w:rsidR="00A8386D">
        <w:rPr>
          <w:rFonts w:ascii="Calibri" w:eastAsia="Times New Roman" w:hAnsi="Calibri" w:cs="Times New Roman"/>
          <w:sz w:val="24"/>
          <w:szCs w:val="24"/>
        </w:rPr>
        <w:t>s</w:t>
      </w:r>
      <w:r>
        <w:rPr>
          <w:rFonts w:ascii="Calibri" w:eastAsia="Times New Roman" w:hAnsi="Calibri" w:cs="Times New Roman"/>
          <w:sz w:val="24"/>
          <w:szCs w:val="24"/>
        </w:rPr>
        <w:t xml:space="preserve"> (1,651 cases), and esophageal cancer (1,505 cases). </w:t>
      </w:r>
    </w:p>
    <w:p w:rsidR="00EA3185" w:rsidRPr="00370C9B" w:rsidRDefault="005E61B4" w:rsidP="008A7576">
      <w:pPr>
        <w:numPr>
          <w:ilvl w:val="0"/>
          <w:numId w:val="14"/>
        </w:numPr>
        <w:spacing w:before="0"/>
        <w:contextualSpacing/>
        <w:jc w:val="both"/>
        <w:rPr>
          <w:rFonts w:ascii="Calibri" w:eastAsia="Times New Roman" w:hAnsi="Calibri" w:cs="Times New Roman"/>
          <w:sz w:val="24"/>
          <w:szCs w:val="24"/>
        </w:rPr>
      </w:pPr>
      <w:r>
        <w:rPr>
          <w:noProof/>
          <w:sz w:val="22"/>
          <w:lang w:bidi="ar-SA"/>
        </w:rPr>
        <mc:AlternateContent>
          <mc:Choice Requires="wps">
            <w:drawing>
              <wp:anchor distT="0" distB="0" distL="114300" distR="114300" simplePos="0" relativeHeight="252386304" behindDoc="0" locked="0" layoutInCell="1" allowOverlap="1" wp14:anchorId="3ACA08D2" wp14:editId="73C1284B">
                <wp:simplePos x="0" y="0"/>
                <wp:positionH relativeFrom="column">
                  <wp:posOffset>2540</wp:posOffset>
                </wp:positionH>
                <wp:positionV relativeFrom="paragraph">
                  <wp:posOffset>266031</wp:posOffset>
                </wp:positionV>
                <wp:extent cx="8260080" cy="0"/>
                <wp:effectExtent l="0" t="0" r="26670" b="19050"/>
                <wp:wrapNone/>
                <wp:docPr id="342" name="Straight Connector 342"/>
                <wp:cNvGraphicFramePr/>
                <a:graphic xmlns:a="http://schemas.openxmlformats.org/drawingml/2006/main">
                  <a:graphicData uri="http://schemas.microsoft.com/office/word/2010/wordprocessingShape">
                    <wps:wsp>
                      <wps:cNvCnPr/>
                      <wps:spPr>
                        <a:xfrm>
                          <a:off x="0" y="0"/>
                          <a:ext cx="826008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2" o:spid="_x0000_s1026" style="position:absolute;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0.95pt" to="650.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" strokecolor="#1b587c [3206]" strokeweight="1pt"/>
            </w:pict>
          </mc:Fallback>
        </mc:AlternateContent>
      </w:r>
      <w:r w:rsidR="00EA3185" w:rsidRPr="00370C9B">
        <w:rPr>
          <w:rFonts w:ascii="Calibri" w:eastAsia="Times New Roman" w:hAnsi="Calibri" w:cs="Times New Roman"/>
          <w:sz w:val="24"/>
          <w:szCs w:val="24"/>
        </w:rPr>
        <w:t xml:space="preserve">The 10 most common cancers associated with mortality, shown above, accounted for 72.9% of all cancer </w:t>
      </w:r>
      <w:r w:rsidR="00A8386D">
        <w:rPr>
          <w:rFonts w:ascii="Calibri" w:eastAsia="Times New Roman" w:hAnsi="Calibri" w:cs="Times New Roman"/>
          <w:sz w:val="24"/>
          <w:szCs w:val="24"/>
        </w:rPr>
        <w:t>death</w:t>
      </w:r>
      <w:r w:rsidR="00EA3185" w:rsidRPr="00370C9B">
        <w:rPr>
          <w:rFonts w:ascii="Calibri" w:eastAsia="Times New Roman" w:hAnsi="Calibri" w:cs="Times New Roman"/>
          <w:sz w:val="24"/>
          <w:szCs w:val="24"/>
        </w:rPr>
        <w:t xml:space="preserve">s. </w:t>
      </w:r>
    </w:p>
    <w:p w:rsidR="00EA3185" w:rsidRDefault="00A64253" w:rsidP="00370C9B">
      <w:pPr>
        <w:pStyle w:val="NoSpacing"/>
        <w:jc w:val="right"/>
      </w:pPr>
      <w:r>
        <w:t xml:space="preserve"> </w:t>
      </w:r>
      <w:hyperlink w:anchor="_Data_Sources_1" w:history="1">
        <w:r w:rsidR="00EA3185" w:rsidRPr="00EA3185">
          <w:rPr>
            <w:rStyle w:val="Hyperlink"/>
          </w:rPr>
          <w:t>Data Source</w:t>
        </w:r>
      </w:hyperlink>
    </w:p>
    <w:p w:rsidR="00EA3185" w:rsidRDefault="00EA3185" w:rsidP="00494849">
      <w:pPr>
        <w:pStyle w:val="Heading5"/>
      </w:pPr>
      <w:r>
        <w:lastRenderedPageBreak/>
        <w:t>Leading Causes of Cancer Mortality, 2008-2012, Continued</w:t>
      </w:r>
    </w:p>
    <w:p w:rsidR="00BF0577" w:rsidRDefault="004D4DCF" w:rsidP="00BF0577">
      <w:pPr>
        <w:pStyle w:val="NoSpacing"/>
        <w:spacing w:before="240" w:line="276" w:lineRule="auto"/>
        <w:jc w:val="both"/>
        <w:rPr>
          <w:sz w:val="24"/>
        </w:rPr>
      </w:pPr>
      <w:r w:rsidRPr="0019319D">
        <w:rPr>
          <w:rFonts w:ascii="Calibri" w:eastAsia="Times New Roman" w:hAnsi="Calibri" w:cs="Times New Roman"/>
          <w:noProof/>
          <w:sz w:val="22"/>
          <w:lang w:bidi="ar-SA"/>
        </w:rPr>
        <mc:AlternateContent>
          <mc:Choice Requires="wps">
            <w:drawing>
              <wp:anchor distT="0" distB="0" distL="114300" distR="114300" simplePos="0" relativeHeight="252376064" behindDoc="0" locked="0" layoutInCell="1" allowOverlap="1" wp14:anchorId="5433B470" wp14:editId="5E9E1BCE">
                <wp:simplePos x="0" y="0"/>
                <wp:positionH relativeFrom="column">
                  <wp:posOffset>5422605</wp:posOffset>
                </wp:positionH>
                <wp:positionV relativeFrom="paragraph">
                  <wp:posOffset>2793660</wp:posOffset>
                </wp:positionV>
                <wp:extent cx="2893695" cy="2764465"/>
                <wp:effectExtent l="0" t="0" r="20955" b="1714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2764465"/>
                        </a:xfrm>
                        <a:prstGeom prst="rect">
                          <a:avLst/>
                        </a:prstGeom>
                        <a:solidFill>
                          <a:srgbClr val="FFFFFF"/>
                        </a:solidFill>
                        <a:ln w="9525">
                          <a:solidFill>
                            <a:schemeClr val="accent3"/>
                          </a:solidFill>
                          <a:miter lim="800000"/>
                          <a:headEnd/>
                          <a:tailEnd/>
                        </a:ln>
                      </wps:spPr>
                      <wps:txbx>
                        <w:txbxContent>
                          <w:p w:rsidR="00CF610C" w:rsidRPr="00941B4D" w:rsidRDefault="00CF610C" w:rsidP="008A7576">
                            <w:pPr>
                              <w:pStyle w:val="ListParagraph"/>
                              <w:numPr>
                                <w:ilvl w:val="0"/>
                                <w:numId w:val="25"/>
                              </w:numPr>
                              <w:jc w:val="both"/>
                              <w:rPr>
                                <w:rFonts w:ascii="Calibri" w:eastAsia="Times New Roman" w:hAnsi="Calibri" w:cs="Times New Roman"/>
                              </w:rPr>
                            </w:pPr>
                            <w:r>
                              <w:rPr>
                                <w:rFonts w:ascii="Calibri" w:eastAsia="Times New Roman" w:hAnsi="Calibri" w:cs="Times New Roman"/>
                              </w:rPr>
                              <w:t>Among whites, lung cancer was the leading cause of cancer mortality, accounting for 33.2% of all cancer deaths for white Tennesseans.</w:t>
                            </w:r>
                          </w:p>
                          <w:p w:rsidR="00CF610C" w:rsidRDefault="00CF610C" w:rsidP="008A7576">
                            <w:pPr>
                              <w:pStyle w:val="ListParagraph"/>
                              <w:numPr>
                                <w:ilvl w:val="0"/>
                                <w:numId w:val="25"/>
                              </w:numPr>
                              <w:jc w:val="both"/>
                              <w:rPr>
                                <w:rFonts w:ascii="Calibri" w:eastAsia="Times New Roman" w:hAnsi="Calibri" w:cs="Times New Roman"/>
                              </w:rPr>
                            </w:pPr>
                            <w:r>
                              <w:rPr>
                                <w:rFonts w:ascii="Calibri" w:eastAsia="Times New Roman" w:hAnsi="Calibri" w:cs="Times New Roman"/>
                              </w:rPr>
                              <w:t>Colorectal cancer was the 2</w:t>
                            </w:r>
                            <w:r w:rsidRPr="002C3F74">
                              <w:rPr>
                                <w:rFonts w:ascii="Calibri" w:eastAsia="Times New Roman" w:hAnsi="Calibri" w:cs="Times New Roman"/>
                                <w:vertAlign w:val="superscript"/>
                              </w:rPr>
                              <w:t>nd</w:t>
                            </w:r>
                            <w:r>
                              <w:rPr>
                                <w:rFonts w:ascii="Calibri" w:eastAsia="Times New Roman" w:hAnsi="Calibri" w:cs="Times New Roman"/>
                              </w:rPr>
                              <w:t xml:space="preserve"> leading cause of cancer mortality, followed by breast (3</w:t>
                            </w:r>
                            <w:r w:rsidRPr="002C3F74">
                              <w:rPr>
                                <w:rFonts w:ascii="Calibri" w:eastAsia="Times New Roman" w:hAnsi="Calibri" w:cs="Times New Roman"/>
                                <w:vertAlign w:val="superscript"/>
                              </w:rPr>
                              <w:t>rd</w:t>
                            </w:r>
                            <w:r>
                              <w:rPr>
                                <w:rFonts w:ascii="Calibri" w:eastAsia="Times New Roman" w:hAnsi="Calibri" w:cs="Times New Roman"/>
                              </w:rPr>
                              <w:t>), pancreas (4</w:t>
                            </w:r>
                            <w:r w:rsidRPr="002C3F74">
                              <w:rPr>
                                <w:rFonts w:ascii="Calibri" w:eastAsia="Times New Roman" w:hAnsi="Calibri" w:cs="Times New Roman"/>
                                <w:vertAlign w:val="superscript"/>
                              </w:rPr>
                              <w:t>th</w:t>
                            </w:r>
                            <w:r>
                              <w:rPr>
                                <w:rFonts w:ascii="Calibri" w:eastAsia="Times New Roman" w:hAnsi="Calibri" w:cs="Times New Roman"/>
                              </w:rPr>
                              <w:t>), and prostate (5</w:t>
                            </w:r>
                            <w:r w:rsidRPr="002C3F74">
                              <w:rPr>
                                <w:rFonts w:ascii="Calibri" w:eastAsia="Times New Roman" w:hAnsi="Calibri" w:cs="Times New Roman"/>
                                <w:vertAlign w:val="superscript"/>
                              </w:rPr>
                              <w:t>th</w:t>
                            </w:r>
                            <w:r>
                              <w:rPr>
                                <w:rFonts w:ascii="Calibri" w:eastAsia="Times New Roman" w:hAnsi="Calibri" w:cs="Times New Roman"/>
                              </w:rPr>
                              <w:t>).</w:t>
                            </w:r>
                          </w:p>
                          <w:p w:rsidR="00CF610C" w:rsidRPr="00941B4D" w:rsidRDefault="00CF610C" w:rsidP="002C3F74">
                            <w:pPr>
                              <w:pStyle w:val="ListParagraph"/>
                              <w:numPr>
                                <w:ilvl w:val="0"/>
                                <w:numId w:val="25"/>
                              </w:numPr>
                              <w:jc w:val="both"/>
                              <w:rPr>
                                <w:rFonts w:ascii="Calibri" w:eastAsia="Times New Roman" w:hAnsi="Calibri" w:cs="Times New Roman"/>
                              </w:rPr>
                            </w:pPr>
                            <w:r>
                              <w:rPr>
                                <w:rFonts w:ascii="Calibri" w:eastAsia="Times New Roman" w:hAnsi="Calibri" w:cs="Times New Roman"/>
                              </w:rPr>
                              <w:t>There were 57,215 deaths due to cancer as the underlying cause of death among white Tennesseans from 2008-2012.</w:t>
                            </w:r>
                            <w:r w:rsidRPr="00941B4D">
                              <w:rPr>
                                <w:rFonts w:ascii="Calibri" w:eastAsia="Times New Roman" w:hAnsi="Calibri" w:cs="Times New Roman"/>
                              </w:rPr>
                              <w:t xml:space="preserve"> </w:t>
                            </w:r>
                          </w:p>
                          <w:p w:rsidR="00CF610C" w:rsidRDefault="00CF6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27pt;margin-top:219.95pt;width:227.85pt;height:217.6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" strokecolor="#1b587c [3206]">
                <v:textbox>
                  <w:txbxContent>
                    <w:p w:rsidR="00CF610C" w:rsidRPr="00941B4D" w:rsidRDefault="00CF610C" w:rsidP="008A7576">
                      <w:pPr>
                        <w:pStyle w:val="ListParagraph"/>
                        <w:numPr>
                          <w:ilvl w:val="0"/>
                          <w:numId w:val="25"/>
                        </w:numPr>
                        <w:jc w:val="both"/>
                        <w:rPr>
                          <w:rFonts w:ascii="Calibri" w:eastAsia="Times New Roman" w:hAnsi="Calibri" w:cs="Times New Roman"/>
                        </w:rPr>
                      </w:pPr>
                      <w:r>
                        <w:rPr>
                          <w:rFonts w:ascii="Calibri" w:eastAsia="Times New Roman" w:hAnsi="Calibri" w:cs="Times New Roman"/>
                        </w:rPr>
                        <w:t>Among whites, lung cancer was the leading cause of cancer mortality, accounting for 33.2% of all cancer deaths for white Tennesseans.</w:t>
                      </w:r>
                    </w:p>
                    <w:p w:rsidR="00CF610C" w:rsidRDefault="00CF610C" w:rsidP="008A7576">
                      <w:pPr>
                        <w:pStyle w:val="ListParagraph"/>
                        <w:numPr>
                          <w:ilvl w:val="0"/>
                          <w:numId w:val="25"/>
                        </w:numPr>
                        <w:jc w:val="both"/>
                        <w:rPr>
                          <w:rFonts w:ascii="Calibri" w:eastAsia="Times New Roman" w:hAnsi="Calibri" w:cs="Times New Roman"/>
                        </w:rPr>
                      </w:pPr>
                      <w:r>
                        <w:rPr>
                          <w:rFonts w:ascii="Calibri" w:eastAsia="Times New Roman" w:hAnsi="Calibri" w:cs="Times New Roman"/>
                        </w:rPr>
                        <w:t>Colorectal cancer was the 2</w:t>
                      </w:r>
                      <w:r w:rsidRPr="002C3F74">
                        <w:rPr>
                          <w:rFonts w:ascii="Calibri" w:eastAsia="Times New Roman" w:hAnsi="Calibri" w:cs="Times New Roman"/>
                          <w:vertAlign w:val="superscript"/>
                        </w:rPr>
                        <w:t>nd</w:t>
                      </w:r>
                      <w:r>
                        <w:rPr>
                          <w:rFonts w:ascii="Calibri" w:eastAsia="Times New Roman" w:hAnsi="Calibri" w:cs="Times New Roman"/>
                        </w:rPr>
                        <w:t xml:space="preserve"> leading cause of cancer mortality, followed by breast (3</w:t>
                      </w:r>
                      <w:r w:rsidRPr="002C3F74">
                        <w:rPr>
                          <w:rFonts w:ascii="Calibri" w:eastAsia="Times New Roman" w:hAnsi="Calibri" w:cs="Times New Roman"/>
                          <w:vertAlign w:val="superscript"/>
                        </w:rPr>
                        <w:t>rd</w:t>
                      </w:r>
                      <w:r>
                        <w:rPr>
                          <w:rFonts w:ascii="Calibri" w:eastAsia="Times New Roman" w:hAnsi="Calibri" w:cs="Times New Roman"/>
                        </w:rPr>
                        <w:t>), pancreas (4</w:t>
                      </w:r>
                      <w:r w:rsidRPr="002C3F74">
                        <w:rPr>
                          <w:rFonts w:ascii="Calibri" w:eastAsia="Times New Roman" w:hAnsi="Calibri" w:cs="Times New Roman"/>
                          <w:vertAlign w:val="superscript"/>
                        </w:rPr>
                        <w:t>th</w:t>
                      </w:r>
                      <w:r>
                        <w:rPr>
                          <w:rFonts w:ascii="Calibri" w:eastAsia="Times New Roman" w:hAnsi="Calibri" w:cs="Times New Roman"/>
                        </w:rPr>
                        <w:t>), and prostate (5</w:t>
                      </w:r>
                      <w:r w:rsidRPr="002C3F74">
                        <w:rPr>
                          <w:rFonts w:ascii="Calibri" w:eastAsia="Times New Roman" w:hAnsi="Calibri" w:cs="Times New Roman"/>
                          <w:vertAlign w:val="superscript"/>
                        </w:rPr>
                        <w:t>th</w:t>
                      </w:r>
                      <w:r>
                        <w:rPr>
                          <w:rFonts w:ascii="Calibri" w:eastAsia="Times New Roman" w:hAnsi="Calibri" w:cs="Times New Roman"/>
                        </w:rPr>
                        <w:t>).</w:t>
                      </w:r>
                    </w:p>
                    <w:p w:rsidR="00CF610C" w:rsidRPr="00941B4D" w:rsidRDefault="00CF610C" w:rsidP="002C3F74">
                      <w:pPr>
                        <w:pStyle w:val="ListParagraph"/>
                        <w:numPr>
                          <w:ilvl w:val="0"/>
                          <w:numId w:val="25"/>
                        </w:numPr>
                        <w:jc w:val="both"/>
                        <w:rPr>
                          <w:rFonts w:ascii="Calibri" w:eastAsia="Times New Roman" w:hAnsi="Calibri" w:cs="Times New Roman"/>
                        </w:rPr>
                      </w:pPr>
                      <w:r>
                        <w:rPr>
                          <w:rFonts w:ascii="Calibri" w:eastAsia="Times New Roman" w:hAnsi="Calibri" w:cs="Times New Roman"/>
                        </w:rPr>
                        <w:t>There were 57,215 deaths due to cancer as the underlying cause of death among white Tennesseans from 2008-2012.</w:t>
                      </w:r>
                      <w:r w:rsidRPr="00941B4D">
                        <w:rPr>
                          <w:rFonts w:ascii="Calibri" w:eastAsia="Times New Roman" w:hAnsi="Calibri" w:cs="Times New Roman"/>
                        </w:rPr>
                        <w:t xml:space="preserve"> </w:t>
                      </w:r>
                    </w:p>
                    <w:p w:rsidR="00CF610C" w:rsidRDefault="00CF610C"/>
                  </w:txbxContent>
                </v:textbox>
              </v:shape>
            </w:pict>
          </mc:Fallback>
        </mc:AlternateContent>
      </w:r>
      <w:r w:rsidR="002C3F74" w:rsidRPr="0019319D">
        <w:rPr>
          <w:noProof/>
          <w:sz w:val="24"/>
          <w:lang w:bidi="ar-SA"/>
        </w:rPr>
        <mc:AlternateContent>
          <mc:Choice Requires="wps">
            <w:drawing>
              <wp:anchor distT="0" distB="0" distL="114300" distR="114300" simplePos="0" relativeHeight="252374016" behindDoc="0" locked="0" layoutInCell="1" allowOverlap="1" wp14:anchorId="729D95FC" wp14:editId="228FD0D2">
                <wp:simplePos x="0" y="0"/>
                <wp:positionH relativeFrom="column">
                  <wp:posOffset>5417820</wp:posOffset>
                </wp:positionH>
                <wp:positionV relativeFrom="paragraph">
                  <wp:posOffset>1905</wp:posOffset>
                </wp:positionV>
                <wp:extent cx="2893695" cy="2628900"/>
                <wp:effectExtent l="0" t="0" r="20955" b="1905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2628900"/>
                        </a:xfrm>
                        <a:prstGeom prst="rect">
                          <a:avLst/>
                        </a:prstGeom>
                        <a:solidFill>
                          <a:srgbClr val="FFFFFF"/>
                        </a:solidFill>
                        <a:ln w="9525">
                          <a:solidFill>
                            <a:schemeClr val="accent3"/>
                          </a:solidFill>
                          <a:miter lim="800000"/>
                          <a:headEnd/>
                          <a:tailEnd/>
                        </a:ln>
                      </wps:spPr>
                      <wps:txbx>
                        <w:txbxContent>
                          <w:p w:rsidR="00CF610C" w:rsidRPr="00E65D84" w:rsidRDefault="00CF610C" w:rsidP="008A7576">
                            <w:pPr>
                              <w:pStyle w:val="NoSpacing"/>
                              <w:numPr>
                                <w:ilvl w:val="0"/>
                                <w:numId w:val="25"/>
                              </w:numPr>
                              <w:spacing w:before="240" w:line="276" w:lineRule="auto"/>
                              <w:jc w:val="both"/>
                              <w:rPr>
                                <w:rFonts w:ascii="Calibri" w:hAnsi="Calibri" w:cs="Calibri"/>
                                <w:sz w:val="24"/>
                              </w:rPr>
                            </w:pPr>
                            <w:r w:rsidRPr="00E65D84">
                              <w:rPr>
                                <w:rFonts w:ascii="Calibri" w:hAnsi="Calibri" w:cs="Calibri"/>
                                <w:sz w:val="24"/>
                              </w:rPr>
                              <w:t>Among blacks,</w:t>
                            </w:r>
                            <w:r>
                              <w:rPr>
                                <w:rFonts w:ascii="Calibri" w:hAnsi="Calibri" w:cs="Calibri"/>
                                <w:sz w:val="24"/>
                              </w:rPr>
                              <w:t xml:space="preserve"> lung cancer was the leading cause of cancer mortality, accounting for 26.9% of all cancer deaths for black Tennesseans.</w:t>
                            </w:r>
                            <w:r w:rsidRPr="00E65D84">
                              <w:rPr>
                                <w:rFonts w:ascii="Calibri" w:hAnsi="Calibri" w:cs="Calibri"/>
                                <w:sz w:val="24"/>
                              </w:rPr>
                              <w:t xml:space="preserve"> </w:t>
                            </w:r>
                          </w:p>
                          <w:p w:rsidR="00CF610C" w:rsidRPr="00E65D84" w:rsidRDefault="00CF610C" w:rsidP="008A7576">
                            <w:pPr>
                              <w:pStyle w:val="NoSpacing"/>
                              <w:numPr>
                                <w:ilvl w:val="0"/>
                                <w:numId w:val="25"/>
                              </w:numPr>
                              <w:spacing w:line="276" w:lineRule="auto"/>
                              <w:jc w:val="both"/>
                              <w:rPr>
                                <w:rFonts w:ascii="Calibri" w:hAnsi="Calibri" w:cs="Calibri"/>
                                <w:sz w:val="24"/>
                              </w:rPr>
                            </w:pPr>
                            <w:r>
                              <w:rPr>
                                <w:rFonts w:ascii="Calibri" w:hAnsi="Calibri" w:cs="Calibri"/>
                                <w:sz w:val="24"/>
                              </w:rPr>
                              <w:t>Colorectal cancer was the 2</w:t>
                            </w:r>
                            <w:r w:rsidRPr="00B528A5">
                              <w:rPr>
                                <w:rFonts w:ascii="Calibri" w:hAnsi="Calibri" w:cs="Calibri"/>
                                <w:sz w:val="24"/>
                                <w:vertAlign w:val="superscript"/>
                              </w:rPr>
                              <w:t>nd</w:t>
                            </w:r>
                            <w:r>
                              <w:rPr>
                                <w:rFonts w:ascii="Calibri" w:hAnsi="Calibri" w:cs="Calibri"/>
                                <w:sz w:val="24"/>
                              </w:rPr>
                              <w:t xml:space="preserve"> leading cause of cancer mortality, followed by breast (3</w:t>
                            </w:r>
                            <w:r w:rsidRPr="00B528A5">
                              <w:rPr>
                                <w:rFonts w:ascii="Calibri" w:hAnsi="Calibri" w:cs="Calibri"/>
                                <w:sz w:val="24"/>
                                <w:vertAlign w:val="superscript"/>
                              </w:rPr>
                              <w:t>rd</w:t>
                            </w:r>
                            <w:r>
                              <w:rPr>
                                <w:rFonts w:ascii="Calibri" w:hAnsi="Calibri" w:cs="Calibri"/>
                                <w:sz w:val="24"/>
                              </w:rPr>
                              <w:t>), prostate (4</w:t>
                            </w:r>
                            <w:r w:rsidRPr="00B528A5">
                              <w:rPr>
                                <w:rFonts w:ascii="Calibri" w:hAnsi="Calibri" w:cs="Calibri"/>
                                <w:sz w:val="24"/>
                                <w:vertAlign w:val="superscript"/>
                              </w:rPr>
                              <w:t>th</w:t>
                            </w:r>
                            <w:r>
                              <w:rPr>
                                <w:rFonts w:ascii="Calibri" w:hAnsi="Calibri" w:cs="Calibri"/>
                                <w:sz w:val="24"/>
                              </w:rPr>
                              <w:t>), and pancreas (5</w:t>
                            </w:r>
                            <w:r w:rsidRPr="00B528A5">
                              <w:rPr>
                                <w:rFonts w:ascii="Calibri" w:hAnsi="Calibri" w:cs="Calibri"/>
                                <w:sz w:val="24"/>
                                <w:vertAlign w:val="superscript"/>
                              </w:rPr>
                              <w:t>th</w:t>
                            </w:r>
                            <w:r>
                              <w:rPr>
                                <w:rFonts w:ascii="Calibri" w:hAnsi="Calibri" w:cs="Calibri"/>
                                <w:sz w:val="24"/>
                              </w:rPr>
                              <w:t>).</w:t>
                            </w:r>
                          </w:p>
                          <w:p w:rsidR="00CF610C" w:rsidRDefault="00CF610C" w:rsidP="00A91EDF">
                            <w:pPr>
                              <w:pStyle w:val="NoSpacing"/>
                              <w:numPr>
                                <w:ilvl w:val="0"/>
                                <w:numId w:val="25"/>
                              </w:numPr>
                              <w:spacing w:line="276" w:lineRule="auto"/>
                              <w:jc w:val="both"/>
                            </w:pPr>
                            <w:r w:rsidRPr="00A91EDF">
                              <w:rPr>
                                <w:rFonts w:ascii="Calibri" w:hAnsi="Calibri" w:cs="Calibri"/>
                                <w:sz w:val="24"/>
                              </w:rPr>
                              <w:t xml:space="preserve">There were 9,473 deaths </w:t>
                            </w:r>
                            <w:r>
                              <w:rPr>
                                <w:rFonts w:ascii="Calibri" w:hAnsi="Calibri" w:cs="Calibri"/>
                                <w:sz w:val="24"/>
                              </w:rPr>
                              <w:t xml:space="preserve">due to cancer </w:t>
                            </w:r>
                            <w:r w:rsidRPr="00A91EDF">
                              <w:rPr>
                                <w:rFonts w:ascii="Calibri" w:hAnsi="Calibri" w:cs="Calibri"/>
                                <w:sz w:val="24"/>
                              </w:rPr>
                              <w:t xml:space="preserve">as </w:t>
                            </w:r>
                            <w:r>
                              <w:rPr>
                                <w:rFonts w:ascii="Calibri" w:hAnsi="Calibri" w:cs="Calibri"/>
                                <w:sz w:val="24"/>
                              </w:rPr>
                              <w:t>the</w:t>
                            </w:r>
                            <w:r w:rsidRPr="00A91EDF">
                              <w:rPr>
                                <w:rFonts w:ascii="Calibri" w:hAnsi="Calibri" w:cs="Calibri"/>
                                <w:sz w:val="24"/>
                              </w:rPr>
                              <w:t xml:space="preserve"> underlying cause of death </w:t>
                            </w:r>
                            <w:r>
                              <w:rPr>
                                <w:rFonts w:ascii="Calibri" w:hAnsi="Calibri" w:cs="Calibri"/>
                                <w:sz w:val="24"/>
                              </w:rPr>
                              <w:t>among</w:t>
                            </w:r>
                            <w:r w:rsidRPr="00A91EDF">
                              <w:rPr>
                                <w:rFonts w:ascii="Calibri" w:hAnsi="Calibri" w:cs="Calibri"/>
                                <w:sz w:val="24"/>
                              </w:rPr>
                              <w:t xml:space="preserve"> </w:t>
                            </w:r>
                            <w:r>
                              <w:rPr>
                                <w:rFonts w:ascii="Calibri" w:hAnsi="Calibri" w:cs="Calibri"/>
                                <w:sz w:val="24"/>
                              </w:rPr>
                              <w:t xml:space="preserve">black </w:t>
                            </w:r>
                            <w:r w:rsidRPr="00A91EDF">
                              <w:rPr>
                                <w:rFonts w:ascii="Calibri" w:hAnsi="Calibri" w:cs="Calibri"/>
                                <w:sz w:val="24"/>
                              </w:rPr>
                              <w:t xml:space="preserve">Tennesseans from 2008-2012.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26.6pt;margin-top:.15pt;width:227.85pt;height:207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" strokecolor="#1b587c [3206]">
                <v:textbox>
                  <w:txbxContent>
                    <w:p w:rsidR="00CF610C" w:rsidRPr="00E65D84" w:rsidRDefault="00CF610C" w:rsidP="008A7576">
                      <w:pPr>
                        <w:pStyle w:val="NoSpacing"/>
                        <w:numPr>
                          <w:ilvl w:val="0"/>
                          <w:numId w:val="25"/>
                        </w:numPr>
                        <w:spacing w:before="240" w:line="276" w:lineRule="auto"/>
                        <w:jc w:val="both"/>
                        <w:rPr>
                          <w:rFonts w:ascii="Calibri" w:hAnsi="Calibri" w:cs="Calibri"/>
                          <w:sz w:val="24"/>
                        </w:rPr>
                      </w:pPr>
                      <w:r w:rsidRPr="00E65D84">
                        <w:rPr>
                          <w:rFonts w:ascii="Calibri" w:hAnsi="Calibri" w:cs="Calibri"/>
                          <w:sz w:val="24"/>
                        </w:rPr>
                        <w:t>Among blacks,</w:t>
                      </w:r>
                      <w:r>
                        <w:rPr>
                          <w:rFonts w:ascii="Calibri" w:hAnsi="Calibri" w:cs="Calibri"/>
                          <w:sz w:val="24"/>
                        </w:rPr>
                        <w:t xml:space="preserve"> lung cancer was the leading cause of cancer mortality, accounting for 26.9% of all cancer deaths for black Tennesseans.</w:t>
                      </w:r>
                      <w:r w:rsidRPr="00E65D84">
                        <w:rPr>
                          <w:rFonts w:ascii="Calibri" w:hAnsi="Calibri" w:cs="Calibri"/>
                          <w:sz w:val="24"/>
                        </w:rPr>
                        <w:t xml:space="preserve"> </w:t>
                      </w:r>
                    </w:p>
                    <w:p w:rsidR="00CF610C" w:rsidRPr="00E65D84" w:rsidRDefault="00CF610C" w:rsidP="008A7576">
                      <w:pPr>
                        <w:pStyle w:val="NoSpacing"/>
                        <w:numPr>
                          <w:ilvl w:val="0"/>
                          <w:numId w:val="25"/>
                        </w:numPr>
                        <w:spacing w:line="276" w:lineRule="auto"/>
                        <w:jc w:val="both"/>
                        <w:rPr>
                          <w:rFonts w:ascii="Calibri" w:hAnsi="Calibri" w:cs="Calibri"/>
                          <w:sz w:val="24"/>
                        </w:rPr>
                      </w:pPr>
                      <w:r>
                        <w:rPr>
                          <w:rFonts w:ascii="Calibri" w:hAnsi="Calibri" w:cs="Calibri"/>
                          <w:sz w:val="24"/>
                        </w:rPr>
                        <w:t>Colorectal cancer was the 2</w:t>
                      </w:r>
                      <w:r w:rsidRPr="00B528A5">
                        <w:rPr>
                          <w:rFonts w:ascii="Calibri" w:hAnsi="Calibri" w:cs="Calibri"/>
                          <w:sz w:val="24"/>
                          <w:vertAlign w:val="superscript"/>
                        </w:rPr>
                        <w:t>nd</w:t>
                      </w:r>
                      <w:r>
                        <w:rPr>
                          <w:rFonts w:ascii="Calibri" w:hAnsi="Calibri" w:cs="Calibri"/>
                          <w:sz w:val="24"/>
                        </w:rPr>
                        <w:t xml:space="preserve"> leading cause of cancer mortality, followed by breast (3</w:t>
                      </w:r>
                      <w:r w:rsidRPr="00B528A5">
                        <w:rPr>
                          <w:rFonts w:ascii="Calibri" w:hAnsi="Calibri" w:cs="Calibri"/>
                          <w:sz w:val="24"/>
                          <w:vertAlign w:val="superscript"/>
                        </w:rPr>
                        <w:t>rd</w:t>
                      </w:r>
                      <w:r>
                        <w:rPr>
                          <w:rFonts w:ascii="Calibri" w:hAnsi="Calibri" w:cs="Calibri"/>
                          <w:sz w:val="24"/>
                        </w:rPr>
                        <w:t>), prostate (4</w:t>
                      </w:r>
                      <w:r w:rsidRPr="00B528A5">
                        <w:rPr>
                          <w:rFonts w:ascii="Calibri" w:hAnsi="Calibri" w:cs="Calibri"/>
                          <w:sz w:val="24"/>
                          <w:vertAlign w:val="superscript"/>
                        </w:rPr>
                        <w:t>th</w:t>
                      </w:r>
                      <w:r>
                        <w:rPr>
                          <w:rFonts w:ascii="Calibri" w:hAnsi="Calibri" w:cs="Calibri"/>
                          <w:sz w:val="24"/>
                        </w:rPr>
                        <w:t>), and pancreas (5</w:t>
                      </w:r>
                      <w:r w:rsidRPr="00B528A5">
                        <w:rPr>
                          <w:rFonts w:ascii="Calibri" w:hAnsi="Calibri" w:cs="Calibri"/>
                          <w:sz w:val="24"/>
                          <w:vertAlign w:val="superscript"/>
                        </w:rPr>
                        <w:t>th</w:t>
                      </w:r>
                      <w:r>
                        <w:rPr>
                          <w:rFonts w:ascii="Calibri" w:hAnsi="Calibri" w:cs="Calibri"/>
                          <w:sz w:val="24"/>
                        </w:rPr>
                        <w:t>).</w:t>
                      </w:r>
                    </w:p>
                    <w:p w:rsidR="00CF610C" w:rsidRDefault="00CF610C" w:rsidP="00A91EDF">
                      <w:pPr>
                        <w:pStyle w:val="NoSpacing"/>
                        <w:numPr>
                          <w:ilvl w:val="0"/>
                          <w:numId w:val="25"/>
                        </w:numPr>
                        <w:spacing w:line="276" w:lineRule="auto"/>
                        <w:jc w:val="both"/>
                      </w:pPr>
                      <w:r w:rsidRPr="00A91EDF">
                        <w:rPr>
                          <w:rFonts w:ascii="Calibri" w:hAnsi="Calibri" w:cs="Calibri"/>
                          <w:sz w:val="24"/>
                        </w:rPr>
                        <w:t xml:space="preserve">There were 9,473 deaths </w:t>
                      </w:r>
                      <w:r>
                        <w:rPr>
                          <w:rFonts w:ascii="Calibri" w:hAnsi="Calibri" w:cs="Calibri"/>
                          <w:sz w:val="24"/>
                        </w:rPr>
                        <w:t xml:space="preserve">due to cancer </w:t>
                      </w:r>
                      <w:r w:rsidRPr="00A91EDF">
                        <w:rPr>
                          <w:rFonts w:ascii="Calibri" w:hAnsi="Calibri" w:cs="Calibri"/>
                          <w:sz w:val="24"/>
                        </w:rPr>
                        <w:t xml:space="preserve">as </w:t>
                      </w:r>
                      <w:r>
                        <w:rPr>
                          <w:rFonts w:ascii="Calibri" w:hAnsi="Calibri" w:cs="Calibri"/>
                          <w:sz w:val="24"/>
                        </w:rPr>
                        <w:t>the</w:t>
                      </w:r>
                      <w:r w:rsidRPr="00A91EDF">
                        <w:rPr>
                          <w:rFonts w:ascii="Calibri" w:hAnsi="Calibri" w:cs="Calibri"/>
                          <w:sz w:val="24"/>
                        </w:rPr>
                        <w:t xml:space="preserve"> underlying cause of death </w:t>
                      </w:r>
                      <w:r>
                        <w:rPr>
                          <w:rFonts w:ascii="Calibri" w:hAnsi="Calibri" w:cs="Calibri"/>
                          <w:sz w:val="24"/>
                        </w:rPr>
                        <w:t>among</w:t>
                      </w:r>
                      <w:r w:rsidRPr="00A91EDF">
                        <w:rPr>
                          <w:rFonts w:ascii="Calibri" w:hAnsi="Calibri" w:cs="Calibri"/>
                          <w:sz w:val="24"/>
                        </w:rPr>
                        <w:t xml:space="preserve"> </w:t>
                      </w:r>
                      <w:r>
                        <w:rPr>
                          <w:rFonts w:ascii="Calibri" w:hAnsi="Calibri" w:cs="Calibri"/>
                          <w:sz w:val="24"/>
                        </w:rPr>
                        <w:t xml:space="preserve">black </w:t>
                      </w:r>
                      <w:r w:rsidRPr="00A91EDF">
                        <w:rPr>
                          <w:rFonts w:ascii="Calibri" w:hAnsi="Calibri" w:cs="Calibri"/>
                          <w:sz w:val="24"/>
                        </w:rPr>
                        <w:t xml:space="preserve">Tennesseans from 2008-2012. </w:t>
                      </w:r>
                    </w:p>
                  </w:txbxContent>
                </v:textbox>
              </v:shape>
            </w:pict>
          </mc:Fallback>
        </mc:AlternateContent>
      </w:r>
      <w:r w:rsidR="00BF0577">
        <w:rPr>
          <w:noProof/>
          <w:lang w:bidi="ar-SA"/>
        </w:rPr>
        <w:drawing>
          <wp:inline distT="0" distB="0" distL="0" distR="0" wp14:anchorId="024ACDE7" wp14:editId="0AC9C095">
            <wp:extent cx="5415379" cy="2654423"/>
            <wp:effectExtent l="0" t="0" r="0" b="0"/>
            <wp:docPr id="88" name="Chart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F0577" w:rsidRPr="00A03F6C" w:rsidRDefault="00BF0577" w:rsidP="00A03F6C">
      <w:pPr>
        <w:spacing w:after="0"/>
        <w:jc w:val="both"/>
        <w:rPr>
          <w:rFonts w:ascii="Calibri" w:eastAsia="Times New Roman" w:hAnsi="Calibri" w:cs="Times New Roman"/>
          <w:sz w:val="22"/>
        </w:rPr>
      </w:pPr>
      <w:r>
        <w:rPr>
          <w:noProof/>
          <w:lang w:bidi="ar-SA"/>
        </w:rPr>
        <w:drawing>
          <wp:inline distT="0" distB="0" distL="0" distR="0" wp14:anchorId="78EDC74E" wp14:editId="5503EE7E">
            <wp:extent cx="5415379" cy="2654423"/>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F0577" w:rsidRDefault="00964E4C" w:rsidP="00BF0577">
      <w:pPr>
        <w:pStyle w:val="NoSpacing"/>
        <w:jc w:val="right"/>
      </w:pPr>
      <w:hyperlink w:anchor="_Data_Sources_1" w:history="1">
        <w:r w:rsidR="00BF0577" w:rsidRPr="00BF0577">
          <w:rPr>
            <w:rStyle w:val="Hyperlink"/>
          </w:rPr>
          <w:t>Data Source</w:t>
        </w:r>
      </w:hyperlink>
    </w:p>
    <w:p w:rsidR="00BF0577" w:rsidRDefault="00FA3482" w:rsidP="00BF0577">
      <w:pPr>
        <w:pStyle w:val="NoSpacing"/>
        <w:jc w:val="right"/>
      </w:pPr>
      <w:r>
        <w:rPr>
          <w:noProof/>
          <w:sz w:val="22"/>
          <w:lang w:bidi="ar-SA"/>
        </w:rPr>
        <mc:AlternateContent>
          <mc:Choice Requires="wps">
            <w:drawing>
              <wp:anchor distT="0" distB="0" distL="114300" distR="114300" simplePos="0" relativeHeight="252388352" behindDoc="0" locked="0" layoutInCell="1" allowOverlap="1" wp14:anchorId="12E12960" wp14:editId="62FCF3EE">
                <wp:simplePos x="0" y="0"/>
                <wp:positionH relativeFrom="column">
                  <wp:posOffset>2540</wp:posOffset>
                </wp:positionH>
                <wp:positionV relativeFrom="paragraph">
                  <wp:posOffset>358516</wp:posOffset>
                </wp:positionV>
                <wp:extent cx="8260579" cy="0"/>
                <wp:effectExtent l="0" t="0" r="26670" b="19050"/>
                <wp:wrapNone/>
                <wp:docPr id="343" name="Straight Connector 343"/>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3" o:spid="_x0000_s1026" style="position:absolute;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8.25pt" to="650.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" strokecolor="#1b587c [3206]" strokeweight="1pt"/>
            </w:pict>
          </mc:Fallback>
        </mc:AlternateContent>
      </w:r>
      <w:r w:rsidR="003476CD">
        <w:t xml:space="preserve"> </w:t>
      </w:r>
    </w:p>
    <w:p w:rsidR="00BF0577" w:rsidRDefault="00BF0577" w:rsidP="00494849">
      <w:pPr>
        <w:pStyle w:val="Heading5"/>
      </w:pPr>
      <w:r>
        <w:lastRenderedPageBreak/>
        <w:t>Leading Causes of Cancer Mortality, 2008-2012, Continued</w:t>
      </w:r>
    </w:p>
    <w:p w:rsidR="00BF0577" w:rsidRDefault="005304FC" w:rsidP="00BF0577">
      <w:pPr>
        <w:pStyle w:val="NoSpacing"/>
        <w:spacing w:before="240" w:after="240"/>
      </w:pPr>
      <w:r>
        <w:rPr>
          <w:noProof/>
          <w:lang w:bidi="ar-SA"/>
        </w:rPr>
        <mc:AlternateContent>
          <mc:Choice Requires="wps">
            <w:drawing>
              <wp:anchor distT="0" distB="0" distL="114300" distR="114300" simplePos="0" relativeHeight="252378112" behindDoc="0" locked="0" layoutInCell="1" allowOverlap="1" wp14:anchorId="1D26EA2C" wp14:editId="78F2655C">
                <wp:simplePos x="0" y="0"/>
                <wp:positionH relativeFrom="column">
                  <wp:posOffset>5362113</wp:posOffset>
                </wp:positionH>
                <wp:positionV relativeFrom="paragraph">
                  <wp:posOffset>154120</wp:posOffset>
                </wp:positionV>
                <wp:extent cx="2956264" cy="2183907"/>
                <wp:effectExtent l="0" t="0" r="15875" b="2603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264" cy="2183907"/>
                        </a:xfrm>
                        <a:prstGeom prst="rect">
                          <a:avLst/>
                        </a:prstGeom>
                        <a:solidFill>
                          <a:srgbClr val="FFFFFF"/>
                        </a:solidFill>
                        <a:ln w="9525">
                          <a:solidFill>
                            <a:schemeClr val="accent3"/>
                          </a:solidFill>
                          <a:miter lim="800000"/>
                          <a:headEnd/>
                          <a:tailEnd/>
                        </a:ln>
                      </wps:spPr>
                      <wps:txbx>
                        <w:txbxContent>
                          <w:p w:rsidR="00CF610C" w:rsidRPr="00357758" w:rsidRDefault="00CF610C" w:rsidP="008A7576">
                            <w:pPr>
                              <w:pStyle w:val="NoSpacing"/>
                              <w:numPr>
                                <w:ilvl w:val="0"/>
                                <w:numId w:val="26"/>
                              </w:numPr>
                              <w:spacing w:before="240" w:line="276" w:lineRule="auto"/>
                              <w:jc w:val="both"/>
                              <w:rPr>
                                <w:sz w:val="24"/>
                              </w:rPr>
                            </w:pPr>
                            <w:r w:rsidRPr="00357758">
                              <w:rPr>
                                <w:sz w:val="24"/>
                              </w:rPr>
                              <w:t xml:space="preserve">Lung cancer was the leading cause of </w:t>
                            </w:r>
                            <w:r>
                              <w:rPr>
                                <w:sz w:val="24"/>
                              </w:rPr>
                              <w:t xml:space="preserve">cancer </w:t>
                            </w:r>
                            <w:r w:rsidRPr="00357758">
                              <w:rPr>
                                <w:sz w:val="24"/>
                              </w:rPr>
                              <w:t xml:space="preserve">death </w:t>
                            </w:r>
                            <w:r>
                              <w:rPr>
                                <w:sz w:val="24"/>
                              </w:rPr>
                              <w:t>among females and accounted for 29.0% of all female cancer deaths in TN from 2008 to 2012.</w:t>
                            </w:r>
                          </w:p>
                          <w:p w:rsidR="00CF610C" w:rsidRPr="00357758" w:rsidRDefault="00CF610C" w:rsidP="008A7576">
                            <w:pPr>
                              <w:pStyle w:val="NoSpacing"/>
                              <w:numPr>
                                <w:ilvl w:val="0"/>
                                <w:numId w:val="26"/>
                              </w:numPr>
                              <w:spacing w:after="240" w:line="276" w:lineRule="auto"/>
                              <w:jc w:val="both"/>
                              <w:rPr>
                                <w:sz w:val="24"/>
                              </w:rPr>
                            </w:pPr>
                            <w:r w:rsidRPr="00357758">
                              <w:rPr>
                                <w:sz w:val="24"/>
                              </w:rPr>
                              <w:t>Breast cancer was the 2</w:t>
                            </w:r>
                            <w:r w:rsidRPr="00357758">
                              <w:rPr>
                                <w:sz w:val="24"/>
                                <w:vertAlign w:val="superscript"/>
                              </w:rPr>
                              <w:t>nd</w:t>
                            </w:r>
                            <w:r w:rsidRPr="00357758">
                              <w:rPr>
                                <w:sz w:val="24"/>
                              </w:rPr>
                              <w:t xml:space="preserve"> leading cause, followed by colorectal cancer (3</w:t>
                            </w:r>
                            <w:r w:rsidRPr="00357758">
                              <w:rPr>
                                <w:sz w:val="24"/>
                                <w:vertAlign w:val="superscript"/>
                              </w:rPr>
                              <w:t>rd</w:t>
                            </w:r>
                            <w:r w:rsidRPr="00357758">
                              <w:rPr>
                                <w:sz w:val="24"/>
                              </w:rPr>
                              <w:t>), pancreatic cancer (4</w:t>
                            </w:r>
                            <w:r w:rsidRPr="00357758">
                              <w:rPr>
                                <w:sz w:val="24"/>
                                <w:vertAlign w:val="superscript"/>
                              </w:rPr>
                              <w:t>th</w:t>
                            </w:r>
                            <w:r w:rsidRPr="00357758">
                              <w:rPr>
                                <w:sz w:val="24"/>
                              </w:rPr>
                              <w:t>), and ovarian cancer (5</w:t>
                            </w:r>
                            <w:r w:rsidRPr="00357758">
                              <w:rPr>
                                <w:sz w:val="24"/>
                                <w:vertAlign w:val="superscript"/>
                              </w:rPr>
                              <w:t>th</w:t>
                            </w:r>
                            <w:r w:rsidRPr="00357758">
                              <w:rPr>
                                <w:sz w:val="24"/>
                              </w:rPr>
                              <w:t xml:space="preserve">). </w:t>
                            </w:r>
                          </w:p>
                          <w:p w:rsidR="00CF610C" w:rsidRDefault="00CF6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22.2pt;margin-top:12.15pt;width:232.8pt;height:171.9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" strokecolor="#1b587c [3206]">
                <v:textbox>
                  <w:txbxContent>
                    <w:p w:rsidR="00CF610C" w:rsidRPr="00357758" w:rsidRDefault="00CF610C" w:rsidP="008A7576">
                      <w:pPr>
                        <w:pStyle w:val="NoSpacing"/>
                        <w:numPr>
                          <w:ilvl w:val="0"/>
                          <w:numId w:val="26"/>
                        </w:numPr>
                        <w:spacing w:before="240" w:line="276" w:lineRule="auto"/>
                        <w:jc w:val="both"/>
                        <w:rPr>
                          <w:sz w:val="24"/>
                        </w:rPr>
                      </w:pPr>
                      <w:r w:rsidRPr="00357758">
                        <w:rPr>
                          <w:sz w:val="24"/>
                        </w:rPr>
                        <w:t xml:space="preserve">Lung cancer was the leading cause of </w:t>
                      </w:r>
                      <w:r>
                        <w:rPr>
                          <w:sz w:val="24"/>
                        </w:rPr>
                        <w:t xml:space="preserve">cancer </w:t>
                      </w:r>
                      <w:r w:rsidRPr="00357758">
                        <w:rPr>
                          <w:sz w:val="24"/>
                        </w:rPr>
                        <w:t xml:space="preserve">death </w:t>
                      </w:r>
                      <w:r>
                        <w:rPr>
                          <w:sz w:val="24"/>
                        </w:rPr>
                        <w:t>among females and accounted for 29.0% of all female cancer deaths in TN from 2008 to 2012.</w:t>
                      </w:r>
                    </w:p>
                    <w:p w:rsidR="00CF610C" w:rsidRPr="00357758" w:rsidRDefault="00CF610C" w:rsidP="008A7576">
                      <w:pPr>
                        <w:pStyle w:val="NoSpacing"/>
                        <w:numPr>
                          <w:ilvl w:val="0"/>
                          <w:numId w:val="26"/>
                        </w:numPr>
                        <w:spacing w:after="240" w:line="276" w:lineRule="auto"/>
                        <w:jc w:val="both"/>
                        <w:rPr>
                          <w:sz w:val="24"/>
                        </w:rPr>
                      </w:pPr>
                      <w:r w:rsidRPr="00357758">
                        <w:rPr>
                          <w:sz w:val="24"/>
                        </w:rPr>
                        <w:t>Breast cancer was the 2</w:t>
                      </w:r>
                      <w:r w:rsidRPr="00357758">
                        <w:rPr>
                          <w:sz w:val="24"/>
                          <w:vertAlign w:val="superscript"/>
                        </w:rPr>
                        <w:t>nd</w:t>
                      </w:r>
                      <w:r w:rsidRPr="00357758">
                        <w:rPr>
                          <w:sz w:val="24"/>
                        </w:rPr>
                        <w:t xml:space="preserve"> leading cause, followed by colorectal cancer (3</w:t>
                      </w:r>
                      <w:r w:rsidRPr="00357758">
                        <w:rPr>
                          <w:sz w:val="24"/>
                          <w:vertAlign w:val="superscript"/>
                        </w:rPr>
                        <w:t>rd</w:t>
                      </w:r>
                      <w:r w:rsidRPr="00357758">
                        <w:rPr>
                          <w:sz w:val="24"/>
                        </w:rPr>
                        <w:t>), pancreatic cancer (4</w:t>
                      </w:r>
                      <w:r w:rsidRPr="00357758">
                        <w:rPr>
                          <w:sz w:val="24"/>
                          <w:vertAlign w:val="superscript"/>
                        </w:rPr>
                        <w:t>th</w:t>
                      </w:r>
                      <w:r w:rsidRPr="00357758">
                        <w:rPr>
                          <w:sz w:val="24"/>
                        </w:rPr>
                        <w:t>), and ovarian cancer (5</w:t>
                      </w:r>
                      <w:r w:rsidRPr="00357758">
                        <w:rPr>
                          <w:sz w:val="24"/>
                          <w:vertAlign w:val="superscript"/>
                        </w:rPr>
                        <w:t>th</w:t>
                      </w:r>
                      <w:r w:rsidRPr="00357758">
                        <w:rPr>
                          <w:sz w:val="24"/>
                        </w:rPr>
                        <w:t xml:space="preserve">). </w:t>
                      </w:r>
                    </w:p>
                    <w:p w:rsidR="00CF610C" w:rsidRDefault="00CF610C"/>
                  </w:txbxContent>
                </v:textbox>
              </v:shape>
            </w:pict>
          </mc:Fallback>
        </mc:AlternateContent>
      </w:r>
      <w:r w:rsidR="00BF0577">
        <w:rPr>
          <w:noProof/>
          <w:lang w:bidi="ar-SA"/>
        </w:rPr>
        <w:drawing>
          <wp:inline distT="0" distB="0" distL="0" distR="0" wp14:anchorId="0627704A" wp14:editId="320B6FB8">
            <wp:extent cx="5365019" cy="2654187"/>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F0577" w:rsidRDefault="005304FC" w:rsidP="00BF0577">
      <w:pPr>
        <w:pStyle w:val="NoSpacing"/>
        <w:spacing w:before="240" w:after="240"/>
      </w:pPr>
      <w:r>
        <w:rPr>
          <w:noProof/>
          <w:lang w:bidi="ar-SA"/>
        </w:rPr>
        <mc:AlternateContent>
          <mc:Choice Requires="wps">
            <w:drawing>
              <wp:anchor distT="0" distB="0" distL="114300" distR="114300" simplePos="0" relativeHeight="252380160" behindDoc="0" locked="0" layoutInCell="1" allowOverlap="1" wp14:anchorId="7BC9BF74" wp14:editId="05C2CEA3">
                <wp:simplePos x="0" y="0"/>
                <wp:positionH relativeFrom="column">
                  <wp:posOffset>5358809</wp:posOffset>
                </wp:positionH>
                <wp:positionV relativeFrom="paragraph">
                  <wp:posOffset>377456</wp:posOffset>
                </wp:positionV>
                <wp:extent cx="2955925" cy="2275367"/>
                <wp:effectExtent l="0" t="0" r="15875" b="1079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2275367"/>
                        </a:xfrm>
                        <a:prstGeom prst="rect">
                          <a:avLst/>
                        </a:prstGeom>
                        <a:solidFill>
                          <a:srgbClr val="FFFFFF"/>
                        </a:solidFill>
                        <a:ln w="9525">
                          <a:solidFill>
                            <a:schemeClr val="accent3"/>
                          </a:solidFill>
                          <a:miter lim="800000"/>
                          <a:headEnd/>
                          <a:tailEnd/>
                        </a:ln>
                      </wps:spPr>
                      <wps:txbx>
                        <w:txbxContent>
                          <w:p w:rsidR="00CF610C" w:rsidRPr="00357758" w:rsidRDefault="00CF610C" w:rsidP="008A7576">
                            <w:pPr>
                              <w:numPr>
                                <w:ilvl w:val="0"/>
                                <w:numId w:val="27"/>
                              </w:numPr>
                              <w:contextualSpacing/>
                              <w:jc w:val="both"/>
                              <w:rPr>
                                <w:rFonts w:ascii="Calibri" w:eastAsia="SimSun" w:hAnsi="Calibri" w:cs="Times New Roman"/>
                                <w:sz w:val="24"/>
                                <w:szCs w:val="24"/>
                              </w:rPr>
                            </w:pPr>
                            <w:r w:rsidRPr="00357758">
                              <w:rPr>
                                <w:rFonts w:ascii="Calibri" w:eastAsia="SimSun" w:hAnsi="Calibri" w:cs="Times New Roman"/>
                                <w:sz w:val="24"/>
                                <w:szCs w:val="24"/>
                              </w:rPr>
                              <w:t>Lung cancer was the leading cause of cancer death among males</w:t>
                            </w:r>
                            <w:r>
                              <w:rPr>
                                <w:rFonts w:ascii="Calibri" w:eastAsia="SimSun" w:hAnsi="Calibri" w:cs="Times New Roman"/>
                                <w:sz w:val="24"/>
                                <w:szCs w:val="24"/>
                              </w:rPr>
                              <w:t xml:space="preserve"> and accounted for 35.0% of all male cancer related mortalities in Tennessee</w:t>
                            </w:r>
                            <w:r w:rsidRPr="00357758">
                              <w:rPr>
                                <w:rFonts w:ascii="Calibri" w:eastAsia="SimSun" w:hAnsi="Calibri" w:cs="Times New Roman"/>
                                <w:sz w:val="24"/>
                                <w:szCs w:val="24"/>
                              </w:rPr>
                              <w:t xml:space="preserve"> </w:t>
                            </w:r>
                            <w:r>
                              <w:rPr>
                                <w:rFonts w:ascii="Calibri" w:eastAsia="SimSun" w:hAnsi="Calibri" w:cs="Times New Roman"/>
                                <w:sz w:val="24"/>
                                <w:szCs w:val="24"/>
                              </w:rPr>
                              <w:t>from</w:t>
                            </w:r>
                            <w:r w:rsidRPr="00357758">
                              <w:rPr>
                                <w:rFonts w:ascii="Calibri" w:eastAsia="SimSun" w:hAnsi="Calibri" w:cs="Times New Roman"/>
                                <w:sz w:val="24"/>
                                <w:szCs w:val="24"/>
                              </w:rPr>
                              <w:t xml:space="preserve"> 2008</w:t>
                            </w:r>
                            <w:r>
                              <w:rPr>
                                <w:rFonts w:ascii="Calibri" w:eastAsia="SimSun" w:hAnsi="Calibri" w:cs="Times New Roman"/>
                                <w:sz w:val="24"/>
                                <w:szCs w:val="24"/>
                              </w:rPr>
                              <w:t xml:space="preserve"> to </w:t>
                            </w:r>
                            <w:r w:rsidRPr="00357758">
                              <w:rPr>
                                <w:rFonts w:ascii="Calibri" w:eastAsia="SimSun" w:hAnsi="Calibri" w:cs="Times New Roman"/>
                                <w:sz w:val="24"/>
                                <w:szCs w:val="24"/>
                              </w:rPr>
                              <w:t>2012.</w:t>
                            </w:r>
                          </w:p>
                          <w:p w:rsidR="00CF610C" w:rsidRPr="00357758" w:rsidRDefault="00CF610C" w:rsidP="008A7576">
                            <w:pPr>
                              <w:numPr>
                                <w:ilvl w:val="0"/>
                                <w:numId w:val="27"/>
                              </w:numPr>
                              <w:contextualSpacing/>
                              <w:jc w:val="both"/>
                              <w:rPr>
                                <w:rFonts w:ascii="Calibri" w:eastAsia="SimSun" w:hAnsi="Calibri" w:cs="Times New Roman"/>
                                <w:sz w:val="24"/>
                                <w:szCs w:val="24"/>
                              </w:rPr>
                            </w:pPr>
                            <w:r w:rsidRPr="00357758">
                              <w:rPr>
                                <w:rFonts w:ascii="Calibri" w:eastAsia="SimSun" w:hAnsi="Calibri" w:cs="Times New Roman"/>
                                <w:sz w:val="24"/>
                                <w:szCs w:val="24"/>
                              </w:rPr>
                              <w:t>Colorectal cancer was the 2</w:t>
                            </w:r>
                            <w:r w:rsidRPr="00357758">
                              <w:rPr>
                                <w:rFonts w:ascii="Calibri" w:eastAsia="SimSun" w:hAnsi="Calibri" w:cs="Times New Roman"/>
                                <w:sz w:val="24"/>
                                <w:szCs w:val="24"/>
                                <w:vertAlign w:val="superscript"/>
                              </w:rPr>
                              <w:t>nd</w:t>
                            </w:r>
                            <w:r w:rsidRPr="00357758">
                              <w:rPr>
                                <w:rFonts w:ascii="Calibri" w:eastAsia="SimSun" w:hAnsi="Calibri" w:cs="Times New Roman"/>
                                <w:sz w:val="24"/>
                                <w:szCs w:val="24"/>
                              </w:rPr>
                              <w:t xml:space="preserve"> leading cause, followed by prostate cancer (3</w:t>
                            </w:r>
                            <w:r w:rsidRPr="00357758">
                              <w:rPr>
                                <w:rFonts w:ascii="Calibri" w:eastAsia="SimSun" w:hAnsi="Calibri" w:cs="Times New Roman"/>
                                <w:sz w:val="24"/>
                                <w:szCs w:val="24"/>
                                <w:vertAlign w:val="superscript"/>
                              </w:rPr>
                              <w:t>rd</w:t>
                            </w:r>
                            <w:r w:rsidRPr="00357758">
                              <w:rPr>
                                <w:rFonts w:ascii="Calibri" w:eastAsia="SimSun" w:hAnsi="Calibri" w:cs="Times New Roman"/>
                                <w:sz w:val="24"/>
                                <w:szCs w:val="24"/>
                              </w:rPr>
                              <w:t>), pancreatic cancer (4</w:t>
                            </w:r>
                            <w:r w:rsidRPr="00357758">
                              <w:rPr>
                                <w:rFonts w:ascii="Calibri" w:eastAsia="SimSun" w:hAnsi="Calibri" w:cs="Times New Roman"/>
                                <w:sz w:val="24"/>
                                <w:szCs w:val="24"/>
                                <w:vertAlign w:val="superscript"/>
                              </w:rPr>
                              <w:t>th</w:t>
                            </w:r>
                            <w:r w:rsidRPr="00357758">
                              <w:rPr>
                                <w:rFonts w:ascii="Calibri" w:eastAsia="SimSun" w:hAnsi="Calibri" w:cs="Times New Roman"/>
                                <w:sz w:val="24"/>
                                <w:szCs w:val="24"/>
                              </w:rPr>
                              <w:t xml:space="preserve">), and liver </w:t>
                            </w:r>
                            <w:r>
                              <w:rPr>
                                <w:rFonts w:ascii="Calibri" w:eastAsia="SimSun" w:hAnsi="Calibri" w:cs="Times New Roman"/>
                                <w:sz w:val="24"/>
                                <w:szCs w:val="24"/>
                              </w:rPr>
                              <w:t xml:space="preserve">&amp; intrahepatic bile duct cancer </w:t>
                            </w:r>
                            <w:r w:rsidRPr="00357758">
                              <w:rPr>
                                <w:rFonts w:ascii="Calibri" w:eastAsia="SimSun" w:hAnsi="Calibri" w:cs="Times New Roman"/>
                                <w:sz w:val="24"/>
                                <w:szCs w:val="24"/>
                              </w:rPr>
                              <w:t>(5</w:t>
                            </w:r>
                            <w:r w:rsidRPr="00357758">
                              <w:rPr>
                                <w:rFonts w:ascii="Calibri" w:eastAsia="SimSun" w:hAnsi="Calibri" w:cs="Times New Roman"/>
                                <w:sz w:val="24"/>
                                <w:szCs w:val="24"/>
                                <w:vertAlign w:val="superscript"/>
                              </w:rPr>
                              <w:t>th</w:t>
                            </w:r>
                            <w:r w:rsidRPr="00357758">
                              <w:rPr>
                                <w:rFonts w:ascii="Calibri" w:eastAsia="SimSun" w:hAnsi="Calibri" w:cs="Times New Roman"/>
                                <w:sz w:val="24"/>
                                <w:szCs w:val="24"/>
                              </w:rPr>
                              <w:t>).</w:t>
                            </w:r>
                          </w:p>
                          <w:p w:rsidR="00CF610C" w:rsidRDefault="00CF6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21.95pt;margin-top:29.7pt;width:232.75pt;height:179.1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" strokecolor="#1b587c [3206]">
                <v:textbox>
                  <w:txbxContent>
                    <w:p w:rsidR="00CF610C" w:rsidRPr="00357758" w:rsidRDefault="00CF610C" w:rsidP="008A7576">
                      <w:pPr>
                        <w:numPr>
                          <w:ilvl w:val="0"/>
                          <w:numId w:val="27"/>
                        </w:numPr>
                        <w:contextualSpacing/>
                        <w:jc w:val="both"/>
                        <w:rPr>
                          <w:rFonts w:ascii="Calibri" w:eastAsia="SimSun" w:hAnsi="Calibri" w:cs="Times New Roman"/>
                          <w:sz w:val="24"/>
                          <w:szCs w:val="24"/>
                        </w:rPr>
                      </w:pPr>
                      <w:r w:rsidRPr="00357758">
                        <w:rPr>
                          <w:rFonts w:ascii="Calibri" w:eastAsia="SimSun" w:hAnsi="Calibri" w:cs="Times New Roman"/>
                          <w:sz w:val="24"/>
                          <w:szCs w:val="24"/>
                        </w:rPr>
                        <w:t>Lung cancer was the leading cause of cancer death among males</w:t>
                      </w:r>
                      <w:r>
                        <w:rPr>
                          <w:rFonts w:ascii="Calibri" w:eastAsia="SimSun" w:hAnsi="Calibri" w:cs="Times New Roman"/>
                          <w:sz w:val="24"/>
                          <w:szCs w:val="24"/>
                        </w:rPr>
                        <w:t xml:space="preserve"> and accounted for 35.0% of all male cancer related mortalities in Tennessee</w:t>
                      </w:r>
                      <w:r w:rsidRPr="00357758">
                        <w:rPr>
                          <w:rFonts w:ascii="Calibri" w:eastAsia="SimSun" w:hAnsi="Calibri" w:cs="Times New Roman"/>
                          <w:sz w:val="24"/>
                          <w:szCs w:val="24"/>
                        </w:rPr>
                        <w:t xml:space="preserve"> </w:t>
                      </w:r>
                      <w:r>
                        <w:rPr>
                          <w:rFonts w:ascii="Calibri" w:eastAsia="SimSun" w:hAnsi="Calibri" w:cs="Times New Roman"/>
                          <w:sz w:val="24"/>
                          <w:szCs w:val="24"/>
                        </w:rPr>
                        <w:t>from</w:t>
                      </w:r>
                      <w:r w:rsidRPr="00357758">
                        <w:rPr>
                          <w:rFonts w:ascii="Calibri" w:eastAsia="SimSun" w:hAnsi="Calibri" w:cs="Times New Roman"/>
                          <w:sz w:val="24"/>
                          <w:szCs w:val="24"/>
                        </w:rPr>
                        <w:t xml:space="preserve"> 2008</w:t>
                      </w:r>
                      <w:r>
                        <w:rPr>
                          <w:rFonts w:ascii="Calibri" w:eastAsia="SimSun" w:hAnsi="Calibri" w:cs="Times New Roman"/>
                          <w:sz w:val="24"/>
                          <w:szCs w:val="24"/>
                        </w:rPr>
                        <w:t xml:space="preserve"> to </w:t>
                      </w:r>
                      <w:r w:rsidRPr="00357758">
                        <w:rPr>
                          <w:rFonts w:ascii="Calibri" w:eastAsia="SimSun" w:hAnsi="Calibri" w:cs="Times New Roman"/>
                          <w:sz w:val="24"/>
                          <w:szCs w:val="24"/>
                        </w:rPr>
                        <w:t>2012.</w:t>
                      </w:r>
                    </w:p>
                    <w:p w:rsidR="00CF610C" w:rsidRPr="00357758" w:rsidRDefault="00CF610C" w:rsidP="008A7576">
                      <w:pPr>
                        <w:numPr>
                          <w:ilvl w:val="0"/>
                          <w:numId w:val="27"/>
                        </w:numPr>
                        <w:contextualSpacing/>
                        <w:jc w:val="both"/>
                        <w:rPr>
                          <w:rFonts w:ascii="Calibri" w:eastAsia="SimSun" w:hAnsi="Calibri" w:cs="Times New Roman"/>
                          <w:sz w:val="24"/>
                          <w:szCs w:val="24"/>
                        </w:rPr>
                      </w:pPr>
                      <w:r w:rsidRPr="00357758">
                        <w:rPr>
                          <w:rFonts w:ascii="Calibri" w:eastAsia="SimSun" w:hAnsi="Calibri" w:cs="Times New Roman"/>
                          <w:sz w:val="24"/>
                          <w:szCs w:val="24"/>
                        </w:rPr>
                        <w:t>Colorectal cancer was the 2</w:t>
                      </w:r>
                      <w:r w:rsidRPr="00357758">
                        <w:rPr>
                          <w:rFonts w:ascii="Calibri" w:eastAsia="SimSun" w:hAnsi="Calibri" w:cs="Times New Roman"/>
                          <w:sz w:val="24"/>
                          <w:szCs w:val="24"/>
                          <w:vertAlign w:val="superscript"/>
                        </w:rPr>
                        <w:t>nd</w:t>
                      </w:r>
                      <w:r w:rsidRPr="00357758">
                        <w:rPr>
                          <w:rFonts w:ascii="Calibri" w:eastAsia="SimSun" w:hAnsi="Calibri" w:cs="Times New Roman"/>
                          <w:sz w:val="24"/>
                          <w:szCs w:val="24"/>
                        </w:rPr>
                        <w:t xml:space="preserve"> leading cause, followed by prostate cancer (3</w:t>
                      </w:r>
                      <w:r w:rsidRPr="00357758">
                        <w:rPr>
                          <w:rFonts w:ascii="Calibri" w:eastAsia="SimSun" w:hAnsi="Calibri" w:cs="Times New Roman"/>
                          <w:sz w:val="24"/>
                          <w:szCs w:val="24"/>
                          <w:vertAlign w:val="superscript"/>
                        </w:rPr>
                        <w:t>rd</w:t>
                      </w:r>
                      <w:r w:rsidRPr="00357758">
                        <w:rPr>
                          <w:rFonts w:ascii="Calibri" w:eastAsia="SimSun" w:hAnsi="Calibri" w:cs="Times New Roman"/>
                          <w:sz w:val="24"/>
                          <w:szCs w:val="24"/>
                        </w:rPr>
                        <w:t>), pancreatic cancer (4</w:t>
                      </w:r>
                      <w:r w:rsidRPr="00357758">
                        <w:rPr>
                          <w:rFonts w:ascii="Calibri" w:eastAsia="SimSun" w:hAnsi="Calibri" w:cs="Times New Roman"/>
                          <w:sz w:val="24"/>
                          <w:szCs w:val="24"/>
                          <w:vertAlign w:val="superscript"/>
                        </w:rPr>
                        <w:t>th</w:t>
                      </w:r>
                      <w:r w:rsidRPr="00357758">
                        <w:rPr>
                          <w:rFonts w:ascii="Calibri" w:eastAsia="SimSun" w:hAnsi="Calibri" w:cs="Times New Roman"/>
                          <w:sz w:val="24"/>
                          <w:szCs w:val="24"/>
                        </w:rPr>
                        <w:t xml:space="preserve">), and liver </w:t>
                      </w:r>
                      <w:r>
                        <w:rPr>
                          <w:rFonts w:ascii="Calibri" w:eastAsia="SimSun" w:hAnsi="Calibri" w:cs="Times New Roman"/>
                          <w:sz w:val="24"/>
                          <w:szCs w:val="24"/>
                        </w:rPr>
                        <w:t xml:space="preserve">&amp; intrahepatic bile duct cancer </w:t>
                      </w:r>
                      <w:r w:rsidRPr="00357758">
                        <w:rPr>
                          <w:rFonts w:ascii="Calibri" w:eastAsia="SimSun" w:hAnsi="Calibri" w:cs="Times New Roman"/>
                          <w:sz w:val="24"/>
                          <w:szCs w:val="24"/>
                        </w:rPr>
                        <w:t>(5</w:t>
                      </w:r>
                      <w:r w:rsidRPr="00357758">
                        <w:rPr>
                          <w:rFonts w:ascii="Calibri" w:eastAsia="SimSun" w:hAnsi="Calibri" w:cs="Times New Roman"/>
                          <w:sz w:val="24"/>
                          <w:szCs w:val="24"/>
                          <w:vertAlign w:val="superscript"/>
                        </w:rPr>
                        <w:t>th</w:t>
                      </w:r>
                      <w:r w:rsidRPr="00357758">
                        <w:rPr>
                          <w:rFonts w:ascii="Calibri" w:eastAsia="SimSun" w:hAnsi="Calibri" w:cs="Times New Roman"/>
                          <w:sz w:val="24"/>
                          <w:szCs w:val="24"/>
                        </w:rPr>
                        <w:t>).</w:t>
                      </w:r>
                    </w:p>
                    <w:p w:rsidR="00CF610C" w:rsidRDefault="00CF610C"/>
                  </w:txbxContent>
                </v:textbox>
              </v:shape>
            </w:pict>
          </mc:Fallback>
        </mc:AlternateContent>
      </w:r>
      <w:r w:rsidR="00BF0577">
        <w:rPr>
          <w:noProof/>
          <w:lang w:bidi="ar-SA"/>
        </w:rPr>
        <w:drawing>
          <wp:inline distT="0" distB="0" distL="0" distR="0" wp14:anchorId="1D7E02AE" wp14:editId="0639A149">
            <wp:extent cx="5365019" cy="2654188"/>
            <wp:effectExtent l="0" t="0" r="762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F0577" w:rsidRDefault="00964E4C" w:rsidP="00BF0577">
      <w:pPr>
        <w:pStyle w:val="NoSpacing"/>
        <w:jc w:val="right"/>
      </w:pPr>
      <w:hyperlink w:anchor="_Data_Sources_1" w:history="1">
        <w:r w:rsidR="00BF0577" w:rsidRPr="00BF0577">
          <w:rPr>
            <w:rStyle w:val="Hyperlink"/>
          </w:rPr>
          <w:t>Data Source</w:t>
        </w:r>
      </w:hyperlink>
    </w:p>
    <w:p w:rsidR="00EE33EE" w:rsidRDefault="00FA3482" w:rsidP="00BF0577">
      <w:pPr>
        <w:pStyle w:val="NoSpacing"/>
        <w:jc w:val="right"/>
        <w:sectPr w:rsidR="00EE33EE" w:rsidSect="00F2283B">
          <w:pgSz w:w="15840" w:h="12240" w:orient="landscape"/>
          <w:pgMar w:top="1080" w:right="1440" w:bottom="1080" w:left="1440" w:header="720" w:footer="144" w:gutter="0"/>
          <w:pgNumType w:fmt="numberInDash"/>
          <w:cols w:space="720"/>
          <w:docGrid w:linePitch="360"/>
        </w:sectPr>
      </w:pPr>
      <w:r>
        <w:rPr>
          <w:noProof/>
          <w:sz w:val="22"/>
          <w:lang w:bidi="ar-SA"/>
        </w:rPr>
        <mc:AlternateContent>
          <mc:Choice Requires="wps">
            <w:drawing>
              <wp:anchor distT="0" distB="0" distL="114300" distR="114300" simplePos="0" relativeHeight="252390400" behindDoc="0" locked="0" layoutInCell="1" allowOverlap="1" wp14:anchorId="6BED195A" wp14:editId="01F27581">
                <wp:simplePos x="0" y="0"/>
                <wp:positionH relativeFrom="column">
                  <wp:posOffset>2540</wp:posOffset>
                </wp:positionH>
                <wp:positionV relativeFrom="paragraph">
                  <wp:posOffset>239136</wp:posOffset>
                </wp:positionV>
                <wp:extent cx="8260579" cy="0"/>
                <wp:effectExtent l="0" t="0" r="26670" b="19050"/>
                <wp:wrapNone/>
                <wp:docPr id="344" name="Straight Connector 344"/>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4" o:spid="_x0000_s1026" style="position:absolute;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85pt" to="650.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" strokecolor="#1b587c [3206]" strokeweight="1pt"/>
            </w:pict>
          </mc:Fallback>
        </mc:AlternateContent>
      </w:r>
      <w:r w:rsidR="00EE33EE">
        <w:t xml:space="preserve"> </w:t>
      </w:r>
    </w:p>
    <w:p w:rsidR="00AE607A" w:rsidRPr="00121F3E" w:rsidRDefault="000C699F" w:rsidP="00F37C3F">
      <w:pPr>
        <w:pStyle w:val="Heading1"/>
      </w:pPr>
      <w:bookmarkStart w:id="178" w:name="_Toc421608536"/>
      <w:bookmarkStart w:id="179" w:name="_Toc421609354"/>
      <w:bookmarkStart w:id="180" w:name="_Toc421609688"/>
      <w:bookmarkStart w:id="181" w:name="_Toc421611214"/>
      <w:bookmarkStart w:id="182" w:name="_Toc439918844"/>
      <w:r w:rsidRPr="00121F3E">
        <w:lastRenderedPageBreak/>
        <w:t>C</w:t>
      </w:r>
      <w:r w:rsidR="00AE607A" w:rsidRPr="00121F3E">
        <w:t xml:space="preserve">ancer </w:t>
      </w:r>
      <w:r w:rsidR="004F1079" w:rsidRPr="00121F3E">
        <w:t>I</w:t>
      </w:r>
      <w:r w:rsidR="00AE607A" w:rsidRPr="00121F3E">
        <w:t>ncide</w:t>
      </w:r>
      <w:r w:rsidR="00F5325A" w:rsidRPr="00121F3E">
        <w:t xml:space="preserve">nce and </w:t>
      </w:r>
      <w:r w:rsidR="004F1079" w:rsidRPr="00121F3E">
        <w:t>M</w:t>
      </w:r>
      <w:r w:rsidR="00F5325A" w:rsidRPr="00121F3E">
        <w:t xml:space="preserve">ortality in </w:t>
      </w:r>
      <w:r w:rsidR="00617678" w:rsidRPr="00121F3E">
        <w:t>T</w:t>
      </w:r>
      <w:r w:rsidR="00F5325A" w:rsidRPr="00121F3E">
        <w:t>ennessee</w:t>
      </w:r>
      <w:r w:rsidR="0063577A" w:rsidRPr="00121F3E">
        <w:t>, 200</w:t>
      </w:r>
      <w:r w:rsidR="000C0B37" w:rsidRPr="00121F3E">
        <w:t>8</w:t>
      </w:r>
      <w:r w:rsidR="0063577A" w:rsidRPr="00121F3E">
        <w:t>-</w:t>
      </w:r>
      <w:r w:rsidR="00D1325B" w:rsidRPr="00121F3E">
        <w:t>201</w:t>
      </w:r>
      <w:r w:rsidR="000C0B37" w:rsidRPr="00121F3E">
        <w:t>2</w:t>
      </w:r>
      <w:bookmarkEnd w:id="178"/>
      <w:bookmarkEnd w:id="179"/>
      <w:bookmarkEnd w:id="180"/>
      <w:bookmarkEnd w:id="181"/>
      <w:bookmarkEnd w:id="182"/>
    </w:p>
    <w:p w:rsidR="00EF44A1" w:rsidRPr="00976CBD" w:rsidRDefault="000C699F" w:rsidP="00903E48">
      <w:pPr>
        <w:pStyle w:val="Heading2"/>
        <w:rPr>
          <w:rStyle w:val="SubtleEmphasis"/>
          <w:b w:val="0"/>
          <w:i w:val="0"/>
          <w:iCs w:val="0"/>
          <w:color w:val="30243C" w:themeColor="accent5" w:themeShade="80"/>
        </w:rPr>
      </w:pPr>
      <w:bookmarkStart w:id="183" w:name="_Toc337647357"/>
      <w:bookmarkStart w:id="184" w:name="_Toc339960287"/>
      <w:bookmarkStart w:id="185" w:name="_Toc341099538"/>
      <w:bookmarkStart w:id="186" w:name="_Toc374006823"/>
      <w:bookmarkStart w:id="187" w:name="_Toc400634522"/>
      <w:bookmarkStart w:id="188" w:name="_Toc421608537"/>
      <w:bookmarkStart w:id="189" w:name="_Toc421609355"/>
      <w:bookmarkStart w:id="190" w:name="_Toc421609689"/>
      <w:bookmarkStart w:id="191" w:name="_Toc421611215"/>
      <w:bookmarkStart w:id="192" w:name="_Toc439918845"/>
      <w:r w:rsidRPr="00976CBD">
        <w:rPr>
          <w:rStyle w:val="SubtleEmphasis"/>
          <w:b w:val="0"/>
          <w:i w:val="0"/>
          <w:iCs w:val="0"/>
          <w:color w:val="30243C" w:themeColor="accent5" w:themeShade="80"/>
        </w:rPr>
        <w:t>C</w:t>
      </w:r>
      <w:r w:rsidR="008748CA" w:rsidRPr="00976CBD">
        <w:rPr>
          <w:rStyle w:val="SubtleEmphasis"/>
          <w:b w:val="0"/>
          <w:i w:val="0"/>
          <w:iCs w:val="0"/>
          <w:color w:val="30243C" w:themeColor="accent5" w:themeShade="80"/>
        </w:rPr>
        <w:t xml:space="preserve">ancer </w:t>
      </w:r>
      <w:r w:rsidR="004F1079" w:rsidRPr="00976CBD">
        <w:rPr>
          <w:rStyle w:val="SubtleEmphasis"/>
          <w:b w:val="0"/>
          <w:i w:val="0"/>
          <w:iCs w:val="0"/>
          <w:color w:val="30243C" w:themeColor="accent5" w:themeShade="80"/>
        </w:rPr>
        <w:t>I</w:t>
      </w:r>
      <w:r w:rsidR="008748CA" w:rsidRPr="00976CBD">
        <w:rPr>
          <w:rStyle w:val="SubtleEmphasis"/>
          <w:b w:val="0"/>
          <w:i w:val="0"/>
          <w:iCs w:val="0"/>
          <w:color w:val="30243C" w:themeColor="accent5" w:themeShade="80"/>
        </w:rPr>
        <w:t xml:space="preserve">ncidence and </w:t>
      </w:r>
      <w:r w:rsidR="004F1079" w:rsidRPr="00976CBD">
        <w:rPr>
          <w:rStyle w:val="SubtleEmphasis"/>
          <w:b w:val="0"/>
          <w:i w:val="0"/>
          <w:iCs w:val="0"/>
          <w:color w:val="30243C" w:themeColor="accent5" w:themeShade="80"/>
        </w:rPr>
        <w:t>M</w:t>
      </w:r>
      <w:r w:rsidR="008748CA" w:rsidRPr="00976CBD">
        <w:rPr>
          <w:rStyle w:val="SubtleEmphasis"/>
          <w:b w:val="0"/>
          <w:i w:val="0"/>
          <w:iCs w:val="0"/>
          <w:color w:val="30243C" w:themeColor="accent5" w:themeShade="80"/>
        </w:rPr>
        <w:t xml:space="preserve">ortality, </w:t>
      </w:r>
      <w:r w:rsidR="004F1079" w:rsidRPr="00976CBD">
        <w:rPr>
          <w:rStyle w:val="SubtleEmphasis"/>
          <w:b w:val="0"/>
          <w:i w:val="0"/>
          <w:iCs w:val="0"/>
          <w:color w:val="30243C" w:themeColor="accent5" w:themeShade="80"/>
        </w:rPr>
        <w:t>A</w:t>
      </w:r>
      <w:r w:rsidR="008748CA" w:rsidRPr="00976CBD">
        <w:rPr>
          <w:rStyle w:val="SubtleEmphasis"/>
          <w:b w:val="0"/>
          <w:i w:val="0"/>
          <w:iCs w:val="0"/>
          <w:color w:val="30243C" w:themeColor="accent5" w:themeShade="80"/>
        </w:rPr>
        <w:t xml:space="preserve">ll </w:t>
      </w:r>
      <w:r w:rsidR="004F1079" w:rsidRPr="00976CBD">
        <w:rPr>
          <w:rStyle w:val="SubtleEmphasis"/>
          <w:b w:val="0"/>
          <w:i w:val="0"/>
          <w:iCs w:val="0"/>
          <w:color w:val="30243C" w:themeColor="accent5" w:themeShade="80"/>
        </w:rPr>
        <w:t>S</w:t>
      </w:r>
      <w:r w:rsidR="008748CA" w:rsidRPr="00976CBD">
        <w:rPr>
          <w:rStyle w:val="SubtleEmphasis"/>
          <w:b w:val="0"/>
          <w:i w:val="0"/>
          <w:iCs w:val="0"/>
          <w:color w:val="30243C" w:themeColor="accent5" w:themeShade="80"/>
        </w:rPr>
        <w:t xml:space="preserve">ites </w:t>
      </w:r>
      <w:r w:rsidR="004F1079" w:rsidRPr="00976CBD">
        <w:rPr>
          <w:rStyle w:val="SubtleEmphasis"/>
          <w:b w:val="0"/>
          <w:i w:val="0"/>
          <w:iCs w:val="0"/>
          <w:color w:val="30243C" w:themeColor="accent5" w:themeShade="80"/>
        </w:rPr>
        <w:t>C</w:t>
      </w:r>
      <w:r w:rsidR="008748CA" w:rsidRPr="00976CBD">
        <w:rPr>
          <w:rStyle w:val="SubtleEmphasis"/>
          <w:b w:val="0"/>
          <w:i w:val="0"/>
          <w:iCs w:val="0"/>
          <w:color w:val="30243C" w:themeColor="accent5" w:themeShade="80"/>
        </w:rPr>
        <w:t>ombined</w:t>
      </w:r>
      <w:bookmarkEnd w:id="183"/>
      <w:bookmarkEnd w:id="184"/>
      <w:bookmarkEnd w:id="185"/>
      <w:bookmarkEnd w:id="186"/>
      <w:bookmarkEnd w:id="187"/>
      <w:r w:rsidR="009C60A7" w:rsidRPr="00976CBD">
        <w:rPr>
          <w:rStyle w:val="SubtleEmphasis"/>
          <w:b w:val="0"/>
          <w:i w:val="0"/>
          <w:iCs w:val="0"/>
          <w:color w:val="30243C" w:themeColor="accent5" w:themeShade="80"/>
        </w:rPr>
        <w:t>, Tennessee, 2008-2012</w:t>
      </w:r>
      <w:bookmarkEnd w:id="188"/>
      <w:bookmarkEnd w:id="189"/>
      <w:bookmarkEnd w:id="190"/>
      <w:bookmarkEnd w:id="191"/>
      <w:bookmarkEnd w:id="192"/>
    </w:p>
    <w:bookmarkStart w:id="193" w:name="_MON_1488013095"/>
    <w:bookmarkEnd w:id="193"/>
    <w:p w:rsidR="009B26B9" w:rsidRDefault="002260A1" w:rsidP="005514F9">
      <w:pPr>
        <w:pStyle w:val="NoSpacing"/>
      </w:pPr>
      <w:r>
        <w:object w:dxaOrig="11197" w:dyaOrig="7909">
          <v:shape id="_x0000_i1029" type="#_x0000_t75" style="width:636.3pt;height:436.2pt" o:ole="">
            <v:imagedata r:id="rId63" o:title=""/>
          </v:shape>
          <o:OLEObject Type="Embed" ProgID="Excel.Sheet.12" ShapeID="_x0000_i1029" DrawAspect="Content" ObjectID="_1513764404" r:id="rId64"/>
        </w:object>
      </w:r>
    </w:p>
    <w:p w:rsidR="006C2D8E" w:rsidRDefault="007C2A95" w:rsidP="00B0687F">
      <w:pPr>
        <w:pStyle w:val="NoSpacing"/>
        <w:jc w:val="right"/>
        <w:rPr>
          <w:rStyle w:val="Hyperlink"/>
        </w:rPr>
      </w:pPr>
      <w:r>
        <w:rPr>
          <w:noProof/>
          <w:sz w:val="22"/>
          <w:lang w:bidi="ar-SA"/>
        </w:rPr>
        <mc:AlternateContent>
          <mc:Choice Requires="wps">
            <w:drawing>
              <wp:anchor distT="0" distB="0" distL="114300" distR="114300" simplePos="0" relativeHeight="252392448" behindDoc="0" locked="0" layoutInCell="1" allowOverlap="1" wp14:anchorId="4D92873E" wp14:editId="095B23E8">
                <wp:simplePos x="0" y="0"/>
                <wp:positionH relativeFrom="column">
                  <wp:posOffset>3810</wp:posOffset>
                </wp:positionH>
                <wp:positionV relativeFrom="paragraph">
                  <wp:posOffset>189230</wp:posOffset>
                </wp:positionV>
                <wp:extent cx="8260080" cy="0"/>
                <wp:effectExtent l="0" t="0" r="26670" b="19050"/>
                <wp:wrapNone/>
                <wp:docPr id="345" name="Straight Connector 345"/>
                <wp:cNvGraphicFramePr/>
                <a:graphic xmlns:a="http://schemas.openxmlformats.org/drawingml/2006/main">
                  <a:graphicData uri="http://schemas.microsoft.com/office/word/2010/wordprocessingShape">
                    <wps:wsp>
                      <wps:cNvCnPr/>
                      <wps:spPr>
                        <a:xfrm>
                          <a:off x="0" y="0"/>
                          <a:ext cx="826008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5" o:spid="_x0000_s1026" style="position:absolute;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4.9pt" to="650.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" strokecolor="#1b587c [3206]" strokeweight="1pt"/>
            </w:pict>
          </mc:Fallback>
        </mc:AlternateContent>
      </w:r>
      <w:hyperlink w:anchor="_Data_Sources_1" w:history="1">
        <w:r w:rsidR="00B0687F" w:rsidRPr="00B0687F">
          <w:rPr>
            <w:rStyle w:val="Hyperlink"/>
          </w:rPr>
          <w:t>Data Source</w:t>
        </w:r>
      </w:hyperlink>
      <w:r w:rsidR="006C2D8E">
        <w:rPr>
          <w:rStyle w:val="Hyperlink"/>
        </w:rPr>
        <w:t xml:space="preserve"> </w:t>
      </w:r>
    </w:p>
    <w:p w:rsidR="008748CA" w:rsidRPr="00121F3E" w:rsidRDefault="000C699F" w:rsidP="00494849">
      <w:pPr>
        <w:pStyle w:val="Heading5"/>
        <w:rPr>
          <w:rStyle w:val="SubtleEmphasis"/>
          <w:b w:val="0"/>
          <w:i w:val="0"/>
          <w:iCs w:val="0"/>
          <w:color w:val="30243C" w:themeColor="accent5" w:themeShade="80"/>
        </w:rPr>
      </w:pPr>
      <w:bookmarkStart w:id="194" w:name="_Toc337647239"/>
      <w:bookmarkStart w:id="195" w:name="_Toc337647358"/>
      <w:bookmarkStart w:id="196" w:name="_Toc339960288"/>
      <w:bookmarkStart w:id="197" w:name="_Toc341097767"/>
      <w:bookmarkStart w:id="198" w:name="_Toc341099539"/>
      <w:bookmarkStart w:id="199" w:name="_Toc341175068"/>
      <w:bookmarkStart w:id="200" w:name="_Toc341175164"/>
      <w:bookmarkStart w:id="201" w:name="_Toc341175530"/>
      <w:bookmarkStart w:id="202" w:name="_Toc341175895"/>
      <w:bookmarkStart w:id="203" w:name="_Toc341180938"/>
      <w:bookmarkStart w:id="204" w:name="_Toc341261022"/>
      <w:bookmarkStart w:id="205" w:name="_Toc342638163"/>
      <w:bookmarkStart w:id="206" w:name="_Toc346002126"/>
      <w:bookmarkStart w:id="207" w:name="_Toc374006824"/>
      <w:bookmarkStart w:id="208" w:name="_Toc400634523"/>
      <w:r w:rsidRPr="00121F3E">
        <w:rPr>
          <w:rStyle w:val="SubtleEmphasis"/>
          <w:b w:val="0"/>
          <w:i w:val="0"/>
          <w:iCs w:val="0"/>
          <w:color w:val="30243C" w:themeColor="accent5" w:themeShade="80"/>
        </w:rPr>
        <w:lastRenderedPageBreak/>
        <w:t>C</w:t>
      </w:r>
      <w:r w:rsidR="00412138" w:rsidRPr="00121F3E">
        <w:rPr>
          <w:rStyle w:val="SubtleEmphasis"/>
          <w:b w:val="0"/>
          <w:i w:val="0"/>
          <w:iCs w:val="0"/>
          <w:color w:val="30243C" w:themeColor="accent5" w:themeShade="80"/>
        </w:rPr>
        <w:t>ancer I</w:t>
      </w:r>
      <w:r w:rsidR="008748CA" w:rsidRPr="00121F3E">
        <w:rPr>
          <w:rStyle w:val="SubtleEmphasis"/>
          <w:b w:val="0"/>
          <w:i w:val="0"/>
          <w:iCs w:val="0"/>
          <w:color w:val="30243C" w:themeColor="accent5" w:themeShade="80"/>
        </w:rPr>
        <w:t xml:space="preserve">ncidence and </w:t>
      </w:r>
      <w:r w:rsidR="00412138" w:rsidRPr="00121F3E">
        <w:rPr>
          <w:rStyle w:val="SubtleEmphasis"/>
          <w:b w:val="0"/>
          <w:i w:val="0"/>
          <w:iCs w:val="0"/>
          <w:color w:val="30243C" w:themeColor="accent5" w:themeShade="80"/>
        </w:rPr>
        <w:t>M</w:t>
      </w:r>
      <w:r w:rsidR="008748CA" w:rsidRPr="00121F3E">
        <w:rPr>
          <w:rStyle w:val="SubtleEmphasis"/>
          <w:b w:val="0"/>
          <w:i w:val="0"/>
          <w:iCs w:val="0"/>
          <w:color w:val="30243C" w:themeColor="accent5" w:themeShade="80"/>
        </w:rPr>
        <w:t xml:space="preserve">ortality, </w:t>
      </w:r>
      <w:r w:rsidR="00412138" w:rsidRPr="00121F3E">
        <w:rPr>
          <w:rStyle w:val="SubtleEmphasis"/>
          <w:b w:val="0"/>
          <w:i w:val="0"/>
          <w:iCs w:val="0"/>
          <w:color w:val="30243C" w:themeColor="accent5" w:themeShade="80"/>
        </w:rPr>
        <w:t>A</w:t>
      </w:r>
      <w:r w:rsidR="008748CA" w:rsidRPr="00121F3E">
        <w:rPr>
          <w:rStyle w:val="SubtleEmphasis"/>
          <w:b w:val="0"/>
          <w:i w:val="0"/>
          <w:iCs w:val="0"/>
          <w:color w:val="30243C" w:themeColor="accent5" w:themeShade="80"/>
        </w:rPr>
        <w:t xml:space="preserve">ll </w:t>
      </w:r>
      <w:r w:rsidR="00412138" w:rsidRPr="00121F3E">
        <w:rPr>
          <w:rStyle w:val="SubtleEmphasis"/>
          <w:b w:val="0"/>
          <w:i w:val="0"/>
          <w:iCs w:val="0"/>
          <w:color w:val="30243C" w:themeColor="accent5" w:themeShade="80"/>
        </w:rPr>
        <w:t>S</w:t>
      </w:r>
      <w:r w:rsidR="008748CA" w:rsidRPr="00121F3E">
        <w:rPr>
          <w:rStyle w:val="SubtleEmphasis"/>
          <w:b w:val="0"/>
          <w:i w:val="0"/>
          <w:iCs w:val="0"/>
          <w:color w:val="30243C" w:themeColor="accent5" w:themeShade="80"/>
        </w:rPr>
        <w:t xml:space="preserve">ites </w:t>
      </w:r>
      <w:r w:rsidR="00412138" w:rsidRPr="00121F3E">
        <w:rPr>
          <w:rStyle w:val="SubtleEmphasis"/>
          <w:b w:val="0"/>
          <w:i w:val="0"/>
          <w:iCs w:val="0"/>
          <w:color w:val="30243C" w:themeColor="accent5" w:themeShade="80"/>
        </w:rPr>
        <w:t>C</w:t>
      </w:r>
      <w:r w:rsidR="008748CA" w:rsidRPr="00121F3E">
        <w:rPr>
          <w:rStyle w:val="SubtleEmphasis"/>
          <w:b w:val="0"/>
          <w:i w:val="0"/>
          <w:iCs w:val="0"/>
          <w:color w:val="30243C" w:themeColor="accent5" w:themeShade="80"/>
        </w:rPr>
        <w:t xml:space="preserve">ombined </w:t>
      </w:r>
      <w:r w:rsidR="00412138" w:rsidRPr="00121F3E">
        <w:rPr>
          <w:rStyle w:val="SubtleEmphasis"/>
          <w:b w:val="0"/>
          <w:i w:val="0"/>
          <w:iCs w:val="0"/>
          <w:color w:val="30243C" w:themeColor="accent5" w:themeShade="80"/>
        </w:rPr>
        <w:t>C</w:t>
      </w:r>
      <w:r w:rsidR="008748CA" w:rsidRPr="00121F3E">
        <w:rPr>
          <w:rStyle w:val="SubtleEmphasis"/>
          <w:b w:val="0"/>
          <w:i w:val="0"/>
          <w:iCs w:val="0"/>
          <w:color w:val="30243C" w:themeColor="accent5" w:themeShade="80"/>
        </w:rPr>
        <w:t>ontinued</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220067" w:rsidRDefault="00770036" w:rsidP="000C0B37">
      <w:pPr>
        <w:jc w:val="right"/>
        <w:rPr>
          <w:noProof/>
          <w:lang w:bidi="ar-SA"/>
        </w:rPr>
      </w:pPr>
      <w:r>
        <w:rPr>
          <w:noProof/>
          <w:lang w:bidi="ar-SA"/>
        </w:rPr>
        <mc:AlternateContent>
          <mc:Choice Requires="wps">
            <w:drawing>
              <wp:anchor distT="0" distB="0" distL="114300" distR="114300" simplePos="0" relativeHeight="252136448" behindDoc="0" locked="0" layoutInCell="1" allowOverlap="1" wp14:anchorId="087D1F40" wp14:editId="432494EB">
                <wp:simplePos x="0" y="0"/>
                <wp:positionH relativeFrom="column">
                  <wp:posOffset>48552</wp:posOffset>
                </wp:positionH>
                <wp:positionV relativeFrom="paragraph">
                  <wp:posOffset>124230</wp:posOffset>
                </wp:positionV>
                <wp:extent cx="3343275" cy="4992785"/>
                <wp:effectExtent l="0" t="0" r="28575" b="177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992785"/>
                        </a:xfrm>
                        <a:prstGeom prst="rect">
                          <a:avLst/>
                        </a:prstGeom>
                        <a:solidFill>
                          <a:srgbClr val="FFFFFF"/>
                        </a:solidFill>
                        <a:ln w="9525">
                          <a:solidFill>
                            <a:schemeClr val="accent3"/>
                          </a:solidFill>
                          <a:miter lim="800000"/>
                          <a:headEnd/>
                          <a:tailEnd/>
                        </a:ln>
                      </wps:spPr>
                      <wps:txbx>
                        <w:txbxContent>
                          <w:p w:rsidR="00CF610C" w:rsidRPr="00770036" w:rsidRDefault="00CF610C" w:rsidP="008A7576">
                            <w:pPr>
                              <w:pStyle w:val="ListParagraph"/>
                              <w:numPr>
                                <w:ilvl w:val="0"/>
                                <w:numId w:val="15"/>
                              </w:numPr>
                              <w:jc w:val="both"/>
                            </w:pPr>
                            <w:r w:rsidRPr="00770036">
                              <w:t>From 2008 to 2012, a total of 169,03</w:t>
                            </w:r>
                            <w:r>
                              <w:t>1</w:t>
                            </w:r>
                            <w:r w:rsidRPr="00770036">
                              <w:t xml:space="preserve"> Tennesseans were newly diagnosed with cancer, an average of 33,80</w:t>
                            </w:r>
                            <w:r>
                              <w:t>6</w:t>
                            </w:r>
                            <w:r w:rsidRPr="00770036">
                              <w:t xml:space="preserve"> each year or one case every 16 minutes.</w:t>
                            </w:r>
                          </w:p>
                          <w:p w:rsidR="00CF610C" w:rsidRPr="00770036" w:rsidRDefault="00CF610C" w:rsidP="008A7576">
                            <w:pPr>
                              <w:pStyle w:val="ListParagraph"/>
                              <w:numPr>
                                <w:ilvl w:val="0"/>
                                <w:numId w:val="15"/>
                              </w:numPr>
                              <w:jc w:val="both"/>
                            </w:pPr>
                            <w:r w:rsidRPr="00770036">
                              <w:t>During the same time period, 67,120 Tennesseans died from cancer, an average of 13,424 each year or one death every 40 minutes.</w:t>
                            </w:r>
                          </w:p>
                          <w:p w:rsidR="00CF610C" w:rsidRPr="00770036" w:rsidRDefault="00CF610C" w:rsidP="008A7576">
                            <w:pPr>
                              <w:pStyle w:val="ListParagraph"/>
                              <w:numPr>
                                <w:ilvl w:val="0"/>
                                <w:numId w:val="15"/>
                              </w:numPr>
                              <w:jc w:val="both"/>
                            </w:pPr>
                            <w:r w:rsidRPr="00770036">
                              <w:t xml:space="preserve">Males had higher incidence and mortality rates than females regardless of race (see </w:t>
                            </w:r>
                            <w:hyperlink w:anchor="Statistical Methods" w:history="1">
                              <w:r w:rsidRPr="00770036">
                                <w:rPr>
                                  <w:rStyle w:val="Hyperlink"/>
                                </w:rPr>
                                <w:t>Statistical Methods</w:t>
                              </w:r>
                            </w:hyperlink>
                            <w:r w:rsidRPr="00770036">
                              <w:t>).</w:t>
                            </w:r>
                          </w:p>
                          <w:p w:rsidR="00CF610C" w:rsidRPr="00770036" w:rsidRDefault="00CF610C" w:rsidP="008A7576">
                            <w:pPr>
                              <w:pStyle w:val="ListParagraph"/>
                              <w:numPr>
                                <w:ilvl w:val="0"/>
                                <w:numId w:val="15"/>
                              </w:numPr>
                              <w:jc w:val="both"/>
                            </w:pPr>
                            <w:r w:rsidRPr="00770036">
                              <w:t>Black females had a lower cancer incidence rate but a higher mortality rate than white females.</w:t>
                            </w:r>
                          </w:p>
                          <w:p w:rsidR="00CF610C" w:rsidRPr="00770036" w:rsidRDefault="00CF610C" w:rsidP="008A7576">
                            <w:pPr>
                              <w:pStyle w:val="ListParagraph"/>
                              <w:numPr>
                                <w:ilvl w:val="0"/>
                                <w:numId w:val="15"/>
                              </w:numPr>
                              <w:jc w:val="both"/>
                            </w:pPr>
                            <w:r w:rsidRPr="00770036">
                              <w:t>Black males had higher incidence and mortality rates than white males.</w:t>
                            </w:r>
                          </w:p>
                          <w:p w:rsidR="00CF610C" w:rsidRPr="00770036" w:rsidRDefault="00CF610C" w:rsidP="008A7576">
                            <w:pPr>
                              <w:pStyle w:val="ListParagraph"/>
                              <w:numPr>
                                <w:ilvl w:val="0"/>
                                <w:numId w:val="15"/>
                              </w:numPr>
                              <w:jc w:val="both"/>
                            </w:pPr>
                            <w:r w:rsidRPr="00770036">
                              <w:t>Both incidence and mortality rates of cancer increased with age, with the highest rates among people 65 years and older.</w:t>
                            </w:r>
                          </w:p>
                          <w:p w:rsidR="00CF610C" w:rsidRPr="00770036" w:rsidRDefault="00CF610C" w:rsidP="008A7576">
                            <w:pPr>
                              <w:pStyle w:val="ListParagraph"/>
                              <w:numPr>
                                <w:ilvl w:val="0"/>
                                <w:numId w:val="15"/>
                              </w:numPr>
                              <w:jc w:val="both"/>
                            </w:pPr>
                            <w:r w:rsidRPr="00770036">
                              <w:t>The ratio of mortality and incidence rates also increased with age, from 0.14 for 0-19 year olds to 0.51 for those 65 years and 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8pt;margin-top:9.8pt;width:263.25pt;height:393.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" strokecolor="#1b587c [3206]">
                <v:textbox>
                  <w:txbxContent>
                    <w:p w:rsidR="00CF610C" w:rsidRPr="00770036" w:rsidRDefault="00CF610C" w:rsidP="008A7576">
                      <w:pPr>
                        <w:pStyle w:val="ListParagraph"/>
                        <w:numPr>
                          <w:ilvl w:val="0"/>
                          <w:numId w:val="15"/>
                        </w:numPr>
                        <w:jc w:val="both"/>
                      </w:pPr>
                      <w:r w:rsidRPr="00770036">
                        <w:t>From 2008 to 2012, a total of 169,03</w:t>
                      </w:r>
                      <w:r>
                        <w:t>1</w:t>
                      </w:r>
                      <w:r w:rsidRPr="00770036">
                        <w:t xml:space="preserve"> Tennesseans were newly diagnosed with cancer, an average of 33,80</w:t>
                      </w:r>
                      <w:r>
                        <w:t>6</w:t>
                      </w:r>
                      <w:r w:rsidRPr="00770036">
                        <w:t xml:space="preserve"> each year or one case every 16 minutes.</w:t>
                      </w:r>
                    </w:p>
                    <w:p w:rsidR="00CF610C" w:rsidRPr="00770036" w:rsidRDefault="00CF610C" w:rsidP="008A7576">
                      <w:pPr>
                        <w:pStyle w:val="ListParagraph"/>
                        <w:numPr>
                          <w:ilvl w:val="0"/>
                          <w:numId w:val="15"/>
                        </w:numPr>
                        <w:jc w:val="both"/>
                      </w:pPr>
                      <w:r w:rsidRPr="00770036">
                        <w:t>During the same time period, 67,120 Tennesseans died from cancer, an average of 13,424 each year or one death every 40 minutes.</w:t>
                      </w:r>
                    </w:p>
                    <w:p w:rsidR="00CF610C" w:rsidRPr="00770036" w:rsidRDefault="00CF610C" w:rsidP="008A7576">
                      <w:pPr>
                        <w:pStyle w:val="ListParagraph"/>
                        <w:numPr>
                          <w:ilvl w:val="0"/>
                          <w:numId w:val="15"/>
                        </w:numPr>
                        <w:jc w:val="both"/>
                      </w:pPr>
                      <w:r w:rsidRPr="00770036">
                        <w:t xml:space="preserve">Males had higher incidence and mortality rates than females regardless of race (see </w:t>
                      </w:r>
                      <w:hyperlink w:anchor="Statistical Methods" w:history="1">
                        <w:r w:rsidRPr="00770036">
                          <w:rPr>
                            <w:rStyle w:val="Hyperlink"/>
                          </w:rPr>
                          <w:t>Statistical Methods</w:t>
                        </w:r>
                      </w:hyperlink>
                      <w:r w:rsidRPr="00770036">
                        <w:t>).</w:t>
                      </w:r>
                    </w:p>
                    <w:p w:rsidR="00CF610C" w:rsidRPr="00770036" w:rsidRDefault="00CF610C" w:rsidP="008A7576">
                      <w:pPr>
                        <w:pStyle w:val="ListParagraph"/>
                        <w:numPr>
                          <w:ilvl w:val="0"/>
                          <w:numId w:val="15"/>
                        </w:numPr>
                        <w:jc w:val="both"/>
                      </w:pPr>
                      <w:r w:rsidRPr="00770036">
                        <w:t>Black females had a lower cancer incidence rate but a higher mortality rate than white females.</w:t>
                      </w:r>
                    </w:p>
                    <w:p w:rsidR="00CF610C" w:rsidRPr="00770036" w:rsidRDefault="00CF610C" w:rsidP="008A7576">
                      <w:pPr>
                        <w:pStyle w:val="ListParagraph"/>
                        <w:numPr>
                          <w:ilvl w:val="0"/>
                          <w:numId w:val="15"/>
                        </w:numPr>
                        <w:jc w:val="both"/>
                      </w:pPr>
                      <w:r w:rsidRPr="00770036">
                        <w:t>Black males had higher incidence and mortality rates than white males.</w:t>
                      </w:r>
                    </w:p>
                    <w:p w:rsidR="00CF610C" w:rsidRPr="00770036" w:rsidRDefault="00CF610C" w:rsidP="008A7576">
                      <w:pPr>
                        <w:pStyle w:val="ListParagraph"/>
                        <w:numPr>
                          <w:ilvl w:val="0"/>
                          <w:numId w:val="15"/>
                        </w:numPr>
                        <w:jc w:val="both"/>
                      </w:pPr>
                      <w:r w:rsidRPr="00770036">
                        <w:t>Both incidence and mortality rates of cancer increased with age, with the highest rates among people 65 years and older.</w:t>
                      </w:r>
                    </w:p>
                    <w:p w:rsidR="00CF610C" w:rsidRPr="00770036" w:rsidRDefault="00CF610C" w:rsidP="008A7576">
                      <w:pPr>
                        <w:pStyle w:val="ListParagraph"/>
                        <w:numPr>
                          <w:ilvl w:val="0"/>
                          <w:numId w:val="15"/>
                        </w:numPr>
                        <w:jc w:val="both"/>
                      </w:pPr>
                      <w:r w:rsidRPr="00770036">
                        <w:t>The ratio of mortality and incidence rates also increased with age, from 0.14 for 0-19 year olds to 0.51 for those 65 years and older.</w:t>
                      </w:r>
                    </w:p>
                  </w:txbxContent>
                </v:textbox>
              </v:shape>
            </w:pict>
          </mc:Fallback>
        </mc:AlternateContent>
      </w:r>
      <w:r w:rsidR="00A84AD2">
        <w:rPr>
          <w:noProof/>
          <w:lang w:bidi="ar-SA"/>
        </w:rPr>
        <w:drawing>
          <wp:inline distT="0" distB="0" distL="0" distR="0" wp14:anchorId="6D71DDD3" wp14:editId="4457DB6B">
            <wp:extent cx="4562856" cy="2743200"/>
            <wp:effectExtent l="0" t="0" r="0" b="0"/>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F4A9F" w:rsidRDefault="00A84AD2" w:rsidP="000C0B37">
      <w:pPr>
        <w:jc w:val="right"/>
      </w:pPr>
      <w:r>
        <w:rPr>
          <w:noProof/>
          <w:lang w:bidi="ar-SA"/>
        </w:rPr>
        <w:drawing>
          <wp:inline distT="0" distB="0" distL="0" distR="0" wp14:anchorId="798963C5" wp14:editId="26C57CD8">
            <wp:extent cx="4572000" cy="2743200"/>
            <wp:effectExtent l="0" t="0" r="0" b="0"/>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F4A9F" w:rsidRPr="00285431" w:rsidRDefault="005E61B4" w:rsidP="00A929D7">
      <w:pPr>
        <w:jc w:val="right"/>
        <w:rPr>
          <w:rStyle w:val="Hyperlink"/>
        </w:rPr>
      </w:pPr>
      <w:r>
        <w:rPr>
          <w:noProof/>
          <w:sz w:val="22"/>
          <w:lang w:bidi="ar-SA"/>
        </w:rPr>
        <mc:AlternateContent>
          <mc:Choice Requires="wps">
            <w:drawing>
              <wp:anchor distT="0" distB="0" distL="114300" distR="114300" simplePos="0" relativeHeight="252394496" behindDoc="0" locked="0" layoutInCell="1" allowOverlap="1" wp14:anchorId="0153431D" wp14:editId="72425E70">
                <wp:simplePos x="0" y="0"/>
                <wp:positionH relativeFrom="column">
                  <wp:posOffset>-26460</wp:posOffset>
                </wp:positionH>
                <wp:positionV relativeFrom="paragraph">
                  <wp:posOffset>278031</wp:posOffset>
                </wp:positionV>
                <wp:extent cx="8260579" cy="0"/>
                <wp:effectExtent l="0" t="0" r="26670" b="19050"/>
                <wp:wrapNone/>
                <wp:docPr id="346" name="Straight Connector 346"/>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6" o:spid="_x0000_s1026" style="position:absolute;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1.9pt" to="648.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" strokecolor="#1b587c [3206]" strokeweight="1pt"/>
            </w:pict>
          </mc:Fallback>
        </mc:AlternateContent>
      </w:r>
      <w:r w:rsidR="00285431">
        <w:fldChar w:fldCharType="begin"/>
      </w:r>
      <w:r w:rsidR="005B1536">
        <w:instrText>HYPERLINK  \l "_Data_Sources_1"</w:instrText>
      </w:r>
      <w:r w:rsidR="00285431">
        <w:fldChar w:fldCharType="separate"/>
      </w:r>
      <w:r w:rsidR="00285431" w:rsidRPr="00285431">
        <w:rPr>
          <w:rStyle w:val="Hyperlink"/>
        </w:rPr>
        <w:t xml:space="preserve">Data </w:t>
      </w:r>
      <w:r w:rsidR="005514F9" w:rsidRPr="00285431">
        <w:rPr>
          <w:rStyle w:val="Hyperlink"/>
        </w:rPr>
        <w:t>Source</w:t>
      </w:r>
    </w:p>
    <w:bookmarkStart w:id="209" w:name="_Toc337647240"/>
    <w:bookmarkStart w:id="210" w:name="_Toc337647359"/>
    <w:bookmarkStart w:id="211" w:name="_Toc339960289"/>
    <w:bookmarkStart w:id="212" w:name="_Toc341097768"/>
    <w:bookmarkStart w:id="213" w:name="_Toc341099540"/>
    <w:bookmarkStart w:id="214" w:name="_Toc341175069"/>
    <w:bookmarkStart w:id="215" w:name="_Toc341175165"/>
    <w:bookmarkStart w:id="216" w:name="_Toc341175531"/>
    <w:bookmarkStart w:id="217" w:name="_Toc341175896"/>
    <w:bookmarkStart w:id="218" w:name="_Toc341180939"/>
    <w:bookmarkStart w:id="219" w:name="_Toc341261023"/>
    <w:bookmarkStart w:id="220" w:name="_Toc342638164"/>
    <w:bookmarkStart w:id="221" w:name="_Toc346002127"/>
    <w:bookmarkStart w:id="222" w:name="_Toc374006825"/>
    <w:bookmarkStart w:id="223" w:name="_Toc400634524"/>
    <w:p w:rsidR="007E6EC0" w:rsidRPr="00121F3E" w:rsidRDefault="00285431" w:rsidP="00494849">
      <w:pPr>
        <w:pStyle w:val="Heading5"/>
        <w:rPr>
          <w:rStyle w:val="SubtleEmphasis"/>
          <w:b w:val="0"/>
          <w:i w:val="0"/>
          <w:iCs w:val="0"/>
          <w:color w:val="30243C" w:themeColor="accent5" w:themeShade="80"/>
        </w:rPr>
      </w:pPr>
      <w:r>
        <w:rPr>
          <w:rFonts w:asciiTheme="minorHAnsi" w:hAnsiTheme="minorHAnsi"/>
          <w:color w:val="auto"/>
          <w:spacing w:val="0"/>
          <w:szCs w:val="20"/>
        </w:rPr>
        <w:lastRenderedPageBreak/>
        <w:fldChar w:fldCharType="end"/>
      </w:r>
      <w:r w:rsidR="000C699F" w:rsidRPr="00121F3E">
        <w:rPr>
          <w:rStyle w:val="SubtleEmphasis"/>
          <w:b w:val="0"/>
          <w:i w:val="0"/>
          <w:iCs w:val="0"/>
          <w:color w:val="30243C" w:themeColor="accent5" w:themeShade="80"/>
        </w:rPr>
        <w:t>C</w:t>
      </w:r>
      <w:r w:rsidR="007E6EC0" w:rsidRPr="00121F3E">
        <w:rPr>
          <w:rStyle w:val="SubtleEmphasis"/>
          <w:b w:val="0"/>
          <w:i w:val="0"/>
          <w:iCs w:val="0"/>
          <w:color w:val="30243C" w:themeColor="accent5" w:themeShade="80"/>
        </w:rPr>
        <w:t xml:space="preserve">ancer </w:t>
      </w:r>
      <w:r w:rsidR="00412138" w:rsidRPr="00121F3E">
        <w:rPr>
          <w:rStyle w:val="SubtleEmphasis"/>
          <w:b w:val="0"/>
          <w:i w:val="0"/>
          <w:iCs w:val="0"/>
          <w:color w:val="30243C" w:themeColor="accent5" w:themeShade="80"/>
        </w:rPr>
        <w:t>I</w:t>
      </w:r>
      <w:r w:rsidR="007E6EC0" w:rsidRPr="00121F3E">
        <w:rPr>
          <w:rStyle w:val="SubtleEmphasis"/>
          <w:b w:val="0"/>
          <w:i w:val="0"/>
          <w:iCs w:val="0"/>
          <w:color w:val="30243C" w:themeColor="accent5" w:themeShade="80"/>
        </w:rPr>
        <w:t xml:space="preserve">ncidence and </w:t>
      </w:r>
      <w:r w:rsidR="00412138" w:rsidRPr="00121F3E">
        <w:rPr>
          <w:rStyle w:val="SubtleEmphasis"/>
          <w:b w:val="0"/>
          <w:i w:val="0"/>
          <w:iCs w:val="0"/>
          <w:color w:val="30243C" w:themeColor="accent5" w:themeShade="80"/>
        </w:rPr>
        <w:t>M</w:t>
      </w:r>
      <w:r w:rsidR="007E6EC0" w:rsidRPr="00121F3E">
        <w:rPr>
          <w:rStyle w:val="SubtleEmphasis"/>
          <w:b w:val="0"/>
          <w:i w:val="0"/>
          <w:iCs w:val="0"/>
          <w:color w:val="30243C" w:themeColor="accent5" w:themeShade="80"/>
        </w:rPr>
        <w:t xml:space="preserve">ortality, </w:t>
      </w:r>
      <w:r w:rsidR="00412138" w:rsidRPr="00121F3E">
        <w:rPr>
          <w:rStyle w:val="SubtleEmphasis"/>
          <w:b w:val="0"/>
          <w:i w:val="0"/>
          <w:iCs w:val="0"/>
          <w:color w:val="30243C" w:themeColor="accent5" w:themeShade="80"/>
        </w:rPr>
        <w:t>A</w:t>
      </w:r>
      <w:r w:rsidR="007E6EC0" w:rsidRPr="00121F3E">
        <w:rPr>
          <w:rStyle w:val="SubtleEmphasis"/>
          <w:b w:val="0"/>
          <w:i w:val="0"/>
          <w:iCs w:val="0"/>
          <w:color w:val="30243C" w:themeColor="accent5" w:themeShade="80"/>
        </w:rPr>
        <w:t xml:space="preserve">ll </w:t>
      </w:r>
      <w:r w:rsidR="00412138" w:rsidRPr="00121F3E">
        <w:rPr>
          <w:rStyle w:val="SubtleEmphasis"/>
          <w:b w:val="0"/>
          <w:i w:val="0"/>
          <w:iCs w:val="0"/>
          <w:color w:val="30243C" w:themeColor="accent5" w:themeShade="80"/>
        </w:rPr>
        <w:t>S</w:t>
      </w:r>
      <w:r w:rsidR="007E6EC0" w:rsidRPr="00121F3E">
        <w:rPr>
          <w:rStyle w:val="SubtleEmphasis"/>
          <w:b w:val="0"/>
          <w:i w:val="0"/>
          <w:iCs w:val="0"/>
          <w:color w:val="30243C" w:themeColor="accent5" w:themeShade="80"/>
        </w:rPr>
        <w:t xml:space="preserve">ites </w:t>
      </w:r>
      <w:r w:rsidR="00412138" w:rsidRPr="00121F3E">
        <w:rPr>
          <w:rStyle w:val="SubtleEmphasis"/>
          <w:b w:val="0"/>
          <w:i w:val="0"/>
          <w:iCs w:val="0"/>
          <w:color w:val="30243C" w:themeColor="accent5" w:themeShade="80"/>
        </w:rPr>
        <w:t>C</w:t>
      </w:r>
      <w:r w:rsidR="007E6EC0" w:rsidRPr="00121F3E">
        <w:rPr>
          <w:rStyle w:val="SubtleEmphasis"/>
          <w:b w:val="0"/>
          <w:i w:val="0"/>
          <w:iCs w:val="0"/>
          <w:color w:val="30243C" w:themeColor="accent5" w:themeShade="80"/>
        </w:rPr>
        <w:t xml:space="preserve">ombined </w:t>
      </w:r>
      <w:r w:rsidR="00412138" w:rsidRPr="00121F3E">
        <w:rPr>
          <w:rStyle w:val="SubtleEmphasis"/>
          <w:b w:val="0"/>
          <w:i w:val="0"/>
          <w:iCs w:val="0"/>
          <w:color w:val="30243C" w:themeColor="accent5" w:themeShade="80"/>
        </w:rPr>
        <w:t>C</w:t>
      </w:r>
      <w:r w:rsidR="007E6EC0" w:rsidRPr="00121F3E">
        <w:rPr>
          <w:rStyle w:val="SubtleEmphasis"/>
          <w:b w:val="0"/>
          <w:i w:val="0"/>
          <w:iCs w:val="0"/>
          <w:color w:val="30243C" w:themeColor="accent5" w:themeShade="80"/>
        </w:rPr>
        <w:t>ontinued</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3F4A9F" w:rsidRDefault="0028684E" w:rsidP="00821E60">
      <w:r>
        <w:rPr>
          <w:noProof/>
          <w:sz w:val="22"/>
          <w:lang w:bidi="ar-SA"/>
        </w:rPr>
        <mc:AlternateContent>
          <mc:Choice Requires="wps">
            <w:drawing>
              <wp:anchor distT="0" distB="0" distL="114300" distR="114300" simplePos="0" relativeHeight="252214272" behindDoc="0" locked="0" layoutInCell="1" allowOverlap="1" wp14:anchorId="772DE3A6" wp14:editId="3683515D">
                <wp:simplePos x="0" y="0"/>
                <wp:positionH relativeFrom="column">
                  <wp:posOffset>-40461</wp:posOffset>
                </wp:positionH>
                <wp:positionV relativeFrom="paragraph">
                  <wp:posOffset>4682580</wp:posOffset>
                </wp:positionV>
                <wp:extent cx="8229600" cy="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82296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368.7pt" to="644.8pt,3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" strokecolor="#1b587c [3206]" strokeweight="1pt"/>
            </w:pict>
          </mc:Fallback>
        </mc:AlternateContent>
      </w:r>
      <w:r w:rsidR="00821E60">
        <w:rPr>
          <w:noProof/>
          <w:lang w:bidi="ar-SA"/>
        </w:rPr>
        <w:drawing>
          <wp:inline distT="0" distB="0" distL="0" distR="0" wp14:anchorId="66D53293" wp14:editId="1C0230C8">
            <wp:extent cx="8229600" cy="4491079"/>
            <wp:effectExtent l="0" t="0" r="0" b="508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F535A" w:rsidRPr="00770036" w:rsidRDefault="002F535A" w:rsidP="00696C14">
      <w:pPr>
        <w:pStyle w:val="ListParagraph"/>
        <w:jc w:val="both"/>
        <w:rPr>
          <w:szCs w:val="22"/>
        </w:rPr>
      </w:pPr>
      <w:r w:rsidRPr="00770036">
        <w:rPr>
          <w:szCs w:val="22"/>
        </w:rPr>
        <w:t xml:space="preserve">The cancer incidence rate in Tennessee fell by 4.9% from 2008 to 2012 and this decrease was statistically significant. </w:t>
      </w:r>
    </w:p>
    <w:p w:rsidR="002F535A" w:rsidRPr="00770036" w:rsidRDefault="002F535A" w:rsidP="00696C14">
      <w:pPr>
        <w:pStyle w:val="ListParagraph"/>
        <w:jc w:val="both"/>
        <w:rPr>
          <w:szCs w:val="22"/>
        </w:rPr>
      </w:pPr>
      <w:r w:rsidRPr="00770036">
        <w:rPr>
          <w:szCs w:val="22"/>
        </w:rPr>
        <w:t>The cancer mortality rate in Tennessee fell by 5.</w:t>
      </w:r>
      <w:r w:rsidR="00D106B7">
        <w:rPr>
          <w:szCs w:val="22"/>
        </w:rPr>
        <w:t>3</w:t>
      </w:r>
      <w:r w:rsidRPr="00770036">
        <w:rPr>
          <w:szCs w:val="22"/>
        </w:rPr>
        <w:t>% from 2008 to 2012 and this decrease was statistically significant.</w:t>
      </w:r>
    </w:p>
    <w:p w:rsidR="002F535A" w:rsidRPr="00770036" w:rsidRDefault="002F535A" w:rsidP="00696C14">
      <w:pPr>
        <w:pStyle w:val="ListParagraph"/>
        <w:jc w:val="both"/>
        <w:rPr>
          <w:szCs w:val="22"/>
        </w:rPr>
      </w:pPr>
      <w:r w:rsidRPr="00770036">
        <w:rPr>
          <w:szCs w:val="22"/>
        </w:rPr>
        <w:t>From 2011 to 2012, the number of new cancer cases dropped fr</w:t>
      </w:r>
      <w:r w:rsidR="004826DE">
        <w:rPr>
          <w:szCs w:val="22"/>
        </w:rPr>
        <w:t>om 34,266 cases to 34,093 cases.</w:t>
      </w:r>
    </w:p>
    <w:p w:rsidR="003F4A9F" w:rsidRDefault="0028684E" w:rsidP="002F535A">
      <w:r>
        <w:rPr>
          <w:noProof/>
          <w:sz w:val="22"/>
          <w:lang w:bidi="ar-SA"/>
        </w:rPr>
        <mc:AlternateContent>
          <mc:Choice Requires="wps">
            <w:drawing>
              <wp:anchor distT="0" distB="0" distL="114300" distR="114300" simplePos="0" relativeHeight="252216320" behindDoc="0" locked="0" layoutInCell="1" allowOverlap="1" wp14:anchorId="1B163A68" wp14:editId="3ECB61C7">
                <wp:simplePos x="0" y="0"/>
                <wp:positionH relativeFrom="column">
                  <wp:posOffset>0</wp:posOffset>
                </wp:positionH>
                <wp:positionV relativeFrom="paragraph">
                  <wp:posOffset>9313</wp:posOffset>
                </wp:positionV>
                <wp:extent cx="8229600" cy="0"/>
                <wp:effectExtent l="0" t="0" r="19050" b="19050"/>
                <wp:wrapNone/>
                <wp:docPr id="304" name="Straight Connector 304"/>
                <wp:cNvGraphicFramePr/>
                <a:graphic xmlns:a="http://schemas.openxmlformats.org/drawingml/2006/main">
                  <a:graphicData uri="http://schemas.microsoft.com/office/word/2010/wordprocessingShape">
                    <wps:wsp>
                      <wps:cNvCnPr/>
                      <wps:spPr>
                        <a:xfrm>
                          <a:off x="0" y="0"/>
                          <a:ext cx="82296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5pt" to="9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" strokecolor="#1b587c [3206]" strokeweight="1pt"/>
            </w:pict>
          </mc:Fallback>
        </mc:AlternateContent>
      </w:r>
    </w:p>
    <w:p w:rsidR="002F535A" w:rsidRDefault="00964E4C" w:rsidP="002F535A">
      <w:pPr>
        <w:jc w:val="right"/>
      </w:pPr>
      <w:hyperlink w:anchor="_Data_Sources_1" w:history="1">
        <w:r w:rsidR="002F535A" w:rsidRPr="002F535A">
          <w:rPr>
            <w:rStyle w:val="Hyperlink"/>
          </w:rPr>
          <w:t>Data Source</w:t>
        </w:r>
      </w:hyperlink>
    </w:p>
    <w:p w:rsidR="006C05E5" w:rsidRPr="00121F3E" w:rsidRDefault="00821E60" w:rsidP="00494849">
      <w:pPr>
        <w:pStyle w:val="Heading5"/>
        <w:rPr>
          <w:rStyle w:val="SubtleEmphasis"/>
          <w:b w:val="0"/>
          <w:i w:val="0"/>
          <w:iCs w:val="0"/>
          <w:color w:val="30243C" w:themeColor="accent5" w:themeShade="80"/>
        </w:rPr>
      </w:pPr>
      <w:r>
        <w:lastRenderedPageBreak/>
        <w:t xml:space="preserve"> </w:t>
      </w:r>
      <w:r w:rsidR="00F369E0" w:rsidRPr="00F369E0">
        <w:t xml:space="preserve"> </w:t>
      </w:r>
      <w:r w:rsidR="006C05E5" w:rsidRPr="00121F3E">
        <w:rPr>
          <w:rStyle w:val="SubtleEmphasis"/>
          <w:b w:val="0"/>
          <w:i w:val="0"/>
          <w:iCs w:val="0"/>
          <w:color w:val="30243C" w:themeColor="accent5" w:themeShade="80"/>
        </w:rPr>
        <w:t xml:space="preserve">Cancer </w:t>
      </w:r>
      <w:r w:rsidR="00412138" w:rsidRPr="00121F3E">
        <w:rPr>
          <w:rStyle w:val="SubtleEmphasis"/>
          <w:b w:val="0"/>
          <w:i w:val="0"/>
          <w:iCs w:val="0"/>
          <w:color w:val="30243C" w:themeColor="accent5" w:themeShade="80"/>
        </w:rPr>
        <w:t>I</w:t>
      </w:r>
      <w:r w:rsidR="006C05E5" w:rsidRPr="00121F3E">
        <w:rPr>
          <w:rStyle w:val="SubtleEmphasis"/>
          <w:b w:val="0"/>
          <w:i w:val="0"/>
          <w:iCs w:val="0"/>
          <w:color w:val="30243C" w:themeColor="accent5" w:themeShade="80"/>
        </w:rPr>
        <w:t xml:space="preserve">ncidence and </w:t>
      </w:r>
      <w:r w:rsidR="00412138" w:rsidRPr="00121F3E">
        <w:rPr>
          <w:rStyle w:val="SubtleEmphasis"/>
          <w:b w:val="0"/>
          <w:i w:val="0"/>
          <w:iCs w:val="0"/>
          <w:color w:val="30243C" w:themeColor="accent5" w:themeShade="80"/>
        </w:rPr>
        <w:t>M</w:t>
      </w:r>
      <w:r w:rsidR="006C05E5" w:rsidRPr="00121F3E">
        <w:rPr>
          <w:rStyle w:val="SubtleEmphasis"/>
          <w:b w:val="0"/>
          <w:i w:val="0"/>
          <w:iCs w:val="0"/>
          <w:color w:val="30243C" w:themeColor="accent5" w:themeShade="80"/>
        </w:rPr>
        <w:t xml:space="preserve">ortality, </w:t>
      </w:r>
      <w:r w:rsidR="00412138" w:rsidRPr="00121F3E">
        <w:rPr>
          <w:rStyle w:val="SubtleEmphasis"/>
          <w:b w:val="0"/>
          <w:i w:val="0"/>
          <w:iCs w:val="0"/>
          <w:color w:val="30243C" w:themeColor="accent5" w:themeShade="80"/>
        </w:rPr>
        <w:t>A</w:t>
      </w:r>
      <w:r w:rsidR="006C05E5" w:rsidRPr="00121F3E">
        <w:rPr>
          <w:rStyle w:val="SubtleEmphasis"/>
          <w:b w:val="0"/>
          <w:i w:val="0"/>
          <w:iCs w:val="0"/>
          <w:color w:val="30243C" w:themeColor="accent5" w:themeShade="80"/>
        </w:rPr>
        <w:t xml:space="preserve">ll </w:t>
      </w:r>
      <w:r w:rsidR="00412138" w:rsidRPr="00121F3E">
        <w:rPr>
          <w:rStyle w:val="SubtleEmphasis"/>
          <w:b w:val="0"/>
          <w:i w:val="0"/>
          <w:iCs w:val="0"/>
          <w:color w:val="30243C" w:themeColor="accent5" w:themeShade="80"/>
        </w:rPr>
        <w:t>S</w:t>
      </w:r>
      <w:r w:rsidR="006C05E5" w:rsidRPr="00121F3E">
        <w:rPr>
          <w:rStyle w:val="SubtleEmphasis"/>
          <w:b w:val="0"/>
          <w:i w:val="0"/>
          <w:iCs w:val="0"/>
          <w:color w:val="30243C" w:themeColor="accent5" w:themeShade="80"/>
        </w:rPr>
        <w:t xml:space="preserve">ites </w:t>
      </w:r>
      <w:r w:rsidR="00412138" w:rsidRPr="00121F3E">
        <w:rPr>
          <w:rStyle w:val="SubtleEmphasis"/>
          <w:b w:val="0"/>
          <w:i w:val="0"/>
          <w:iCs w:val="0"/>
          <w:color w:val="30243C" w:themeColor="accent5" w:themeShade="80"/>
        </w:rPr>
        <w:t>C</w:t>
      </w:r>
      <w:r w:rsidR="006C05E5" w:rsidRPr="00121F3E">
        <w:rPr>
          <w:rStyle w:val="SubtleEmphasis"/>
          <w:b w:val="0"/>
          <w:i w:val="0"/>
          <w:iCs w:val="0"/>
          <w:color w:val="30243C" w:themeColor="accent5" w:themeShade="80"/>
        </w:rPr>
        <w:t xml:space="preserve">ombined </w:t>
      </w:r>
      <w:r w:rsidR="00412138" w:rsidRPr="00121F3E">
        <w:rPr>
          <w:rStyle w:val="SubtleEmphasis"/>
          <w:b w:val="0"/>
          <w:i w:val="0"/>
          <w:iCs w:val="0"/>
          <w:color w:val="30243C" w:themeColor="accent5" w:themeShade="80"/>
        </w:rPr>
        <w:t>C</w:t>
      </w:r>
      <w:r w:rsidR="006C05E5" w:rsidRPr="00121F3E">
        <w:rPr>
          <w:rStyle w:val="SubtleEmphasis"/>
          <w:b w:val="0"/>
          <w:i w:val="0"/>
          <w:iCs w:val="0"/>
          <w:color w:val="30243C" w:themeColor="accent5" w:themeShade="80"/>
        </w:rPr>
        <w:t>ontinued</w:t>
      </w:r>
    </w:p>
    <w:p w:rsidR="003F4A9F" w:rsidRDefault="00FC7135">
      <w:r>
        <w:rPr>
          <w:noProof/>
          <w:lang w:bidi="ar-SA"/>
        </w:rPr>
        <mc:AlternateContent>
          <mc:Choice Requires="wps">
            <w:drawing>
              <wp:anchor distT="0" distB="0" distL="114300" distR="114300" simplePos="0" relativeHeight="251757568" behindDoc="1" locked="0" layoutInCell="1" allowOverlap="1" wp14:anchorId="1B72D966" wp14:editId="200AEA2F">
                <wp:simplePos x="0" y="0"/>
                <wp:positionH relativeFrom="margin">
                  <wp:posOffset>4922874</wp:posOffset>
                </wp:positionH>
                <wp:positionV relativeFrom="margin">
                  <wp:posOffset>1057940</wp:posOffset>
                </wp:positionV>
                <wp:extent cx="3276600" cy="4529469"/>
                <wp:effectExtent l="0" t="0" r="19050" b="23495"/>
                <wp:wrapNone/>
                <wp:docPr id="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529469"/>
                        </a:xfrm>
                        <a:prstGeom prst="rect">
                          <a:avLst/>
                        </a:prstGeom>
                        <a:solidFill>
                          <a:srgbClr val="FFFFFF"/>
                        </a:solidFill>
                        <a:ln w="9525">
                          <a:solidFill>
                            <a:schemeClr val="accent3"/>
                          </a:solidFill>
                          <a:miter lim="800000"/>
                          <a:headEnd/>
                          <a:tailEnd/>
                        </a:ln>
                      </wps:spPr>
                      <wps:txbx>
                        <w:txbxContent>
                          <w:p w:rsidR="00CF610C" w:rsidRPr="00770036" w:rsidRDefault="00CF610C" w:rsidP="00EE366C">
                            <w:pPr>
                              <w:pStyle w:val="ListParagraph"/>
                              <w:jc w:val="both"/>
                            </w:pPr>
                            <w:r>
                              <w:t xml:space="preserve">Including cancers with unknown stage, </w:t>
                            </w:r>
                            <w:r w:rsidRPr="00770036">
                              <w:t>7.9% of new cancer cases were diagnosed at an in situ stage; 42.6% at localized stage; 19.6% at regional stage; and 21.7% at a distant stage.</w:t>
                            </w:r>
                          </w:p>
                          <w:p w:rsidR="00CF610C" w:rsidRPr="00770036" w:rsidRDefault="00CF610C" w:rsidP="00EE366C">
                            <w:pPr>
                              <w:pStyle w:val="ListParagraph"/>
                              <w:jc w:val="both"/>
                            </w:pPr>
                            <w:r w:rsidRPr="00770036">
                              <w:t>8.2% of cases did not have sufficient information on stage at diagnosis.</w:t>
                            </w:r>
                          </w:p>
                          <w:p w:rsidR="00CF610C" w:rsidRPr="00770036" w:rsidRDefault="00CF610C" w:rsidP="00EE366C">
                            <w:pPr>
                              <w:pStyle w:val="ListParagraph"/>
                              <w:jc w:val="both"/>
                            </w:pPr>
                            <w:r w:rsidRPr="00770036">
                              <w:t>Among those with known stage information, 8.7%, 46.4%, 21.3%, and 23.6% were diagnosed at the in situ, localized, regional, and distant stage, respectively.</w:t>
                            </w:r>
                          </w:p>
                          <w:p w:rsidR="00CF610C" w:rsidRPr="00770036" w:rsidRDefault="00CF610C" w:rsidP="00EE366C">
                            <w:pPr>
                              <w:pStyle w:val="ListParagraph"/>
                              <w:jc w:val="both"/>
                            </w:pPr>
                            <w:r w:rsidRPr="00770036">
                              <w:t>Black patients were more likely to be diagnosed at late stages (i.e. at the regional or distant stage) than whites.</w:t>
                            </w:r>
                          </w:p>
                          <w:p w:rsidR="00CF610C" w:rsidRPr="00770036" w:rsidRDefault="00CF610C" w:rsidP="00EE366C">
                            <w:pPr>
                              <w:pStyle w:val="ListParagraph"/>
                              <w:jc w:val="both"/>
                            </w:pPr>
                            <w:r w:rsidRPr="00770036">
                              <w:t xml:space="preserve"> 49.9% of blacks were diagnosed at the regional or distant stage compared to 44.3% of whites diagnosed in the same stage, which may partially explain why blacks have a higher mortality rate compared to whites (See </w:t>
                            </w:r>
                            <w:hyperlink w:anchor="Statistical Methods" w:history="1">
                              <w:r w:rsidRPr="00770036">
                                <w:rPr>
                                  <w:rStyle w:val="Hyperlink"/>
                                </w:rPr>
                                <w:t>Statistical Methods</w:t>
                              </w:r>
                            </w:hyperlink>
                            <w:r w:rsidRPr="00770036">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9" type="#_x0000_t202" style="position:absolute;margin-left:387.65pt;margin-top:83.3pt;width:258pt;height:356.6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" strokecolor="#1b587c [3206]">
                <v:textbox inset=",0,,0">
                  <w:txbxContent>
                    <w:p w:rsidR="00CF610C" w:rsidRPr="00770036" w:rsidRDefault="00CF610C" w:rsidP="00EE366C">
                      <w:pPr>
                        <w:pStyle w:val="ListParagraph"/>
                        <w:jc w:val="both"/>
                      </w:pPr>
                      <w:r>
                        <w:t xml:space="preserve">Including cancers with unknown stage, </w:t>
                      </w:r>
                      <w:r w:rsidRPr="00770036">
                        <w:t>7.9% of new cancer cases were diagnosed at an in situ stage; 42.6% at localized stage; 19.6% at regional stage; and 21.7% at a distant stage.</w:t>
                      </w:r>
                    </w:p>
                    <w:p w:rsidR="00CF610C" w:rsidRPr="00770036" w:rsidRDefault="00CF610C" w:rsidP="00EE366C">
                      <w:pPr>
                        <w:pStyle w:val="ListParagraph"/>
                        <w:jc w:val="both"/>
                      </w:pPr>
                      <w:r w:rsidRPr="00770036">
                        <w:t>8.2% of cases did not have sufficient information on stage at diagnosis.</w:t>
                      </w:r>
                    </w:p>
                    <w:p w:rsidR="00CF610C" w:rsidRPr="00770036" w:rsidRDefault="00CF610C" w:rsidP="00EE366C">
                      <w:pPr>
                        <w:pStyle w:val="ListParagraph"/>
                        <w:jc w:val="both"/>
                      </w:pPr>
                      <w:r w:rsidRPr="00770036">
                        <w:t>Among those with known stage information, 8.7%, 46.4%, 21.3%, and 23.6% were diagnosed at the in situ, localized, regional, and distant stage, respectively.</w:t>
                      </w:r>
                    </w:p>
                    <w:p w:rsidR="00CF610C" w:rsidRPr="00770036" w:rsidRDefault="00CF610C" w:rsidP="00EE366C">
                      <w:pPr>
                        <w:pStyle w:val="ListParagraph"/>
                        <w:jc w:val="both"/>
                      </w:pPr>
                      <w:r w:rsidRPr="00770036">
                        <w:t>Black patients were more likely to be diagnosed at late stages (i.e. at the regional or distant stage) than whites.</w:t>
                      </w:r>
                    </w:p>
                    <w:p w:rsidR="00CF610C" w:rsidRPr="00770036" w:rsidRDefault="00CF610C" w:rsidP="00EE366C">
                      <w:pPr>
                        <w:pStyle w:val="ListParagraph"/>
                        <w:jc w:val="both"/>
                      </w:pPr>
                      <w:r w:rsidRPr="00770036">
                        <w:t xml:space="preserve"> 49.9% of blacks were diagnosed at the regional or distant stage compared to 44.3% of whites diagnosed in the same stage, which may partially explain why blacks have a higher mortality rate compared to whites (See </w:t>
                      </w:r>
                      <w:hyperlink w:anchor="Statistical Methods" w:history="1">
                        <w:r w:rsidRPr="00770036">
                          <w:rPr>
                            <w:rStyle w:val="Hyperlink"/>
                          </w:rPr>
                          <w:t>Statistical Methods</w:t>
                        </w:r>
                      </w:hyperlink>
                      <w:r w:rsidRPr="00770036">
                        <w:t>).</w:t>
                      </w:r>
                    </w:p>
                  </w:txbxContent>
                </v:textbox>
                <w10:wrap anchorx="margin" anchory="margin"/>
              </v:shape>
            </w:pict>
          </mc:Fallback>
        </mc:AlternateContent>
      </w:r>
      <w:r w:rsidR="00EF28EE">
        <w:rPr>
          <w:noProof/>
          <w:lang w:bidi="ar-SA"/>
        </w:rPr>
        <w:drawing>
          <wp:inline distT="0" distB="0" distL="0" distR="0" wp14:anchorId="5DC6D587" wp14:editId="2FFA8EAF">
            <wp:extent cx="4562856" cy="2724912"/>
            <wp:effectExtent l="0" t="0" r="0" b="0"/>
            <wp:docPr id="40" name="Char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41F9E" w:rsidRDefault="00EF28EE" w:rsidP="00F41F9E">
      <w:r>
        <w:rPr>
          <w:noProof/>
          <w:lang w:bidi="ar-SA"/>
        </w:rPr>
        <w:drawing>
          <wp:inline distT="0" distB="0" distL="0" distR="0" wp14:anchorId="3A40A5F8" wp14:editId="5D2BDF21">
            <wp:extent cx="4562856" cy="2724912"/>
            <wp:effectExtent l="0" t="0" r="9525" b="0"/>
            <wp:docPr id="41" name="Char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B7FF2" w:rsidRDefault="005E61B4" w:rsidP="00F41F9E">
      <w:pPr>
        <w:jc w:val="right"/>
      </w:pPr>
      <w:r>
        <w:rPr>
          <w:noProof/>
          <w:sz w:val="22"/>
          <w:lang w:bidi="ar-SA"/>
        </w:rPr>
        <mc:AlternateContent>
          <mc:Choice Requires="wps">
            <w:drawing>
              <wp:anchor distT="0" distB="0" distL="114300" distR="114300" simplePos="0" relativeHeight="252396544" behindDoc="0" locked="0" layoutInCell="1" allowOverlap="1" wp14:anchorId="771BCC20" wp14:editId="0072F159">
                <wp:simplePos x="0" y="0"/>
                <wp:positionH relativeFrom="column">
                  <wp:posOffset>3810</wp:posOffset>
                </wp:positionH>
                <wp:positionV relativeFrom="paragraph">
                  <wp:posOffset>283999</wp:posOffset>
                </wp:positionV>
                <wp:extent cx="8260579" cy="0"/>
                <wp:effectExtent l="0" t="0" r="26670" b="19050"/>
                <wp:wrapNone/>
                <wp:docPr id="347" name="Straight Connector 347"/>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7" o:spid="_x0000_s1026" style="position:absolute;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2.35pt" to="650.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" strokecolor="#1b587c [3206]" strokeweight="1pt"/>
            </w:pict>
          </mc:Fallback>
        </mc:AlternateContent>
      </w:r>
      <w:r w:rsidR="00A506D3">
        <w:t xml:space="preserve"> </w:t>
      </w:r>
      <w:r w:rsidR="004224B9">
        <w:t xml:space="preserve"> </w:t>
      </w:r>
      <w:hyperlink w:anchor="_Data_Sources_1" w:history="1">
        <w:r w:rsidR="00285431" w:rsidRPr="004C28F3">
          <w:rPr>
            <w:rStyle w:val="Hyperlink"/>
          </w:rPr>
          <w:t xml:space="preserve">Data </w:t>
        </w:r>
        <w:r w:rsidR="00DB7FF2" w:rsidRPr="004C28F3">
          <w:rPr>
            <w:rStyle w:val="Hyperlink"/>
          </w:rPr>
          <w:t>Source</w:t>
        </w:r>
      </w:hyperlink>
      <w:r w:rsidR="00F41F9E" w:rsidRPr="00E84148">
        <w:t xml:space="preserve"> </w:t>
      </w:r>
      <w:r w:rsidR="002017D6">
        <w:t xml:space="preserve"> </w:t>
      </w:r>
    </w:p>
    <w:bookmarkStart w:id="224" w:name="_Toc421608538"/>
    <w:bookmarkStart w:id="225" w:name="_Toc421609356"/>
    <w:bookmarkStart w:id="226" w:name="_Toc421609690"/>
    <w:bookmarkStart w:id="227" w:name="_Toc421611216"/>
    <w:bookmarkStart w:id="228" w:name="_Toc439918846"/>
    <w:p w:rsidR="00F41F9E" w:rsidRPr="00976CBD" w:rsidRDefault="00770036" w:rsidP="00903E48">
      <w:pPr>
        <w:pStyle w:val="Heading2"/>
        <w:rPr>
          <w:rStyle w:val="SubtleEmphasis"/>
          <w:b w:val="0"/>
          <w:i w:val="0"/>
          <w:iCs w:val="0"/>
          <w:color w:val="30243C" w:themeColor="accent5" w:themeShade="80"/>
        </w:rPr>
      </w:pPr>
      <w:r w:rsidRPr="00A318EA">
        <w:rPr>
          <w:noProof/>
          <w:lang w:bidi="ar-SA"/>
        </w:rPr>
        <w:lastRenderedPageBreak/>
        <mc:AlternateContent>
          <mc:Choice Requires="wps">
            <w:drawing>
              <wp:anchor distT="0" distB="0" distL="114300" distR="114300" simplePos="0" relativeHeight="252143616" behindDoc="1" locked="0" layoutInCell="1" allowOverlap="1" wp14:anchorId="54A19143" wp14:editId="554E9E71">
                <wp:simplePos x="0" y="0"/>
                <wp:positionH relativeFrom="margin">
                  <wp:posOffset>4837814</wp:posOffset>
                </wp:positionH>
                <wp:positionV relativeFrom="page">
                  <wp:posOffset>1010093</wp:posOffset>
                </wp:positionV>
                <wp:extent cx="3420110" cy="5390707"/>
                <wp:effectExtent l="0" t="0" r="27940" b="19685"/>
                <wp:wrapNone/>
                <wp:docPr id="2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5390707"/>
                        </a:xfrm>
                        <a:prstGeom prst="rect">
                          <a:avLst/>
                        </a:prstGeom>
                        <a:solidFill>
                          <a:srgbClr val="FFFFFF"/>
                        </a:solidFill>
                        <a:ln w="9525">
                          <a:solidFill>
                            <a:schemeClr val="accent3"/>
                          </a:solidFill>
                          <a:miter lim="800000"/>
                          <a:headEnd/>
                          <a:tailEnd/>
                        </a:ln>
                      </wps:spPr>
                      <wps:txbx>
                        <w:txbxContent>
                          <w:p w:rsidR="00CF610C" w:rsidRPr="00770036" w:rsidRDefault="00CF610C" w:rsidP="00EE366C">
                            <w:pPr>
                              <w:pStyle w:val="ListParagraph"/>
                              <w:jc w:val="both"/>
                              <w:rPr>
                                <w:rFonts w:ascii="Calibri" w:eastAsia="Times New Roman" w:hAnsi="Calibri" w:cs="Times New Roman"/>
                                <w:color w:val="000000"/>
                                <w:lang w:bidi="ar-SA"/>
                              </w:rPr>
                            </w:pPr>
                            <w:r w:rsidRPr="00770036">
                              <w:t xml:space="preserve">In the five-year period from 2008-2012, a total of </w:t>
                            </w:r>
                            <w:r w:rsidRPr="00770036">
                              <w:rPr>
                                <w:rFonts w:ascii="Calibri" w:eastAsia="Times New Roman" w:hAnsi="Calibri" w:cs="Times New Roman"/>
                                <w:color w:val="000000"/>
                                <w:lang w:bidi="ar-SA"/>
                              </w:rPr>
                              <w:t xml:space="preserve">562,818 </w:t>
                            </w:r>
                            <w:r>
                              <w:rPr>
                                <w:rFonts w:ascii="Calibri" w:eastAsia="Times New Roman" w:hAnsi="Calibri" w:cs="Times New Roman"/>
                                <w:color w:val="000000"/>
                                <w:lang w:bidi="ar-SA"/>
                              </w:rPr>
                              <w:t xml:space="preserve">years </w:t>
                            </w:r>
                            <w:r w:rsidRPr="00770036">
                              <w:rPr>
                                <w:rFonts w:ascii="Calibri" w:eastAsia="Times New Roman" w:hAnsi="Calibri" w:cs="Times New Roman"/>
                                <w:color w:val="000000"/>
                                <w:lang w:bidi="ar-SA"/>
                              </w:rPr>
                              <w:t>of potential life (YPLL) were lost due to premature cancer deaths (deaths before 75 years of age) for the total population.</w:t>
                            </w:r>
                          </w:p>
                          <w:p w:rsidR="00CF610C" w:rsidRPr="00770036" w:rsidRDefault="00CF610C" w:rsidP="00EE366C">
                            <w:pPr>
                              <w:pStyle w:val="ListParagraph"/>
                              <w:jc w:val="both"/>
                            </w:pPr>
                            <w:r w:rsidRPr="00770036">
                              <w:t xml:space="preserve">On average, each person who died from cancer </w:t>
                            </w:r>
                            <w:r>
                              <w:t>during the period</w:t>
                            </w:r>
                            <w:r w:rsidRPr="00770036">
                              <w:t xml:space="preserve"> 2008-2012 lost an estimated 8.4 years of life.</w:t>
                            </w:r>
                          </w:p>
                          <w:p w:rsidR="00CF610C" w:rsidRPr="00770036" w:rsidRDefault="00CF610C" w:rsidP="00EE366C">
                            <w:pPr>
                              <w:pStyle w:val="ListParagraph"/>
                              <w:jc w:val="both"/>
                            </w:pPr>
                            <w:r w:rsidRPr="00770036">
                              <w:t>On average, each female who died from cancer during this 5 year period lost an estimated 8.3 years of life and each male who died from cancer lost an estimated 8.4 years of life.</w:t>
                            </w:r>
                          </w:p>
                          <w:p w:rsidR="00CF610C" w:rsidRPr="00770036" w:rsidRDefault="00CF610C" w:rsidP="00EE366C">
                            <w:pPr>
                              <w:pStyle w:val="ListParagraph"/>
                              <w:jc w:val="both"/>
                            </w:pPr>
                            <w:r w:rsidRPr="00770036">
                              <w:t>On average, each black</w:t>
                            </w:r>
                            <w:r>
                              <w:t xml:space="preserve"> individual</w:t>
                            </w:r>
                            <w:r w:rsidRPr="00770036">
                              <w:t xml:space="preserve"> who died from cancer during this period lost an estimated 10.6 years of life and each white </w:t>
                            </w:r>
                            <w:r>
                              <w:t xml:space="preserve">individual </w:t>
                            </w:r>
                            <w:r w:rsidRPr="00770036">
                              <w:t>who died from cancer lost an estimated 8.0 years of life.</w:t>
                            </w:r>
                          </w:p>
                          <w:p w:rsidR="00CF610C" w:rsidRPr="00770036" w:rsidRDefault="00CF610C" w:rsidP="00EE366C">
                            <w:pPr>
                              <w:pStyle w:val="ListParagraph"/>
                              <w:jc w:val="both"/>
                            </w:pPr>
                            <w:r w:rsidRPr="00770036">
                              <w:t>On average, each black female who died from cancer lost an estimated 10.6 years of life and each black male who died from cancer lost an estimated 10.7 years of life.</w:t>
                            </w:r>
                          </w:p>
                          <w:p w:rsidR="00CF610C" w:rsidRPr="00770036" w:rsidRDefault="00CF610C" w:rsidP="00EE366C">
                            <w:pPr>
                              <w:pStyle w:val="ListParagraph"/>
                              <w:jc w:val="both"/>
                            </w:pPr>
                            <w:r w:rsidRPr="00770036">
                              <w:t xml:space="preserve">On average, each white female who died from cancer lost an estimated 7.9 years of life and each white male who died from cancer lost an estimated 8.0 years of life. </w:t>
                            </w:r>
                          </w:p>
                          <w:p w:rsidR="00CF610C" w:rsidRDefault="00CF610C" w:rsidP="00F41F9E"/>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50" type="#_x0000_t202" style="position:absolute;margin-left:380.95pt;margin-top:79.55pt;width:269.3pt;height:424.45pt;z-index:-25117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" strokecolor="#1b587c [3206]">
                <v:textbox inset=",0,,0">
                  <w:txbxContent>
                    <w:p w:rsidR="00CF610C" w:rsidRPr="00770036" w:rsidRDefault="00CF610C" w:rsidP="00EE366C">
                      <w:pPr>
                        <w:pStyle w:val="ListParagraph"/>
                        <w:jc w:val="both"/>
                        <w:rPr>
                          <w:rFonts w:ascii="Calibri" w:eastAsia="Times New Roman" w:hAnsi="Calibri" w:cs="Times New Roman"/>
                          <w:color w:val="000000"/>
                          <w:lang w:bidi="ar-SA"/>
                        </w:rPr>
                      </w:pPr>
                      <w:r w:rsidRPr="00770036">
                        <w:t xml:space="preserve">In the five-year period from 2008-2012, a total of </w:t>
                      </w:r>
                      <w:r w:rsidRPr="00770036">
                        <w:rPr>
                          <w:rFonts w:ascii="Calibri" w:eastAsia="Times New Roman" w:hAnsi="Calibri" w:cs="Times New Roman"/>
                          <w:color w:val="000000"/>
                          <w:lang w:bidi="ar-SA"/>
                        </w:rPr>
                        <w:t xml:space="preserve">562,818 </w:t>
                      </w:r>
                      <w:r>
                        <w:rPr>
                          <w:rFonts w:ascii="Calibri" w:eastAsia="Times New Roman" w:hAnsi="Calibri" w:cs="Times New Roman"/>
                          <w:color w:val="000000"/>
                          <w:lang w:bidi="ar-SA"/>
                        </w:rPr>
                        <w:t xml:space="preserve">years </w:t>
                      </w:r>
                      <w:r w:rsidRPr="00770036">
                        <w:rPr>
                          <w:rFonts w:ascii="Calibri" w:eastAsia="Times New Roman" w:hAnsi="Calibri" w:cs="Times New Roman"/>
                          <w:color w:val="000000"/>
                          <w:lang w:bidi="ar-SA"/>
                        </w:rPr>
                        <w:t>of potential life (YPLL) were lost due to premature cancer deaths (deaths before 75 years of age) for the total population.</w:t>
                      </w:r>
                    </w:p>
                    <w:p w:rsidR="00CF610C" w:rsidRPr="00770036" w:rsidRDefault="00CF610C" w:rsidP="00EE366C">
                      <w:pPr>
                        <w:pStyle w:val="ListParagraph"/>
                        <w:jc w:val="both"/>
                      </w:pPr>
                      <w:r w:rsidRPr="00770036">
                        <w:t xml:space="preserve">On average, each person who died from cancer </w:t>
                      </w:r>
                      <w:r>
                        <w:t>during the period</w:t>
                      </w:r>
                      <w:r w:rsidRPr="00770036">
                        <w:t xml:space="preserve"> 2008-2012 lost an estimated 8.4 years of life.</w:t>
                      </w:r>
                    </w:p>
                    <w:p w:rsidR="00CF610C" w:rsidRPr="00770036" w:rsidRDefault="00CF610C" w:rsidP="00EE366C">
                      <w:pPr>
                        <w:pStyle w:val="ListParagraph"/>
                        <w:jc w:val="both"/>
                      </w:pPr>
                      <w:r w:rsidRPr="00770036">
                        <w:t>On average, each female who died from cancer during this 5 year period lost an estimated 8.3 years of life and each male who died from cancer lost an estimated 8.4 years of life.</w:t>
                      </w:r>
                    </w:p>
                    <w:p w:rsidR="00CF610C" w:rsidRPr="00770036" w:rsidRDefault="00CF610C" w:rsidP="00EE366C">
                      <w:pPr>
                        <w:pStyle w:val="ListParagraph"/>
                        <w:jc w:val="both"/>
                      </w:pPr>
                      <w:r w:rsidRPr="00770036">
                        <w:t>On average, each black</w:t>
                      </w:r>
                      <w:r>
                        <w:t xml:space="preserve"> individual</w:t>
                      </w:r>
                      <w:r w:rsidRPr="00770036">
                        <w:t xml:space="preserve"> who died from cancer during this period lost an estimated 10.6 years of life and each white </w:t>
                      </w:r>
                      <w:r>
                        <w:t xml:space="preserve">individual </w:t>
                      </w:r>
                      <w:r w:rsidRPr="00770036">
                        <w:t>who died from cancer lost an estimated 8.0 years of life.</w:t>
                      </w:r>
                    </w:p>
                    <w:p w:rsidR="00CF610C" w:rsidRPr="00770036" w:rsidRDefault="00CF610C" w:rsidP="00EE366C">
                      <w:pPr>
                        <w:pStyle w:val="ListParagraph"/>
                        <w:jc w:val="both"/>
                      </w:pPr>
                      <w:r w:rsidRPr="00770036">
                        <w:t>On average, each black female who died from cancer lost an estimated 10.6 years of life and each black male who died from cancer lost an estimated 10.7 years of life.</w:t>
                      </w:r>
                    </w:p>
                    <w:p w:rsidR="00CF610C" w:rsidRPr="00770036" w:rsidRDefault="00CF610C" w:rsidP="00EE366C">
                      <w:pPr>
                        <w:pStyle w:val="ListParagraph"/>
                        <w:jc w:val="both"/>
                      </w:pPr>
                      <w:r w:rsidRPr="00770036">
                        <w:t xml:space="preserve">On average, each white female who died from cancer lost an estimated 7.9 years of life and each white male who died from cancer lost an estimated 8.0 years of life. </w:t>
                      </w:r>
                    </w:p>
                    <w:p w:rsidR="00CF610C" w:rsidRDefault="00CF610C" w:rsidP="00F41F9E"/>
                  </w:txbxContent>
                </v:textbox>
                <w10:wrap anchorx="margin" anchory="page"/>
              </v:shape>
            </w:pict>
          </mc:Fallback>
        </mc:AlternateContent>
      </w:r>
      <w:r w:rsidR="00744A80" w:rsidRPr="00976CBD">
        <w:rPr>
          <w:rStyle w:val="SubtleEmphasis"/>
          <w:b w:val="0"/>
          <w:i w:val="0"/>
          <w:iCs w:val="0"/>
          <w:color w:val="30243C" w:themeColor="accent5" w:themeShade="80"/>
        </w:rPr>
        <w:t>Years of Potential Life Lost to Cancer, Tennessee, 2008-2012</w:t>
      </w:r>
      <w:bookmarkEnd w:id="224"/>
      <w:bookmarkEnd w:id="225"/>
      <w:bookmarkEnd w:id="226"/>
      <w:bookmarkEnd w:id="227"/>
      <w:bookmarkEnd w:id="228"/>
    </w:p>
    <w:p w:rsidR="00F41F9E" w:rsidRDefault="00F41F9E" w:rsidP="00F41F9E">
      <w:r w:rsidRPr="001912AE">
        <w:rPr>
          <w:noProof/>
          <w:lang w:bidi="ar-SA"/>
        </w:rPr>
        <w:t xml:space="preserve"> </w:t>
      </w:r>
      <w:r w:rsidR="00263BFB">
        <w:rPr>
          <w:noProof/>
          <w:lang w:bidi="ar-SA"/>
        </w:rPr>
        <w:drawing>
          <wp:inline distT="0" distB="0" distL="0" distR="0" wp14:anchorId="442137F5" wp14:editId="496C82DA">
            <wp:extent cx="4715933" cy="2472266"/>
            <wp:effectExtent l="0" t="0" r="8890" b="444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2586F" w:rsidRDefault="00F41F9E" w:rsidP="00263BFB">
      <w:pPr>
        <w:pStyle w:val="NoSpacing"/>
      </w:pPr>
      <w:r w:rsidRPr="001912AE">
        <w:rPr>
          <w:noProof/>
          <w:lang w:bidi="ar-SA"/>
        </w:rPr>
        <w:t xml:space="preserve"> </w:t>
      </w:r>
      <w:r>
        <w:tab/>
      </w:r>
      <w:r>
        <w:tab/>
      </w:r>
      <w:r>
        <w:tab/>
      </w:r>
      <w:r>
        <w:tab/>
      </w:r>
      <w:r>
        <w:tab/>
      </w:r>
      <w:r>
        <w:tab/>
      </w:r>
      <w:r>
        <w:tab/>
      </w:r>
      <w:r>
        <w:tab/>
      </w:r>
      <w:r>
        <w:tab/>
      </w:r>
      <w:r>
        <w:tab/>
      </w:r>
      <w:r>
        <w:tab/>
      </w:r>
      <w:r>
        <w:tab/>
      </w:r>
    </w:p>
    <w:p w:rsidR="00263BFB" w:rsidRDefault="00263BFB" w:rsidP="00263BFB">
      <w:pPr>
        <w:pStyle w:val="NoSpacing"/>
      </w:pPr>
      <w:r>
        <w:rPr>
          <w:noProof/>
          <w:lang w:bidi="ar-SA"/>
        </w:rPr>
        <w:drawing>
          <wp:inline distT="0" distB="0" distL="0" distR="0" wp14:anchorId="62E4BEA8" wp14:editId="7C732E96">
            <wp:extent cx="4783667" cy="2497667"/>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E2586F">
        <w:t xml:space="preserve"> </w:t>
      </w:r>
    </w:p>
    <w:p w:rsidR="00263BFB" w:rsidRDefault="00263BFB" w:rsidP="00263BFB">
      <w:pPr>
        <w:pStyle w:val="NoSpacing"/>
      </w:pPr>
    </w:p>
    <w:p w:rsidR="00F41F9E" w:rsidRPr="00E84148" w:rsidRDefault="00263BFB" w:rsidP="00263BFB">
      <w:pPr>
        <w:pStyle w:val="NoSpacing"/>
        <w:jc w:val="right"/>
      </w:pPr>
      <w:r>
        <w:t xml:space="preserve"> </w:t>
      </w:r>
    </w:p>
    <w:p w:rsidR="00F41F9E" w:rsidRDefault="005E61B4" w:rsidP="00F41F9E">
      <w:pPr>
        <w:pStyle w:val="NoSpacing"/>
        <w:jc w:val="right"/>
      </w:pPr>
      <w:r>
        <w:rPr>
          <w:noProof/>
          <w:sz w:val="22"/>
          <w:lang w:bidi="ar-SA"/>
        </w:rPr>
        <mc:AlternateContent>
          <mc:Choice Requires="wps">
            <w:drawing>
              <wp:anchor distT="0" distB="0" distL="114300" distR="114300" simplePos="0" relativeHeight="252398592" behindDoc="0" locked="0" layoutInCell="1" allowOverlap="1" wp14:anchorId="69CF1E7C" wp14:editId="49D16DC3">
                <wp:simplePos x="0" y="0"/>
                <wp:positionH relativeFrom="column">
                  <wp:posOffset>2207</wp:posOffset>
                </wp:positionH>
                <wp:positionV relativeFrom="paragraph">
                  <wp:posOffset>463550</wp:posOffset>
                </wp:positionV>
                <wp:extent cx="8260579" cy="0"/>
                <wp:effectExtent l="0" t="0" r="26670" b="19050"/>
                <wp:wrapNone/>
                <wp:docPr id="348" name="Straight Connector 348"/>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8" o:spid="_x0000_s1026" style="position:absolute;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6.5pt" to="650.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" strokecolor="#1b587c [3206]" strokeweight="1pt"/>
            </w:pict>
          </mc:Fallback>
        </mc:AlternateContent>
      </w:r>
      <w:hyperlink w:anchor="_Data_Sources_1" w:history="1">
        <w:r w:rsidR="00F41F9E" w:rsidRPr="00E84148">
          <w:rPr>
            <w:rStyle w:val="Hyperlink"/>
          </w:rPr>
          <w:t>Data Source</w:t>
        </w:r>
        <w:r w:rsidR="00E84148" w:rsidRPr="00E84148">
          <w:rPr>
            <w:rStyle w:val="Hyperlink"/>
          </w:rPr>
          <w:t xml:space="preserve"> </w:t>
        </w:r>
      </w:hyperlink>
      <w:r w:rsidR="00E84148" w:rsidRPr="00E84148">
        <w:t xml:space="preserve"> </w:t>
      </w:r>
      <w:r w:rsidR="003476CD">
        <w:t xml:space="preserve"> </w:t>
      </w:r>
    </w:p>
    <w:p w:rsidR="003476CD" w:rsidRPr="00E84148" w:rsidRDefault="00964E4C" w:rsidP="00F41F9E">
      <w:pPr>
        <w:pStyle w:val="NoSpacing"/>
        <w:jc w:val="right"/>
      </w:pPr>
      <w:hyperlink w:anchor="_Table_3._Number" w:history="1">
        <w:r w:rsidR="003476CD" w:rsidRPr="00E84148">
          <w:rPr>
            <w:rStyle w:val="Hyperlink"/>
          </w:rPr>
          <w:t xml:space="preserve">Data Table </w:t>
        </w:r>
      </w:hyperlink>
    </w:p>
    <w:p w:rsidR="00E84148" w:rsidRPr="00E84148" w:rsidRDefault="00744A80" w:rsidP="00494849">
      <w:pPr>
        <w:pStyle w:val="Heading5"/>
      </w:pPr>
      <w:r>
        <w:lastRenderedPageBreak/>
        <w:t>Years of Potential Life Lost to Cancer, Tennessee, 2008-2012, Continued</w:t>
      </w:r>
    </w:p>
    <w:p w:rsidR="005D107C" w:rsidRDefault="0028684E">
      <w:r>
        <w:rPr>
          <w:noProof/>
          <w:sz w:val="22"/>
          <w:lang w:bidi="ar-SA"/>
        </w:rPr>
        <mc:AlternateContent>
          <mc:Choice Requires="wps">
            <w:drawing>
              <wp:anchor distT="0" distB="0" distL="114300" distR="114300" simplePos="0" relativeHeight="252218368" behindDoc="0" locked="0" layoutInCell="1" allowOverlap="1" wp14:anchorId="026CAF34" wp14:editId="1E8A1DCF">
                <wp:simplePos x="0" y="0"/>
                <wp:positionH relativeFrom="column">
                  <wp:posOffset>1905</wp:posOffset>
                </wp:positionH>
                <wp:positionV relativeFrom="paragraph">
                  <wp:posOffset>4166173</wp:posOffset>
                </wp:positionV>
                <wp:extent cx="8195733" cy="0"/>
                <wp:effectExtent l="0" t="0" r="15240" b="19050"/>
                <wp:wrapNone/>
                <wp:docPr id="310" name="Straight Connector 310"/>
                <wp:cNvGraphicFramePr/>
                <a:graphic xmlns:a="http://schemas.openxmlformats.org/drawingml/2006/main">
                  <a:graphicData uri="http://schemas.microsoft.com/office/word/2010/wordprocessingShape">
                    <wps:wsp>
                      <wps:cNvCnPr/>
                      <wps:spPr>
                        <a:xfrm>
                          <a:off x="0" y="0"/>
                          <a:ext cx="8195733"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28.05pt" to="645.5pt,3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" strokecolor="#1b587c [3206]" strokeweight="1pt"/>
            </w:pict>
          </mc:Fallback>
        </mc:AlternateContent>
      </w:r>
      <w:r w:rsidR="002B3DC4">
        <w:rPr>
          <w:noProof/>
          <w:lang w:bidi="ar-SA"/>
        </w:rPr>
        <w:drawing>
          <wp:inline distT="0" distB="0" distL="0" distR="0" wp14:anchorId="33A63F5B" wp14:editId="0BD95689">
            <wp:extent cx="8197232" cy="3940821"/>
            <wp:effectExtent l="0" t="0" r="0" b="25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F535A" w:rsidRPr="00770036" w:rsidRDefault="002F535A" w:rsidP="008A7576">
      <w:pPr>
        <w:numPr>
          <w:ilvl w:val="0"/>
          <w:numId w:val="18"/>
        </w:numPr>
        <w:spacing w:before="0"/>
        <w:contextualSpacing/>
        <w:jc w:val="both"/>
        <w:rPr>
          <w:rFonts w:ascii="Calibri" w:eastAsia="Times New Roman" w:hAnsi="Calibri" w:cs="Times New Roman"/>
          <w:sz w:val="24"/>
          <w:szCs w:val="24"/>
        </w:rPr>
      </w:pPr>
      <w:r w:rsidRPr="00770036">
        <w:rPr>
          <w:rFonts w:ascii="Calibri" w:eastAsia="Times New Roman" w:hAnsi="Calibri" w:cs="Times New Roman"/>
          <w:sz w:val="24"/>
          <w:szCs w:val="24"/>
        </w:rPr>
        <w:t>During the 2008</w:t>
      </w:r>
      <w:r w:rsidR="009F4A43" w:rsidRPr="00770036">
        <w:rPr>
          <w:rFonts w:ascii="Calibri" w:eastAsia="Times New Roman" w:hAnsi="Calibri" w:cs="Times New Roman"/>
          <w:sz w:val="24"/>
          <w:szCs w:val="24"/>
        </w:rPr>
        <w:t>-</w:t>
      </w:r>
      <w:r w:rsidRPr="00770036">
        <w:rPr>
          <w:rFonts w:ascii="Calibri" w:eastAsia="Times New Roman" w:hAnsi="Calibri" w:cs="Times New Roman"/>
          <w:sz w:val="24"/>
          <w:szCs w:val="24"/>
        </w:rPr>
        <w:t>2012</w:t>
      </w:r>
      <w:r w:rsidR="00FC7135" w:rsidRPr="00770036">
        <w:rPr>
          <w:rFonts w:ascii="Calibri" w:eastAsia="Times New Roman" w:hAnsi="Calibri" w:cs="Times New Roman"/>
          <w:sz w:val="24"/>
          <w:szCs w:val="24"/>
        </w:rPr>
        <w:t xml:space="preserve"> </w:t>
      </w:r>
      <w:r w:rsidRPr="00770036">
        <w:rPr>
          <w:rFonts w:ascii="Calibri" w:eastAsia="Times New Roman" w:hAnsi="Calibri" w:cs="Times New Roman"/>
          <w:sz w:val="24"/>
          <w:szCs w:val="24"/>
        </w:rPr>
        <w:t>time period, lung cancer (168,545 years lost) accounted for the most years of potential life lost due to</w:t>
      </w:r>
      <w:r w:rsidR="00B06B0B">
        <w:rPr>
          <w:rFonts w:ascii="Calibri" w:eastAsia="Times New Roman" w:hAnsi="Calibri" w:cs="Times New Roman"/>
          <w:sz w:val="24"/>
          <w:szCs w:val="24"/>
        </w:rPr>
        <w:t xml:space="preserve"> a</w:t>
      </w:r>
      <w:r w:rsidRPr="00770036">
        <w:rPr>
          <w:rFonts w:ascii="Calibri" w:eastAsia="Times New Roman" w:hAnsi="Calibri" w:cs="Times New Roman"/>
          <w:sz w:val="24"/>
          <w:szCs w:val="24"/>
        </w:rPr>
        <w:t xml:space="preserve"> specific cancer site followed by breast cancer (47,070 years lost), colorectal cancer (45,360 years lost), pancreatic cancer (29,414 years lost), liver </w:t>
      </w:r>
      <w:r w:rsidR="00B06B0B">
        <w:rPr>
          <w:rFonts w:ascii="Calibri" w:eastAsia="Times New Roman" w:hAnsi="Calibri" w:cs="Times New Roman"/>
          <w:sz w:val="24"/>
          <w:szCs w:val="24"/>
        </w:rPr>
        <w:t xml:space="preserve">&amp; intrahepatic bile duct </w:t>
      </w:r>
      <w:r w:rsidRPr="00770036">
        <w:rPr>
          <w:rFonts w:ascii="Calibri" w:eastAsia="Times New Roman" w:hAnsi="Calibri" w:cs="Times New Roman"/>
          <w:sz w:val="24"/>
          <w:szCs w:val="24"/>
        </w:rPr>
        <w:t xml:space="preserve">cancer (23,462 years lost), leukemia (21,413 years lost), Non-Hodgkin (NH) lymphoma (14,707 years lost), and prostate cancer </w:t>
      </w:r>
      <w:r w:rsidR="00B06B0B">
        <w:rPr>
          <w:rFonts w:ascii="Calibri" w:eastAsia="Times New Roman" w:hAnsi="Calibri" w:cs="Times New Roman"/>
          <w:sz w:val="24"/>
          <w:szCs w:val="24"/>
        </w:rPr>
        <w:t>(</w:t>
      </w:r>
      <w:r w:rsidRPr="00770036">
        <w:rPr>
          <w:rFonts w:ascii="Calibri" w:eastAsia="Times New Roman" w:hAnsi="Calibri" w:cs="Times New Roman"/>
          <w:sz w:val="24"/>
          <w:szCs w:val="24"/>
        </w:rPr>
        <w:t>8,933 years lost</w:t>
      </w:r>
      <w:r w:rsidR="00B06B0B">
        <w:rPr>
          <w:rFonts w:ascii="Calibri" w:eastAsia="Times New Roman" w:hAnsi="Calibri" w:cs="Times New Roman"/>
          <w:sz w:val="24"/>
          <w:szCs w:val="24"/>
        </w:rPr>
        <w:t>)</w:t>
      </w:r>
      <w:r w:rsidRPr="00770036">
        <w:rPr>
          <w:rFonts w:ascii="Calibri" w:eastAsia="Times New Roman" w:hAnsi="Calibri" w:cs="Times New Roman"/>
          <w:sz w:val="24"/>
          <w:szCs w:val="24"/>
        </w:rPr>
        <w:t>.</w:t>
      </w:r>
    </w:p>
    <w:p w:rsidR="002F535A" w:rsidRPr="00770036" w:rsidRDefault="00B06B0B" w:rsidP="008A7576">
      <w:pPr>
        <w:numPr>
          <w:ilvl w:val="0"/>
          <w:numId w:val="18"/>
        </w:numPr>
        <w:spacing w:before="0"/>
        <w:contextualSpacing/>
        <w:jc w:val="both"/>
        <w:rPr>
          <w:rFonts w:ascii="Calibri" w:eastAsia="Times New Roman" w:hAnsi="Calibri" w:cs="Times New Roman"/>
          <w:sz w:val="24"/>
          <w:szCs w:val="24"/>
        </w:rPr>
      </w:pPr>
      <w:r>
        <w:rPr>
          <w:rFonts w:ascii="Calibri" w:eastAsia="Times New Roman" w:hAnsi="Calibri" w:cs="Times New Roman"/>
          <w:sz w:val="24"/>
          <w:szCs w:val="24"/>
        </w:rPr>
        <w:t xml:space="preserve">The </w:t>
      </w:r>
      <w:r w:rsidR="002F535A" w:rsidRPr="00770036">
        <w:rPr>
          <w:rFonts w:ascii="Calibri" w:eastAsia="Times New Roman" w:hAnsi="Calibri" w:cs="Times New Roman"/>
          <w:sz w:val="24"/>
          <w:szCs w:val="24"/>
        </w:rPr>
        <w:t xml:space="preserve">8 most common </w:t>
      </w:r>
      <w:r w:rsidR="00927FA5">
        <w:rPr>
          <w:rFonts w:ascii="Calibri" w:eastAsia="Times New Roman" w:hAnsi="Calibri" w:cs="Times New Roman"/>
          <w:sz w:val="24"/>
          <w:szCs w:val="24"/>
        </w:rPr>
        <w:t xml:space="preserve">causes of </w:t>
      </w:r>
      <w:r w:rsidR="002F535A" w:rsidRPr="00770036">
        <w:rPr>
          <w:rFonts w:ascii="Calibri" w:eastAsia="Times New Roman" w:hAnsi="Calibri" w:cs="Times New Roman"/>
          <w:sz w:val="24"/>
          <w:szCs w:val="24"/>
        </w:rPr>
        <w:t xml:space="preserve">cancer </w:t>
      </w:r>
      <w:r w:rsidR="00927FA5">
        <w:rPr>
          <w:rFonts w:ascii="Calibri" w:eastAsia="Times New Roman" w:hAnsi="Calibri" w:cs="Times New Roman"/>
          <w:sz w:val="24"/>
          <w:szCs w:val="24"/>
        </w:rPr>
        <w:t>death</w:t>
      </w:r>
      <w:r w:rsidR="002F535A" w:rsidRPr="00770036">
        <w:rPr>
          <w:rFonts w:ascii="Calibri" w:eastAsia="Times New Roman" w:hAnsi="Calibri" w:cs="Times New Roman"/>
          <w:sz w:val="24"/>
          <w:szCs w:val="24"/>
        </w:rPr>
        <w:t xml:space="preserve"> represented 63.8% of the total Years of Potential Life Lost from 2008 to 2012</w:t>
      </w:r>
      <w:r w:rsidR="00927FA5">
        <w:rPr>
          <w:rFonts w:ascii="Calibri" w:eastAsia="Times New Roman" w:hAnsi="Calibri" w:cs="Times New Roman"/>
          <w:sz w:val="24"/>
          <w:szCs w:val="24"/>
        </w:rPr>
        <w:t xml:space="preserve"> </w:t>
      </w:r>
      <w:r w:rsidR="002F535A" w:rsidRPr="00770036">
        <w:rPr>
          <w:rFonts w:ascii="Calibri" w:eastAsia="Times New Roman" w:hAnsi="Calibri" w:cs="Times New Roman"/>
          <w:sz w:val="24"/>
          <w:szCs w:val="24"/>
        </w:rPr>
        <w:t xml:space="preserve">cancer. </w:t>
      </w:r>
    </w:p>
    <w:p w:rsidR="0028684E" w:rsidRDefault="0028684E" w:rsidP="00770036">
      <w:r>
        <w:rPr>
          <w:noProof/>
          <w:sz w:val="22"/>
          <w:lang w:bidi="ar-SA"/>
        </w:rPr>
        <mc:AlternateContent>
          <mc:Choice Requires="wps">
            <w:drawing>
              <wp:anchor distT="0" distB="0" distL="114300" distR="114300" simplePos="0" relativeHeight="252220416" behindDoc="0" locked="0" layoutInCell="1" allowOverlap="1" wp14:anchorId="2BD97C65" wp14:editId="5185F220">
                <wp:simplePos x="0" y="0"/>
                <wp:positionH relativeFrom="column">
                  <wp:posOffset>1922</wp:posOffset>
                </wp:positionH>
                <wp:positionV relativeFrom="paragraph">
                  <wp:posOffset>9267</wp:posOffset>
                </wp:positionV>
                <wp:extent cx="8195733" cy="0"/>
                <wp:effectExtent l="0" t="0" r="15240" b="19050"/>
                <wp:wrapNone/>
                <wp:docPr id="314" name="Straight Connector 314"/>
                <wp:cNvGraphicFramePr/>
                <a:graphic xmlns:a="http://schemas.openxmlformats.org/drawingml/2006/main">
                  <a:graphicData uri="http://schemas.microsoft.com/office/word/2010/wordprocessingShape">
                    <wps:wsp>
                      <wps:cNvCnPr/>
                      <wps:spPr>
                        <a:xfrm>
                          <a:off x="0" y="0"/>
                          <a:ext cx="8195733"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5pt" to="64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" strokecolor="#1b587c [3206]" strokeweight="1pt"/>
            </w:pict>
          </mc:Fallback>
        </mc:AlternateContent>
      </w:r>
    </w:p>
    <w:p w:rsidR="00F138AE" w:rsidRDefault="0028684E" w:rsidP="00712EA0">
      <w:pPr>
        <w:pStyle w:val="NoSpacing"/>
        <w:jc w:val="right"/>
        <w:rPr>
          <w:rStyle w:val="Hyperlink"/>
        </w:rPr>
      </w:pPr>
      <w:r>
        <w:t xml:space="preserve"> </w:t>
      </w:r>
      <w:hyperlink w:anchor="_Data_Sources_1" w:history="1">
        <w:r w:rsidR="00F138AE" w:rsidRPr="00F138AE">
          <w:rPr>
            <w:rStyle w:val="Hyperlink"/>
          </w:rPr>
          <w:t>Data Source</w:t>
        </w:r>
      </w:hyperlink>
      <w:r w:rsidR="00A25A35">
        <w:rPr>
          <w:rStyle w:val="Hyperlink"/>
        </w:rPr>
        <w:t xml:space="preserve"> </w:t>
      </w:r>
    </w:p>
    <w:p w:rsidR="002F535A" w:rsidRDefault="00964E4C" w:rsidP="00712EA0">
      <w:pPr>
        <w:pStyle w:val="NoSpacing"/>
        <w:jc w:val="right"/>
        <w:rPr>
          <w:rStyle w:val="Hyperlink"/>
        </w:rPr>
      </w:pPr>
      <w:hyperlink w:anchor="_Table_4._Number" w:history="1">
        <w:r w:rsidR="002F535A" w:rsidRPr="00712EA0">
          <w:rPr>
            <w:rStyle w:val="Hyperlink"/>
          </w:rPr>
          <w:t>Data Table</w:t>
        </w:r>
      </w:hyperlink>
    </w:p>
    <w:p w:rsidR="005D107C" w:rsidRDefault="00744A80" w:rsidP="00494849">
      <w:pPr>
        <w:pStyle w:val="Heading5"/>
      </w:pPr>
      <w:r>
        <w:lastRenderedPageBreak/>
        <w:t>Years of Potential Life Lost to Cancer</w:t>
      </w:r>
      <w:r w:rsidR="00275EA8">
        <w:t>, Tennessee, 2008-2012</w:t>
      </w:r>
      <w:r>
        <w:t>, Continued</w:t>
      </w:r>
    </w:p>
    <w:p w:rsidR="005D107C" w:rsidRDefault="0028684E">
      <w:r>
        <w:rPr>
          <w:noProof/>
          <w:sz w:val="22"/>
          <w:lang w:bidi="ar-SA"/>
        </w:rPr>
        <mc:AlternateContent>
          <mc:Choice Requires="wps">
            <w:drawing>
              <wp:anchor distT="0" distB="0" distL="114300" distR="114300" simplePos="0" relativeHeight="252222464" behindDoc="0" locked="0" layoutInCell="1" allowOverlap="1" wp14:anchorId="1AA6A1C0" wp14:editId="0597FA5A">
                <wp:simplePos x="0" y="0"/>
                <wp:positionH relativeFrom="column">
                  <wp:posOffset>0</wp:posOffset>
                </wp:positionH>
                <wp:positionV relativeFrom="paragraph">
                  <wp:posOffset>4821555</wp:posOffset>
                </wp:positionV>
                <wp:extent cx="8246533" cy="0"/>
                <wp:effectExtent l="0" t="0" r="21590" b="19050"/>
                <wp:wrapNone/>
                <wp:docPr id="319" name="Straight Connector 319"/>
                <wp:cNvGraphicFramePr/>
                <a:graphic xmlns:a="http://schemas.openxmlformats.org/drawingml/2006/main">
                  <a:graphicData uri="http://schemas.microsoft.com/office/word/2010/wordprocessingShape">
                    <wps:wsp>
                      <wps:cNvCnPr/>
                      <wps:spPr>
                        <a:xfrm>
                          <a:off x="0" y="0"/>
                          <a:ext cx="8246533"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79.65pt" to="649.35pt,3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" strokecolor="#1b587c [3206]" strokeweight="1pt"/>
            </w:pict>
          </mc:Fallback>
        </mc:AlternateContent>
      </w:r>
      <w:r w:rsidR="00A0378D">
        <w:rPr>
          <w:noProof/>
          <w:lang w:bidi="ar-SA"/>
        </w:rPr>
        <w:drawing>
          <wp:inline distT="0" distB="0" distL="0" distR="0" wp14:anchorId="326BF9A1" wp14:editId="73547266">
            <wp:extent cx="8250382" cy="4634346"/>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138AE" w:rsidRPr="00770036" w:rsidRDefault="005E620E" w:rsidP="008A7576">
      <w:pPr>
        <w:pStyle w:val="ListParagraph"/>
        <w:numPr>
          <w:ilvl w:val="0"/>
          <w:numId w:val="28"/>
        </w:numPr>
        <w:jc w:val="both"/>
      </w:pPr>
      <w:r w:rsidRPr="00770036">
        <w:rPr>
          <w:noProof/>
          <w:lang w:bidi="ar-SA"/>
        </w:rPr>
        <mc:AlternateContent>
          <mc:Choice Requires="wps">
            <w:drawing>
              <wp:anchor distT="0" distB="0" distL="114300" distR="114300" simplePos="0" relativeHeight="252433408" behindDoc="0" locked="0" layoutInCell="1" allowOverlap="1" wp14:anchorId="09B595E4" wp14:editId="1643EF6C">
                <wp:simplePos x="0" y="0"/>
                <wp:positionH relativeFrom="column">
                  <wp:posOffset>1270</wp:posOffset>
                </wp:positionH>
                <wp:positionV relativeFrom="paragraph">
                  <wp:posOffset>671830</wp:posOffset>
                </wp:positionV>
                <wp:extent cx="8246110" cy="0"/>
                <wp:effectExtent l="0" t="0" r="21590" b="19050"/>
                <wp:wrapNone/>
                <wp:docPr id="364" name="Straight Connector 364"/>
                <wp:cNvGraphicFramePr/>
                <a:graphic xmlns:a="http://schemas.openxmlformats.org/drawingml/2006/main">
                  <a:graphicData uri="http://schemas.microsoft.com/office/word/2010/wordprocessingShape">
                    <wps:wsp>
                      <wps:cNvCnPr/>
                      <wps:spPr>
                        <a:xfrm>
                          <a:off x="0" y="0"/>
                          <a:ext cx="824611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4" o:spid="_x0000_s1026" style="position:absolute;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2.9pt" to="649.4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" strokecolor="#1b587c [3206]" strokeweight="1pt"/>
            </w:pict>
          </mc:Fallback>
        </mc:AlternateContent>
      </w:r>
      <w:r w:rsidR="00BC60F2" w:rsidRPr="00770036">
        <w:t>From 2008</w:t>
      </w:r>
      <w:r w:rsidR="009F4A43" w:rsidRPr="00770036">
        <w:t>-</w:t>
      </w:r>
      <w:r w:rsidR="00BC60F2" w:rsidRPr="00770036">
        <w:t xml:space="preserve">2012, of the most common cancers, breast cancer represented the highest average years of potential life lost to cancer followed by liver </w:t>
      </w:r>
      <w:r w:rsidR="00927FA5">
        <w:t xml:space="preserve">&amp; intrahepatic bile duct </w:t>
      </w:r>
      <w:r w:rsidR="00BC60F2" w:rsidRPr="00770036">
        <w:t>cancer (2nd), leukemia (3rd), lung cancer (4th), pancreatic cancer (5th), colorectal cancer (6th), Non-Hodgkin lymphoma (7th), and prostate cancer (8th).</w:t>
      </w:r>
    </w:p>
    <w:p w:rsidR="00F138AE" w:rsidRDefault="00964E4C" w:rsidP="00712EA0">
      <w:pPr>
        <w:pStyle w:val="NoSpacing"/>
        <w:jc w:val="right"/>
      </w:pPr>
      <w:hyperlink w:anchor="_Data_Sources_1" w:history="1">
        <w:r w:rsidR="00F138AE" w:rsidRPr="00F138AE">
          <w:rPr>
            <w:rStyle w:val="Hyperlink"/>
          </w:rPr>
          <w:t>Data Source</w:t>
        </w:r>
      </w:hyperlink>
      <w:r w:rsidR="00F138AE">
        <w:t xml:space="preserve"> </w:t>
      </w:r>
    </w:p>
    <w:p w:rsidR="003476CD" w:rsidRDefault="00964E4C" w:rsidP="003476CD">
      <w:pPr>
        <w:pStyle w:val="NoSpacing"/>
        <w:jc w:val="right"/>
      </w:pPr>
      <w:hyperlink w:anchor="_Table_4._Number" w:history="1">
        <w:r w:rsidR="003476CD" w:rsidRPr="00712EA0">
          <w:rPr>
            <w:rStyle w:val="Hyperlink"/>
          </w:rPr>
          <w:t>Data Table</w:t>
        </w:r>
      </w:hyperlink>
    </w:p>
    <w:p w:rsidR="003476CD" w:rsidRDefault="003476CD" w:rsidP="00712EA0">
      <w:pPr>
        <w:pStyle w:val="NoSpacing"/>
        <w:jc w:val="right"/>
      </w:pPr>
    </w:p>
    <w:p w:rsidR="00F138AE" w:rsidRDefault="00744A80" w:rsidP="00494849">
      <w:pPr>
        <w:pStyle w:val="Heading5"/>
      </w:pPr>
      <w:r>
        <w:lastRenderedPageBreak/>
        <w:t>Years of Potential Life Lost to Cancer, Tennessee, 2008-2012, Continued</w:t>
      </w:r>
    </w:p>
    <w:p w:rsidR="00211B52" w:rsidRDefault="00D94F98">
      <w:r>
        <w:rPr>
          <w:noProof/>
          <w:lang w:bidi="ar-SA"/>
        </w:rPr>
        <w:drawing>
          <wp:inline distT="0" distB="0" distL="0" distR="0" wp14:anchorId="4744C06D" wp14:editId="3396E64C">
            <wp:extent cx="8246533" cy="4064000"/>
            <wp:effectExtent l="0" t="0" r="254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28684E">
        <w:rPr>
          <w:noProof/>
          <w:sz w:val="22"/>
          <w:lang w:bidi="ar-SA"/>
        </w:rPr>
        <mc:AlternateContent>
          <mc:Choice Requires="wps">
            <w:drawing>
              <wp:anchor distT="0" distB="0" distL="114300" distR="114300" simplePos="0" relativeHeight="252226560" behindDoc="0" locked="0" layoutInCell="1" allowOverlap="1" wp14:anchorId="3F0DBD23" wp14:editId="0D1DC527">
                <wp:simplePos x="0" y="0"/>
                <wp:positionH relativeFrom="column">
                  <wp:posOffset>0</wp:posOffset>
                </wp:positionH>
                <wp:positionV relativeFrom="paragraph">
                  <wp:posOffset>4283710</wp:posOffset>
                </wp:positionV>
                <wp:extent cx="8246110" cy="0"/>
                <wp:effectExtent l="0" t="0" r="21590" b="19050"/>
                <wp:wrapNone/>
                <wp:docPr id="103" name="Straight Connector 103"/>
                <wp:cNvGraphicFramePr/>
                <a:graphic xmlns:a="http://schemas.openxmlformats.org/drawingml/2006/main">
                  <a:graphicData uri="http://schemas.microsoft.com/office/word/2010/wordprocessingShape">
                    <wps:wsp>
                      <wps:cNvCnPr/>
                      <wps:spPr>
                        <a:xfrm>
                          <a:off x="0" y="0"/>
                          <a:ext cx="824611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37.3pt" to="649.3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" strokecolor="#1b587c [3206]" strokeweight="1pt"/>
            </w:pict>
          </mc:Fallback>
        </mc:AlternateContent>
      </w:r>
    </w:p>
    <w:p w:rsidR="00BC60F2" w:rsidRPr="00770036" w:rsidRDefault="00BC60F2" w:rsidP="008A7576">
      <w:pPr>
        <w:pStyle w:val="ListParagraph"/>
        <w:numPr>
          <w:ilvl w:val="0"/>
          <w:numId w:val="28"/>
        </w:numPr>
        <w:jc w:val="both"/>
      </w:pPr>
      <w:r w:rsidRPr="00770036">
        <w:t>From 2008 to 2012, outside of the most common cancers associated with mortality</w:t>
      </w:r>
      <w:r w:rsidR="00927FA5">
        <w:t>,</w:t>
      </w:r>
      <w:r w:rsidRPr="00770036">
        <w:t xml:space="preserve"> brain</w:t>
      </w:r>
      <w:r w:rsidR="00FC1946">
        <w:t xml:space="preserve"> and other C</w:t>
      </w:r>
      <w:r w:rsidR="0031038F">
        <w:t>entral</w:t>
      </w:r>
      <w:r w:rsidR="00FC1946">
        <w:t xml:space="preserve"> Nervous System (CNS)</w:t>
      </w:r>
      <w:r w:rsidRPr="00770036">
        <w:t xml:space="preserve"> cancer</w:t>
      </w:r>
      <w:r w:rsidR="00E9765B">
        <w:t>s</w:t>
      </w:r>
      <w:r w:rsidRPr="00770036">
        <w:t xml:space="preserve"> (24,079 years lost) accounted for the most years of potential life lost due to </w:t>
      </w:r>
      <w:r w:rsidR="00927FA5">
        <w:t xml:space="preserve">a </w:t>
      </w:r>
      <w:r w:rsidRPr="00770036">
        <w:t>specific cancer site followed by esophageal cancer (14,927 years lost), ovarian cancer (12,627 years lost), kidney cancer (12,370 years lost), stomach cancer (9,763 years lost), bladder cancer (6,541 years lost), uterine cancer (6,057 years lost), and endocrine cancer including cancer of the thyroid (3,948 years lost).</w:t>
      </w:r>
    </w:p>
    <w:p w:rsidR="00211B52" w:rsidRPr="00770036" w:rsidRDefault="00E4010F" w:rsidP="008A7576">
      <w:pPr>
        <w:pStyle w:val="ListParagraph"/>
        <w:numPr>
          <w:ilvl w:val="0"/>
          <w:numId w:val="28"/>
        </w:numPr>
        <w:jc w:val="both"/>
      </w:pPr>
      <w:r w:rsidRPr="00770036">
        <w:rPr>
          <w:noProof/>
          <w:lang w:bidi="ar-SA"/>
        </w:rPr>
        <mc:AlternateContent>
          <mc:Choice Requires="wps">
            <w:drawing>
              <wp:anchor distT="0" distB="0" distL="114300" distR="114300" simplePos="0" relativeHeight="252228608" behindDoc="0" locked="0" layoutInCell="1" allowOverlap="1" wp14:anchorId="4A21300D" wp14:editId="763D361D">
                <wp:simplePos x="0" y="0"/>
                <wp:positionH relativeFrom="column">
                  <wp:posOffset>0</wp:posOffset>
                </wp:positionH>
                <wp:positionV relativeFrom="paragraph">
                  <wp:posOffset>226060</wp:posOffset>
                </wp:positionV>
                <wp:extent cx="8246110" cy="0"/>
                <wp:effectExtent l="0" t="0" r="21590" b="19050"/>
                <wp:wrapNone/>
                <wp:docPr id="107" name="Straight Connector 107"/>
                <wp:cNvGraphicFramePr/>
                <a:graphic xmlns:a="http://schemas.openxmlformats.org/drawingml/2006/main">
                  <a:graphicData uri="http://schemas.microsoft.com/office/word/2010/wordprocessingShape">
                    <wps:wsp>
                      <wps:cNvCnPr/>
                      <wps:spPr>
                        <a:xfrm>
                          <a:off x="0" y="0"/>
                          <a:ext cx="824611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8pt" to="649.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" strokecolor="#1b587c [3206]" strokeweight="1pt"/>
            </w:pict>
          </mc:Fallback>
        </mc:AlternateContent>
      </w:r>
      <w:r w:rsidR="00BC60F2" w:rsidRPr="00770036">
        <w:t>From 2008</w:t>
      </w:r>
      <w:r w:rsidR="009F4A43" w:rsidRPr="00770036">
        <w:t>-2</w:t>
      </w:r>
      <w:r w:rsidR="00BC60F2" w:rsidRPr="00770036">
        <w:t>012, the 8 cancers above accounted for 16.0% of the total Years of Potential Life Lost due to cancer.</w:t>
      </w:r>
    </w:p>
    <w:p w:rsidR="003476CD" w:rsidRDefault="00964E4C" w:rsidP="00E4010F">
      <w:pPr>
        <w:pStyle w:val="NoSpacing"/>
        <w:jc w:val="right"/>
      </w:pPr>
      <w:hyperlink w:anchor="_Data_Sources_1" w:history="1">
        <w:r w:rsidR="003476CD" w:rsidRPr="00C05252">
          <w:rPr>
            <w:rStyle w:val="Hyperlink"/>
          </w:rPr>
          <w:t>Data Source</w:t>
        </w:r>
      </w:hyperlink>
    </w:p>
    <w:p w:rsidR="00712EA0" w:rsidRPr="00E4010F" w:rsidRDefault="003476CD" w:rsidP="00E4010F">
      <w:pPr>
        <w:pStyle w:val="NoSpacing"/>
        <w:jc w:val="right"/>
      </w:pPr>
      <w:r>
        <w:t xml:space="preserve"> </w:t>
      </w:r>
      <w:hyperlink w:anchor="_Table_6._Number" w:history="1">
        <w:r w:rsidR="00712EA0" w:rsidRPr="00E4010F">
          <w:rPr>
            <w:rStyle w:val="Hyperlink"/>
          </w:rPr>
          <w:t>Data Table</w:t>
        </w:r>
      </w:hyperlink>
      <w:r w:rsidR="00B57753" w:rsidRPr="00E4010F">
        <w:t xml:space="preserve"> </w:t>
      </w:r>
    </w:p>
    <w:p w:rsidR="00211B52" w:rsidRDefault="00211B52" w:rsidP="00494849">
      <w:pPr>
        <w:pStyle w:val="Heading5"/>
      </w:pPr>
      <w:r>
        <w:lastRenderedPageBreak/>
        <w:t xml:space="preserve">  </w:t>
      </w:r>
      <w:r w:rsidR="00744A80">
        <w:t>Years of Potential Life Lost to Cancer</w:t>
      </w:r>
      <w:r w:rsidRPr="00211B52">
        <w:t>, T</w:t>
      </w:r>
      <w:r w:rsidR="00744A80">
        <w:t>ennessee</w:t>
      </w:r>
      <w:r w:rsidRPr="00211B52">
        <w:t>, 2008-2012</w:t>
      </w:r>
      <w:r w:rsidR="00E61DBA">
        <w:t>, Continued</w:t>
      </w:r>
    </w:p>
    <w:p w:rsidR="00211B52" w:rsidRDefault="00E9765B">
      <w:pPr>
        <w:rPr>
          <w:noProof/>
          <w:lang w:bidi="ar-SA"/>
        </w:rPr>
      </w:pPr>
      <w:r>
        <w:rPr>
          <w:noProof/>
          <w:sz w:val="22"/>
          <w:lang w:bidi="ar-SA"/>
        </w:rPr>
        <mc:AlternateContent>
          <mc:Choice Requires="wps">
            <w:drawing>
              <wp:anchor distT="0" distB="0" distL="114300" distR="114300" simplePos="0" relativeHeight="252230656" behindDoc="0" locked="0" layoutInCell="1" allowOverlap="1" wp14:anchorId="2551FD1C" wp14:editId="5567D757">
                <wp:simplePos x="0" y="0"/>
                <wp:positionH relativeFrom="column">
                  <wp:posOffset>0</wp:posOffset>
                </wp:positionH>
                <wp:positionV relativeFrom="paragraph">
                  <wp:posOffset>4402455</wp:posOffset>
                </wp:positionV>
                <wp:extent cx="8246110" cy="0"/>
                <wp:effectExtent l="0" t="0" r="21590" b="19050"/>
                <wp:wrapNone/>
                <wp:docPr id="110" name="Straight Connector 110"/>
                <wp:cNvGraphicFramePr/>
                <a:graphic xmlns:a="http://schemas.openxmlformats.org/drawingml/2006/main">
                  <a:graphicData uri="http://schemas.microsoft.com/office/word/2010/wordprocessingShape">
                    <wps:wsp>
                      <wps:cNvCnPr/>
                      <wps:spPr>
                        <a:xfrm>
                          <a:off x="0" y="0"/>
                          <a:ext cx="824611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6.65pt" to="649.3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" strokecolor="#1b587c [3206]" strokeweight="1pt"/>
            </w:pict>
          </mc:Fallback>
        </mc:AlternateContent>
      </w:r>
      <w:r>
        <w:rPr>
          <w:noProof/>
          <w:lang w:bidi="ar-SA"/>
        </w:rPr>
        <w:drawing>
          <wp:inline distT="0" distB="0" distL="0" distR="0" wp14:anchorId="0BBCF8FA" wp14:editId="6BA85686">
            <wp:extent cx="8246110" cy="4174067"/>
            <wp:effectExtent l="0" t="0" r="254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11B52" w:rsidRPr="00770036" w:rsidRDefault="0028684E" w:rsidP="008A7576">
      <w:pPr>
        <w:pStyle w:val="ListParagraph"/>
        <w:numPr>
          <w:ilvl w:val="0"/>
          <w:numId w:val="29"/>
        </w:numPr>
        <w:jc w:val="both"/>
      </w:pPr>
      <w:r w:rsidRPr="00770036">
        <w:rPr>
          <w:noProof/>
          <w:lang w:bidi="ar-SA"/>
        </w:rPr>
        <mc:AlternateContent>
          <mc:Choice Requires="wps">
            <w:drawing>
              <wp:anchor distT="0" distB="0" distL="114300" distR="114300" simplePos="0" relativeHeight="252232704" behindDoc="0" locked="0" layoutInCell="1" allowOverlap="1" wp14:anchorId="340C4C5D" wp14:editId="56DA6506">
                <wp:simplePos x="0" y="0"/>
                <wp:positionH relativeFrom="column">
                  <wp:posOffset>0</wp:posOffset>
                </wp:positionH>
                <wp:positionV relativeFrom="paragraph">
                  <wp:posOffset>762847</wp:posOffset>
                </wp:positionV>
                <wp:extent cx="8246110" cy="0"/>
                <wp:effectExtent l="0" t="0" r="21590" b="19050"/>
                <wp:wrapNone/>
                <wp:docPr id="112" name="Straight Connector 112"/>
                <wp:cNvGraphicFramePr/>
                <a:graphic xmlns:a="http://schemas.openxmlformats.org/drawingml/2006/main">
                  <a:graphicData uri="http://schemas.microsoft.com/office/word/2010/wordprocessingShape">
                    <wps:wsp>
                      <wps:cNvCnPr/>
                      <wps:spPr>
                        <a:xfrm>
                          <a:off x="0" y="0"/>
                          <a:ext cx="824611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0.05pt" to="649.3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" strokecolor="#1b587c [3206]" strokeweight="1pt"/>
            </w:pict>
          </mc:Fallback>
        </mc:AlternateContent>
      </w:r>
      <w:r w:rsidR="00996AC8" w:rsidRPr="00770036">
        <w:t>Outside of the most common cancers during 2008</w:t>
      </w:r>
      <w:r w:rsidR="009F4A43" w:rsidRPr="00770036">
        <w:t>-</w:t>
      </w:r>
      <w:r w:rsidR="00996AC8" w:rsidRPr="00770036">
        <w:t xml:space="preserve">2012, brain </w:t>
      </w:r>
      <w:r w:rsidR="00E9765B">
        <w:t xml:space="preserve">and other CNS </w:t>
      </w:r>
      <w:r w:rsidR="00996AC8" w:rsidRPr="00770036">
        <w:t>cancer</w:t>
      </w:r>
      <w:r w:rsidR="00E9765B">
        <w:t>s</w:t>
      </w:r>
      <w:r w:rsidR="00996AC8" w:rsidRPr="00770036">
        <w:t xml:space="preserve"> represented the highest average years of potential life lost to cancer followed cancer of the Endocrine System including thyroid cancer (2</w:t>
      </w:r>
      <w:r w:rsidR="00996AC8" w:rsidRPr="00770036">
        <w:rPr>
          <w:vertAlign w:val="superscript"/>
        </w:rPr>
        <w:t>nd</w:t>
      </w:r>
      <w:r w:rsidR="00996AC8" w:rsidRPr="00770036">
        <w:t>), cancer of the esophagus (3</w:t>
      </w:r>
      <w:r w:rsidR="00996AC8" w:rsidRPr="00770036">
        <w:rPr>
          <w:vertAlign w:val="superscript"/>
        </w:rPr>
        <w:t>rd</w:t>
      </w:r>
      <w:r w:rsidR="00996AC8" w:rsidRPr="00770036">
        <w:t>), stomach cancer (4</w:t>
      </w:r>
      <w:r w:rsidR="00996AC8" w:rsidRPr="00770036">
        <w:rPr>
          <w:vertAlign w:val="superscript"/>
        </w:rPr>
        <w:t>th</w:t>
      </w:r>
      <w:r w:rsidR="00996AC8" w:rsidRPr="00770036">
        <w:t>), and kidney cancer (5</w:t>
      </w:r>
      <w:r w:rsidR="00996AC8" w:rsidRPr="00770036">
        <w:rPr>
          <w:vertAlign w:val="superscript"/>
        </w:rPr>
        <w:t>th</w:t>
      </w:r>
      <w:r w:rsidR="00996AC8" w:rsidRPr="00770036">
        <w:t>).</w:t>
      </w:r>
    </w:p>
    <w:p w:rsidR="00C05252" w:rsidRDefault="00C05252" w:rsidP="00712EA0">
      <w:pPr>
        <w:pStyle w:val="NoSpacing"/>
        <w:jc w:val="right"/>
      </w:pPr>
    </w:p>
    <w:p w:rsidR="00BF0515" w:rsidRDefault="00964E4C" w:rsidP="00712EA0">
      <w:pPr>
        <w:pStyle w:val="NoSpacing"/>
        <w:jc w:val="right"/>
      </w:pPr>
      <w:hyperlink w:anchor="_Data_Sources_1" w:history="1">
        <w:r w:rsidR="00BF0515" w:rsidRPr="00712EA0">
          <w:rPr>
            <w:rStyle w:val="Hyperlink"/>
          </w:rPr>
          <w:t>Data Source</w:t>
        </w:r>
      </w:hyperlink>
    </w:p>
    <w:p w:rsidR="00671233" w:rsidRDefault="00C05252" w:rsidP="00712EA0">
      <w:pPr>
        <w:pStyle w:val="NoSpacing"/>
        <w:jc w:val="right"/>
      </w:pPr>
      <w:r>
        <w:t xml:space="preserve"> </w:t>
      </w:r>
      <w:hyperlink w:anchor="_Table_5._Number" w:history="1">
        <w:r w:rsidR="00712EA0" w:rsidRPr="00712EA0">
          <w:rPr>
            <w:rStyle w:val="Hyperlink"/>
          </w:rPr>
          <w:t>Data Table</w:t>
        </w:r>
      </w:hyperlink>
    </w:p>
    <w:p w:rsidR="00E9765B" w:rsidRDefault="00E9765B" w:rsidP="00712EA0">
      <w:pPr>
        <w:pStyle w:val="NoSpacing"/>
        <w:jc w:val="right"/>
        <w:rPr>
          <w:rStyle w:val="Hyperlink"/>
        </w:rPr>
      </w:pPr>
    </w:p>
    <w:p w:rsidR="00712EA0" w:rsidRDefault="00996AC8" w:rsidP="00712EA0">
      <w:pPr>
        <w:pStyle w:val="NoSpacing"/>
        <w:jc w:val="right"/>
        <w:rPr>
          <w:rStyle w:val="Hyperlink"/>
        </w:rPr>
      </w:pPr>
      <w:r>
        <w:rPr>
          <w:rStyle w:val="Hyperlink"/>
        </w:rPr>
        <w:t xml:space="preserve"> </w:t>
      </w:r>
    </w:p>
    <w:p w:rsidR="00AD1FF7" w:rsidRPr="00121F3E" w:rsidRDefault="000C699F" w:rsidP="00F37C3F">
      <w:pPr>
        <w:pStyle w:val="Heading1"/>
      </w:pPr>
      <w:bookmarkStart w:id="229" w:name="_Toc341099542"/>
      <w:bookmarkStart w:id="230" w:name="_Toc421608539"/>
      <w:bookmarkStart w:id="231" w:name="_Toc421609357"/>
      <w:bookmarkStart w:id="232" w:name="_Toc421609691"/>
      <w:bookmarkStart w:id="233" w:name="_Toc421611217"/>
      <w:bookmarkStart w:id="234" w:name="_Toc439918847"/>
      <w:r w:rsidRPr="00121F3E">
        <w:lastRenderedPageBreak/>
        <w:t>C</w:t>
      </w:r>
      <w:r w:rsidR="00AD1FF7" w:rsidRPr="00121F3E">
        <w:t xml:space="preserve">ommon </w:t>
      </w:r>
      <w:r w:rsidR="00DF4915" w:rsidRPr="00121F3E">
        <w:t>C</w:t>
      </w:r>
      <w:r w:rsidR="00AD1FF7" w:rsidRPr="00121F3E">
        <w:t>an</w:t>
      </w:r>
      <w:r w:rsidR="00DF4915" w:rsidRPr="00121F3E">
        <w:t>c</w:t>
      </w:r>
      <w:r w:rsidR="00AD1FF7" w:rsidRPr="00121F3E">
        <w:t>ers in</w:t>
      </w:r>
      <w:r w:rsidR="00617678" w:rsidRPr="00121F3E">
        <w:t xml:space="preserve"> T</w:t>
      </w:r>
      <w:r w:rsidR="004637A3" w:rsidRPr="00121F3E">
        <w:t>ennessee</w:t>
      </w:r>
      <w:r w:rsidR="0063577A" w:rsidRPr="00121F3E">
        <w:t xml:space="preserve">, </w:t>
      </w:r>
      <w:r w:rsidR="00D1325B" w:rsidRPr="00121F3E">
        <w:t>200</w:t>
      </w:r>
      <w:r w:rsidR="000816D9" w:rsidRPr="00121F3E">
        <w:t>8</w:t>
      </w:r>
      <w:r w:rsidR="00D1325B" w:rsidRPr="00121F3E">
        <w:t>-201</w:t>
      </w:r>
      <w:bookmarkEnd w:id="229"/>
      <w:r w:rsidR="000816D9" w:rsidRPr="00121F3E">
        <w:t>2</w:t>
      </w:r>
      <w:bookmarkEnd w:id="230"/>
      <w:bookmarkEnd w:id="231"/>
      <w:bookmarkEnd w:id="232"/>
      <w:bookmarkEnd w:id="233"/>
      <w:bookmarkEnd w:id="234"/>
    </w:p>
    <w:p w:rsidR="00982861" w:rsidRPr="00976CBD" w:rsidRDefault="000C699F" w:rsidP="00903E48">
      <w:pPr>
        <w:pStyle w:val="Heading2"/>
        <w:rPr>
          <w:rStyle w:val="SubtleEmphasis"/>
          <w:b w:val="0"/>
          <w:i w:val="0"/>
          <w:iCs w:val="0"/>
          <w:color w:val="30243C" w:themeColor="accent5" w:themeShade="80"/>
        </w:rPr>
      </w:pPr>
      <w:bookmarkStart w:id="235" w:name="_Toc341099543"/>
      <w:bookmarkStart w:id="236" w:name="_Toc421608540"/>
      <w:bookmarkStart w:id="237" w:name="_Toc421609358"/>
      <w:bookmarkStart w:id="238" w:name="_Toc421609692"/>
      <w:bookmarkStart w:id="239" w:name="_Toc421611218"/>
      <w:bookmarkStart w:id="240" w:name="_Toc439918848"/>
      <w:r w:rsidRPr="00976CBD">
        <w:rPr>
          <w:rStyle w:val="SubtleEmphasis"/>
          <w:b w:val="0"/>
          <w:i w:val="0"/>
          <w:iCs w:val="0"/>
          <w:color w:val="30243C" w:themeColor="accent5" w:themeShade="80"/>
        </w:rPr>
        <w:t>C</w:t>
      </w:r>
      <w:r w:rsidR="00982861" w:rsidRPr="00976CBD">
        <w:rPr>
          <w:rStyle w:val="SubtleEmphasis"/>
          <w:b w:val="0"/>
          <w:i w:val="0"/>
          <w:iCs w:val="0"/>
          <w:color w:val="30243C" w:themeColor="accent5" w:themeShade="80"/>
        </w:rPr>
        <w:t xml:space="preserve">ancer of </w:t>
      </w:r>
      <w:r w:rsidR="006E430F" w:rsidRPr="00976CBD">
        <w:rPr>
          <w:rStyle w:val="SubtleEmphasis"/>
          <w:b w:val="0"/>
          <w:i w:val="0"/>
          <w:iCs w:val="0"/>
          <w:color w:val="30243C" w:themeColor="accent5" w:themeShade="80"/>
        </w:rPr>
        <w:t>L</w:t>
      </w:r>
      <w:r w:rsidR="00982861" w:rsidRPr="00976CBD">
        <w:rPr>
          <w:rStyle w:val="SubtleEmphasis"/>
          <w:b w:val="0"/>
          <w:i w:val="0"/>
          <w:iCs w:val="0"/>
          <w:color w:val="30243C" w:themeColor="accent5" w:themeShade="80"/>
        </w:rPr>
        <w:t xml:space="preserve">ung and </w:t>
      </w:r>
      <w:r w:rsidR="006E430F" w:rsidRPr="00976CBD">
        <w:rPr>
          <w:rStyle w:val="SubtleEmphasis"/>
          <w:b w:val="0"/>
          <w:i w:val="0"/>
          <w:iCs w:val="0"/>
          <w:color w:val="30243C" w:themeColor="accent5" w:themeShade="80"/>
        </w:rPr>
        <w:t>B</w:t>
      </w:r>
      <w:r w:rsidR="00982861" w:rsidRPr="00976CBD">
        <w:rPr>
          <w:rStyle w:val="SubtleEmphasis"/>
          <w:b w:val="0"/>
          <w:i w:val="0"/>
          <w:iCs w:val="0"/>
          <w:color w:val="30243C" w:themeColor="accent5" w:themeShade="80"/>
        </w:rPr>
        <w:t>ronchus</w:t>
      </w:r>
      <w:bookmarkEnd w:id="235"/>
      <w:bookmarkEnd w:id="236"/>
      <w:bookmarkEnd w:id="237"/>
      <w:bookmarkEnd w:id="238"/>
      <w:bookmarkEnd w:id="239"/>
      <w:bookmarkEnd w:id="240"/>
    </w:p>
    <w:p w:rsidR="003F4A9F" w:rsidRDefault="00770036">
      <w:r>
        <w:rPr>
          <w:noProof/>
          <w:lang w:bidi="ar-SA"/>
        </w:rPr>
        <mc:AlternateContent>
          <mc:Choice Requires="wps">
            <w:drawing>
              <wp:anchor distT="0" distB="0" distL="114300" distR="114300" simplePos="0" relativeHeight="251769856" behindDoc="1" locked="0" layoutInCell="1" allowOverlap="1" wp14:anchorId="13627DD6" wp14:editId="44822860">
                <wp:simplePos x="0" y="0"/>
                <wp:positionH relativeFrom="margin">
                  <wp:posOffset>5033246</wp:posOffset>
                </wp:positionH>
                <wp:positionV relativeFrom="margin">
                  <wp:posOffset>665570</wp:posOffset>
                </wp:positionV>
                <wp:extent cx="3200400" cy="3163986"/>
                <wp:effectExtent l="0" t="0" r="19050" b="1778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63986"/>
                        </a:xfrm>
                        <a:prstGeom prst="rect">
                          <a:avLst/>
                        </a:prstGeom>
                        <a:solidFill>
                          <a:srgbClr val="FFFFFF"/>
                        </a:solidFill>
                        <a:ln w="9525">
                          <a:solidFill>
                            <a:schemeClr val="accent3"/>
                          </a:solidFill>
                          <a:miter lim="800000"/>
                          <a:headEnd/>
                          <a:tailEnd/>
                        </a:ln>
                      </wps:spPr>
                      <wps:txbx>
                        <w:txbxContent>
                          <w:p w:rsidR="00CF610C" w:rsidRPr="00770036" w:rsidRDefault="00CF610C" w:rsidP="00E82A92">
                            <w:pPr>
                              <w:pStyle w:val="ListParagraph"/>
                              <w:jc w:val="both"/>
                            </w:pPr>
                            <w:r w:rsidRPr="00770036">
                              <w:t>There were 28,002 cases of newly diagnosed lung cancer in 2008-2012 among Tennesseans, resulting in an age-adjusted incidence rate of 77.</w:t>
                            </w:r>
                            <w:r>
                              <w:t>9</w:t>
                            </w:r>
                            <w:r w:rsidRPr="00770036">
                              <w:t xml:space="preserve"> per 100,000.</w:t>
                            </w:r>
                          </w:p>
                          <w:p w:rsidR="00CF610C" w:rsidRPr="00770036" w:rsidRDefault="00CF610C" w:rsidP="00E82A92">
                            <w:pPr>
                              <w:pStyle w:val="ListParagraph"/>
                              <w:jc w:val="both"/>
                            </w:pPr>
                            <w:r w:rsidRPr="00770036">
                              <w:t>During the same time period, 21,661 Tennesseans died from lung cancer, with an age-adjusted mortality rate of 61.1 per 100,000.</w:t>
                            </w:r>
                          </w:p>
                          <w:p w:rsidR="00CF610C" w:rsidRPr="00770036" w:rsidRDefault="00CF610C" w:rsidP="00E82A92">
                            <w:pPr>
                              <w:pStyle w:val="ListParagraph"/>
                              <w:jc w:val="both"/>
                            </w:pPr>
                            <w:r w:rsidRPr="00770036">
                              <w:t>Males had higher incidence and mortality rates than females regardless of race.</w:t>
                            </w:r>
                          </w:p>
                          <w:p w:rsidR="00CF610C" w:rsidRPr="00770036" w:rsidRDefault="00CF610C" w:rsidP="00E82A92">
                            <w:pPr>
                              <w:pStyle w:val="ListParagraph"/>
                              <w:jc w:val="both"/>
                            </w:pPr>
                            <w:r w:rsidRPr="00770036">
                              <w:t>White females had higher incidence and mortality rates than black females, but black males had higher incidence and mortality rate than white males.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51" type="#_x0000_t202" style="position:absolute;margin-left:396.3pt;margin-top:52.4pt;width:252pt;height:249.1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" strokecolor="#1b587c [3206]">
                <v:textbox inset=",0,,0">
                  <w:txbxContent>
                    <w:p w:rsidR="00CF610C" w:rsidRPr="00770036" w:rsidRDefault="00CF610C" w:rsidP="00E82A92">
                      <w:pPr>
                        <w:pStyle w:val="ListParagraph"/>
                        <w:jc w:val="both"/>
                      </w:pPr>
                      <w:r w:rsidRPr="00770036">
                        <w:t>There were 28,002 cases of newly diagnosed lung cancer in 2008-2012 among Tennesseans, resulting in an age-adjusted incidence rate of 77.</w:t>
                      </w:r>
                      <w:r>
                        <w:t>9</w:t>
                      </w:r>
                      <w:r w:rsidRPr="00770036">
                        <w:t xml:space="preserve"> per 100,000.</w:t>
                      </w:r>
                    </w:p>
                    <w:p w:rsidR="00CF610C" w:rsidRPr="00770036" w:rsidRDefault="00CF610C" w:rsidP="00E82A92">
                      <w:pPr>
                        <w:pStyle w:val="ListParagraph"/>
                        <w:jc w:val="both"/>
                      </w:pPr>
                      <w:r w:rsidRPr="00770036">
                        <w:t>During the same time period, 21,661 Tennesseans died from lung cancer, with an age-adjusted mortality rate of 61.1 per 100,000.</w:t>
                      </w:r>
                    </w:p>
                    <w:p w:rsidR="00CF610C" w:rsidRPr="00770036" w:rsidRDefault="00CF610C" w:rsidP="00E82A92">
                      <w:pPr>
                        <w:pStyle w:val="ListParagraph"/>
                        <w:jc w:val="both"/>
                      </w:pPr>
                      <w:r w:rsidRPr="00770036">
                        <w:t>Males had higher incidence and mortality rates than females regardless of race.</w:t>
                      </w:r>
                    </w:p>
                    <w:p w:rsidR="00CF610C" w:rsidRPr="00770036" w:rsidRDefault="00CF610C" w:rsidP="00E82A92">
                      <w:pPr>
                        <w:pStyle w:val="ListParagraph"/>
                        <w:jc w:val="both"/>
                      </w:pPr>
                      <w:r w:rsidRPr="00770036">
                        <w:t>White females had higher incidence and mortality rates than black females, but black males had higher incidence and mortality rate than white males.</w:t>
                      </w:r>
                    </w:p>
                  </w:txbxContent>
                </v:textbox>
                <w10:wrap anchorx="margin" anchory="margin"/>
              </v:shape>
            </w:pict>
          </mc:Fallback>
        </mc:AlternateContent>
      </w:r>
      <w:r w:rsidR="00FF6086">
        <w:rPr>
          <w:noProof/>
          <w:lang w:bidi="ar-SA"/>
        </w:rPr>
        <w:drawing>
          <wp:inline distT="0" distB="0" distL="0" distR="0" wp14:anchorId="5053B61A" wp14:editId="367DEB5F">
            <wp:extent cx="4572000" cy="2743200"/>
            <wp:effectExtent l="0" t="0" r="0" b="0"/>
            <wp:docPr id="306" name="Chart 3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324E9" w:rsidRDefault="004324E9" w:rsidP="004324E9">
      <w:pPr>
        <w:pStyle w:val="NoSpacing"/>
      </w:pPr>
      <w:r>
        <w:rPr>
          <w:noProof/>
          <w:lang w:bidi="ar-SA"/>
        </w:rPr>
        <mc:AlternateContent>
          <mc:Choice Requires="wps">
            <w:drawing>
              <wp:anchor distT="0" distB="0" distL="114300" distR="114300" simplePos="0" relativeHeight="252013568" behindDoc="0" locked="0" layoutInCell="1" allowOverlap="1" wp14:anchorId="17BB72E2" wp14:editId="0D32F3A3">
                <wp:simplePos x="0" y="0"/>
                <wp:positionH relativeFrom="margin">
                  <wp:posOffset>5027930</wp:posOffset>
                </wp:positionH>
                <wp:positionV relativeFrom="paragraph">
                  <wp:posOffset>567055</wp:posOffset>
                </wp:positionV>
                <wp:extent cx="3200400" cy="1472750"/>
                <wp:effectExtent l="0" t="0" r="19050" b="13335"/>
                <wp:wrapNone/>
                <wp:docPr id="7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72750"/>
                        </a:xfrm>
                        <a:prstGeom prst="rect">
                          <a:avLst/>
                        </a:prstGeom>
                        <a:solidFill>
                          <a:srgbClr val="FFFFFF"/>
                        </a:solidFill>
                        <a:ln w="9525">
                          <a:solidFill>
                            <a:schemeClr val="accent3"/>
                          </a:solidFill>
                          <a:miter lim="800000"/>
                          <a:headEnd/>
                          <a:tailEnd/>
                        </a:ln>
                      </wps:spPr>
                      <wps:txbx>
                        <w:txbxContent>
                          <w:p w:rsidR="00CF610C" w:rsidRPr="00770036" w:rsidRDefault="00CF610C" w:rsidP="00E82A92">
                            <w:pPr>
                              <w:pStyle w:val="ListParagraph"/>
                              <w:jc w:val="both"/>
                            </w:pPr>
                            <w:r w:rsidRPr="00770036">
                              <w:t xml:space="preserve">Lung cancer incidence rates decreased 5.2% from 2008 to 2012 and this change was statistically significant. </w:t>
                            </w:r>
                          </w:p>
                          <w:p w:rsidR="00CF610C" w:rsidRPr="00770036" w:rsidRDefault="00CF610C" w:rsidP="00E82A92">
                            <w:pPr>
                              <w:pStyle w:val="ListParagraph"/>
                              <w:jc w:val="both"/>
                            </w:pPr>
                            <w:r w:rsidRPr="00770036">
                              <w:t xml:space="preserve">Lung cancer mortality rates decreased </w:t>
                            </w:r>
                            <w:r>
                              <w:t>8.0</w:t>
                            </w:r>
                            <w:r w:rsidRPr="00770036">
                              <w:t>% from 2008 to 2012 and this change was statistically significant.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2" type="#_x0000_t202" style="position:absolute;margin-left:395.9pt;margin-top:44.65pt;width:252pt;height:115.9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" strokecolor="#1b587c [3206]">
                <v:textbox inset=",0,,0">
                  <w:txbxContent>
                    <w:p w:rsidR="00CF610C" w:rsidRPr="00770036" w:rsidRDefault="00CF610C" w:rsidP="00E82A92">
                      <w:pPr>
                        <w:pStyle w:val="ListParagraph"/>
                        <w:jc w:val="both"/>
                      </w:pPr>
                      <w:r w:rsidRPr="00770036">
                        <w:t xml:space="preserve">Lung cancer incidence rates decreased 5.2% from 2008 to 2012 and this change was statistically significant. </w:t>
                      </w:r>
                    </w:p>
                    <w:p w:rsidR="00CF610C" w:rsidRPr="00770036" w:rsidRDefault="00CF610C" w:rsidP="00E82A92">
                      <w:pPr>
                        <w:pStyle w:val="ListParagraph"/>
                        <w:jc w:val="both"/>
                      </w:pPr>
                      <w:r w:rsidRPr="00770036">
                        <w:t xml:space="preserve">Lung cancer mortality rates decreased </w:t>
                      </w:r>
                      <w:r>
                        <w:t>8.0</w:t>
                      </w:r>
                      <w:r w:rsidRPr="00770036">
                        <w:t>% from 2008 to 2012 and this change was statistically significant.</w:t>
                      </w:r>
                    </w:p>
                  </w:txbxContent>
                </v:textbox>
                <w10:wrap anchorx="margin"/>
              </v:shape>
            </w:pict>
          </mc:Fallback>
        </mc:AlternateContent>
      </w:r>
      <w:r w:rsidR="00FF6086">
        <w:rPr>
          <w:noProof/>
          <w:lang w:bidi="ar-SA"/>
        </w:rPr>
        <w:drawing>
          <wp:inline distT="0" distB="0" distL="0" distR="0" wp14:anchorId="76B97C25" wp14:editId="44DC7FAB">
            <wp:extent cx="4572000" cy="2563091"/>
            <wp:effectExtent l="0" t="0" r="0" b="8890"/>
            <wp:docPr id="309" name="Chart 3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34E51" w:rsidRPr="00285431" w:rsidRDefault="005E61B4" w:rsidP="004324E9">
      <w:pPr>
        <w:pStyle w:val="NoSpacing"/>
        <w:jc w:val="right"/>
        <w:rPr>
          <w:rStyle w:val="Hyperlink"/>
        </w:rPr>
      </w:pPr>
      <w:r>
        <w:rPr>
          <w:noProof/>
          <w:sz w:val="22"/>
          <w:lang w:bidi="ar-SA"/>
        </w:rPr>
        <mc:AlternateContent>
          <mc:Choice Requires="wps">
            <w:drawing>
              <wp:anchor distT="0" distB="0" distL="114300" distR="114300" simplePos="0" relativeHeight="252400640" behindDoc="0" locked="0" layoutInCell="1" allowOverlap="1" wp14:anchorId="5A1A9012" wp14:editId="4815F148">
                <wp:simplePos x="0" y="0"/>
                <wp:positionH relativeFrom="column">
                  <wp:posOffset>4371</wp:posOffset>
                </wp:positionH>
                <wp:positionV relativeFrom="paragraph">
                  <wp:posOffset>379095</wp:posOffset>
                </wp:positionV>
                <wp:extent cx="8260579" cy="0"/>
                <wp:effectExtent l="0" t="0" r="26670" b="19050"/>
                <wp:wrapNone/>
                <wp:docPr id="349" name="Straight Connector 349"/>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9"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9.85pt" to="650.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" strokecolor="#1b587c [3206]" strokeweight="1pt"/>
            </w:pict>
          </mc:Fallback>
        </mc:AlternateContent>
      </w:r>
      <w:r w:rsidR="004324E9">
        <w:t xml:space="preserve"> </w:t>
      </w:r>
      <w:r w:rsidR="00285431">
        <w:fldChar w:fldCharType="begin"/>
      </w:r>
      <w:r w:rsidR="005B1536">
        <w:instrText>HYPERLINK  \l "_Data_Sources_1"</w:instrText>
      </w:r>
      <w:r w:rsidR="00285431">
        <w:fldChar w:fldCharType="separate"/>
      </w:r>
      <w:r w:rsidR="00285431" w:rsidRPr="00285431">
        <w:rPr>
          <w:rStyle w:val="Hyperlink"/>
        </w:rPr>
        <w:t xml:space="preserve">Data </w:t>
      </w:r>
      <w:r w:rsidR="00DB7FF2" w:rsidRPr="00285431">
        <w:rPr>
          <w:rStyle w:val="Hyperlink"/>
        </w:rPr>
        <w:t>Source</w:t>
      </w:r>
    </w:p>
    <w:bookmarkStart w:id="241" w:name="_Toc337647244"/>
    <w:bookmarkStart w:id="242" w:name="_Toc337647363"/>
    <w:bookmarkStart w:id="243" w:name="_Toc339960293"/>
    <w:bookmarkStart w:id="244" w:name="_Toc341097772"/>
    <w:bookmarkStart w:id="245" w:name="_Toc341099544"/>
    <w:bookmarkStart w:id="246" w:name="_Toc341175073"/>
    <w:bookmarkStart w:id="247" w:name="_Toc341175169"/>
    <w:bookmarkStart w:id="248" w:name="_Toc341175535"/>
    <w:bookmarkStart w:id="249" w:name="_Toc341175900"/>
    <w:bookmarkStart w:id="250" w:name="_Toc341180943"/>
    <w:bookmarkStart w:id="251" w:name="_Toc341261027"/>
    <w:bookmarkStart w:id="252" w:name="_Toc342638168"/>
    <w:bookmarkStart w:id="253" w:name="_Toc346002131"/>
    <w:bookmarkStart w:id="254" w:name="_Toc374006829"/>
    <w:bookmarkStart w:id="255" w:name="_Toc400634528"/>
    <w:p w:rsidR="007D6C0E" w:rsidRPr="00121F3E" w:rsidRDefault="00285431" w:rsidP="00494849">
      <w:pPr>
        <w:pStyle w:val="Heading5"/>
        <w:rPr>
          <w:rStyle w:val="SubtleEmphasis"/>
          <w:b w:val="0"/>
          <w:i w:val="0"/>
          <w:iCs w:val="0"/>
          <w:color w:val="30243C" w:themeColor="accent5" w:themeShade="80"/>
        </w:rPr>
      </w:pPr>
      <w:r>
        <w:lastRenderedPageBreak/>
        <w:fldChar w:fldCharType="end"/>
      </w:r>
      <w:r w:rsidR="000C699F" w:rsidRPr="00121F3E">
        <w:rPr>
          <w:rStyle w:val="SubtleEmphasis"/>
          <w:b w:val="0"/>
          <w:i w:val="0"/>
          <w:iCs w:val="0"/>
          <w:color w:val="30243C" w:themeColor="accent5" w:themeShade="80"/>
        </w:rPr>
        <w:t>C</w:t>
      </w:r>
      <w:r w:rsidR="00FE17E6" w:rsidRPr="00121F3E">
        <w:rPr>
          <w:rStyle w:val="SubtleEmphasis"/>
          <w:b w:val="0"/>
          <w:i w:val="0"/>
          <w:iCs w:val="0"/>
          <w:color w:val="30243C" w:themeColor="accent5" w:themeShade="80"/>
        </w:rPr>
        <w:t>ancer of L</w:t>
      </w:r>
      <w:r w:rsidR="007D6C0E" w:rsidRPr="00121F3E">
        <w:rPr>
          <w:rStyle w:val="SubtleEmphasis"/>
          <w:b w:val="0"/>
          <w:i w:val="0"/>
          <w:iCs w:val="0"/>
          <w:color w:val="30243C" w:themeColor="accent5" w:themeShade="80"/>
        </w:rPr>
        <w:t xml:space="preserve">ung and </w:t>
      </w:r>
      <w:r w:rsidR="00FE17E6" w:rsidRPr="00121F3E">
        <w:rPr>
          <w:rStyle w:val="SubtleEmphasis"/>
          <w:b w:val="0"/>
          <w:i w:val="0"/>
          <w:iCs w:val="0"/>
          <w:color w:val="30243C" w:themeColor="accent5" w:themeShade="80"/>
        </w:rPr>
        <w:t>B</w:t>
      </w:r>
      <w:r w:rsidR="007D6C0E" w:rsidRPr="00121F3E">
        <w:rPr>
          <w:rStyle w:val="SubtleEmphasis"/>
          <w:b w:val="0"/>
          <w:i w:val="0"/>
          <w:iCs w:val="0"/>
          <w:color w:val="30243C" w:themeColor="accent5" w:themeShade="80"/>
        </w:rPr>
        <w:t xml:space="preserve">ronchus </w:t>
      </w:r>
      <w:r w:rsidR="00FE17E6" w:rsidRPr="00121F3E">
        <w:rPr>
          <w:rStyle w:val="SubtleEmphasis"/>
          <w:b w:val="0"/>
          <w:i w:val="0"/>
          <w:iCs w:val="0"/>
          <w:color w:val="30243C" w:themeColor="accent5" w:themeShade="80"/>
        </w:rPr>
        <w:t>C</w:t>
      </w:r>
      <w:r w:rsidR="007D6C0E" w:rsidRPr="00121F3E">
        <w:rPr>
          <w:rStyle w:val="SubtleEmphasis"/>
          <w:b w:val="0"/>
          <w:i w:val="0"/>
          <w:iCs w:val="0"/>
          <w:color w:val="30243C" w:themeColor="accent5" w:themeShade="80"/>
        </w:rPr>
        <w:t>ontinued</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3F4A9F" w:rsidRDefault="00770036">
      <w:r>
        <w:rPr>
          <w:noProof/>
          <w:lang w:bidi="ar-SA"/>
        </w:rPr>
        <mc:AlternateContent>
          <mc:Choice Requires="wps">
            <w:drawing>
              <wp:anchor distT="0" distB="0" distL="114300" distR="114300" simplePos="0" relativeHeight="251770880" behindDoc="1" locked="0" layoutInCell="1" allowOverlap="1" wp14:anchorId="0CD642D5" wp14:editId="12CE9988">
                <wp:simplePos x="0" y="0"/>
                <wp:positionH relativeFrom="margin">
                  <wp:posOffset>4798577</wp:posOffset>
                </wp:positionH>
                <wp:positionV relativeFrom="page">
                  <wp:posOffset>1084333</wp:posOffset>
                </wp:positionV>
                <wp:extent cx="3420110" cy="2160573"/>
                <wp:effectExtent l="0" t="0" r="27940" b="11430"/>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160573"/>
                        </a:xfrm>
                        <a:prstGeom prst="rect">
                          <a:avLst/>
                        </a:prstGeom>
                        <a:solidFill>
                          <a:srgbClr val="FFFFFF"/>
                        </a:solidFill>
                        <a:ln w="9525">
                          <a:solidFill>
                            <a:schemeClr val="accent3"/>
                          </a:solidFill>
                          <a:miter lim="800000"/>
                          <a:headEnd/>
                          <a:tailEnd/>
                        </a:ln>
                      </wps:spPr>
                      <wps:txbx>
                        <w:txbxContent>
                          <w:p w:rsidR="00CF610C" w:rsidRPr="00770036" w:rsidRDefault="00CF610C" w:rsidP="00E82A92">
                            <w:pPr>
                              <w:pStyle w:val="ListParagraph"/>
                              <w:jc w:val="both"/>
                            </w:pPr>
                            <w:r w:rsidRPr="00770036">
                              <w:t>A very small proportion (0.2%) of lung cancer cases w</w:t>
                            </w:r>
                            <w:r>
                              <w:t>ere</w:t>
                            </w:r>
                            <w:r w:rsidRPr="00770036">
                              <w:t xml:space="preserve"> diagnosed at the in situ stage.</w:t>
                            </w:r>
                          </w:p>
                          <w:p w:rsidR="00CF610C" w:rsidRPr="00770036" w:rsidRDefault="00CF610C" w:rsidP="00E82A92">
                            <w:pPr>
                              <w:pStyle w:val="ListParagraph"/>
                              <w:jc w:val="both"/>
                            </w:pPr>
                            <w:r w:rsidRPr="00770036">
                              <w:t>One in five cases (20.0%) was diagnosed at the localized stage.</w:t>
                            </w:r>
                          </w:p>
                          <w:p w:rsidR="00CF610C" w:rsidRPr="00770036" w:rsidRDefault="00CF610C" w:rsidP="00E82A92">
                            <w:pPr>
                              <w:pStyle w:val="ListParagraph"/>
                              <w:jc w:val="both"/>
                            </w:pPr>
                            <w:r w:rsidRPr="00770036">
                              <w:t>About one in four (24.3%) was diagnosed at the regional stage.</w:t>
                            </w:r>
                          </w:p>
                          <w:p w:rsidR="00CF610C" w:rsidRPr="00770036" w:rsidRDefault="00CF610C" w:rsidP="00E82A92">
                            <w:pPr>
                              <w:pStyle w:val="ListParagraph"/>
                              <w:jc w:val="both"/>
                            </w:pPr>
                            <w:r w:rsidRPr="00770036">
                              <w:t>Almost half of new cases (46.6%) were diagnosed at the distant stage.</w:t>
                            </w:r>
                          </w:p>
                          <w:p w:rsidR="00CF610C" w:rsidRPr="00770036" w:rsidRDefault="00CF610C" w:rsidP="00E82A92">
                            <w:pPr>
                              <w:pStyle w:val="ListParagraph"/>
                              <w:jc w:val="both"/>
                            </w:pPr>
                            <w:r w:rsidRPr="00770036">
                              <w:t>9.0% of cases had unknown stage information.</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53" type="#_x0000_t202" style="position:absolute;margin-left:377.85pt;margin-top:85.4pt;width:269.3pt;height:170.1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" strokecolor="#1b587c [3206]">
                <v:textbox inset=",0,,0">
                  <w:txbxContent>
                    <w:p w:rsidR="00CF610C" w:rsidRPr="00770036" w:rsidRDefault="00CF610C" w:rsidP="00E82A92">
                      <w:pPr>
                        <w:pStyle w:val="ListParagraph"/>
                        <w:jc w:val="both"/>
                      </w:pPr>
                      <w:r w:rsidRPr="00770036">
                        <w:t>A very small proportion (0.2%) of lung cancer cases w</w:t>
                      </w:r>
                      <w:r>
                        <w:t>ere</w:t>
                      </w:r>
                      <w:r w:rsidRPr="00770036">
                        <w:t xml:space="preserve"> diagnosed at the in situ stage.</w:t>
                      </w:r>
                    </w:p>
                    <w:p w:rsidR="00CF610C" w:rsidRPr="00770036" w:rsidRDefault="00CF610C" w:rsidP="00E82A92">
                      <w:pPr>
                        <w:pStyle w:val="ListParagraph"/>
                        <w:jc w:val="both"/>
                      </w:pPr>
                      <w:r w:rsidRPr="00770036">
                        <w:t>One in five cases (20.0%) was diagnosed at the localized stage.</w:t>
                      </w:r>
                    </w:p>
                    <w:p w:rsidR="00CF610C" w:rsidRPr="00770036" w:rsidRDefault="00CF610C" w:rsidP="00E82A92">
                      <w:pPr>
                        <w:pStyle w:val="ListParagraph"/>
                        <w:jc w:val="both"/>
                      </w:pPr>
                      <w:r w:rsidRPr="00770036">
                        <w:t>About one in four (24.3%) was diagnosed at the regional stage.</w:t>
                      </w:r>
                    </w:p>
                    <w:p w:rsidR="00CF610C" w:rsidRPr="00770036" w:rsidRDefault="00CF610C" w:rsidP="00E82A92">
                      <w:pPr>
                        <w:pStyle w:val="ListParagraph"/>
                        <w:jc w:val="both"/>
                      </w:pPr>
                      <w:r w:rsidRPr="00770036">
                        <w:t>Almost half of new cases (46.6%) were diagnosed at the distant stage.</w:t>
                      </w:r>
                    </w:p>
                    <w:p w:rsidR="00CF610C" w:rsidRPr="00770036" w:rsidRDefault="00CF610C" w:rsidP="00E82A92">
                      <w:pPr>
                        <w:pStyle w:val="ListParagraph"/>
                        <w:jc w:val="both"/>
                      </w:pPr>
                      <w:r w:rsidRPr="00770036">
                        <w:t>9.0% of cases had unknown stage information.</w:t>
                      </w:r>
                    </w:p>
                  </w:txbxContent>
                </v:textbox>
                <w10:wrap anchorx="margin" anchory="page"/>
              </v:shape>
            </w:pict>
          </mc:Fallback>
        </mc:AlternateContent>
      </w:r>
      <w:r w:rsidR="00B6399F">
        <w:rPr>
          <w:noProof/>
          <w:lang w:bidi="ar-SA"/>
        </w:rPr>
        <w:drawing>
          <wp:inline distT="0" distB="0" distL="0" distR="0" wp14:anchorId="1AE4BA12" wp14:editId="53C2F8D7">
            <wp:extent cx="4562856" cy="2779776"/>
            <wp:effectExtent l="38100" t="0" r="28575" b="1905"/>
            <wp:docPr id="311" name="Chart 3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F4A9F" w:rsidRDefault="00770036">
      <w:r>
        <w:rPr>
          <w:noProof/>
          <w:lang w:bidi="ar-SA"/>
        </w:rPr>
        <mc:AlternateContent>
          <mc:Choice Requires="wps">
            <w:drawing>
              <wp:anchor distT="0" distB="0" distL="114300" distR="114300" simplePos="0" relativeHeight="251771904" behindDoc="1" locked="0" layoutInCell="1" allowOverlap="1" wp14:anchorId="79D121B3" wp14:editId="6706C8CF">
                <wp:simplePos x="0" y="0"/>
                <wp:positionH relativeFrom="margin">
                  <wp:posOffset>4798577</wp:posOffset>
                </wp:positionH>
                <wp:positionV relativeFrom="page">
                  <wp:posOffset>4054110</wp:posOffset>
                </wp:positionV>
                <wp:extent cx="3420110" cy="2443794"/>
                <wp:effectExtent l="0" t="0" r="27940" b="1397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443794"/>
                        </a:xfrm>
                        <a:prstGeom prst="rect">
                          <a:avLst/>
                        </a:prstGeom>
                        <a:solidFill>
                          <a:srgbClr val="FFFFFF"/>
                        </a:solidFill>
                        <a:ln w="9525">
                          <a:solidFill>
                            <a:schemeClr val="accent3"/>
                          </a:solidFill>
                          <a:miter lim="800000"/>
                          <a:headEnd/>
                          <a:tailEnd/>
                        </a:ln>
                      </wps:spPr>
                      <wps:txbx>
                        <w:txbxContent>
                          <w:p w:rsidR="00CF610C" w:rsidRPr="00770036" w:rsidRDefault="00CF610C" w:rsidP="00E82A92">
                            <w:pPr>
                              <w:pStyle w:val="ListParagraph"/>
                              <w:jc w:val="both"/>
                            </w:pPr>
                            <w:r w:rsidRPr="00770036">
                              <w:t>Among cases with known stage information, three out of four (77.9%) were diagnosed at either the regional or distant stage, i.e., late stages.</w:t>
                            </w:r>
                          </w:p>
                          <w:p w:rsidR="00CF610C" w:rsidRPr="00770036" w:rsidRDefault="00CF610C" w:rsidP="00E82A92">
                            <w:pPr>
                              <w:pStyle w:val="ListParagraph"/>
                              <w:jc w:val="both"/>
                            </w:pPr>
                            <w:r w:rsidRPr="00770036">
                              <w:t>Black patients had a higher proportion (81.3%) of cases diagnosed at late stages than white patients (77.4%), and this difference was statistically significant.</w:t>
                            </w:r>
                          </w:p>
                          <w:p w:rsidR="00CF610C" w:rsidRPr="00770036" w:rsidRDefault="00CF610C" w:rsidP="00E82A92">
                            <w:pPr>
                              <w:pStyle w:val="ListParagraph"/>
                              <w:jc w:val="both"/>
                            </w:pPr>
                            <w:r w:rsidRPr="00770036">
                              <w:t xml:space="preserve">More information on lung cancer can be found at the </w:t>
                            </w:r>
                            <w:hyperlink r:id="rId79" w:history="1">
                              <w:r w:rsidRPr="00770036">
                                <w:rPr>
                                  <w:rStyle w:val="Hyperlink"/>
                                </w:rPr>
                                <w:t>American Cancer Society</w:t>
                              </w:r>
                            </w:hyperlink>
                            <w:r w:rsidRPr="00770036">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54" type="#_x0000_t202" style="position:absolute;margin-left:377.85pt;margin-top:319.2pt;width:269.3pt;height:192.4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" strokecolor="#1b587c [3206]">
                <v:textbox inset=",0,,0">
                  <w:txbxContent>
                    <w:p w:rsidR="00CF610C" w:rsidRPr="00770036" w:rsidRDefault="00CF610C" w:rsidP="00E82A92">
                      <w:pPr>
                        <w:pStyle w:val="ListParagraph"/>
                        <w:jc w:val="both"/>
                      </w:pPr>
                      <w:r w:rsidRPr="00770036">
                        <w:t>Among cases with known stage information, three out of four (77.9%) were diagnosed at either the regional or distant stage, i.e., late stages.</w:t>
                      </w:r>
                    </w:p>
                    <w:p w:rsidR="00CF610C" w:rsidRPr="00770036" w:rsidRDefault="00CF610C" w:rsidP="00E82A92">
                      <w:pPr>
                        <w:pStyle w:val="ListParagraph"/>
                        <w:jc w:val="both"/>
                      </w:pPr>
                      <w:r w:rsidRPr="00770036">
                        <w:t>Black patients had a higher proportion (81.3%) of cases diagnosed at late stages than white patients (77.4%), and this difference was statistically significant.</w:t>
                      </w:r>
                    </w:p>
                    <w:p w:rsidR="00CF610C" w:rsidRPr="00770036" w:rsidRDefault="00CF610C" w:rsidP="00E82A92">
                      <w:pPr>
                        <w:pStyle w:val="ListParagraph"/>
                        <w:jc w:val="both"/>
                      </w:pPr>
                      <w:r w:rsidRPr="00770036">
                        <w:t xml:space="preserve">More information on lung cancer can be found at the </w:t>
                      </w:r>
                      <w:hyperlink r:id="rId80" w:history="1">
                        <w:r w:rsidRPr="00770036">
                          <w:rPr>
                            <w:rStyle w:val="Hyperlink"/>
                          </w:rPr>
                          <w:t>American Cancer Society</w:t>
                        </w:r>
                      </w:hyperlink>
                      <w:r w:rsidRPr="00770036">
                        <w:t xml:space="preserve">. </w:t>
                      </w:r>
                    </w:p>
                  </w:txbxContent>
                </v:textbox>
                <w10:wrap anchorx="margin" anchory="page"/>
              </v:shape>
            </w:pict>
          </mc:Fallback>
        </mc:AlternateContent>
      </w:r>
      <w:r w:rsidR="00B6399F">
        <w:rPr>
          <w:noProof/>
          <w:lang w:bidi="ar-SA"/>
        </w:rPr>
        <w:drawing>
          <wp:inline distT="0" distB="0" distL="0" distR="0" wp14:anchorId="0A52A5EA" wp14:editId="1FB3A706">
            <wp:extent cx="4562856" cy="2779776"/>
            <wp:effectExtent l="0" t="0" r="0" b="1905"/>
            <wp:docPr id="312" name="Chart 3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A383A" w:rsidRPr="004324E9" w:rsidRDefault="005E61B4" w:rsidP="007F6A46">
      <w:pPr>
        <w:jc w:val="right"/>
        <w:rPr>
          <w:rStyle w:val="Hyperlink"/>
          <w:szCs w:val="26"/>
        </w:rPr>
      </w:pPr>
      <w:r>
        <w:rPr>
          <w:noProof/>
          <w:sz w:val="22"/>
          <w:lang w:bidi="ar-SA"/>
        </w:rPr>
        <mc:AlternateContent>
          <mc:Choice Requires="wps">
            <w:drawing>
              <wp:anchor distT="0" distB="0" distL="114300" distR="114300" simplePos="0" relativeHeight="252402688" behindDoc="0" locked="0" layoutInCell="1" allowOverlap="1" wp14:anchorId="4A1B60AE" wp14:editId="1758C257">
                <wp:simplePos x="0" y="0"/>
                <wp:positionH relativeFrom="column">
                  <wp:posOffset>4020</wp:posOffset>
                </wp:positionH>
                <wp:positionV relativeFrom="paragraph">
                  <wp:posOffset>201831</wp:posOffset>
                </wp:positionV>
                <wp:extent cx="8260579" cy="0"/>
                <wp:effectExtent l="0" t="0" r="26670" b="19050"/>
                <wp:wrapNone/>
                <wp:docPr id="350" name="Straight Connector 350"/>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0" o:spid="_x0000_s1026" style="position:absolute;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9pt" to="650.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" strokecolor="#1b587c [3206]" strokeweight="1pt"/>
            </w:pict>
          </mc:Fallback>
        </mc:AlternateContent>
      </w:r>
      <w:r w:rsidR="00285431" w:rsidRPr="004324E9">
        <w:rPr>
          <w:szCs w:val="26"/>
        </w:rPr>
        <w:fldChar w:fldCharType="begin"/>
      </w:r>
      <w:r w:rsidR="005B1536" w:rsidRPr="004324E9">
        <w:rPr>
          <w:szCs w:val="26"/>
        </w:rPr>
        <w:instrText>HYPERLINK  \l "_Data_Sources_1"</w:instrText>
      </w:r>
      <w:r w:rsidR="00285431" w:rsidRPr="004324E9">
        <w:rPr>
          <w:szCs w:val="26"/>
        </w:rPr>
        <w:fldChar w:fldCharType="separate"/>
      </w:r>
      <w:r w:rsidR="00285431" w:rsidRPr="004324E9">
        <w:rPr>
          <w:rStyle w:val="Hyperlink"/>
          <w:szCs w:val="26"/>
        </w:rPr>
        <w:t xml:space="preserve">Data </w:t>
      </w:r>
      <w:r w:rsidR="007F6A46" w:rsidRPr="004324E9">
        <w:rPr>
          <w:rStyle w:val="Hyperlink"/>
          <w:szCs w:val="26"/>
        </w:rPr>
        <w:t>Source</w:t>
      </w:r>
    </w:p>
    <w:bookmarkStart w:id="256" w:name="_Cancer_of_Prostate"/>
    <w:bookmarkStart w:id="257" w:name="_Toc341099545"/>
    <w:bookmarkEnd w:id="256"/>
    <w:p w:rsidR="00CF0728" w:rsidRPr="00976CBD" w:rsidRDefault="00285431" w:rsidP="00903E48">
      <w:pPr>
        <w:pStyle w:val="Heading2"/>
        <w:rPr>
          <w:rStyle w:val="SubtleEmphasis"/>
          <w:b w:val="0"/>
          <w:i w:val="0"/>
          <w:iCs w:val="0"/>
          <w:color w:val="30243C" w:themeColor="accent5" w:themeShade="80"/>
        </w:rPr>
      </w:pPr>
      <w:r w:rsidRPr="004324E9">
        <w:rPr>
          <w:rFonts w:asciiTheme="minorHAnsi" w:hAnsiTheme="minorHAnsi"/>
          <w:color w:val="auto"/>
          <w:spacing w:val="0"/>
          <w:sz w:val="20"/>
        </w:rPr>
        <w:lastRenderedPageBreak/>
        <w:fldChar w:fldCharType="end"/>
      </w:r>
      <w:bookmarkStart w:id="258" w:name="_Toc421608541"/>
      <w:bookmarkStart w:id="259" w:name="_Toc421609359"/>
      <w:bookmarkStart w:id="260" w:name="_Toc421609693"/>
      <w:bookmarkStart w:id="261" w:name="_Toc421611219"/>
      <w:bookmarkStart w:id="262" w:name="_Toc439918849"/>
      <w:r w:rsidR="000C699F" w:rsidRPr="00976CBD">
        <w:rPr>
          <w:rStyle w:val="SubtleEmphasis"/>
          <w:b w:val="0"/>
          <w:i w:val="0"/>
          <w:iCs w:val="0"/>
          <w:color w:val="30243C" w:themeColor="accent5" w:themeShade="80"/>
        </w:rPr>
        <w:t>C</w:t>
      </w:r>
      <w:r w:rsidR="00CF0728" w:rsidRPr="00976CBD">
        <w:rPr>
          <w:rStyle w:val="SubtleEmphasis"/>
          <w:b w:val="0"/>
          <w:i w:val="0"/>
          <w:iCs w:val="0"/>
          <w:color w:val="30243C" w:themeColor="accent5" w:themeShade="80"/>
        </w:rPr>
        <w:t xml:space="preserve">ancer </w:t>
      </w:r>
      <w:r w:rsidR="00283B3D" w:rsidRPr="00976CBD">
        <w:rPr>
          <w:rStyle w:val="SubtleEmphasis"/>
          <w:b w:val="0"/>
          <w:i w:val="0"/>
          <w:iCs w:val="0"/>
          <w:color w:val="30243C" w:themeColor="accent5" w:themeShade="80"/>
        </w:rPr>
        <w:t xml:space="preserve">of </w:t>
      </w:r>
      <w:r w:rsidR="006E430F" w:rsidRPr="00976CBD">
        <w:rPr>
          <w:rStyle w:val="SubtleEmphasis"/>
          <w:b w:val="0"/>
          <w:i w:val="0"/>
          <w:iCs w:val="0"/>
          <w:color w:val="30243C" w:themeColor="accent5" w:themeShade="80"/>
        </w:rPr>
        <w:t>P</w:t>
      </w:r>
      <w:r w:rsidR="00283B3D" w:rsidRPr="00976CBD">
        <w:rPr>
          <w:rStyle w:val="SubtleEmphasis"/>
          <w:b w:val="0"/>
          <w:i w:val="0"/>
          <w:iCs w:val="0"/>
          <w:color w:val="30243C" w:themeColor="accent5" w:themeShade="80"/>
        </w:rPr>
        <w:t>rostate</w:t>
      </w:r>
      <w:bookmarkEnd w:id="257"/>
      <w:bookmarkEnd w:id="258"/>
      <w:bookmarkEnd w:id="259"/>
      <w:bookmarkEnd w:id="260"/>
      <w:bookmarkEnd w:id="261"/>
      <w:bookmarkEnd w:id="262"/>
    </w:p>
    <w:p w:rsidR="003F4A9F" w:rsidRDefault="00770036">
      <w:r>
        <w:rPr>
          <w:noProof/>
          <w:lang w:bidi="ar-SA"/>
        </w:rPr>
        <mc:AlternateContent>
          <mc:Choice Requires="wps">
            <w:drawing>
              <wp:anchor distT="0" distB="0" distL="114300" distR="114300" simplePos="0" relativeHeight="251773952" behindDoc="1" locked="0" layoutInCell="1" allowOverlap="1" wp14:anchorId="43242FE3" wp14:editId="5E4DFEB7">
                <wp:simplePos x="0" y="0"/>
                <wp:positionH relativeFrom="margin">
                  <wp:posOffset>4927600</wp:posOffset>
                </wp:positionH>
                <wp:positionV relativeFrom="page">
                  <wp:posOffset>1156335</wp:posOffset>
                </wp:positionV>
                <wp:extent cx="3200400" cy="3308985"/>
                <wp:effectExtent l="0" t="0" r="19050" b="24765"/>
                <wp:wrapNone/>
                <wp:docPr id="6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08985"/>
                        </a:xfrm>
                        <a:prstGeom prst="rect">
                          <a:avLst/>
                        </a:prstGeom>
                        <a:solidFill>
                          <a:srgbClr val="FFFFFF"/>
                        </a:solidFill>
                        <a:ln w="9525">
                          <a:solidFill>
                            <a:schemeClr val="accent3"/>
                          </a:solidFill>
                          <a:miter lim="800000"/>
                          <a:headEnd/>
                          <a:tailEnd/>
                        </a:ln>
                      </wps:spPr>
                      <wps:txbx>
                        <w:txbxContent>
                          <w:p w:rsidR="00CF610C" w:rsidRPr="00770036" w:rsidRDefault="00CF610C" w:rsidP="00E82A92">
                            <w:pPr>
                              <w:pStyle w:val="ListParagraph"/>
                              <w:jc w:val="both"/>
                            </w:pPr>
                            <w:r w:rsidRPr="00770036">
                              <w:t>A total of 22,9</w:t>
                            </w:r>
                            <w:r>
                              <w:t>70</w:t>
                            </w:r>
                            <w:r w:rsidRPr="00770036">
                              <w:t xml:space="preserve"> newly diagnosed prostate cancer cases were reported among Tennessee men from 2008 to 2012, resulting in an age-adjusted incidence rate of </w:t>
                            </w:r>
                            <w:r>
                              <w:t>135.7</w:t>
                            </w:r>
                            <w:r w:rsidRPr="00770036">
                              <w:t xml:space="preserve"> per 100,000.</w:t>
                            </w:r>
                          </w:p>
                          <w:p w:rsidR="00CF610C" w:rsidRPr="00770036" w:rsidRDefault="00CF610C" w:rsidP="00E82A92">
                            <w:pPr>
                              <w:pStyle w:val="ListParagraph"/>
                              <w:jc w:val="both"/>
                            </w:pPr>
                            <w:r w:rsidRPr="00770036">
                              <w:t>During the same time period, 2,871 prostate cancer deaths were reported, giving an age-adjusted mortality rate of 22.5 per 100,000.</w:t>
                            </w:r>
                          </w:p>
                          <w:p w:rsidR="00CF610C" w:rsidRPr="00770036" w:rsidRDefault="00CF610C" w:rsidP="00E82A92">
                            <w:pPr>
                              <w:pStyle w:val="ListParagraph"/>
                              <w:jc w:val="both"/>
                            </w:pPr>
                            <w:r w:rsidRPr="00770036">
                              <w:t>The mortality-to-incidence ratio for prostate cancer was 0.17 (</w:t>
                            </w:r>
                            <w:hyperlink w:anchor="Appendix II. Continued" w:history="1">
                              <w:r w:rsidRPr="00770036">
                                <w:rPr>
                                  <w:rStyle w:val="Hyperlink"/>
                                </w:rPr>
                                <w:t>see Appendix II</w:t>
                              </w:r>
                            </w:hyperlink>
                            <w:r w:rsidRPr="00770036">
                              <w:t>), making it the 2</w:t>
                            </w:r>
                            <w:r w:rsidRPr="00770036">
                              <w:rPr>
                                <w:vertAlign w:val="superscript"/>
                              </w:rPr>
                              <w:t>nd</w:t>
                            </w:r>
                            <w:r w:rsidRPr="00770036">
                              <w:t xml:space="preserve"> least deadly cancer among the 10 most common cancers.</w:t>
                            </w:r>
                          </w:p>
                          <w:p w:rsidR="00CF610C" w:rsidRPr="00770036" w:rsidRDefault="00CF610C" w:rsidP="00E82A92">
                            <w:pPr>
                              <w:pStyle w:val="ListParagraph"/>
                              <w:jc w:val="both"/>
                            </w:pPr>
                            <w:r w:rsidRPr="00770036">
                              <w:t>Black men had higher incidence and mortality rates than white men.</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55" type="#_x0000_t202" style="position:absolute;margin-left:388pt;margin-top:91.05pt;width:252pt;height:260.5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" strokecolor="#1b587c [3206]">
                <v:textbox inset=",0,,0">
                  <w:txbxContent>
                    <w:p w:rsidR="00CF610C" w:rsidRPr="00770036" w:rsidRDefault="00CF610C" w:rsidP="00E82A92">
                      <w:pPr>
                        <w:pStyle w:val="ListParagraph"/>
                        <w:jc w:val="both"/>
                      </w:pPr>
                      <w:r w:rsidRPr="00770036">
                        <w:t>A total of 22,9</w:t>
                      </w:r>
                      <w:r>
                        <w:t>70</w:t>
                      </w:r>
                      <w:r w:rsidRPr="00770036">
                        <w:t xml:space="preserve"> newly diagnosed prostate cancer cases were reported among Tennessee men from 2008 to 2012, resulting in an age-adjusted incidence rate of </w:t>
                      </w:r>
                      <w:r>
                        <w:t>135.7</w:t>
                      </w:r>
                      <w:r w:rsidRPr="00770036">
                        <w:t xml:space="preserve"> per 100,000.</w:t>
                      </w:r>
                    </w:p>
                    <w:p w:rsidR="00CF610C" w:rsidRPr="00770036" w:rsidRDefault="00CF610C" w:rsidP="00E82A92">
                      <w:pPr>
                        <w:pStyle w:val="ListParagraph"/>
                        <w:jc w:val="both"/>
                      </w:pPr>
                      <w:r w:rsidRPr="00770036">
                        <w:t>During the same time period, 2,871 prostate cancer deaths were reported, giving an age-adjusted mortality rate of 22.5 per 100,000.</w:t>
                      </w:r>
                    </w:p>
                    <w:p w:rsidR="00CF610C" w:rsidRPr="00770036" w:rsidRDefault="00CF610C" w:rsidP="00E82A92">
                      <w:pPr>
                        <w:pStyle w:val="ListParagraph"/>
                        <w:jc w:val="both"/>
                      </w:pPr>
                      <w:r w:rsidRPr="00770036">
                        <w:t>The mortality-to-incidence ratio for prostate cancer was 0.17 (</w:t>
                      </w:r>
                      <w:hyperlink w:anchor="Appendix II. Continued" w:history="1">
                        <w:r w:rsidRPr="00770036">
                          <w:rPr>
                            <w:rStyle w:val="Hyperlink"/>
                          </w:rPr>
                          <w:t>see Appendix II</w:t>
                        </w:r>
                      </w:hyperlink>
                      <w:r w:rsidRPr="00770036">
                        <w:t>), making it the 2</w:t>
                      </w:r>
                      <w:r w:rsidRPr="00770036">
                        <w:rPr>
                          <w:vertAlign w:val="superscript"/>
                        </w:rPr>
                        <w:t>nd</w:t>
                      </w:r>
                      <w:r w:rsidRPr="00770036">
                        <w:t xml:space="preserve"> least deadly cancer among the 10 most common cancers.</w:t>
                      </w:r>
                    </w:p>
                    <w:p w:rsidR="00CF610C" w:rsidRPr="00770036" w:rsidRDefault="00CF610C" w:rsidP="00E82A92">
                      <w:pPr>
                        <w:pStyle w:val="ListParagraph"/>
                        <w:jc w:val="both"/>
                      </w:pPr>
                      <w:r w:rsidRPr="00770036">
                        <w:t>Black men had higher incidence and mortality rates than white men.</w:t>
                      </w:r>
                    </w:p>
                  </w:txbxContent>
                </v:textbox>
                <w10:wrap anchorx="margin" anchory="page"/>
              </v:shape>
            </w:pict>
          </mc:Fallback>
        </mc:AlternateContent>
      </w:r>
      <w:r w:rsidR="00325CAD">
        <w:rPr>
          <w:noProof/>
          <w:lang w:bidi="ar-SA"/>
        </w:rPr>
        <w:drawing>
          <wp:inline distT="0" distB="0" distL="0" distR="0" wp14:anchorId="713197DB" wp14:editId="169BA38C">
            <wp:extent cx="4581144" cy="2807208"/>
            <wp:effectExtent l="0" t="0" r="0" b="0"/>
            <wp:docPr id="313" name="Chart 3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24A90" w:rsidRDefault="00D24A90" w:rsidP="00D24A90">
      <w:pPr>
        <w:sectPr w:rsidR="00D24A90" w:rsidSect="00F2283B">
          <w:pgSz w:w="15840" w:h="12240" w:orient="landscape"/>
          <w:pgMar w:top="1080" w:right="1440" w:bottom="1080" w:left="1440" w:header="720" w:footer="144" w:gutter="0"/>
          <w:pgNumType w:fmt="numberInDash"/>
          <w:cols w:space="720"/>
          <w:docGrid w:linePitch="360"/>
        </w:sectPr>
      </w:pPr>
      <w:r>
        <w:rPr>
          <w:noProof/>
          <w:lang w:bidi="ar-SA"/>
        </w:rPr>
        <mc:AlternateContent>
          <mc:Choice Requires="wps">
            <w:drawing>
              <wp:anchor distT="0" distB="0" distL="114300" distR="114300" simplePos="0" relativeHeight="252138496" behindDoc="0" locked="0" layoutInCell="1" allowOverlap="1" wp14:anchorId="6BDDF66B" wp14:editId="3D43486E">
                <wp:simplePos x="0" y="0"/>
                <wp:positionH relativeFrom="column">
                  <wp:posOffset>4927600</wp:posOffset>
                </wp:positionH>
                <wp:positionV relativeFrom="paragraph">
                  <wp:posOffset>871433</wp:posOffset>
                </wp:positionV>
                <wp:extent cx="3200400" cy="1528868"/>
                <wp:effectExtent l="0" t="0" r="19050"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28868"/>
                        </a:xfrm>
                        <a:prstGeom prst="rect">
                          <a:avLst/>
                        </a:prstGeom>
                        <a:solidFill>
                          <a:srgbClr val="FFFFFF"/>
                        </a:solidFill>
                        <a:ln w="9525">
                          <a:solidFill>
                            <a:schemeClr val="accent3"/>
                          </a:solidFill>
                          <a:miter lim="800000"/>
                          <a:headEnd/>
                          <a:tailEnd/>
                        </a:ln>
                      </wps:spPr>
                      <wps:txbx>
                        <w:txbxContent>
                          <w:p w:rsidR="00CF610C" w:rsidRPr="00770036" w:rsidRDefault="00CF610C" w:rsidP="008A7576">
                            <w:pPr>
                              <w:pStyle w:val="ListParagraph"/>
                              <w:numPr>
                                <w:ilvl w:val="0"/>
                                <w:numId w:val="16"/>
                              </w:numPr>
                              <w:jc w:val="both"/>
                            </w:pPr>
                            <w:r w:rsidRPr="00770036">
                              <w:t>The prostate cancer incidence rate decreased by 25.2% from 2008 to 2012, and this change was statistically significant.</w:t>
                            </w:r>
                          </w:p>
                          <w:p w:rsidR="00CF610C" w:rsidRPr="00770036" w:rsidRDefault="00CF610C" w:rsidP="008A7576">
                            <w:pPr>
                              <w:pStyle w:val="ListParagraph"/>
                              <w:numPr>
                                <w:ilvl w:val="0"/>
                                <w:numId w:val="16"/>
                              </w:numPr>
                              <w:jc w:val="both"/>
                            </w:pPr>
                            <w:r w:rsidRPr="00770036">
                              <w:t>The prostate cancer mortality rate decreased by 17.6% from 2008 to 2012, and this decrease was statistically significant.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88pt;margin-top:68.6pt;width:252pt;height:120.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" strokecolor="#1b587c [3206]">
                <v:textbox>
                  <w:txbxContent>
                    <w:p w:rsidR="00CF610C" w:rsidRPr="00770036" w:rsidRDefault="00CF610C" w:rsidP="008A7576">
                      <w:pPr>
                        <w:pStyle w:val="ListParagraph"/>
                        <w:numPr>
                          <w:ilvl w:val="0"/>
                          <w:numId w:val="16"/>
                        </w:numPr>
                        <w:jc w:val="both"/>
                      </w:pPr>
                      <w:r w:rsidRPr="00770036">
                        <w:t>The prostate cancer incidence rate decreased by 25.2% from 2008 to 2012, and this change was statistically significant.</w:t>
                      </w:r>
                    </w:p>
                    <w:p w:rsidR="00CF610C" w:rsidRPr="00770036" w:rsidRDefault="00CF610C" w:rsidP="008A7576">
                      <w:pPr>
                        <w:pStyle w:val="ListParagraph"/>
                        <w:numPr>
                          <w:ilvl w:val="0"/>
                          <w:numId w:val="16"/>
                        </w:numPr>
                        <w:jc w:val="both"/>
                      </w:pPr>
                      <w:r w:rsidRPr="00770036">
                        <w:t>The prostate cancer mortality rate decreased by 17.6% from 2008 to 2012, and this decrease was statistically significant.</w:t>
                      </w:r>
                    </w:p>
                  </w:txbxContent>
                </v:textbox>
              </v:shape>
            </w:pict>
          </mc:Fallback>
        </mc:AlternateContent>
      </w:r>
      <w:r w:rsidR="00325CAD">
        <w:rPr>
          <w:noProof/>
          <w:lang w:bidi="ar-SA"/>
        </w:rPr>
        <w:drawing>
          <wp:inline distT="0" distB="0" distL="0" distR="0" wp14:anchorId="593E6A78" wp14:editId="4A875483">
            <wp:extent cx="4476688" cy="2743200"/>
            <wp:effectExtent l="0" t="0" r="635" b="0"/>
            <wp:docPr id="315" name="Chart 3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B1536" w:rsidRPr="00D24A90" w:rsidRDefault="005E61B4" w:rsidP="00D24A90">
      <w:pPr>
        <w:jc w:val="right"/>
        <w:rPr>
          <w:rStyle w:val="SubtleEmphasis"/>
          <w:b w:val="0"/>
          <w:i w:val="0"/>
          <w:iCs w:val="0"/>
          <w:color w:val="auto"/>
        </w:rPr>
      </w:pPr>
      <w:r>
        <w:rPr>
          <w:noProof/>
          <w:sz w:val="22"/>
          <w:lang w:bidi="ar-SA"/>
        </w:rPr>
        <w:lastRenderedPageBreak/>
        <mc:AlternateContent>
          <mc:Choice Requires="wps">
            <w:drawing>
              <wp:anchor distT="0" distB="0" distL="114300" distR="114300" simplePos="0" relativeHeight="252404736" behindDoc="0" locked="0" layoutInCell="1" allowOverlap="1" wp14:anchorId="44C1F40A" wp14:editId="5FBC044A">
                <wp:simplePos x="0" y="0"/>
                <wp:positionH relativeFrom="column">
                  <wp:posOffset>4020</wp:posOffset>
                </wp:positionH>
                <wp:positionV relativeFrom="paragraph">
                  <wp:posOffset>203101</wp:posOffset>
                </wp:positionV>
                <wp:extent cx="8260579" cy="0"/>
                <wp:effectExtent l="0" t="0" r="26670" b="19050"/>
                <wp:wrapNone/>
                <wp:docPr id="351" name="Straight Connector 351"/>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6pt" to="650.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" strokecolor="#1b587c [3206]" strokeweight="1pt"/>
            </w:pict>
          </mc:Fallback>
        </mc:AlternateContent>
      </w:r>
      <w:hyperlink w:anchor="_Data_Sources_1" w:history="1">
        <w:r w:rsidR="005B1536" w:rsidRPr="005B1536">
          <w:rPr>
            <w:rStyle w:val="Hyperlink"/>
          </w:rPr>
          <w:t>Data Source</w:t>
        </w:r>
        <w:bookmarkStart w:id="263" w:name="_Toc337647246"/>
        <w:bookmarkStart w:id="264" w:name="_Toc337647365"/>
        <w:bookmarkStart w:id="265" w:name="_Toc339960295"/>
        <w:bookmarkStart w:id="266" w:name="_Toc341097774"/>
        <w:bookmarkStart w:id="267" w:name="_Toc341099546"/>
        <w:bookmarkStart w:id="268" w:name="_Toc341175075"/>
        <w:bookmarkStart w:id="269" w:name="_Toc341175171"/>
        <w:bookmarkStart w:id="270" w:name="_Toc341175537"/>
        <w:bookmarkStart w:id="271" w:name="_Toc341175902"/>
        <w:bookmarkStart w:id="272" w:name="_Toc341180945"/>
        <w:bookmarkStart w:id="273" w:name="_Toc341261029"/>
        <w:bookmarkStart w:id="274" w:name="_Toc342638170"/>
        <w:bookmarkStart w:id="275" w:name="_Toc346002133"/>
        <w:bookmarkStart w:id="276" w:name="_Toc374006831"/>
        <w:bookmarkStart w:id="277" w:name="_Toc400634530"/>
      </w:hyperlink>
    </w:p>
    <w:p w:rsidR="004151BF" w:rsidRPr="00121F3E" w:rsidRDefault="000C699F" w:rsidP="00494849">
      <w:pPr>
        <w:pStyle w:val="Heading5"/>
        <w:rPr>
          <w:rStyle w:val="SubtleEmphasis"/>
          <w:b w:val="0"/>
          <w:i w:val="0"/>
          <w:iCs w:val="0"/>
          <w:color w:val="30243C" w:themeColor="accent5" w:themeShade="80"/>
        </w:rPr>
      </w:pPr>
      <w:r w:rsidRPr="00121F3E">
        <w:rPr>
          <w:rStyle w:val="SubtleEmphasis"/>
          <w:b w:val="0"/>
          <w:i w:val="0"/>
          <w:iCs w:val="0"/>
          <w:color w:val="30243C" w:themeColor="accent5" w:themeShade="80"/>
        </w:rPr>
        <w:lastRenderedPageBreak/>
        <w:t>C</w:t>
      </w:r>
      <w:r w:rsidR="00FE17E6" w:rsidRPr="00121F3E">
        <w:rPr>
          <w:rStyle w:val="SubtleEmphasis"/>
          <w:b w:val="0"/>
          <w:i w:val="0"/>
          <w:iCs w:val="0"/>
          <w:color w:val="30243C" w:themeColor="accent5" w:themeShade="80"/>
        </w:rPr>
        <w:t xml:space="preserve">ancer of </w:t>
      </w:r>
      <w:r w:rsidR="00FE17E6" w:rsidRPr="005B1536">
        <w:rPr>
          <w:rStyle w:val="SubtleEmphasis"/>
          <w:b w:val="0"/>
          <w:i w:val="0"/>
          <w:iCs w:val="0"/>
        </w:rPr>
        <w:t>P</w:t>
      </w:r>
      <w:r w:rsidR="004151BF" w:rsidRPr="005B1536">
        <w:rPr>
          <w:rStyle w:val="SubtleEmphasis"/>
          <w:b w:val="0"/>
          <w:i w:val="0"/>
          <w:iCs w:val="0"/>
        </w:rPr>
        <w:t>rostate</w:t>
      </w:r>
      <w:r w:rsidR="004151BF" w:rsidRPr="00121F3E">
        <w:rPr>
          <w:rStyle w:val="SubtleEmphasis"/>
          <w:b w:val="0"/>
          <w:i w:val="0"/>
          <w:iCs w:val="0"/>
          <w:color w:val="30243C" w:themeColor="accent5" w:themeShade="80"/>
        </w:rPr>
        <w:t xml:space="preserve"> </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00FE17E6" w:rsidRPr="00121F3E">
        <w:rPr>
          <w:rStyle w:val="SubtleEmphasis"/>
          <w:b w:val="0"/>
          <w:i w:val="0"/>
          <w:iCs w:val="0"/>
        </w:rPr>
        <w:t>Continued</w:t>
      </w:r>
    </w:p>
    <w:p w:rsidR="004938C3" w:rsidRDefault="00770036">
      <w:r>
        <w:rPr>
          <w:noProof/>
          <w:lang w:bidi="ar-SA"/>
        </w:rPr>
        <mc:AlternateContent>
          <mc:Choice Requires="wps">
            <w:drawing>
              <wp:anchor distT="0" distB="0" distL="114300" distR="114300" simplePos="0" relativeHeight="251777024" behindDoc="1" locked="0" layoutInCell="1" allowOverlap="1" wp14:anchorId="4AFD70DC" wp14:editId="77DF89ED">
                <wp:simplePos x="0" y="0"/>
                <wp:positionH relativeFrom="margin">
                  <wp:posOffset>4685288</wp:posOffset>
                </wp:positionH>
                <wp:positionV relativeFrom="page">
                  <wp:posOffset>1205713</wp:posOffset>
                </wp:positionV>
                <wp:extent cx="3420110" cy="2144390"/>
                <wp:effectExtent l="0" t="0" r="27940" b="27940"/>
                <wp:wrapNone/>
                <wp:docPr id="6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144390"/>
                        </a:xfrm>
                        <a:prstGeom prst="rect">
                          <a:avLst/>
                        </a:prstGeom>
                        <a:solidFill>
                          <a:srgbClr val="FFFFFF"/>
                        </a:solidFill>
                        <a:ln w="9525">
                          <a:solidFill>
                            <a:schemeClr val="accent3"/>
                          </a:solidFill>
                          <a:miter lim="800000"/>
                          <a:headEnd/>
                          <a:tailEnd/>
                        </a:ln>
                      </wps:spPr>
                      <wps:txbx>
                        <w:txbxContent>
                          <w:p w:rsidR="00CF610C" w:rsidRPr="00770036" w:rsidRDefault="00CF610C" w:rsidP="00AF5D0B">
                            <w:pPr>
                              <w:pStyle w:val="ListParagraph"/>
                              <w:shd w:val="clear" w:color="auto" w:fill="FFFFFF" w:themeFill="background1"/>
                              <w:jc w:val="both"/>
                            </w:pPr>
                            <w:r>
                              <w:t>Less than 1% of</w:t>
                            </w:r>
                            <w:r w:rsidRPr="00770036">
                              <w:t xml:space="preserve"> prostate cancer </w:t>
                            </w:r>
                            <w:r>
                              <w:t xml:space="preserve">cases </w:t>
                            </w:r>
                            <w:r w:rsidRPr="00770036">
                              <w:t>were diagnosed at the in situ stage.</w:t>
                            </w:r>
                          </w:p>
                          <w:p w:rsidR="00CF610C" w:rsidRPr="00770036" w:rsidRDefault="00CF610C" w:rsidP="00AF5D0B">
                            <w:pPr>
                              <w:pStyle w:val="ListParagraph"/>
                              <w:shd w:val="clear" w:color="auto" w:fill="FFFFFF" w:themeFill="background1"/>
                              <w:jc w:val="both"/>
                            </w:pPr>
                            <w:r w:rsidRPr="00770036">
                              <w:t>About four out of every five cases (81.5%) were diagnosed at the localized stage.</w:t>
                            </w:r>
                          </w:p>
                          <w:p w:rsidR="00CF610C" w:rsidRPr="00770036" w:rsidRDefault="00CF610C" w:rsidP="00AF5D0B">
                            <w:pPr>
                              <w:pStyle w:val="ListParagraph"/>
                              <w:shd w:val="clear" w:color="auto" w:fill="FFFFFF" w:themeFill="background1"/>
                              <w:jc w:val="both"/>
                            </w:pPr>
                            <w:r w:rsidRPr="00770036">
                              <w:t>Another 11.2% of cases were diagnosed at the regional stage.</w:t>
                            </w:r>
                          </w:p>
                          <w:p w:rsidR="00CF610C" w:rsidRPr="00770036" w:rsidRDefault="00CF610C" w:rsidP="00AF5D0B">
                            <w:pPr>
                              <w:pStyle w:val="ListParagraph"/>
                              <w:shd w:val="clear" w:color="auto" w:fill="FFFFFF" w:themeFill="background1"/>
                              <w:jc w:val="both"/>
                            </w:pPr>
                            <w:r w:rsidRPr="00770036">
                              <w:t>3.3% of cases were diagnosed at the distant stage.</w:t>
                            </w:r>
                          </w:p>
                          <w:p w:rsidR="00CF610C" w:rsidRPr="00770036" w:rsidRDefault="00CF610C" w:rsidP="00AF5D0B">
                            <w:pPr>
                              <w:pStyle w:val="ListParagraph"/>
                              <w:shd w:val="clear" w:color="auto" w:fill="FFFFFF" w:themeFill="background1"/>
                              <w:jc w:val="both"/>
                            </w:pPr>
                            <w:r w:rsidRPr="00770036">
                              <w:t>4.0% of cases had unknown stage information.</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57" type="#_x0000_t202" style="position:absolute;margin-left:368.9pt;margin-top:94.95pt;width:269.3pt;height:168.8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" strokecolor="#1b587c [3206]">
                <v:textbox inset=",0,,0">
                  <w:txbxContent>
                    <w:p w:rsidR="00CF610C" w:rsidRPr="00770036" w:rsidRDefault="00CF610C" w:rsidP="00AF5D0B">
                      <w:pPr>
                        <w:pStyle w:val="ListParagraph"/>
                        <w:shd w:val="clear" w:color="auto" w:fill="FFFFFF" w:themeFill="background1"/>
                        <w:jc w:val="both"/>
                      </w:pPr>
                      <w:r>
                        <w:t>Less than 1% of</w:t>
                      </w:r>
                      <w:r w:rsidRPr="00770036">
                        <w:t xml:space="preserve"> prostate cancer </w:t>
                      </w:r>
                      <w:r>
                        <w:t xml:space="preserve">cases </w:t>
                      </w:r>
                      <w:r w:rsidRPr="00770036">
                        <w:t>were diagnosed at the in situ stage.</w:t>
                      </w:r>
                    </w:p>
                    <w:p w:rsidR="00CF610C" w:rsidRPr="00770036" w:rsidRDefault="00CF610C" w:rsidP="00AF5D0B">
                      <w:pPr>
                        <w:pStyle w:val="ListParagraph"/>
                        <w:shd w:val="clear" w:color="auto" w:fill="FFFFFF" w:themeFill="background1"/>
                        <w:jc w:val="both"/>
                      </w:pPr>
                      <w:r w:rsidRPr="00770036">
                        <w:t>About four out of every five cases (81.5%) were diagnosed at the localized stage.</w:t>
                      </w:r>
                    </w:p>
                    <w:p w:rsidR="00CF610C" w:rsidRPr="00770036" w:rsidRDefault="00CF610C" w:rsidP="00AF5D0B">
                      <w:pPr>
                        <w:pStyle w:val="ListParagraph"/>
                        <w:shd w:val="clear" w:color="auto" w:fill="FFFFFF" w:themeFill="background1"/>
                        <w:jc w:val="both"/>
                      </w:pPr>
                      <w:r w:rsidRPr="00770036">
                        <w:t>Another 11.2% of cases were diagnosed at the regional stage.</w:t>
                      </w:r>
                    </w:p>
                    <w:p w:rsidR="00CF610C" w:rsidRPr="00770036" w:rsidRDefault="00CF610C" w:rsidP="00AF5D0B">
                      <w:pPr>
                        <w:pStyle w:val="ListParagraph"/>
                        <w:shd w:val="clear" w:color="auto" w:fill="FFFFFF" w:themeFill="background1"/>
                        <w:jc w:val="both"/>
                      </w:pPr>
                      <w:r w:rsidRPr="00770036">
                        <w:t>3.3% of cases were diagnosed at the distant stage.</w:t>
                      </w:r>
                    </w:p>
                    <w:p w:rsidR="00CF610C" w:rsidRPr="00770036" w:rsidRDefault="00CF610C" w:rsidP="00AF5D0B">
                      <w:pPr>
                        <w:pStyle w:val="ListParagraph"/>
                        <w:shd w:val="clear" w:color="auto" w:fill="FFFFFF" w:themeFill="background1"/>
                        <w:jc w:val="both"/>
                      </w:pPr>
                      <w:r w:rsidRPr="00770036">
                        <w:t>4.0% of cases had unknown stage information.</w:t>
                      </w:r>
                    </w:p>
                  </w:txbxContent>
                </v:textbox>
                <w10:wrap anchorx="margin" anchory="page"/>
              </v:shape>
            </w:pict>
          </mc:Fallback>
        </mc:AlternateContent>
      </w:r>
      <w:r w:rsidR="00325CAD">
        <w:rPr>
          <w:noProof/>
          <w:lang w:bidi="ar-SA"/>
        </w:rPr>
        <w:drawing>
          <wp:inline distT="0" distB="0" distL="0" distR="0" wp14:anchorId="55BB396A" wp14:editId="0A967C24">
            <wp:extent cx="4613384" cy="2590800"/>
            <wp:effectExtent l="38100" t="0" r="34925" b="0"/>
            <wp:docPr id="316" name="Chart 3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24A90" w:rsidRDefault="004938C3" w:rsidP="00D24A90">
      <w:r>
        <w:rPr>
          <w:noProof/>
          <w:lang w:bidi="ar-SA"/>
        </w:rPr>
        <mc:AlternateContent>
          <mc:Choice Requires="wps">
            <w:drawing>
              <wp:anchor distT="0" distB="0" distL="114300" distR="114300" simplePos="0" relativeHeight="251778048" behindDoc="1" locked="0" layoutInCell="1" allowOverlap="1" wp14:anchorId="4A252261" wp14:editId="0DA4D103">
                <wp:simplePos x="0" y="0"/>
                <wp:positionH relativeFrom="margin">
                  <wp:posOffset>4685288</wp:posOffset>
                </wp:positionH>
                <wp:positionV relativeFrom="page">
                  <wp:posOffset>3916545</wp:posOffset>
                </wp:positionV>
                <wp:extent cx="3420110" cy="2619291"/>
                <wp:effectExtent l="0" t="0" r="27940" b="10160"/>
                <wp:wrapNone/>
                <wp:docPr id="5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619291"/>
                        </a:xfrm>
                        <a:prstGeom prst="rect">
                          <a:avLst/>
                        </a:prstGeom>
                        <a:solidFill>
                          <a:srgbClr val="FFFFFF"/>
                        </a:solidFill>
                        <a:ln w="9525">
                          <a:solidFill>
                            <a:schemeClr val="accent3"/>
                          </a:solidFill>
                          <a:miter lim="800000"/>
                          <a:headEnd/>
                          <a:tailEnd/>
                        </a:ln>
                      </wps:spPr>
                      <wps:txbx>
                        <w:txbxContent>
                          <w:p w:rsidR="00CF610C" w:rsidRPr="00770036" w:rsidRDefault="00CF610C" w:rsidP="00AF5D0B">
                            <w:pPr>
                              <w:pStyle w:val="ListParagraph"/>
                              <w:jc w:val="both"/>
                            </w:pPr>
                            <w:r w:rsidRPr="00770036">
                              <w:t>Among cases with known stage information, only 15.1% were diagnosed at late stages (i.e. at the regional or distant stage).</w:t>
                            </w:r>
                          </w:p>
                          <w:p w:rsidR="00CF610C" w:rsidRPr="00770036" w:rsidRDefault="00CF610C" w:rsidP="00AF5D0B">
                            <w:pPr>
                              <w:pStyle w:val="ListParagraph"/>
                              <w:jc w:val="both"/>
                            </w:pPr>
                            <w:r w:rsidRPr="00770036">
                              <w:t>A slightly higher percentage of black patients were diagnosed at late stages (15.4%) than whites (15.2%), but this difference was not statistically significant.</w:t>
                            </w:r>
                          </w:p>
                          <w:p w:rsidR="00CF610C" w:rsidRPr="00770036" w:rsidRDefault="00CF610C" w:rsidP="00AF5D0B">
                            <w:pPr>
                              <w:pStyle w:val="ListParagraph"/>
                              <w:jc w:val="both"/>
                            </w:pPr>
                            <w:r w:rsidRPr="00770036">
                              <w:t>Early diagnosis of prostate cancer is believed to contribute to a low mortality-to-incidence ratio.</w:t>
                            </w:r>
                          </w:p>
                          <w:p w:rsidR="00CF610C" w:rsidRPr="00770036" w:rsidRDefault="00CF610C" w:rsidP="00AF5D0B">
                            <w:pPr>
                              <w:pStyle w:val="ListParagraph"/>
                              <w:jc w:val="both"/>
                            </w:pPr>
                            <w:r w:rsidRPr="00770036">
                              <w:t xml:space="preserve">More information on prostate cancer can be found at the </w:t>
                            </w:r>
                            <w:hyperlink r:id="rId85" w:history="1">
                              <w:r w:rsidRPr="00770036">
                                <w:rPr>
                                  <w:rStyle w:val="Hyperlink"/>
                                </w:rPr>
                                <w:t>American Cancer Society</w:t>
                              </w:r>
                            </w:hyperlink>
                            <w:r w:rsidRPr="00770036">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58" type="#_x0000_t202" style="position:absolute;margin-left:368.9pt;margin-top:308.4pt;width:269.3pt;height:206.2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" strokecolor="#1b587c [3206]">
                <v:textbox inset=",0,,0">
                  <w:txbxContent>
                    <w:p w:rsidR="00CF610C" w:rsidRPr="00770036" w:rsidRDefault="00CF610C" w:rsidP="00AF5D0B">
                      <w:pPr>
                        <w:pStyle w:val="ListParagraph"/>
                        <w:jc w:val="both"/>
                      </w:pPr>
                      <w:r w:rsidRPr="00770036">
                        <w:t>Among cases with known stage information, only 15.1% were diagnosed at late stages (i.e. at the regional or distant stage).</w:t>
                      </w:r>
                    </w:p>
                    <w:p w:rsidR="00CF610C" w:rsidRPr="00770036" w:rsidRDefault="00CF610C" w:rsidP="00AF5D0B">
                      <w:pPr>
                        <w:pStyle w:val="ListParagraph"/>
                        <w:jc w:val="both"/>
                      </w:pPr>
                      <w:r w:rsidRPr="00770036">
                        <w:t>A slightly higher percentage of black patients were diagnosed at late stages (15.4%) than whites (15.2%), but this difference was not statistically significant.</w:t>
                      </w:r>
                    </w:p>
                    <w:p w:rsidR="00CF610C" w:rsidRPr="00770036" w:rsidRDefault="00CF610C" w:rsidP="00AF5D0B">
                      <w:pPr>
                        <w:pStyle w:val="ListParagraph"/>
                        <w:jc w:val="both"/>
                      </w:pPr>
                      <w:r w:rsidRPr="00770036">
                        <w:t>Early diagnosis of prostate cancer is believed to contribute to a low mortality-to-incidence ratio.</w:t>
                      </w:r>
                    </w:p>
                    <w:p w:rsidR="00CF610C" w:rsidRPr="00770036" w:rsidRDefault="00CF610C" w:rsidP="00AF5D0B">
                      <w:pPr>
                        <w:pStyle w:val="ListParagraph"/>
                        <w:jc w:val="both"/>
                      </w:pPr>
                      <w:r w:rsidRPr="00770036">
                        <w:t xml:space="preserve">More information on prostate cancer can be found at the </w:t>
                      </w:r>
                      <w:hyperlink r:id="rId86" w:history="1">
                        <w:r w:rsidRPr="00770036">
                          <w:rPr>
                            <w:rStyle w:val="Hyperlink"/>
                          </w:rPr>
                          <w:t>American Cancer Society</w:t>
                        </w:r>
                      </w:hyperlink>
                      <w:r w:rsidRPr="00770036">
                        <w:t>.</w:t>
                      </w:r>
                    </w:p>
                  </w:txbxContent>
                </v:textbox>
                <w10:wrap anchorx="margin" anchory="page"/>
              </v:shape>
            </w:pict>
          </mc:Fallback>
        </mc:AlternateContent>
      </w:r>
      <w:r w:rsidR="00325CAD">
        <w:rPr>
          <w:noProof/>
          <w:lang w:bidi="ar-SA"/>
        </w:rPr>
        <w:drawing>
          <wp:inline distT="0" distB="0" distL="0" distR="0" wp14:anchorId="06F3178A" wp14:editId="36DACC7F">
            <wp:extent cx="4572000" cy="2743200"/>
            <wp:effectExtent l="0" t="0" r="0" b="0"/>
            <wp:docPr id="317" name="Chart 3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325CAD">
        <w:t xml:space="preserve">  </w:t>
      </w:r>
    </w:p>
    <w:p w:rsidR="008C4E4E" w:rsidRDefault="005E61B4" w:rsidP="005E61B4">
      <w:pPr>
        <w:jc w:val="right"/>
        <w:sectPr w:rsidR="008C4E4E" w:rsidSect="00F2283B">
          <w:type w:val="continuous"/>
          <w:pgSz w:w="15840" w:h="12240" w:orient="landscape"/>
          <w:pgMar w:top="1080" w:right="1440" w:bottom="1080" w:left="1440" w:header="720" w:footer="144" w:gutter="0"/>
          <w:pgNumType w:fmt="numberInDash"/>
          <w:cols w:space="720"/>
          <w:docGrid w:linePitch="360"/>
        </w:sectPr>
      </w:pPr>
      <w:r>
        <w:rPr>
          <w:noProof/>
          <w:sz w:val="22"/>
          <w:lang w:bidi="ar-SA"/>
        </w:rPr>
        <mc:AlternateContent>
          <mc:Choice Requires="wps">
            <w:drawing>
              <wp:anchor distT="0" distB="0" distL="114300" distR="114300" simplePos="0" relativeHeight="252406784" behindDoc="0" locked="0" layoutInCell="1" allowOverlap="1" wp14:anchorId="02E3E2EE" wp14:editId="7B85802D">
                <wp:simplePos x="0" y="0"/>
                <wp:positionH relativeFrom="column">
                  <wp:posOffset>3810</wp:posOffset>
                </wp:positionH>
                <wp:positionV relativeFrom="paragraph">
                  <wp:posOffset>235161</wp:posOffset>
                </wp:positionV>
                <wp:extent cx="8260579" cy="0"/>
                <wp:effectExtent l="0" t="0" r="26670" b="19050"/>
                <wp:wrapNone/>
                <wp:docPr id="352" name="Straight Connector 352"/>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2" o:spid="_x0000_s1026" style="position:absolute;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8.5pt" to="650.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" strokecolor="#1b587c [3206]" strokeweight="1pt"/>
            </w:pict>
          </mc:Fallback>
        </mc:AlternateContent>
      </w:r>
      <w:r w:rsidR="00325CAD">
        <w:t xml:space="preserve">       </w:t>
      </w:r>
      <w:hyperlink w:anchor="_Data_Sources_1" w:history="1">
        <w:r w:rsidR="002949EC" w:rsidRPr="002949EC">
          <w:rPr>
            <w:rStyle w:val="Hyperlink"/>
          </w:rPr>
          <w:t xml:space="preserve">Data </w:t>
        </w:r>
        <w:r w:rsidR="00127F7E" w:rsidRPr="002949EC">
          <w:rPr>
            <w:rStyle w:val="Hyperlink"/>
          </w:rPr>
          <w:t>Source</w:t>
        </w:r>
      </w:hyperlink>
      <w:r w:rsidR="00127F7E">
        <w:t xml:space="preserve"> </w:t>
      </w:r>
    </w:p>
    <w:p w:rsidR="007B4B54" w:rsidRPr="00976CBD" w:rsidRDefault="000C699F" w:rsidP="00903E48">
      <w:pPr>
        <w:pStyle w:val="Heading2"/>
        <w:rPr>
          <w:rStyle w:val="SubtleEmphasis"/>
          <w:b w:val="0"/>
          <w:i w:val="0"/>
          <w:iCs w:val="0"/>
          <w:color w:val="30243C" w:themeColor="accent5" w:themeShade="80"/>
        </w:rPr>
      </w:pPr>
      <w:bookmarkStart w:id="278" w:name="_Toc341099547"/>
      <w:bookmarkStart w:id="279" w:name="_Toc421608542"/>
      <w:bookmarkStart w:id="280" w:name="_Toc421609360"/>
      <w:bookmarkStart w:id="281" w:name="_Toc421609694"/>
      <w:bookmarkStart w:id="282" w:name="_Toc421611220"/>
      <w:bookmarkStart w:id="283" w:name="_Toc439918850"/>
      <w:r w:rsidRPr="00976CBD">
        <w:rPr>
          <w:rStyle w:val="SubtleEmphasis"/>
          <w:b w:val="0"/>
          <w:i w:val="0"/>
          <w:iCs w:val="0"/>
          <w:color w:val="30243C" w:themeColor="accent5" w:themeShade="80"/>
        </w:rPr>
        <w:lastRenderedPageBreak/>
        <w:t>C</w:t>
      </w:r>
      <w:r w:rsidR="007B4B54" w:rsidRPr="00976CBD">
        <w:rPr>
          <w:rStyle w:val="SubtleEmphasis"/>
          <w:b w:val="0"/>
          <w:i w:val="0"/>
          <w:iCs w:val="0"/>
          <w:color w:val="30243C" w:themeColor="accent5" w:themeShade="80"/>
        </w:rPr>
        <w:t xml:space="preserve">ancer of </w:t>
      </w:r>
      <w:r w:rsidR="006E430F" w:rsidRPr="00976CBD">
        <w:rPr>
          <w:rStyle w:val="SubtleEmphasis"/>
          <w:b w:val="0"/>
          <w:i w:val="0"/>
          <w:iCs w:val="0"/>
          <w:color w:val="30243C" w:themeColor="accent5" w:themeShade="80"/>
        </w:rPr>
        <w:t>B</w:t>
      </w:r>
      <w:r w:rsidR="00FE17E6" w:rsidRPr="00976CBD">
        <w:rPr>
          <w:rStyle w:val="SubtleEmphasis"/>
          <w:b w:val="0"/>
          <w:i w:val="0"/>
          <w:iCs w:val="0"/>
          <w:color w:val="30243C" w:themeColor="accent5" w:themeShade="80"/>
        </w:rPr>
        <w:t>reast A</w:t>
      </w:r>
      <w:r w:rsidR="007B4B54" w:rsidRPr="00976CBD">
        <w:rPr>
          <w:rStyle w:val="SubtleEmphasis"/>
          <w:b w:val="0"/>
          <w:i w:val="0"/>
          <w:iCs w:val="0"/>
          <w:color w:val="30243C" w:themeColor="accent5" w:themeShade="80"/>
        </w:rPr>
        <w:t xml:space="preserve">mong </w:t>
      </w:r>
      <w:r w:rsidR="006E430F" w:rsidRPr="00976CBD">
        <w:rPr>
          <w:rStyle w:val="SubtleEmphasis"/>
          <w:b w:val="0"/>
          <w:i w:val="0"/>
          <w:iCs w:val="0"/>
          <w:color w:val="30243C" w:themeColor="accent5" w:themeShade="80"/>
        </w:rPr>
        <w:t>F</w:t>
      </w:r>
      <w:r w:rsidR="007B4B54" w:rsidRPr="00976CBD">
        <w:rPr>
          <w:rStyle w:val="SubtleEmphasis"/>
          <w:b w:val="0"/>
          <w:i w:val="0"/>
          <w:iCs w:val="0"/>
          <w:color w:val="30243C" w:themeColor="accent5" w:themeShade="80"/>
        </w:rPr>
        <w:t>emales</w:t>
      </w:r>
      <w:bookmarkEnd w:id="278"/>
      <w:bookmarkEnd w:id="279"/>
      <w:bookmarkEnd w:id="280"/>
      <w:bookmarkEnd w:id="281"/>
      <w:bookmarkEnd w:id="282"/>
      <w:bookmarkEnd w:id="283"/>
    </w:p>
    <w:p w:rsidR="00F81B61" w:rsidRDefault="00770036">
      <w:r>
        <w:rPr>
          <w:noProof/>
          <w:lang w:bidi="ar-SA"/>
        </w:rPr>
        <mc:AlternateContent>
          <mc:Choice Requires="wps">
            <w:drawing>
              <wp:anchor distT="0" distB="0" distL="114300" distR="114300" simplePos="0" relativeHeight="251779072" behindDoc="1" locked="0" layoutInCell="1" allowOverlap="1" wp14:anchorId="4B9335A3" wp14:editId="697D7F36">
                <wp:simplePos x="0" y="0"/>
                <wp:positionH relativeFrom="margin">
                  <wp:posOffset>5033246</wp:posOffset>
                </wp:positionH>
                <wp:positionV relativeFrom="margin">
                  <wp:posOffset>738398</wp:posOffset>
                </wp:positionV>
                <wp:extent cx="3200400" cy="4919958"/>
                <wp:effectExtent l="0" t="0" r="19050" b="14605"/>
                <wp:wrapNone/>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919958"/>
                        </a:xfrm>
                        <a:prstGeom prst="rect">
                          <a:avLst/>
                        </a:prstGeom>
                        <a:solidFill>
                          <a:srgbClr val="FFFFFF"/>
                        </a:solidFill>
                        <a:ln w="9525">
                          <a:solidFill>
                            <a:schemeClr val="accent3"/>
                          </a:solidFill>
                          <a:miter lim="800000"/>
                          <a:headEnd/>
                          <a:tailEnd/>
                        </a:ln>
                      </wps:spPr>
                      <wps:txbx>
                        <w:txbxContent>
                          <w:p w:rsidR="00CF610C" w:rsidRPr="00770036" w:rsidRDefault="00CF610C" w:rsidP="00AF5D0B">
                            <w:pPr>
                              <w:pStyle w:val="ListParagraph"/>
                              <w:jc w:val="both"/>
                            </w:pPr>
                            <w:r w:rsidRPr="00770036">
                              <w:t>A total of 23,035 new breast cancer cases were diagnosed among Tennessee women from 2008 to 2012, and the age-adjusted incidence rate was 120.8 per 100,000.</w:t>
                            </w:r>
                          </w:p>
                          <w:p w:rsidR="00CF610C" w:rsidRPr="00770036" w:rsidRDefault="00CF610C" w:rsidP="00AF5D0B">
                            <w:pPr>
                              <w:pStyle w:val="ListParagraph"/>
                              <w:jc w:val="both"/>
                            </w:pPr>
                            <w:r w:rsidRPr="00770036">
                              <w:t>During the same time period, 4,366 Tennessee women died from breast cancer, giving an age-adjusted mortality rate of 22.3 per 100,000.</w:t>
                            </w:r>
                          </w:p>
                          <w:p w:rsidR="00CF610C" w:rsidRPr="00770036" w:rsidRDefault="00CF610C" w:rsidP="00AF5D0B">
                            <w:pPr>
                              <w:pStyle w:val="ListParagraph"/>
                              <w:jc w:val="both"/>
                            </w:pPr>
                            <w:r w:rsidRPr="00770036">
                              <w:t>Black women had a higher incidence rate than white women, but this difference was not statistically significant.</w:t>
                            </w:r>
                          </w:p>
                          <w:p w:rsidR="00CF610C" w:rsidRPr="00770036" w:rsidRDefault="00CF610C" w:rsidP="00AF5D0B">
                            <w:pPr>
                              <w:pStyle w:val="ListParagraph"/>
                              <w:jc w:val="both"/>
                            </w:pPr>
                            <w:r w:rsidRPr="00770036">
                              <w:t xml:space="preserve">Black women had a </w:t>
                            </w:r>
                            <w:r>
                              <w:t>significantly</w:t>
                            </w:r>
                            <w:r w:rsidRPr="00770036">
                              <w:t xml:space="preserve"> higher mortality rate (60.4% higher</w:t>
                            </w:r>
                            <w:r>
                              <w:t>) than their white counterparts.</w:t>
                            </w:r>
                          </w:p>
                          <w:p w:rsidR="00CF610C" w:rsidRPr="00770036" w:rsidRDefault="00CF610C" w:rsidP="00AF5D0B">
                            <w:pPr>
                              <w:pStyle w:val="ListParagraph"/>
                              <w:jc w:val="both"/>
                            </w:pPr>
                            <w:r w:rsidRPr="00770036">
                              <w:t>Female breast cancer incidence and mortality rates were stable from 2008 to 2012.</w:t>
                            </w:r>
                          </w:p>
                          <w:p w:rsidR="00CF610C" w:rsidRPr="00770036" w:rsidRDefault="00CF610C" w:rsidP="00AF5D0B">
                            <w:pPr>
                              <w:pStyle w:val="ListParagraph"/>
                              <w:jc w:val="both"/>
                            </w:pPr>
                            <w:r w:rsidRPr="00770036">
                              <w:t>Female breast cancer has a mortality-to-incidence ratio of 0.18 (</w:t>
                            </w:r>
                            <w:hyperlink w:anchor="Appendix II. Continued" w:history="1">
                              <w:r w:rsidRPr="00770036">
                                <w:rPr>
                                  <w:rStyle w:val="Hyperlink"/>
                                </w:rPr>
                                <w:t>See Appendix II</w:t>
                              </w:r>
                            </w:hyperlink>
                            <w:r w:rsidRPr="00770036">
                              <w:t>), making it one of the least deadly forms of cancer on the 10 most common cancers list.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59" type="#_x0000_t202" style="position:absolute;margin-left:396.3pt;margin-top:58.15pt;width:252pt;height:387.4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" strokecolor="#1b587c [3206]">
                <v:textbox inset=",0,,0">
                  <w:txbxContent>
                    <w:p w:rsidR="00CF610C" w:rsidRPr="00770036" w:rsidRDefault="00CF610C" w:rsidP="00AF5D0B">
                      <w:pPr>
                        <w:pStyle w:val="ListParagraph"/>
                        <w:jc w:val="both"/>
                      </w:pPr>
                      <w:r w:rsidRPr="00770036">
                        <w:t>A total of 23,035 new breast cancer cases were diagnosed among Tennessee women from 2008 to 2012, and the age-adjusted incidence rate was 120.8 per 100,000.</w:t>
                      </w:r>
                    </w:p>
                    <w:p w:rsidR="00CF610C" w:rsidRPr="00770036" w:rsidRDefault="00CF610C" w:rsidP="00AF5D0B">
                      <w:pPr>
                        <w:pStyle w:val="ListParagraph"/>
                        <w:jc w:val="both"/>
                      </w:pPr>
                      <w:r w:rsidRPr="00770036">
                        <w:t>During the same time period, 4,366 Tennessee women died from breast cancer, giving an age-adjusted mortality rate of 22.3 per 100,000.</w:t>
                      </w:r>
                    </w:p>
                    <w:p w:rsidR="00CF610C" w:rsidRPr="00770036" w:rsidRDefault="00CF610C" w:rsidP="00AF5D0B">
                      <w:pPr>
                        <w:pStyle w:val="ListParagraph"/>
                        <w:jc w:val="both"/>
                      </w:pPr>
                      <w:r w:rsidRPr="00770036">
                        <w:t>Black women had a higher incidence rate than white women, but this difference was not statistically significant.</w:t>
                      </w:r>
                    </w:p>
                    <w:p w:rsidR="00CF610C" w:rsidRPr="00770036" w:rsidRDefault="00CF610C" w:rsidP="00AF5D0B">
                      <w:pPr>
                        <w:pStyle w:val="ListParagraph"/>
                        <w:jc w:val="both"/>
                      </w:pPr>
                      <w:r w:rsidRPr="00770036">
                        <w:t xml:space="preserve">Black women had a </w:t>
                      </w:r>
                      <w:r>
                        <w:t>significantly</w:t>
                      </w:r>
                      <w:r w:rsidRPr="00770036">
                        <w:t xml:space="preserve"> higher mortality rate (60.4% higher</w:t>
                      </w:r>
                      <w:r>
                        <w:t>) than their white counterparts.</w:t>
                      </w:r>
                    </w:p>
                    <w:p w:rsidR="00CF610C" w:rsidRPr="00770036" w:rsidRDefault="00CF610C" w:rsidP="00AF5D0B">
                      <w:pPr>
                        <w:pStyle w:val="ListParagraph"/>
                        <w:jc w:val="both"/>
                      </w:pPr>
                      <w:r w:rsidRPr="00770036">
                        <w:t>Female breast cancer incidence and mortality rates were stable from 2008 to 2012.</w:t>
                      </w:r>
                    </w:p>
                    <w:p w:rsidR="00CF610C" w:rsidRPr="00770036" w:rsidRDefault="00CF610C" w:rsidP="00AF5D0B">
                      <w:pPr>
                        <w:pStyle w:val="ListParagraph"/>
                        <w:jc w:val="both"/>
                      </w:pPr>
                      <w:r w:rsidRPr="00770036">
                        <w:t>Female breast cancer has a mortality-to-incidence ratio of 0.18 (</w:t>
                      </w:r>
                      <w:hyperlink w:anchor="Appendix II. Continued" w:history="1">
                        <w:r w:rsidRPr="00770036">
                          <w:rPr>
                            <w:rStyle w:val="Hyperlink"/>
                          </w:rPr>
                          <w:t>See Appendix II</w:t>
                        </w:r>
                      </w:hyperlink>
                      <w:r w:rsidRPr="00770036">
                        <w:t>), making it one of the least deadly forms of cancer on the 10 most common cancers list.</w:t>
                      </w:r>
                    </w:p>
                  </w:txbxContent>
                </v:textbox>
                <w10:wrap anchorx="margin" anchory="margin"/>
              </v:shape>
            </w:pict>
          </mc:Fallback>
        </mc:AlternateContent>
      </w:r>
      <w:r w:rsidR="00325CAD">
        <w:rPr>
          <w:noProof/>
          <w:lang w:bidi="ar-SA"/>
        </w:rPr>
        <w:drawing>
          <wp:inline distT="0" distB="0" distL="0" distR="0" wp14:anchorId="0E862206" wp14:editId="4AD3E6C4">
            <wp:extent cx="4572000" cy="2743200"/>
            <wp:effectExtent l="0" t="0" r="0" b="0"/>
            <wp:docPr id="318" name="Chart 3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3090F" w:rsidRDefault="00325CAD" w:rsidP="0093090F">
      <w:r>
        <w:rPr>
          <w:noProof/>
          <w:lang w:bidi="ar-SA"/>
        </w:rPr>
        <w:drawing>
          <wp:inline distT="0" distB="0" distL="0" distR="0" wp14:anchorId="3E48DBF3" wp14:editId="0C2ABE97">
            <wp:extent cx="4572000" cy="2743200"/>
            <wp:effectExtent l="0" t="0" r="0" b="0"/>
            <wp:docPr id="101" name="Chart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27F7E" w:rsidRPr="002949EC" w:rsidRDefault="005E61B4" w:rsidP="0093090F">
      <w:pPr>
        <w:jc w:val="right"/>
        <w:rPr>
          <w:rStyle w:val="Hyperlink"/>
        </w:rPr>
      </w:pPr>
      <w:r>
        <w:rPr>
          <w:noProof/>
          <w:sz w:val="22"/>
          <w:lang w:bidi="ar-SA"/>
        </w:rPr>
        <mc:AlternateContent>
          <mc:Choice Requires="wps">
            <w:drawing>
              <wp:anchor distT="0" distB="0" distL="114300" distR="114300" simplePos="0" relativeHeight="252408832" behindDoc="0" locked="0" layoutInCell="1" allowOverlap="1" wp14:anchorId="5EDE5B01" wp14:editId="13561F64">
                <wp:simplePos x="0" y="0"/>
                <wp:positionH relativeFrom="column">
                  <wp:posOffset>-3835</wp:posOffset>
                </wp:positionH>
                <wp:positionV relativeFrom="paragraph">
                  <wp:posOffset>266065</wp:posOffset>
                </wp:positionV>
                <wp:extent cx="8260579" cy="0"/>
                <wp:effectExtent l="0" t="0" r="26670" b="19050"/>
                <wp:wrapNone/>
                <wp:docPr id="353" name="Straight Connector 353"/>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3" o:spid="_x0000_s1026" style="position:absolute;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0.95pt" to="65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" strokecolor="#1b587c [3206]" strokeweight="1pt"/>
            </w:pict>
          </mc:Fallback>
        </mc:AlternateContent>
      </w:r>
      <w:r w:rsidR="002949EC">
        <w:fldChar w:fldCharType="begin"/>
      </w:r>
      <w:r w:rsidR="00425276">
        <w:instrText>HYPERLINK  \l "_Data_Sources_1"</w:instrText>
      </w:r>
      <w:r w:rsidR="002949EC">
        <w:fldChar w:fldCharType="separate"/>
      </w:r>
      <w:r w:rsidR="002949EC" w:rsidRPr="002949EC">
        <w:rPr>
          <w:rStyle w:val="Hyperlink"/>
        </w:rPr>
        <w:t xml:space="preserve">Data </w:t>
      </w:r>
      <w:r w:rsidR="00127F7E" w:rsidRPr="002949EC">
        <w:rPr>
          <w:rStyle w:val="Hyperlink"/>
        </w:rPr>
        <w:t>Source</w:t>
      </w:r>
    </w:p>
    <w:bookmarkStart w:id="284" w:name="_Toc337647248"/>
    <w:bookmarkStart w:id="285" w:name="_Toc337647367"/>
    <w:bookmarkStart w:id="286" w:name="_Toc339960297"/>
    <w:bookmarkStart w:id="287" w:name="_Toc341097776"/>
    <w:bookmarkStart w:id="288" w:name="_Toc341099548"/>
    <w:bookmarkStart w:id="289" w:name="_Toc341175077"/>
    <w:bookmarkStart w:id="290" w:name="_Toc341175173"/>
    <w:bookmarkStart w:id="291" w:name="_Toc341175539"/>
    <w:bookmarkStart w:id="292" w:name="_Toc341175904"/>
    <w:bookmarkStart w:id="293" w:name="_Toc341180947"/>
    <w:bookmarkStart w:id="294" w:name="_Toc341261031"/>
    <w:bookmarkStart w:id="295" w:name="_Toc342638172"/>
    <w:bookmarkStart w:id="296" w:name="_Toc346002135"/>
    <w:bookmarkStart w:id="297" w:name="_Toc374006833"/>
    <w:bookmarkStart w:id="298" w:name="_Toc400634532"/>
    <w:p w:rsidR="00045288" w:rsidRPr="00121F3E" w:rsidRDefault="002949EC" w:rsidP="00494849">
      <w:pPr>
        <w:pStyle w:val="Heading5"/>
        <w:rPr>
          <w:rStyle w:val="SubtleEmphasis"/>
          <w:b w:val="0"/>
          <w:i w:val="0"/>
          <w:iCs w:val="0"/>
          <w:color w:val="30243C" w:themeColor="accent5" w:themeShade="80"/>
        </w:rPr>
      </w:pPr>
      <w:r>
        <w:rPr>
          <w:rFonts w:asciiTheme="minorHAnsi" w:hAnsiTheme="minorHAnsi"/>
          <w:color w:val="auto"/>
          <w:spacing w:val="0"/>
          <w:szCs w:val="20"/>
        </w:rPr>
        <w:lastRenderedPageBreak/>
        <w:fldChar w:fldCharType="end"/>
      </w:r>
      <w:r w:rsidR="000C699F" w:rsidRPr="00121F3E">
        <w:rPr>
          <w:rStyle w:val="SubtleEmphasis"/>
          <w:b w:val="0"/>
          <w:i w:val="0"/>
          <w:iCs w:val="0"/>
          <w:color w:val="30243C" w:themeColor="accent5" w:themeShade="80"/>
        </w:rPr>
        <w:t>C</w:t>
      </w:r>
      <w:r w:rsidR="00045288" w:rsidRPr="00121F3E">
        <w:rPr>
          <w:rStyle w:val="SubtleEmphasis"/>
          <w:b w:val="0"/>
          <w:i w:val="0"/>
          <w:iCs w:val="0"/>
          <w:color w:val="30243C" w:themeColor="accent5" w:themeShade="80"/>
        </w:rPr>
        <w:t xml:space="preserve">ancer of </w:t>
      </w:r>
      <w:r w:rsidR="00FE17E6" w:rsidRPr="00121F3E">
        <w:rPr>
          <w:rStyle w:val="SubtleEmphasis"/>
          <w:b w:val="0"/>
          <w:i w:val="0"/>
          <w:iCs w:val="0"/>
          <w:color w:val="30243C" w:themeColor="accent5" w:themeShade="80"/>
        </w:rPr>
        <w:t>B</w:t>
      </w:r>
      <w:r w:rsidR="00045288" w:rsidRPr="00121F3E">
        <w:rPr>
          <w:rStyle w:val="SubtleEmphasis"/>
          <w:b w:val="0"/>
          <w:i w:val="0"/>
          <w:iCs w:val="0"/>
          <w:color w:val="30243C" w:themeColor="accent5" w:themeShade="80"/>
        </w:rPr>
        <w:t xml:space="preserve">reast </w:t>
      </w:r>
      <w:r w:rsidR="00FE17E6" w:rsidRPr="00121F3E">
        <w:rPr>
          <w:rStyle w:val="SubtleEmphasis"/>
          <w:b w:val="0"/>
          <w:i w:val="0"/>
          <w:iCs w:val="0"/>
          <w:color w:val="30243C" w:themeColor="accent5" w:themeShade="80"/>
        </w:rPr>
        <w:t>Among F</w:t>
      </w:r>
      <w:r w:rsidR="00045288" w:rsidRPr="00121F3E">
        <w:rPr>
          <w:rStyle w:val="SubtleEmphasis"/>
          <w:b w:val="0"/>
          <w:i w:val="0"/>
          <w:iCs w:val="0"/>
          <w:color w:val="30243C" w:themeColor="accent5" w:themeShade="80"/>
        </w:rPr>
        <w:t xml:space="preserve">emales </w:t>
      </w:r>
      <w:r w:rsidR="00FE17E6" w:rsidRPr="00121F3E">
        <w:rPr>
          <w:rStyle w:val="SubtleEmphasis"/>
          <w:b w:val="0"/>
          <w:i w:val="0"/>
          <w:iCs w:val="0"/>
          <w:color w:val="30243C" w:themeColor="accent5" w:themeShade="80"/>
        </w:rPr>
        <w:t>C</w:t>
      </w:r>
      <w:r w:rsidR="00045288" w:rsidRPr="00121F3E">
        <w:rPr>
          <w:rStyle w:val="SubtleEmphasis"/>
          <w:b w:val="0"/>
          <w:i w:val="0"/>
          <w:iCs w:val="0"/>
          <w:color w:val="30243C" w:themeColor="accent5" w:themeShade="80"/>
        </w:rPr>
        <w:t>ontinued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F81B61" w:rsidRDefault="00770036">
      <w:r>
        <w:rPr>
          <w:noProof/>
          <w:lang w:bidi="ar-SA"/>
        </w:rPr>
        <mc:AlternateContent>
          <mc:Choice Requires="wps">
            <w:drawing>
              <wp:anchor distT="0" distB="0" distL="114300" distR="114300" simplePos="0" relativeHeight="251782144" behindDoc="1" locked="0" layoutInCell="1" allowOverlap="1" wp14:anchorId="69FEF3A0" wp14:editId="74D53915">
                <wp:simplePos x="0" y="0"/>
                <wp:positionH relativeFrom="margin">
                  <wp:posOffset>4798577</wp:posOffset>
                </wp:positionH>
                <wp:positionV relativeFrom="page">
                  <wp:posOffset>1181437</wp:posOffset>
                </wp:positionV>
                <wp:extent cx="3420110" cy="2289529"/>
                <wp:effectExtent l="0" t="0" r="27940" b="15875"/>
                <wp:wrapNone/>
                <wp:docPr id="5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89529"/>
                        </a:xfrm>
                        <a:prstGeom prst="rect">
                          <a:avLst/>
                        </a:prstGeom>
                        <a:solidFill>
                          <a:srgbClr val="FFFFFF"/>
                        </a:solidFill>
                        <a:ln w="9525">
                          <a:solidFill>
                            <a:schemeClr val="accent3"/>
                          </a:solidFill>
                          <a:miter lim="800000"/>
                          <a:headEnd/>
                          <a:tailEnd/>
                        </a:ln>
                      </wps:spPr>
                      <wps:txbx>
                        <w:txbxContent>
                          <w:p w:rsidR="00CF610C" w:rsidRPr="00770036" w:rsidRDefault="00CF610C" w:rsidP="00AF5D0B">
                            <w:pPr>
                              <w:pStyle w:val="ListParagraph"/>
                              <w:jc w:val="both"/>
                            </w:pPr>
                            <w:r w:rsidRPr="00770036">
                              <w:t>Almost one in five (18.2%) female breast cancer cases was diagnosed at the in situ stage.</w:t>
                            </w:r>
                          </w:p>
                          <w:p w:rsidR="00CF610C" w:rsidRPr="00770036" w:rsidRDefault="00CF610C" w:rsidP="00AF5D0B">
                            <w:pPr>
                              <w:pStyle w:val="ListParagraph"/>
                              <w:jc w:val="both"/>
                            </w:pPr>
                            <w:r w:rsidRPr="00770036">
                              <w:t>Almost half of cases (49.6%) were diagnosed at the localized stage.</w:t>
                            </w:r>
                          </w:p>
                          <w:p w:rsidR="00CF610C" w:rsidRPr="00770036" w:rsidRDefault="00CF610C" w:rsidP="00AF5D0B">
                            <w:pPr>
                              <w:pStyle w:val="ListParagraph"/>
                              <w:jc w:val="both"/>
                            </w:pPr>
                            <w:r w:rsidRPr="00770036">
                              <w:t>One in four cases (24.8%) was diagnosed at the regional stage.</w:t>
                            </w:r>
                          </w:p>
                          <w:p w:rsidR="00CF610C" w:rsidRPr="00770036" w:rsidRDefault="00CF610C" w:rsidP="00AF5D0B">
                            <w:pPr>
                              <w:pStyle w:val="ListParagraph"/>
                              <w:jc w:val="both"/>
                            </w:pPr>
                            <w:r w:rsidRPr="00770036">
                              <w:t>4.5% of cases were diagnosed at the distant stage.</w:t>
                            </w:r>
                          </w:p>
                          <w:p w:rsidR="00CF610C" w:rsidRPr="00770036" w:rsidRDefault="00CF610C" w:rsidP="00AF5D0B">
                            <w:pPr>
                              <w:pStyle w:val="ListParagraph"/>
                              <w:jc w:val="both"/>
                            </w:pPr>
                            <w:r w:rsidRPr="00770036">
                              <w:t>2.9% of cases had unknown stage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60" type="#_x0000_t202" style="position:absolute;margin-left:377.85pt;margin-top:93.05pt;width:269.3pt;height:180.3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" strokecolor="#1b587c [3206]">
                <v:textbox>
                  <w:txbxContent>
                    <w:p w:rsidR="00CF610C" w:rsidRPr="00770036" w:rsidRDefault="00CF610C" w:rsidP="00AF5D0B">
                      <w:pPr>
                        <w:pStyle w:val="ListParagraph"/>
                        <w:jc w:val="both"/>
                      </w:pPr>
                      <w:r w:rsidRPr="00770036">
                        <w:t>Almost one in five (18.2%) female breast cancer cases was diagnosed at the in situ stage.</w:t>
                      </w:r>
                    </w:p>
                    <w:p w:rsidR="00CF610C" w:rsidRPr="00770036" w:rsidRDefault="00CF610C" w:rsidP="00AF5D0B">
                      <w:pPr>
                        <w:pStyle w:val="ListParagraph"/>
                        <w:jc w:val="both"/>
                      </w:pPr>
                      <w:r w:rsidRPr="00770036">
                        <w:t>Almost half of cases (49.6%) were diagnosed at the localized stage.</w:t>
                      </w:r>
                    </w:p>
                    <w:p w:rsidR="00CF610C" w:rsidRPr="00770036" w:rsidRDefault="00CF610C" w:rsidP="00AF5D0B">
                      <w:pPr>
                        <w:pStyle w:val="ListParagraph"/>
                        <w:jc w:val="both"/>
                      </w:pPr>
                      <w:r w:rsidRPr="00770036">
                        <w:t>One in four cases (24.8%) was diagnosed at the regional stage.</w:t>
                      </w:r>
                    </w:p>
                    <w:p w:rsidR="00CF610C" w:rsidRPr="00770036" w:rsidRDefault="00CF610C" w:rsidP="00AF5D0B">
                      <w:pPr>
                        <w:pStyle w:val="ListParagraph"/>
                        <w:jc w:val="both"/>
                      </w:pPr>
                      <w:r w:rsidRPr="00770036">
                        <w:t>4.5% of cases were diagnosed at the distant stage.</w:t>
                      </w:r>
                    </w:p>
                    <w:p w:rsidR="00CF610C" w:rsidRPr="00770036" w:rsidRDefault="00CF610C" w:rsidP="00AF5D0B">
                      <w:pPr>
                        <w:pStyle w:val="ListParagraph"/>
                        <w:jc w:val="both"/>
                      </w:pPr>
                      <w:r w:rsidRPr="00770036">
                        <w:t>2.9% of cases had unknown stage information.</w:t>
                      </w:r>
                    </w:p>
                  </w:txbxContent>
                </v:textbox>
                <w10:wrap anchorx="margin" anchory="page"/>
              </v:shape>
            </w:pict>
          </mc:Fallback>
        </mc:AlternateContent>
      </w:r>
      <w:r w:rsidR="00203002">
        <w:rPr>
          <w:noProof/>
          <w:lang w:bidi="ar-SA"/>
        </w:rPr>
        <w:drawing>
          <wp:inline distT="0" distB="0" distL="0" distR="0" wp14:anchorId="32FBD36A" wp14:editId="01EA5BDC">
            <wp:extent cx="4391891" cy="2633766"/>
            <wp:effectExtent l="0" t="0" r="8890" b="0"/>
            <wp:docPr id="104" name="Chart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93D38" w:rsidRDefault="00770036" w:rsidP="00B93D38">
      <w:r>
        <w:rPr>
          <w:b/>
          <w:noProof/>
          <w:lang w:bidi="ar-SA"/>
        </w:rPr>
        <mc:AlternateContent>
          <mc:Choice Requires="wps">
            <w:drawing>
              <wp:anchor distT="0" distB="0" distL="114300" distR="114300" simplePos="0" relativeHeight="252014592" behindDoc="1" locked="0" layoutInCell="1" allowOverlap="1" wp14:anchorId="16D2ABF0" wp14:editId="2B1AE5B1">
                <wp:simplePos x="0" y="0"/>
                <wp:positionH relativeFrom="margin">
                  <wp:posOffset>4808220</wp:posOffset>
                </wp:positionH>
                <wp:positionV relativeFrom="page">
                  <wp:posOffset>3916680</wp:posOffset>
                </wp:positionV>
                <wp:extent cx="3420110" cy="2575560"/>
                <wp:effectExtent l="0" t="0" r="27940" b="15240"/>
                <wp:wrapNone/>
                <wp:docPr id="5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575560"/>
                        </a:xfrm>
                        <a:prstGeom prst="rect">
                          <a:avLst/>
                        </a:prstGeom>
                        <a:solidFill>
                          <a:srgbClr val="FFFFFF"/>
                        </a:solidFill>
                        <a:ln w="9525">
                          <a:solidFill>
                            <a:schemeClr val="accent3"/>
                          </a:solidFill>
                          <a:miter lim="800000"/>
                          <a:headEnd/>
                          <a:tailEnd/>
                        </a:ln>
                      </wps:spPr>
                      <wps:txbx>
                        <w:txbxContent>
                          <w:p w:rsidR="00CF610C" w:rsidRPr="00770036" w:rsidRDefault="00CF610C" w:rsidP="00AF5D0B">
                            <w:pPr>
                              <w:pStyle w:val="ListParagraph"/>
                              <w:jc w:val="both"/>
                            </w:pPr>
                            <w:r w:rsidRPr="00770036">
                              <w:t>Among those with known stage, about one-third (30.2%) were diagnosed at late stages, either regional or distant.</w:t>
                            </w:r>
                          </w:p>
                          <w:p w:rsidR="00CF610C" w:rsidRPr="00770036" w:rsidRDefault="00CF610C" w:rsidP="00AF5D0B">
                            <w:pPr>
                              <w:pStyle w:val="ListParagraph"/>
                              <w:jc w:val="both"/>
                            </w:pPr>
                            <w:r w:rsidRPr="00770036">
                              <w:t>Black females had a higher proportion (37.7%) of cases diagnosed at late stages than white females (28.8%)</w:t>
                            </w:r>
                            <w:r>
                              <w:t xml:space="preserve"> and this difference was statistically significant</w:t>
                            </w:r>
                            <w:r w:rsidRPr="00770036">
                              <w:t>. This may partially explain the higher breast cancer mortality among black females.</w:t>
                            </w:r>
                          </w:p>
                          <w:p w:rsidR="00CF610C" w:rsidRPr="00770036" w:rsidRDefault="00CF610C" w:rsidP="00AF5D0B">
                            <w:pPr>
                              <w:pStyle w:val="ListParagraph"/>
                              <w:jc w:val="both"/>
                            </w:pPr>
                            <w:r w:rsidRPr="00770036">
                              <w:t xml:space="preserve">More information on female breast cancer can be found at the </w:t>
                            </w:r>
                            <w:hyperlink r:id="rId91" w:history="1">
                              <w:r w:rsidRPr="00770036">
                                <w:rPr>
                                  <w:rStyle w:val="Hyperlink"/>
                                </w:rPr>
                                <w:t>American Cancer Society</w:t>
                              </w:r>
                            </w:hyperlink>
                            <w:r w:rsidRPr="00770036">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61" type="#_x0000_t202" style="position:absolute;margin-left:378.6pt;margin-top:308.4pt;width:269.3pt;height:202.8pt;z-index:-251301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" strokecolor="#1b587c [3206]">
                <v:textbox inset=",0,,0">
                  <w:txbxContent>
                    <w:p w:rsidR="00CF610C" w:rsidRPr="00770036" w:rsidRDefault="00CF610C" w:rsidP="00AF5D0B">
                      <w:pPr>
                        <w:pStyle w:val="ListParagraph"/>
                        <w:jc w:val="both"/>
                      </w:pPr>
                      <w:r w:rsidRPr="00770036">
                        <w:t>Among those with known stage, about one-third (30.2%) were diagnosed at late stages, either regional or distant.</w:t>
                      </w:r>
                    </w:p>
                    <w:p w:rsidR="00CF610C" w:rsidRPr="00770036" w:rsidRDefault="00CF610C" w:rsidP="00AF5D0B">
                      <w:pPr>
                        <w:pStyle w:val="ListParagraph"/>
                        <w:jc w:val="both"/>
                      </w:pPr>
                      <w:r w:rsidRPr="00770036">
                        <w:t>Black females had a higher proportion (37.7%) of cases diagnosed at late stages than white females (28.8%)</w:t>
                      </w:r>
                      <w:r>
                        <w:t xml:space="preserve"> and this difference was statistically significant</w:t>
                      </w:r>
                      <w:r w:rsidRPr="00770036">
                        <w:t>. This may partially explain the higher breast cancer mortality among black females.</w:t>
                      </w:r>
                    </w:p>
                    <w:p w:rsidR="00CF610C" w:rsidRPr="00770036" w:rsidRDefault="00CF610C" w:rsidP="00AF5D0B">
                      <w:pPr>
                        <w:pStyle w:val="ListParagraph"/>
                        <w:jc w:val="both"/>
                      </w:pPr>
                      <w:r w:rsidRPr="00770036">
                        <w:t xml:space="preserve">More information on female breast cancer can be found at the </w:t>
                      </w:r>
                      <w:hyperlink r:id="rId92" w:history="1">
                        <w:r w:rsidRPr="00770036">
                          <w:rPr>
                            <w:rStyle w:val="Hyperlink"/>
                          </w:rPr>
                          <w:t>American Cancer Society</w:t>
                        </w:r>
                      </w:hyperlink>
                      <w:r w:rsidRPr="00770036">
                        <w:t>.</w:t>
                      </w:r>
                    </w:p>
                  </w:txbxContent>
                </v:textbox>
                <w10:wrap anchorx="margin" anchory="page"/>
              </v:shape>
            </w:pict>
          </mc:Fallback>
        </mc:AlternateContent>
      </w:r>
      <w:r w:rsidR="00203002">
        <w:rPr>
          <w:noProof/>
          <w:lang w:bidi="ar-SA"/>
        </w:rPr>
        <w:drawing>
          <wp:inline distT="0" distB="0" distL="0" distR="0" wp14:anchorId="41EA7711" wp14:editId="5AE690C1">
            <wp:extent cx="4572000" cy="2743200"/>
            <wp:effectExtent l="0" t="0" r="0" b="0"/>
            <wp:docPr id="105" name="Chart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81FCA" w:rsidRPr="00AF5D0B" w:rsidRDefault="005E61B4" w:rsidP="00B93D38">
      <w:pPr>
        <w:jc w:val="right"/>
        <w:rPr>
          <w:rStyle w:val="Hyperlink"/>
          <w:szCs w:val="26"/>
        </w:rPr>
      </w:pPr>
      <w:r>
        <w:rPr>
          <w:noProof/>
          <w:sz w:val="22"/>
          <w:lang w:bidi="ar-SA"/>
        </w:rPr>
        <mc:AlternateContent>
          <mc:Choice Requires="wps">
            <w:drawing>
              <wp:anchor distT="0" distB="0" distL="114300" distR="114300" simplePos="0" relativeHeight="252410880" behindDoc="0" locked="0" layoutInCell="1" allowOverlap="1" wp14:anchorId="5A4C2430" wp14:editId="36152ABE">
                <wp:simplePos x="0" y="0"/>
                <wp:positionH relativeFrom="column">
                  <wp:posOffset>3810</wp:posOffset>
                </wp:positionH>
                <wp:positionV relativeFrom="paragraph">
                  <wp:posOffset>354059</wp:posOffset>
                </wp:positionV>
                <wp:extent cx="8260579" cy="0"/>
                <wp:effectExtent l="0" t="0" r="26670" b="19050"/>
                <wp:wrapNone/>
                <wp:docPr id="354" name="Straight Connector 354"/>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4" o:spid="_x0000_s1026" style="position:absolute;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9pt" to="650.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" strokecolor="#1b587c [3206]" strokeweight="1pt"/>
            </w:pict>
          </mc:Fallback>
        </mc:AlternateContent>
      </w:r>
      <w:r w:rsidR="002949EC" w:rsidRPr="00AF5D0B">
        <w:rPr>
          <w:szCs w:val="26"/>
        </w:rPr>
        <w:fldChar w:fldCharType="begin"/>
      </w:r>
      <w:r w:rsidR="00425276" w:rsidRPr="00AF5D0B">
        <w:rPr>
          <w:szCs w:val="26"/>
        </w:rPr>
        <w:instrText>HYPERLINK  \l "_Data_Sources_1"</w:instrText>
      </w:r>
      <w:r w:rsidR="002949EC" w:rsidRPr="00AF5D0B">
        <w:rPr>
          <w:szCs w:val="26"/>
        </w:rPr>
        <w:fldChar w:fldCharType="separate"/>
      </w:r>
      <w:r w:rsidR="002949EC" w:rsidRPr="00AF5D0B">
        <w:rPr>
          <w:rStyle w:val="Hyperlink"/>
          <w:szCs w:val="26"/>
        </w:rPr>
        <w:t xml:space="preserve">Data </w:t>
      </w:r>
      <w:r w:rsidR="00F81FCA" w:rsidRPr="00AF5D0B">
        <w:rPr>
          <w:rStyle w:val="Hyperlink"/>
          <w:szCs w:val="26"/>
        </w:rPr>
        <w:t>Source</w:t>
      </w:r>
      <w:r w:rsidR="00425276" w:rsidRPr="00AF5D0B">
        <w:rPr>
          <w:rStyle w:val="Hyperlink"/>
          <w:szCs w:val="26"/>
        </w:rPr>
        <w:t xml:space="preserve"> </w:t>
      </w:r>
    </w:p>
    <w:bookmarkStart w:id="299" w:name="_Toc341099549"/>
    <w:p w:rsidR="00283725" w:rsidRPr="00976CBD" w:rsidRDefault="002949EC" w:rsidP="00903E48">
      <w:pPr>
        <w:pStyle w:val="Heading2"/>
        <w:rPr>
          <w:rStyle w:val="SubtleEmphasis"/>
          <w:b w:val="0"/>
          <w:i w:val="0"/>
          <w:iCs w:val="0"/>
          <w:color w:val="30243C" w:themeColor="accent5" w:themeShade="80"/>
        </w:rPr>
      </w:pPr>
      <w:r w:rsidRPr="00AF5D0B">
        <w:rPr>
          <w:rFonts w:asciiTheme="minorHAnsi" w:hAnsiTheme="minorHAnsi"/>
          <w:color w:val="auto"/>
          <w:spacing w:val="0"/>
          <w:sz w:val="20"/>
        </w:rPr>
        <w:lastRenderedPageBreak/>
        <w:fldChar w:fldCharType="end"/>
      </w:r>
      <w:bookmarkStart w:id="300" w:name="_Toc421608543"/>
      <w:bookmarkStart w:id="301" w:name="_Toc421609361"/>
      <w:bookmarkStart w:id="302" w:name="_Toc421609695"/>
      <w:bookmarkStart w:id="303" w:name="_Toc421611221"/>
      <w:bookmarkStart w:id="304" w:name="_Toc439918851"/>
      <w:r w:rsidR="000C699F" w:rsidRPr="00976CBD">
        <w:rPr>
          <w:rStyle w:val="SubtleEmphasis"/>
          <w:b w:val="0"/>
          <w:i w:val="0"/>
          <w:iCs w:val="0"/>
          <w:color w:val="30243C" w:themeColor="accent5" w:themeShade="80"/>
        </w:rPr>
        <w:t>C</w:t>
      </w:r>
      <w:r w:rsidR="00283725" w:rsidRPr="00976CBD">
        <w:rPr>
          <w:rStyle w:val="SubtleEmphasis"/>
          <w:b w:val="0"/>
          <w:i w:val="0"/>
          <w:iCs w:val="0"/>
          <w:color w:val="30243C" w:themeColor="accent5" w:themeShade="80"/>
        </w:rPr>
        <w:t xml:space="preserve">ancer of </w:t>
      </w:r>
      <w:r w:rsidR="006E430F" w:rsidRPr="00976CBD">
        <w:rPr>
          <w:rStyle w:val="SubtleEmphasis"/>
          <w:b w:val="0"/>
          <w:i w:val="0"/>
          <w:iCs w:val="0"/>
          <w:color w:val="30243C" w:themeColor="accent5" w:themeShade="80"/>
        </w:rPr>
        <w:t>C</w:t>
      </w:r>
      <w:r w:rsidR="00283725" w:rsidRPr="00976CBD">
        <w:rPr>
          <w:rStyle w:val="SubtleEmphasis"/>
          <w:b w:val="0"/>
          <w:i w:val="0"/>
          <w:iCs w:val="0"/>
          <w:color w:val="30243C" w:themeColor="accent5" w:themeShade="80"/>
        </w:rPr>
        <w:t xml:space="preserve">olon and </w:t>
      </w:r>
      <w:r w:rsidR="006E430F" w:rsidRPr="00976CBD">
        <w:rPr>
          <w:rStyle w:val="SubtleEmphasis"/>
          <w:b w:val="0"/>
          <w:i w:val="0"/>
          <w:iCs w:val="0"/>
          <w:color w:val="30243C" w:themeColor="accent5" w:themeShade="80"/>
        </w:rPr>
        <w:t>R</w:t>
      </w:r>
      <w:r w:rsidR="00283725" w:rsidRPr="00976CBD">
        <w:rPr>
          <w:rStyle w:val="SubtleEmphasis"/>
          <w:b w:val="0"/>
          <w:i w:val="0"/>
          <w:iCs w:val="0"/>
          <w:color w:val="30243C" w:themeColor="accent5" w:themeShade="80"/>
        </w:rPr>
        <w:t>ectum</w:t>
      </w:r>
      <w:bookmarkEnd w:id="299"/>
      <w:bookmarkEnd w:id="300"/>
      <w:bookmarkEnd w:id="301"/>
      <w:bookmarkEnd w:id="302"/>
      <w:bookmarkEnd w:id="303"/>
      <w:bookmarkEnd w:id="304"/>
    </w:p>
    <w:p w:rsidR="00283725" w:rsidRDefault="00770036">
      <w:r>
        <w:rPr>
          <w:noProof/>
          <w:lang w:bidi="ar-SA"/>
        </w:rPr>
        <mc:AlternateContent>
          <mc:Choice Requires="wps">
            <w:drawing>
              <wp:anchor distT="0" distB="0" distL="114300" distR="114300" simplePos="0" relativeHeight="251783168" behindDoc="1" locked="0" layoutInCell="1" allowOverlap="1" wp14:anchorId="651584AD" wp14:editId="058FCFE5">
                <wp:simplePos x="0" y="0"/>
                <wp:positionH relativeFrom="margin">
                  <wp:posOffset>5029200</wp:posOffset>
                </wp:positionH>
                <wp:positionV relativeFrom="margin">
                  <wp:posOffset>431800</wp:posOffset>
                </wp:positionV>
                <wp:extent cx="3200400" cy="5376333"/>
                <wp:effectExtent l="0" t="0" r="19050" b="15240"/>
                <wp:wrapNone/>
                <wp:docPr id="5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376333"/>
                        </a:xfrm>
                        <a:prstGeom prst="rect">
                          <a:avLst/>
                        </a:prstGeom>
                        <a:solidFill>
                          <a:srgbClr val="FFFFFF"/>
                        </a:solidFill>
                        <a:ln w="9525">
                          <a:solidFill>
                            <a:schemeClr val="accent3"/>
                          </a:solidFill>
                          <a:miter lim="800000"/>
                          <a:headEnd/>
                          <a:tailEnd/>
                        </a:ln>
                      </wps:spPr>
                      <wps:txbx>
                        <w:txbxContent>
                          <w:p w:rsidR="00CF610C" w:rsidRPr="00770036" w:rsidRDefault="00CF610C" w:rsidP="00AF5D0B">
                            <w:pPr>
                              <w:pStyle w:val="ListParagraph"/>
                              <w:jc w:val="both"/>
                            </w:pPr>
                            <w:r w:rsidRPr="00770036">
                              <w:t>A total of 15,223 new cases of colorectal cancer were reported among Tennesseans from 2008-2012, and the age-adjusted incidence rate was 43.</w:t>
                            </w:r>
                            <w:r>
                              <w:t>3</w:t>
                            </w:r>
                            <w:r w:rsidRPr="00770036">
                              <w:t xml:space="preserve"> per 100,000.</w:t>
                            </w:r>
                          </w:p>
                          <w:p w:rsidR="00CF610C" w:rsidRPr="00770036" w:rsidRDefault="00CF610C" w:rsidP="00AF5D0B">
                            <w:pPr>
                              <w:pStyle w:val="ListParagraph"/>
                              <w:jc w:val="both"/>
                            </w:pPr>
                            <w:r w:rsidRPr="00770036">
                              <w:t>During the same time period, 6,038 colorectal cancer deaths were reported, resulting in an age-adjusted mortality rate of 17.4 per 100,000.</w:t>
                            </w:r>
                          </w:p>
                          <w:p w:rsidR="00CF610C" w:rsidRPr="00770036" w:rsidRDefault="00CF610C" w:rsidP="00AF5D0B">
                            <w:pPr>
                              <w:pStyle w:val="ListParagraph"/>
                              <w:jc w:val="both"/>
                            </w:pPr>
                            <w:r w:rsidRPr="00770036">
                              <w:t>Males had higher incidence and mortality rates than females regardless of race.</w:t>
                            </w:r>
                          </w:p>
                          <w:p w:rsidR="00CF610C" w:rsidRPr="00770036" w:rsidRDefault="00CF610C" w:rsidP="00AF5D0B">
                            <w:pPr>
                              <w:pStyle w:val="ListParagraph"/>
                              <w:jc w:val="both"/>
                            </w:pPr>
                            <w:r w:rsidRPr="00770036">
                              <w:t>Blacks had higher incidence and mortality rates than whites regardless of gender.</w:t>
                            </w:r>
                          </w:p>
                          <w:p w:rsidR="00CF610C" w:rsidRPr="00770036" w:rsidRDefault="00CF610C" w:rsidP="00AF5D0B">
                            <w:pPr>
                              <w:pStyle w:val="ListParagraph"/>
                              <w:jc w:val="both"/>
                            </w:pPr>
                            <w:r w:rsidRPr="00770036">
                              <w:t xml:space="preserve">Black males had the highest </w:t>
                            </w:r>
                            <w:r>
                              <w:t>incidence</w:t>
                            </w:r>
                            <w:r w:rsidRPr="00770036">
                              <w:t xml:space="preserve"> rate (</w:t>
                            </w:r>
                            <w:r>
                              <w:t>63.9 per 100,000</w:t>
                            </w:r>
                            <w:r w:rsidRPr="00770036">
                              <w:t>) among the four gender-race groups while white females had the lowest (</w:t>
                            </w:r>
                            <w:r>
                              <w:t>36.5 per 100,000</w:t>
                            </w:r>
                            <w:r w:rsidRPr="00770036">
                              <w:t xml:space="preserve">); the same pattern was also observed for </w:t>
                            </w:r>
                            <w:r>
                              <w:t>mortality</w:t>
                            </w:r>
                            <w:r w:rsidRPr="00770036">
                              <w:t xml:space="preserve"> rates.</w:t>
                            </w:r>
                          </w:p>
                          <w:p w:rsidR="00CF610C" w:rsidRPr="00770036" w:rsidRDefault="00CF610C" w:rsidP="00AF5D0B">
                            <w:pPr>
                              <w:pStyle w:val="ListParagraph"/>
                              <w:jc w:val="both"/>
                            </w:pPr>
                            <w:r w:rsidRPr="00770036">
                              <w:t>The colorectal cancer incidence rate dropped by 13.9% from 2008 to 2012 and this change was statistically significant.</w:t>
                            </w:r>
                          </w:p>
                          <w:p w:rsidR="00CF610C" w:rsidRPr="00770036" w:rsidRDefault="00CF610C" w:rsidP="00AF5D0B">
                            <w:pPr>
                              <w:pStyle w:val="ListParagraph"/>
                              <w:jc w:val="both"/>
                            </w:pPr>
                            <w:r w:rsidRPr="00770036">
                              <w:t xml:space="preserve">The colorectal cancer mortality rate </w:t>
                            </w:r>
                            <w:r>
                              <w:t xml:space="preserve">also </w:t>
                            </w:r>
                            <w:r w:rsidRPr="00770036">
                              <w:t xml:space="preserve">decreased by 11.6% from 2008 to 2012 and this change was statistically significant.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62" type="#_x0000_t202" style="position:absolute;margin-left:396pt;margin-top:34pt;width:252pt;height:423.3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" strokecolor="#1b587c [3206]">
                <v:textbox inset=",0,,0">
                  <w:txbxContent>
                    <w:p w:rsidR="00CF610C" w:rsidRPr="00770036" w:rsidRDefault="00CF610C" w:rsidP="00AF5D0B">
                      <w:pPr>
                        <w:pStyle w:val="ListParagraph"/>
                        <w:jc w:val="both"/>
                      </w:pPr>
                      <w:r w:rsidRPr="00770036">
                        <w:t>A total of 15,223 new cases of colorectal cancer were reported among Tennesseans from 2008-2012, and the age-adjusted incidence rate was 43.</w:t>
                      </w:r>
                      <w:r>
                        <w:t>3</w:t>
                      </w:r>
                      <w:r w:rsidRPr="00770036">
                        <w:t xml:space="preserve"> per 100,000.</w:t>
                      </w:r>
                    </w:p>
                    <w:p w:rsidR="00CF610C" w:rsidRPr="00770036" w:rsidRDefault="00CF610C" w:rsidP="00AF5D0B">
                      <w:pPr>
                        <w:pStyle w:val="ListParagraph"/>
                        <w:jc w:val="both"/>
                      </w:pPr>
                      <w:r w:rsidRPr="00770036">
                        <w:t>During the same time period, 6,038 colorectal cancer deaths were reported, resulting in an age-adjusted mortality rate of 17.4 per 100,000.</w:t>
                      </w:r>
                    </w:p>
                    <w:p w:rsidR="00CF610C" w:rsidRPr="00770036" w:rsidRDefault="00CF610C" w:rsidP="00AF5D0B">
                      <w:pPr>
                        <w:pStyle w:val="ListParagraph"/>
                        <w:jc w:val="both"/>
                      </w:pPr>
                      <w:r w:rsidRPr="00770036">
                        <w:t>Males had higher incidence and mortality rates than females regardless of race.</w:t>
                      </w:r>
                    </w:p>
                    <w:p w:rsidR="00CF610C" w:rsidRPr="00770036" w:rsidRDefault="00CF610C" w:rsidP="00AF5D0B">
                      <w:pPr>
                        <w:pStyle w:val="ListParagraph"/>
                        <w:jc w:val="both"/>
                      </w:pPr>
                      <w:r w:rsidRPr="00770036">
                        <w:t>Blacks had higher incidence and mortality rates than whites regardless of gender.</w:t>
                      </w:r>
                    </w:p>
                    <w:p w:rsidR="00CF610C" w:rsidRPr="00770036" w:rsidRDefault="00CF610C" w:rsidP="00AF5D0B">
                      <w:pPr>
                        <w:pStyle w:val="ListParagraph"/>
                        <w:jc w:val="both"/>
                      </w:pPr>
                      <w:r w:rsidRPr="00770036">
                        <w:t xml:space="preserve">Black males had the highest </w:t>
                      </w:r>
                      <w:r>
                        <w:t>incidence</w:t>
                      </w:r>
                      <w:r w:rsidRPr="00770036">
                        <w:t xml:space="preserve"> rate (</w:t>
                      </w:r>
                      <w:r>
                        <w:t>63.9 per 100,000</w:t>
                      </w:r>
                      <w:r w:rsidRPr="00770036">
                        <w:t>) among the four gender-race groups while white females had the lowest (</w:t>
                      </w:r>
                      <w:r>
                        <w:t>36.5 per 100,000</w:t>
                      </w:r>
                      <w:r w:rsidRPr="00770036">
                        <w:t xml:space="preserve">); the same pattern was also observed for </w:t>
                      </w:r>
                      <w:r>
                        <w:t>mortality</w:t>
                      </w:r>
                      <w:r w:rsidRPr="00770036">
                        <w:t xml:space="preserve"> rates.</w:t>
                      </w:r>
                    </w:p>
                    <w:p w:rsidR="00CF610C" w:rsidRPr="00770036" w:rsidRDefault="00CF610C" w:rsidP="00AF5D0B">
                      <w:pPr>
                        <w:pStyle w:val="ListParagraph"/>
                        <w:jc w:val="both"/>
                      </w:pPr>
                      <w:r w:rsidRPr="00770036">
                        <w:t>The colorectal cancer incidence rate dropped by 13.9% from 2008 to 2012 and this change was statistically significant.</w:t>
                      </w:r>
                    </w:p>
                    <w:p w:rsidR="00CF610C" w:rsidRPr="00770036" w:rsidRDefault="00CF610C" w:rsidP="00AF5D0B">
                      <w:pPr>
                        <w:pStyle w:val="ListParagraph"/>
                        <w:jc w:val="both"/>
                      </w:pPr>
                      <w:r w:rsidRPr="00770036">
                        <w:t xml:space="preserve">The colorectal cancer mortality rate </w:t>
                      </w:r>
                      <w:r>
                        <w:t xml:space="preserve">also </w:t>
                      </w:r>
                      <w:r w:rsidRPr="00770036">
                        <w:t xml:space="preserve">decreased by 11.6% from 2008 to 2012 and this change was statistically significant. </w:t>
                      </w:r>
                    </w:p>
                  </w:txbxContent>
                </v:textbox>
                <w10:wrap anchorx="margin" anchory="margin"/>
              </v:shape>
            </w:pict>
          </mc:Fallback>
        </mc:AlternateContent>
      </w:r>
      <w:r w:rsidR="007F7A70">
        <w:rPr>
          <w:noProof/>
          <w:lang w:bidi="ar-SA"/>
        </w:rPr>
        <w:drawing>
          <wp:inline distT="0" distB="0" distL="0" distR="0" wp14:anchorId="79273F02" wp14:editId="71A9201E">
            <wp:extent cx="4572000" cy="2743200"/>
            <wp:effectExtent l="0" t="0" r="0" b="0"/>
            <wp:docPr id="108" name="Chart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83725" w:rsidRDefault="007F7A70">
      <w:r>
        <w:rPr>
          <w:noProof/>
          <w:lang w:bidi="ar-SA"/>
        </w:rPr>
        <w:drawing>
          <wp:inline distT="0" distB="0" distL="0" distR="0" wp14:anchorId="00420A6D" wp14:editId="00969DE4">
            <wp:extent cx="4590288" cy="2742745"/>
            <wp:effectExtent l="0" t="0" r="1270" b="635"/>
            <wp:docPr id="111" name="Chart 1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83725" w:rsidRPr="002949EC" w:rsidRDefault="005E61B4" w:rsidP="00E4770D">
      <w:pPr>
        <w:jc w:val="right"/>
        <w:rPr>
          <w:rStyle w:val="Hyperlink"/>
        </w:rPr>
      </w:pPr>
      <w:r>
        <w:rPr>
          <w:noProof/>
          <w:sz w:val="22"/>
          <w:lang w:bidi="ar-SA"/>
        </w:rPr>
        <mc:AlternateContent>
          <mc:Choice Requires="wps">
            <w:drawing>
              <wp:anchor distT="0" distB="0" distL="114300" distR="114300" simplePos="0" relativeHeight="252412928" behindDoc="0" locked="0" layoutInCell="1" allowOverlap="1" wp14:anchorId="2D33E057" wp14:editId="3A322769">
                <wp:simplePos x="0" y="0"/>
                <wp:positionH relativeFrom="column">
                  <wp:posOffset>4020</wp:posOffset>
                </wp:positionH>
                <wp:positionV relativeFrom="paragraph">
                  <wp:posOffset>266601</wp:posOffset>
                </wp:positionV>
                <wp:extent cx="8260579" cy="0"/>
                <wp:effectExtent l="0" t="0" r="26670" b="19050"/>
                <wp:wrapNone/>
                <wp:docPr id="355" name="Straight Connector 355"/>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5" o:spid="_x0000_s1026" style="position:absolute;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1pt" to="650.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" strokecolor="#1b587c [3206]" strokeweight="1pt"/>
            </w:pict>
          </mc:Fallback>
        </mc:AlternateContent>
      </w:r>
      <w:r w:rsidR="002949EC">
        <w:fldChar w:fldCharType="begin"/>
      </w:r>
      <w:r w:rsidR="00A0538B">
        <w:instrText>HYPERLINK  \l "_Data_Sources_1"</w:instrText>
      </w:r>
      <w:r w:rsidR="002949EC">
        <w:fldChar w:fldCharType="separate"/>
      </w:r>
      <w:r w:rsidR="002949EC" w:rsidRPr="002949EC">
        <w:rPr>
          <w:rStyle w:val="Hyperlink"/>
        </w:rPr>
        <w:t xml:space="preserve">Data </w:t>
      </w:r>
      <w:r w:rsidR="00E4770D" w:rsidRPr="002949EC">
        <w:rPr>
          <w:rStyle w:val="Hyperlink"/>
        </w:rPr>
        <w:t>Source</w:t>
      </w:r>
    </w:p>
    <w:bookmarkStart w:id="305" w:name="_Toc337647250"/>
    <w:bookmarkStart w:id="306" w:name="_Toc337647369"/>
    <w:bookmarkStart w:id="307" w:name="_Toc339960299"/>
    <w:bookmarkStart w:id="308" w:name="_Toc341097778"/>
    <w:bookmarkStart w:id="309" w:name="_Toc341099550"/>
    <w:bookmarkStart w:id="310" w:name="_Toc341175079"/>
    <w:bookmarkStart w:id="311" w:name="_Toc341175175"/>
    <w:bookmarkStart w:id="312" w:name="_Toc341175541"/>
    <w:bookmarkStart w:id="313" w:name="_Toc341175906"/>
    <w:bookmarkStart w:id="314" w:name="_Toc341180949"/>
    <w:bookmarkStart w:id="315" w:name="_Toc341261033"/>
    <w:bookmarkStart w:id="316" w:name="_Toc342638174"/>
    <w:bookmarkStart w:id="317" w:name="_Toc346002137"/>
    <w:bookmarkStart w:id="318" w:name="_Toc374006835"/>
    <w:bookmarkStart w:id="319" w:name="_Toc400634534"/>
    <w:p w:rsidR="00283725" w:rsidRPr="00121F3E" w:rsidRDefault="002949EC" w:rsidP="00494849">
      <w:pPr>
        <w:pStyle w:val="Heading5"/>
        <w:rPr>
          <w:rStyle w:val="SubtleEmphasis"/>
          <w:b w:val="0"/>
          <w:i w:val="0"/>
          <w:iCs w:val="0"/>
          <w:color w:val="30243C" w:themeColor="accent5" w:themeShade="80"/>
        </w:rPr>
      </w:pPr>
      <w:r>
        <w:rPr>
          <w:rFonts w:asciiTheme="minorHAnsi" w:hAnsiTheme="minorHAnsi"/>
          <w:color w:val="auto"/>
          <w:spacing w:val="0"/>
          <w:szCs w:val="20"/>
        </w:rPr>
        <w:lastRenderedPageBreak/>
        <w:fldChar w:fldCharType="end"/>
      </w:r>
      <w:r w:rsidR="000C699F" w:rsidRPr="00121F3E">
        <w:rPr>
          <w:rStyle w:val="SubtleEmphasis"/>
          <w:b w:val="0"/>
          <w:i w:val="0"/>
          <w:iCs w:val="0"/>
          <w:color w:val="30243C" w:themeColor="accent5" w:themeShade="80"/>
        </w:rPr>
        <w:t>C</w:t>
      </w:r>
      <w:r w:rsidR="00FE17E6" w:rsidRPr="00121F3E">
        <w:rPr>
          <w:rStyle w:val="SubtleEmphasis"/>
          <w:b w:val="0"/>
          <w:i w:val="0"/>
          <w:iCs w:val="0"/>
          <w:color w:val="30243C" w:themeColor="accent5" w:themeShade="80"/>
        </w:rPr>
        <w:t>ancer of C</w:t>
      </w:r>
      <w:r w:rsidR="00283725" w:rsidRPr="00121F3E">
        <w:rPr>
          <w:rStyle w:val="SubtleEmphasis"/>
          <w:b w:val="0"/>
          <w:i w:val="0"/>
          <w:iCs w:val="0"/>
          <w:color w:val="30243C" w:themeColor="accent5" w:themeShade="80"/>
        </w:rPr>
        <w:t xml:space="preserve">olon and </w:t>
      </w:r>
      <w:r w:rsidR="00FE17E6" w:rsidRPr="00121F3E">
        <w:rPr>
          <w:rStyle w:val="SubtleEmphasis"/>
          <w:b w:val="0"/>
          <w:i w:val="0"/>
          <w:iCs w:val="0"/>
          <w:color w:val="30243C" w:themeColor="accent5" w:themeShade="80"/>
        </w:rPr>
        <w:t>Rectum C</w:t>
      </w:r>
      <w:r w:rsidR="00283725" w:rsidRPr="00121F3E">
        <w:rPr>
          <w:rStyle w:val="SubtleEmphasis"/>
          <w:b w:val="0"/>
          <w:i w:val="0"/>
          <w:iCs w:val="0"/>
          <w:color w:val="30243C" w:themeColor="accent5" w:themeShade="80"/>
        </w:rPr>
        <w:t>ontinued</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7F7A70" w:rsidRDefault="00770036">
      <w:r>
        <w:rPr>
          <w:noProof/>
          <w:lang w:bidi="ar-SA"/>
        </w:rPr>
        <mc:AlternateContent>
          <mc:Choice Requires="wps">
            <w:drawing>
              <wp:anchor distT="0" distB="0" distL="114300" distR="114300" simplePos="0" relativeHeight="251784192" behindDoc="1" locked="0" layoutInCell="1" allowOverlap="1" wp14:anchorId="311EB5BF" wp14:editId="022F289F">
                <wp:simplePos x="0" y="0"/>
                <wp:positionH relativeFrom="margin">
                  <wp:posOffset>4798060</wp:posOffset>
                </wp:positionH>
                <wp:positionV relativeFrom="page">
                  <wp:posOffset>1520825</wp:posOffset>
                </wp:positionV>
                <wp:extent cx="3420110" cy="1638935"/>
                <wp:effectExtent l="0" t="0" r="27940" b="18415"/>
                <wp:wrapNone/>
                <wp:docPr id="4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638935"/>
                        </a:xfrm>
                        <a:prstGeom prst="rect">
                          <a:avLst/>
                        </a:prstGeom>
                        <a:solidFill>
                          <a:srgbClr val="FFFFFF"/>
                        </a:solidFill>
                        <a:ln w="9525">
                          <a:solidFill>
                            <a:schemeClr val="accent3"/>
                          </a:solidFill>
                          <a:miter lim="800000"/>
                          <a:headEnd/>
                          <a:tailEnd/>
                        </a:ln>
                      </wps:spPr>
                      <wps:txbx>
                        <w:txbxContent>
                          <w:p w:rsidR="00CF610C" w:rsidRPr="00770036" w:rsidRDefault="00CF610C" w:rsidP="006A7D4C">
                            <w:pPr>
                              <w:pStyle w:val="ListParagraph"/>
                              <w:jc w:val="both"/>
                            </w:pPr>
                            <w:r w:rsidRPr="00770036">
                              <w:t>3.9% of the colorectal cancer incidence cases were diagnosed at the in situ stage.</w:t>
                            </w:r>
                          </w:p>
                          <w:p w:rsidR="00CF610C" w:rsidRPr="00770036" w:rsidRDefault="00CF610C" w:rsidP="006A7D4C">
                            <w:pPr>
                              <w:pStyle w:val="ListParagraph"/>
                              <w:jc w:val="both"/>
                            </w:pPr>
                            <w:r w:rsidRPr="00770036">
                              <w:t>38.4% were diagnosed at the localized stage.</w:t>
                            </w:r>
                          </w:p>
                          <w:p w:rsidR="00CF610C" w:rsidRPr="00770036" w:rsidRDefault="00CF610C" w:rsidP="006A7D4C">
                            <w:pPr>
                              <w:pStyle w:val="ListParagraph"/>
                              <w:jc w:val="both"/>
                            </w:pPr>
                            <w:r w:rsidRPr="00770036">
                              <w:t>32.4% were diagnosed at the regional stage.</w:t>
                            </w:r>
                          </w:p>
                          <w:p w:rsidR="00CF610C" w:rsidRPr="00770036" w:rsidRDefault="00CF610C" w:rsidP="006A7D4C">
                            <w:pPr>
                              <w:pStyle w:val="ListParagraph"/>
                              <w:jc w:val="both"/>
                            </w:pPr>
                            <w:r w:rsidRPr="00770036">
                              <w:t>19.0% were diagnosed at the distant stage.</w:t>
                            </w:r>
                          </w:p>
                          <w:p w:rsidR="00CF610C" w:rsidRPr="00770036" w:rsidRDefault="00CF610C" w:rsidP="006A7D4C">
                            <w:pPr>
                              <w:pStyle w:val="ListParagraph"/>
                              <w:jc w:val="both"/>
                            </w:pPr>
                            <w:r w:rsidRPr="00770036">
                              <w:t>6.3% of cases had unknown stage information.</w:t>
                            </w:r>
                          </w:p>
                          <w:p w:rsidR="00CF610C" w:rsidRPr="00770036" w:rsidRDefault="00CF610C" w:rsidP="00650378">
                            <w:pPr>
                              <w:rPr>
                                <w:sz w:val="24"/>
                                <w:szCs w:val="24"/>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63" type="#_x0000_t202" style="position:absolute;margin-left:377.8pt;margin-top:119.75pt;width:269.3pt;height:129.0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" strokecolor="#1b587c [3206]">
                <v:textbox inset=",0,,0">
                  <w:txbxContent>
                    <w:p w:rsidR="00CF610C" w:rsidRPr="00770036" w:rsidRDefault="00CF610C" w:rsidP="006A7D4C">
                      <w:pPr>
                        <w:pStyle w:val="ListParagraph"/>
                        <w:jc w:val="both"/>
                      </w:pPr>
                      <w:r w:rsidRPr="00770036">
                        <w:t>3.9% of the colorectal cancer incidence cases were diagnosed at the in situ stage.</w:t>
                      </w:r>
                    </w:p>
                    <w:p w:rsidR="00CF610C" w:rsidRPr="00770036" w:rsidRDefault="00CF610C" w:rsidP="006A7D4C">
                      <w:pPr>
                        <w:pStyle w:val="ListParagraph"/>
                        <w:jc w:val="both"/>
                      </w:pPr>
                      <w:r w:rsidRPr="00770036">
                        <w:t>38.4% were diagnosed at the localized stage.</w:t>
                      </w:r>
                    </w:p>
                    <w:p w:rsidR="00CF610C" w:rsidRPr="00770036" w:rsidRDefault="00CF610C" w:rsidP="006A7D4C">
                      <w:pPr>
                        <w:pStyle w:val="ListParagraph"/>
                        <w:jc w:val="both"/>
                      </w:pPr>
                      <w:r w:rsidRPr="00770036">
                        <w:t>32.4% were diagnosed at the regional stage.</w:t>
                      </w:r>
                    </w:p>
                    <w:p w:rsidR="00CF610C" w:rsidRPr="00770036" w:rsidRDefault="00CF610C" w:rsidP="006A7D4C">
                      <w:pPr>
                        <w:pStyle w:val="ListParagraph"/>
                        <w:jc w:val="both"/>
                      </w:pPr>
                      <w:r w:rsidRPr="00770036">
                        <w:t>19.0% were diagnosed at the distant stage.</w:t>
                      </w:r>
                    </w:p>
                    <w:p w:rsidR="00CF610C" w:rsidRPr="00770036" w:rsidRDefault="00CF610C" w:rsidP="006A7D4C">
                      <w:pPr>
                        <w:pStyle w:val="ListParagraph"/>
                        <w:jc w:val="both"/>
                      </w:pPr>
                      <w:r w:rsidRPr="00770036">
                        <w:t>6.3% of cases had unknown stage information.</w:t>
                      </w:r>
                    </w:p>
                    <w:p w:rsidR="00CF610C" w:rsidRPr="00770036" w:rsidRDefault="00CF610C" w:rsidP="00650378">
                      <w:pPr>
                        <w:rPr>
                          <w:sz w:val="24"/>
                          <w:szCs w:val="24"/>
                        </w:rPr>
                      </w:pPr>
                    </w:p>
                  </w:txbxContent>
                </v:textbox>
                <w10:wrap anchorx="margin" anchory="page"/>
              </v:shape>
            </w:pict>
          </mc:Fallback>
        </mc:AlternateContent>
      </w:r>
      <w:r w:rsidR="007F7A70">
        <w:rPr>
          <w:noProof/>
          <w:lang w:bidi="ar-SA"/>
        </w:rPr>
        <w:drawing>
          <wp:inline distT="0" distB="0" distL="0" distR="0" wp14:anchorId="66361322" wp14:editId="4388E21C">
            <wp:extent cx="4572000" cy="2313709"/>
            <wp:effectExtent l="0" t="0" r="0" b="0"/>
            <wp:docPr id="114" name="Chart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83725" w:rsidRDefault="00283725"/>
    <w:p w:rsidR="00283725" w:rsidRDefault="002260A1">
      <w:r>
        <w:rPr>
          <w:noProof/>
          <w:lang w:bidi="ar-SA"/>
        </w:rPr>
        <w:drawing>
          <wp:inline distT="0" distB="0" distL="0" distR="0" wp14:anchorId="75572615" wp14:editId="2B5CF2A2">
            <wp:extent cx="4572000" cy="27432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770036">
        <w:rPr>
          <w:iCs/>
          <w:noProof/>
          <w:color w:val="773F04" w:themeColor="accent1" w:themeShade="7F"/>
          <w:lang w:bidi="ar-SA"/>
        </w:rPr>
        <mc:AlternateContent>
          <mc:Choice Requires="wps">
            <w:drawing>
              <wp:anchor distT="0" distB="0" distL="114300" distR="114300" simplePos="0" relativeHeight="252021760" behindDoc="1" locked="0" layoutInCell="1" allowOverlap="1" wp14:anchorId="27D50632" wp14:editId="325B81BC">
                <wp:simplePos x="0" y="0"/>
                <wp:positionH relativeFrom="margin">
                  <wp:posOffset>4806669</wp:posOffset>
                </wp:positionH>
                <wp:positionV relativeFrom="page">
                  <wp:posOffset>3819441</wp:posOffset>
                </wp:positionV>
                <wp:extent cx="3420110" cy="2811600"/>
                <wp:effectExtent l="0" t="0" r="27940" b="27305"/>
                <wp:wrapNone/>
                <wp:docPr id="4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811600"/>
                        </a:xfrm>
                        <a:prstGeom prst="rect">
                          <a:avLst/>
                        </a:prstGeom>
                        <a:solidFill>
                          <a:srgbClr val="FFFFFF"/>
                        </a:solidFill>
                        <a:ln w="9525">
                          <a:solidFill>
                            <a:schemeClr val="accent3"/>
                          </a:solidFill>
                          <a:miter lim="800000"/>
                          <a:headEnd/>
                          <a:tailEnd/>
                        </a:ln>
                      </wps:spPr>
                      <wps:txbx>
                        <w:txbxContent>
                          <w:p w:rsidR="00CF610C" w:rsidRPr="00770036" w:rsidRDefault="00CF610C" w:rsidP="006A7D4C">
                            <w:pPr>
                              <w:pStyle w:val="ListParagraph"/>
                              <w:jc w:val="both"/>
                            </w:pPr>
                            <w:r w:rsidRPr="00770036">
                              <w:t>Among those</w:t>
                            </w:r>
                            <w:r>
                              <w:t xml:space="preserve"> cases in TN</w:t>
                            </w:r>
                            <w:r w:rsidRPr="00770036">
                              <w:t xml:space="preserve"> with known stage, 54.</w:t>
                            </w:r>
                            <w:r>
                              <w:t>9</w:t>
                            </w:r>
                            <w:r w:rsidRPr="00770036">
                              <w:t>% were diagnosed at either the regional or distant stage, i.e., late stages.</w:t>
                            </w:r>
                          </w:p>
                          <w:p w:rsidR="00CF610C" w:rsidRPr="00770036" w:rsidRDefault="00CF610C" w:rsidP="006A7D4C">
                            <w:pPr>
                              <w:pStyle w:val="ListParagraph"/>
                              <w:jc w:val="both"/>
                            </w:pPr>
                            <w:r w:rsidRPr="00770036">
                              <w:t>Black Tennesseans had a higher proportion (57.0%) of cases diagnosed at late stages than whites (5</w:t>
                            </w:r>
                            <w:r>
                              <w:t>4</w:t>
                            </w:r>
                            <w:r w:rsidRPr="00770036">
                              <w:t>.</w:t>
                            </w:r>
                            <w:r>
                              <w:t>6</w:t>
                            </w:r>
                            <w:r w:rsidRPr="00770036">
                              <w:t>%), which was statistically significant.</w:t>
                            </w:r>
                          </w:p>
                          <w:p w:rsidR="00CF610C" w:rsidRPr="00770036" w:rsidRDefault="00CF610C" w:rsidP="006A7D4C">
                            <w:pPr>
                              <w:pStyle w:val="ListParagraph"/>
                              <w:jc w:val="both"/>
                            </w:pPr>
                            <w:r w:rsidRPr="00770036">
                              <w:t>Almost one-fourth (24.2%) of blacks were diagnosed at the distant stage, compared to one-fifth (19.7%) of whites.</w:t>
                            </w:r>
                          </w:p>
                          <w:p w:rsidR="00CF610C" w:rsidRPr="00770036" w:rsidRDefault="00CF610C" w:rsidP="006A7D4C">
                            <w:pPr>
                              <w:pStyle w:val="ListParagraph"/>
                              <w:jc w:val="both"/>
                            </w:pPr>
                            <w:r w:rsidRPr="00770036">
                              <w:t xml:space="preserve">More information on colorectal cancer can be found at the </w:t>
                            </w:r>
                            <w:hyperlink r:id="rId98" w:history="1">
                              <w:r w:rsidRPr="00770036">
                                <w:rPr>
                                  <w:rStyle w:val="Hyperlink"/>
                                </w:rPr>
                                <w:t>American Cancer Society</w:t>
                              </w:r>
                            </w:hyperlink>
                            <w:r w:rsidRPr="00770036">
                              <w:t>.</w:t>
                            </w:r>
                          </w:p>
                          <w:p w:rsidR="00CF610C" w:rsidRPr="00770036" w:rsidRDefault="00CF610C" w:rsidP="009B0FBF">
                            <w:pPr>
                              <w:rPr>
                                <w:sz w:val="24"/>
                                <w:szCs w:val="24"/>
                              </w:rPr>
                            </w:pPr>
                          </w:p>
                          <w:p w:rsidR="00CF610C" w:rsidRPr="00770036" w:rsidRDefault="00CF610C" w:rsidP="009B0FBF">
                            <w:pPr>
                              <w:rPr>
                                <w:sz w:val="24"/>
                                <w:szCs w:val="24"/>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64" type="#_x0000_t202" style="position:absolute;margin-left:378.5pt;margin-top:300.75pt;width:269.3pt;height:221.4pt;z-index:-251294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" strokecolor="#1b587c [3206]">
                <v:textbox inset=",0,,0">
                  <w:txbxContent>
                    <w:p w:rsidR="00CF610C" w:rsidRPr="00770036" w:rsidRDefault="00CF610C" w:rsidP="006A7D4C">
                      <w:pPr>
                        <w:pStyle w:val="ListParagraph"/>
                        <w:jc w:val="both"/>
                      </w:pPr>
                      <w:r w:rsidRPr="00770036">
                        <w:t>Among those</w:t>
                      </w:r>
                      <w:r>
                        <w:t xml:space="preserve"> cases in TN</w:t>
                      </w:r>
                      <w:r w:rsidRPr="00770036">
                        <w:t xml:space="preserve"> with known stage, 54.</w:t>
                      </w:r>
                      <w:r>
                        <w:t>9</w:t>
                      </w:r>
                      <w:r w:rsidRPr="00770036">
                        <w:t>% were diagnosed at either the regional or distant stage, i.e., late stages.</w:t>
                      </w:r>
                    </w:p>
                    <w:p w:rsidR="00CF610C" w:rsidRPr="00770036" w:rsidRDefault="00CF610C" w:rsidP="006A7D4C">
                      <w:pPr>
                        <w:pStyle w:val="ListParagraph"/>
                        <w:jc w:val="both"/>
                      </w:pPr>
                      <w:r w:rsidRPr="00770036">
                        <w:t>Black Tennesseans had a higher proportion (57.0%) of cases diagnosed at late stages than whites (5</w:t>
                      </w:r>
                      <w:r>
                        <w:t>4</w:t>
                      </w:r>
                      <w:r w:rsidRPr="00770036">
                        <w:t>.</w:t>
                      </w:r>
                      <w:r>
                        <w:t>6</w:t>
                      </w:r>
                      <w:r w:rsidRPr="00770036">
                        <w:t>%), which was statistically significant.</w:t>
                      </w:r>
                    </w:p>
                    <w:p w:rsidR="00CF610C" w:rsidRPr="00770036" w:rsidRDefault="00CF610C" w:rsidP="006A7D4C">
                      <w:pPr>
                        <w:pStyle w:val="ListParagraph"/>
                        <w:jc w:val="both"/>
                      </w:pPr>
                      <w:r w:rsidRPr="00770036">
                        <w:t>Almost one-fourth (24.2%) of blacks were diagnosed at the distant stage, compared to one-fifth (19.7%) of whites.</w:t>
                      </w:r>
                    </w:p>
                    <w:p w:rsidR="00CF610C" w:rsidRPr="00770036" w:rsidRDefault="00CF610C" w:rsidP="006A7D4C">
                      <w:pPr>
                        <w:pStyle w:val="ListParagraph"/>
                        <w:jc w:val="both"/>
                      </w:pPr>
                      <w:r w:rsidRPr="00770036">
                        <w:t xml:space="preserve">More information on colorectal cancer can be found at the </w:t>
                      </w:r>
                      <w:hyperlink r:id="rId99" w:history="1">
                        <w:r w:rsidRPr="00770036">
                          <w:rPr>
                            <w:rStyle w:val="Hyperlink"/>
                          </w:rPr>
                          <w:t>American Cancer Society</w:t>
                        </w:r>
                      </w:hyperlink>
                      <w:r w:rsidRPr="00770036">
                        <w:t>.</w:t>
                      </w:r>
                    </w:p>
                    <w:p w:rsidR="00CF610C" w:rsidRPr="00770036" w:rsidRDefault="00CF610C" w:rsidP="009B0FBF">
                      <w:pPr>
                        <w:rPr>
                          <w:sz w:val="24"/>
                          <w:szCs w:val="24"/>
                        </w:rPr>
                      </w:pPr>
                    </w:p>
                    <w:p w:rsidR="00CF610C" w:rsidRPr="00770036" w:rsidRDefault="00CF610C" w:rsidP="009B0FBF">
                      <w:pPr>
                        <w:rPr>
                          <w:sz w:val="24"/>
                          <w:szCs w:val="24"/>
                        </w:rPr>
                      </w:pPr>
                    </w:p>
                  </w:txbxContent>
                </v:textbox>
                <w10:wrap anchorx="margin" anchory="page"/>
              </v:shape>
            </w:pict>
          </mc:Fallback>
        </mc:AlternateContent>
      </w:r>
    </w:p>
    <w:p w:rsidR="00D6359E" w:rsidRPr="004324E9" w:rsidRDefault="005E61B4" w:rsidP="00D6359E">
      <w:pPr>
        <w:jc w:val="right"/>
        <w:rPr>
          <w:rStyle w:val="Hyperlink"/>
          <w:szCs w:val="26"/>
        </w:rPr>
      </w:pPr>
      <w:r>
        <w:rPr>
          <w:noProof/>
          <w:sz w:val="22"/>
          <w:lang w:bidi="ar-SA"/>
        </w:rPr>
        <mc:AlternateContent>
          <mc:Choice Requires="wps">
            <w:drawing>
              <wp:anchor distT="0" distB="0" distL="114300" distR="114300" simplePos="0" relativeHeight="252414976" behindDoc="0" locked="0" layoutInCell="1" allowOverlap="1" wp14:anchorId="7B8CCD67" wp14:editId="63B0ECE4">
                <wp:simplePos x="0" y="0"/>
                <wp:positionH relativeFrom="column">
                  <wp:posOffset>3810</wp:posOffset>
                </wp:positionH>
                <wp:positionV relativeFrom="paragraph">
                  <wp:posOffset>195944</wp:posOffset>
                </wp:positionV>
                <wp:extent cx="8260579" cy="0"/>
                <wp:effectExtent l="0" t="0" r="26670" b="19050"/>
                <wp:wrapNone/>
                <wp:docPr id="356" name="Straight Connector 356"/>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6" o:spid="_x0000_s1026" style="position:absolute;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45pt" to="65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" strokecolor="#1b587c [3206]" strokeweight="1pt"/>
            </w:pict>
          </mc:Fallback>
        </mc:AlternateContent>
      </w:r>
      <w:r w:rsidR="002949EC" w:rsidRPr="004324E9">
        <w:rPr>
          <w:szCs w:val="26"/>
        </w:rPr>
        <w:fldChar w:fldCharType="begin"/>
      </w:r>
      <w:r w:rsidR="00A0538B" w:rsidRPr="004324E9">
        <w:rPr>
          <w:szCs w:val="26"/>
        </w:rPr>
        <w:instrText>HYPERLINK  \l "_Data_Sources_1"</w:instrText>
      </w:r>
      <w:r w:rsidR="002949EC" w:rsidRPr="004324E9">
        <w:rPr>
          <w:szCs w:val="26"/>
        </w:rPr>
        <w:fldChar w:fldCharType="separate"/>
      </w:r>
      <w:r w:rsidR="002949EC" w:rsidRPr="004324E9">
        <w:rPr>
          <w:rStyle w:val="Hyperlink"/>
          <w:szCs w:val="26"/>
        </w:rPr>
        <w:t xml:space="preserve">Data </w:t>
      </w:r>
      <w:r w:rsidR="00D6359E" w:rsidRPr="004324E9">
        <w:rPr>
          <w:rStyle w:val="Hyperlink"/>
          <w:szCs w:val="26"/>
        </w:rPr>
        <w:t>Source</w:t>
      </w:r>
    </w:p>
    <w:p w:rsidR="00DA05DE" w:rsidRPr="00976CBD" w:rsidRDefault="002949EC" w:rsidP="00903E48">
      <w:pPr>
        <w:pStyle w:val="Heading2"/>
        <w:rPr>
          <w:rStyle w:val="SubtleEmphasis"/>
          <w:b w:val="0"/>
          <w:i w:val="0"/>
          <w:iCs w:val="0"/>
          <w:color w:val="auto"/>
        </w:rPr>
      </w:pPr>
      <w:r w:rsidRPr="004324E9">
        <w:rPr>
          <w:sz w:val="20"/>
        </w:rPr>
        <w:lastRenderedPageBreak/>
        <w:fldChar w:fldCharType="end"/>
      </w:r>
      <w:bookmarkStart w:id="320" w:name="_Toc341099551"/>
      <w:bookmarkStart w:id="321" w:name="_Toc421608544"/>
      <w:bookmarkStart w:id="322" w:name="_Toc421609362"/>
      <w:bookmarkStart w:id="323" w:name="_Toc421609696"/>
      <w:bookmarkStart w:id="324" w:name="_Toc421611222"/>
      <w:bookmarkStart w:id="325" w:name="_Toc439918852"/>
      <w:r w:rsidR="000C699F" w:rsidRPr="00976CBD">
        <w:rPr>
          <w:rStyle w:val="SubtleEmphasis"/>
          <w:b w:val="0"/>
          <w:i w:val="0"/>
          <w:iCs w:val="0"/>
          <w:color w:val="30243C" w:themeColor="accent5" w:themeShade="80"/>
        </w:rPr>
        <w:t>M</w:t>
      </w:r>
      <w:r w:rsidR="00DA05DE" w:rsidRPr="00976CBD">
        <w:rPr>
          <w:rStyle w:val="SubtleEmphasis"/>
          <w:b w:val="0"/>
          <w:i w:val="0"/>
          <w:iCs w:val="0"/>
          <w:color w:val="30243C" w:themeColor="accent5" w:themeShade="80"/>
        </w:rPr>
        <w:t xml:space="preserve">elanoma of the </w:t>
      </w:r>
      <w:r w:rsidR="006E430F" w:rsidRPr="00976CBD">
        <w:rPr>
          <w:rStyle w:val="SubtleEmphasis"/>
          <w:b w:val="0"/>
          <w:i w:val="0"/>
          <w:iCs w:val="0"/>
          <w:color w:val="30243C" w:themeColor="accent5" w:themeShade="80"/>
        </w:rPr>
        <w:t>S</w:t>
      </w:r>
      <w:r w:rsidR="00DA05DE" w:rsidRPr="00976CBD">
        <w:rPr>
          <w:rStyle w:val="SubtleEmphasis"/>
          <w:b w:val="0"/>
          <w:i w:val="0"/>
          <w:iCs w:val="0"/>
          <w:color w:val="30243C" w:themeColor="accent5" w:themeShade="80"/>
        </w:rPr>
        <w:t>kin</w:t>
      </w:r>
      <w:bookmarkEnd w:id="320"/>
      <w:bookmarkEnd w:id="321"/>
      <w:bookmarkEnd w:id="322"/>
      <w:bookmarkEnd w:id="323"/>
      <w:bookmarkEnd w:id="324"/>
      <w:bookmarkEnd w:id="325"/>
    </w:p>
    <w:p w:rsidR="00283725" w:rsidRDefault="00613A94" w:rsidP="00A91392">
      <w:pPr>
        <w:tabs>
          <w:tab w:val="left" w:pos="9880"/>
        </w:tabs>
      </w:pPr>
      <w:r>
        <w:rPr>
          <w:noProof/>
          <w:lang w:bidi="ar-SA"/>
        </w:rPr>
        <mc:AlternateContent>
          <mc:Choice Requires="wps">
            <w:drawing>
              <wp:anchor distT="0" distB="0" distL="114300" distR="114300" simplePos="0" relativeHeight="252140544" behindDoc="0" locked="0" layoutInCell="1" allowOverlap="1" wp14:anchorId="157CC611" wp14:editId="6EC7287B">
                <wp:simplePos x="0" y="0"/>
                <wp:positionH relativeFrom="column">
                  <wp:posOffset>4724400</wp:posOffset>
                </wp:positionH>
                <wp:positionV relativeFrom="paragraph">
                  <wp:posOffset>534458</wp:posOffset>
                </wp:positionV>
                <wp:extent cx="3495675" cy="4588934"/>
                <wp:effectExtent l="0" t="0" r="28575" b="215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588934"/>
                        </a:xfrm>
                        <a:prstGeom prst="rect">
                          <a:avLst/>
                        </a:prstGeom>
                        <a:solidFill>
                          <a:srgbClr val="FFFFFF"/>
                        </a:solidFill>
                        <a:ln w="9525">
                          <a:solidFill>
                            <a:schemeClr val="accent3"/>
                          </a:solidFill>
                          <a:miter lim="800000"/>
                          <a:headEnd/>
                          <a:tailEnd/>
                        </a:ln>
                      </wps:spPr>
                      <wps:txbx>
                        <w:txbxContent>
                          <w:p w:rsidR="00CF610C" w:rsidRPr="00770036" w:rsidRDefault="00CF610C" w:rsidP="008A7576">
                            <w:pPr>
                              <w:pStyle w:val="ListParagraph"/>
                              <w:numPr>
                                <w:ilvl w:val="0"/>
                                <w:numId w:val="17"/>
                              </w:numPr>
                              <w:jc w:val="both"/>
                            </w:pPr>
                            <w:r w:rsidRPr="00770036">
                              <w:t>There were 7,164 newly diagnosed melanoma skin cancer cases among Tennesseans from 2008-2012, and the age-adjusted incidence rate was 20.8 per 100,000.</w:t>
                            </w:r>
                          </w:p>
                          <w:p w:rsidR="00CF610C" w:rsidRPr="00770036" w:rsidRDefault="00CF610C" w:rsidP="008A7576">
                            <w:pPr>
                              <w:pStyle w:val="ListParagraph"/>
                              <w:numPr>
                                <w:ilvl w:val="0"/>
                                <w:numId w:val="17"/>
                              </w:numPr>
                              <w:jc w:val="both"/>
                            </w:pPr>
                            <w:r w:rsidRPr="00770036">
                              <w:t>During the same time period, 1,061 melanoma skin cancer patients died, giving an age-adjusted mortality rate of 3.1 per 100,000.</w:t>
                            </w:r>
                          </w:p>
                          <w:p w:rsidR="00CF610C" w:rsidRPr="00770036" w:rsidRDefault="00CF610C" w:rsidP="008A7576">
                            <w:pPr>
                              <w:pStyle w:val="ListParagraph"/>
                              <w:numPr>
                                <w:ilvl w:val="0"/>
                                <w:numId w:val="17"/>
                              </w:numPr>
                              <w:jc w:val="both"/>
                            </w:pPr>
                            <w:r w:rsidRPr="00770036">
                              <w:t>The mortality-to-incidence ratio for melanoma skin cancer was 0.15 for the total population, making it the least deadly among the 10 most common cancers.</w:t>
                            </w:r>
                          </w:p>
                          <w:p w:rsidR="00CF610C" w:rsidRPr="00770036" w:rsidRDefault="00CF610C" w:rsidP="008A7576">
                            <w:pPr>
                              <w:pStyle w:val="ListParagraph"/>
                              <w:numPr>
                                <w:ilvl w:val="0"/>
                                <w:numId w:val="17"/>
                              </w:numPr>
                              <w:jc w:val="both"/>
                            </w:pPr>
                            <w:r w:rsidRPr="00770036">
                              <w:t xml:space="preserve">However, the mortality-to-incidence ratio for blacks was 0.50, was almost four times as high as for whites (0.15) (see </w:t>
                            </w:r>
                            <w:hyperlink w:anchor="5. Cancer Incidence and Mortality, Melanoma of the Skin, Tennessee, 2008-2012" w:history="1">
                              <w:r w:rsidRPr="00770036">
                                <w:rPr>
                                  <w:rStyle w:val="Hyperlink"/>
                                </w:rPr>
                                <w:t>Appendix I.5</w:t>
                              </w:r>
                            </w:hyperlink>
                            <w:r w:rsidRPr="00770036">
                              <w:t>).</w:t>
                            </w:r>
                          </w:p>
                          <w:p w:rsidR="00CF610C" w:rsidRPr="00770036" w:rsidRDefault="00CF610C" w:rsidP="008A7576">
                            <w:pPr>
                              <w:pStyle w:val="ListParagraph"/>
                              <w:numPr>
                                <w:ilvl w:val="0"/>
                                <w:numId w:val="17"/>
                              </w:numPr>
                              <w:jc w:val="both"/>
                            </w:pPr>
                            <w:r w:rsidRPr="00770036">
                              <w:t xml:space="preserve">Whites had a much higher melanoma skin cancer incidence rate than blacks regardless of gender. </w:t>
                            </w:r>
                          </w:p>
                          <w:p w:rsidR="00CF610C" w:rsidRPr="00770036" w:rsidRDefault="00CF610C" w:rsidP="008A7576">
                            <w:pPr>
                              <w:pStyle w:val="ListParagraph"/>
                              <w:numPr>
                                <w:ilvl w:val="0"/>
                                <w:numId w:val="17"/>
                              </w:numPr>
                              <w:jc w:val="both"/>
                            </w:pPr>
                            <w:r>
                              <w:t>Although the melanoma of skin incidence rate increased by 3.2% and mortality rate decreased by 4.6%, these changes</w:t>
                            </w:r>
                            <w:r w:rsidRPr="00770036">
                              <w:t xml:space="preserve"> were not considered statistically significant.                     </w:t>
                            </w: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72pt;margin-top:42.1pt;width:275.25pt;height:361.3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" strokecolor="#1b587c [3206]">
                <v:textbox>
                  <w:txbxContent>
                    <w:p w:rsidR="00CF610C" w:rsidRPr="00770036" w:rsidRDefault="00CF610C" w:rsidP="008A7576">
                      <w:pPr>
                        <w:pStyle w:val="ListParagraph"/>
                        <w:numPr>
                          <w:ilvl w:val="0"/>
                          <w:numId w:val="17"/>
                        </w:numPr>
                        <w:jc w:val="both"/>
                      </w:pPr>
                      <w:r w:rsidRPr="00770036">
                        <w:t>There were 7,164 newly diagnosed melanoma skin cancer cases among Tennesseans from 2008-2012, and the age-adjusted incidence rate was 20.8 per 100,000.</w:t>
                      </w:r>
                    </w:p>
                    <w:p w:rsidR="00CF610C" w:rsidRPr="00770036" w:rsidRDefault="00CF610C" w:rsidP="008A7576">
                      <w:pPr>
                        <w:pStyle w:val="ListParagraph"/>
                        <w:numPr>
                          <w:ilvl w:val="0"/>
                          <w:numId w:val="17"/>
                        </w:numPr>
                        <w:jc w:val="both"/>
                      </w:pPr>
                      <w:r w:rsidRPr="00770036">
                        <w:t>During the same time period, 1,061 melanoma skin cancer patients died, giving an age-adjusted mortality rate of 3.1 per 100,000.</w:t>
                      </w:r>
                    </w:p>
                    <w:p w:rsidR="00CF610C" w:rsidRPr="00770036" w:rsidRDefault="00CF610C" w:rsidP="008A7576">
                      <w:pPr>
                        <w:pStyle w:val="ListParagraph"/>
                        <w:numPr>
                          <w:ilvl w:val="0"/>
                          <w:numId w:val="17"/>
                        </w:numPr>
                        <w:jc w:val="both"/>
                      </w:pPr>
                      <w:r w:rsidRPr="00770036">
                        <w:t>The mortality-to-incidence ratio for melanoma skin cancer was 0.15 for the total population, making it the least deadly among the 10 most common cancers.</w:t>
                      </w:r>
                    </w:p>
                    <w:p w:rsidR="00CF610C" w:rsidRPr="00770036" w:rsidRDefault="00CF610C" w:rsidP="008A7576">
                      <w:pPr>
                        <w:pStyle w:val="ListParagraph"/>
                        <w:numPr>
                          <w:ilvl w:val="0"/>
                          <w:numId w:val="17"/>
                        </w:numPr>
                        <w:jc w:val="both"/>
                      </w:pPr>
                      <w:r w:rsidRPr="00770036">
                        <w:t xml:space="preserve">However, the mortality-to-incidence ratio for blacks was 0.50, was almost four times as high as for whites (0.15) (see </w:t>
                      </w:r>
                      <w:hyperlink w:anchor="5. Cancer Incidence and Mortality, Melanoma of the Skin, Tennessee, 2008-2012" w:history="1">
                        <w:r w:rsidRPr="00770036">
                          <w:rPr>
                            <w:rStyle w:val="Hyperlink"/>
                          </w:rPr>
                          <w:t>Appendix I.5</w:t>
                        </w:r>
                      </w:hyperlink>
                      <w:r w:rsidRPr="00770036">
                        <w:t>).</w:t>
                      </w:r>
                    </w:p>
                    <w:p w:rsidR="00CF610C" w:rsidRPr="00770036" w:rsidRDefault="00CF610C" w:rsidP="008A7576">
                      <w:pPr>
                        <w:pStyle w:val="ListParagraph"/>
                        <w:numPr>
                          <w:ilvl w:val="0"/>
                          <w:numId w:val="17"/>
                        </w:numPr>
                        <w:jc w:val="both"/>
                      </w:pPr>
                      <w:r w:rsidRPr="00770036">
                        <w:t xml:space="preserve">Whites had a much higher melanoma skin cancer incidence rate than blacks regardless of gender. </w:t>
                      </w:r>
                    </w:p>
                    <w:p w:rsidR="00CF610C" w:rsidRPr="00770036" w:rsidRDefault="00CF610C" w:rsidP="008A7576">
                      <w:pPr>
                        <w:pStyle w:val="ListParagraph"/>
                        <w:numPr>
                          <w:ilvl w:val="0"/>
                          <w:numId w:val="17"/>
                        </w:numPr>
                        <w:jc w:val="both"/>
                      </w:pPr>
                      <w:r>
                        <w:t>Although the melanoma of skin incidence rate increased by 3.2% and mortality rate decreased by 4.6%, these changes</w:t>
                      </w:r>
                      <w:r w:rsidRPr="00770036">
                        <w:t xml:space="preserve"> were not considered statistically significant.                     </w:t>
                      </w: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pPr>
                    </w:p>
                    <w:p w:rsidR="00CF610C" w:rsidRPr="00770036" w:rsidRDefault="00CF610C" w:rsidP="009B3B9A">
                      <w:pPr>
                        <w:pStyle w:val="ListParagraph"/>
                        <w:numPr>
                          <w:ilvl w:val="0"/>
                          <w:numId w:val="0"/>
                        </w:numPr>
                        <w:ind w:left="720"/>
                        <w:jc w:val="right"/>
                      </w:pPr>
                    </w:p>
                  </w:txbxContent>
                </v:textbox>
              </v:shape>
            </w:pict>
          </mc:Fallback>
        </mc:AlternateContent>
      </w:r>
      <w:r w:rsidR="007E32A6">
        <w:rPr>
          <w:noProof/>
          <w:lang w:bidi="ar-SA"/>
        </w:rPr>
        <w:drawing>
          <wp:inline distT="0" distB="0" distL="0" distR="0" wp14:anchorId="6968DA43" wp14:editId="768A259C">
            <wp:extent cx="4578650" cy="2798064"/>
            <wp:effectExtent l="0" t="0" r="0" b="2540"/>
            <wp:docPr id="117" name="Chart 1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A912E3">
        <w:rPr>
          <w:noProof/>
          <w:lang w:bidi="ar-SA"/>
        </w:rPr>
        <mc:AlternateContent>
          <mc:Choice Requires="wps">
            <w:drawing>
              <wp:anchor distT="0" distB="0" distL="114300" distR="114300" simplePos="0" relativeHeight="252147712" behindDoc="0" locked="0" layoutInCell="1" allowOverlap="1" wp14:anchorId="2CD1D9BE" wp14:editId="099B2279">
                <wp:simplePos x="0" y="0"/>
                <wp:positionH relativeFrom="column">
                  <wp:posOffset>3095625</wp:posOffset>
                </wp:positionH>
                <wp:positionV relativeFrom="paragraph">
                  <wp:posOffset>1864995</wp:posOffset>
                </wp:positionV>
                <wp:extent cx="238125" cy="352425"/>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52425"/>
                        </a:xfrm>
                        <a:prstGeom prst="rect">
                          <a:avLst/>
                        </a:prstGeom>
                        <a:noFill/>
                        <a:ln w="9525">
                          <a:noFill/>
                          <a:miter lim="800000"/>
                          <a:headEnd/>
                          <a:tailEnd/>
                        </a:ln>
                      </wps:spPr>
                      <wps:txbx>
                        <w:txbxContent>
                          <w:p w:rsidR="00CF610C" w:rsidRDefault="00CF610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43.75pt;margin-top:146.85pt;width:18.75pt;height:27.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" filled="f" stroked="f">
                <v:textbox>
                  <w:txbxContent>
                    <w:p w:rsidR="00CF610C" w:rsidRDefault="00CF610C">
                      <w:r>
                        <w:t>*</w:t>
                      </w:r>
                    </w:p>
                  </w:txbxContent>
                </v:textbox>
              </v:shape>
            </w:pict>
          </mc:Fallback>
        </mc:AlternateContent>
      </w:r>
      <w:r w:rsidR="00A91392">
        <w:tab/>
      </w:r>
    </w:p>
    <w:p w:rsidR="008B7DAE" w:rsidRDefault="007E32A6">
      <w:r>
        <w:rPr>
          <w:noProof/>
          <w:lang w:bidi="ar-SA"/>
        </w:rPr>
        <w:drawing>
          <wp:inline distT="0" distB="0" distL="0" distR="0" wp14:anchorId="1F862445" wp14:editId="782A3A43">
            <wp:extent cx="4578927" cy="2736272"/>
            <wp:effectExtent l="0" t="0" r="0" b="6985"/>
            <wp:docPr id="118" name="Chart 1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B7DAE" w:rsidRDefault="005E61B4" w:rsidP="008B7DAE">
      <w:pPr>
        <w:jc w:val="right"/>
      </w:pPr>
      <w:r>
        <w:rPr>
          <w:noProof/>
          <w:sz w:val="22"/>
          <w:lang w:bidi="ar-SA"/>
        </w:rPr>
        <mc:AlternateContent>
          <mc:Choice Requires="wps">
            <w:drawing>
              <wp:anchor distT="0" distB="0" distL="114300" distR="114300" simplePos="0" relativeHeight="252417024" behindDoc="0" locked="0" layoutInCell="1" allowOverlap="1" wp14:anchorId="070A1C52" wp14:editId="29ED328F">
                <wp:simplePos x="0" y="0"/>
                <wp:positionH relativeFrom="column">
                  <wp:posOffset>4020</wp:posOffset>
                </wp:positionH>
                <wp:positionV relativeFrom="paragraph">
                  <wp:posOffset>209451</wp:posOffset>
                </wp:positionV>
                <wp:extent cx="8260579" cy="0"/>
                <wp:effectExtent l="0" t="0" r="26670" b="19050"/>
                <wp:wrapNone/>
                <wp:docPr id="357" name="Straight Connector 357"/>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7"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6.5pt" to="65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" strokecolor="#1b587c [3206]" strokeweight="1pt"/>
            </w:pict>
          </mc:Fallback>
        </mc:AlternateContent>
      </w:r>
      <w:hyperlink w:anchor="_Data_Sources_1" w:history="1">
        <w:r w:rsidR="008B7DAE" w:rsidRPr="008B7DAE">
          <w:rPr>
            <w:rStyle w:val="Hyperlink"/>
          </w:rPr>
          <w:t>Data Source</w:t>
        </w:r>
      </w:hyperlink>
    </w:p>
    <w:p w:rsidR="00DA05DE" w:rsidRPr="00121F3E" w:rsidRDefault="000C699F" w:rsidP="00494849">
      <w:pPr>
        <w:pStyle w:val="Heading5"/>
        <w:rPr>
          <w:rStyle w:val="SubtleEmphasis"/>
          <w:b w:val="0"/>
          <w:i w:val="0"/>
          <w:iCs w:val="0"/>
          <w:color w:val="30243C" w:themeColor="accent5" w:themeShade="80"/>
        </w:rPr>
      </w:pPr>
      <w:bookmarkStart w:id="326" w:name="_Toc337647252"/>
      <w:bookmarkStart w:id="327" w:name="_Toc337647371"/>
      <w:bookmarkStart w:id="328" w:name="_Toc339960301"/>
      <w:bookmarkStart w:id="329" w:name="_Toc341097780"/>
      <w:bookmarkStart w:id="330" w:name="_Toc341099552"/>
      <w:bookmarkStart w:id="331" w:name="_Toc341175081"/>
      <w:bookmarkStart w:id="332" w:name="_Toc341175177"/>
      <w:bookmarkStart w:id="333" w:name="_Toc341175543"/>
      <w:bookmarkStart w:id="334" w:name="_Toc341175908"/>
      <w:bookmarkStart w:id="335" w:name="_Toc341180951"/>
      <w:bookmarkStart w:id="336" w:name="_Toc341261035"/>
      <w:bookmarkStart w:id="337" w:name="_Toc342638176"/>
      <w:bookmarkStart w:id="338" w:name="_Toc346002139"/>
      <w:bookmarkStart w:id="339" w:name="_Toc374006837"/>
      <w:bookmarkStart w:id="340" w:name="_Toc400634536"/>
      <w:r w:rsidRPr="00121F3E">
        <w:rPr>
          <w:rStyle w:val="SubtleEmphasis"/>
          <w:b w:val="0"/>
          <w:i w:val="0"/>
          <w:iCs w:val="0"/>
          <w:color w:val="30243C" w:themeColor="accent5" w:themeShade="80"/>
        </w:rPr>
        <w:lastRenderedPageBreak/>
        <w:t>M</w:t>
      </w:r>
      <w:r w:rsidR="00DA05DE" w:rsidRPr="00121F3E">
        <w:rPr>
          <w:rStyle w:val="SubtleEmphasis"/>
          <w:b w:val="0"/>
          <w:i w:val="0"/>
          <w:iCs w:val="0"/>
          <w:color w:val="30243C" w:themeColor="accent5" w:themeShade="80"/>
        </w:rPr>
        <w:t xml:space="preserve">elanoma of </w:t>
      </w:r>
      <w:r w:rsidR="00FE17E6" w:rsidRPr="00121F3E">
        <w:rPr>
          <w:rStyle w:val="SubtleEmphasis"/>
          <w:b w:val="0"/>
          <w:i w:val="0"/>
          <w:iCs w:val="0"/>
          <w:color w:val="30243C" w:themeColor="accent5" w:themeShade="80"/>
        </w:rPr>
        <w:t>t</w:t>
      </w:r>
      <w:r w:rsidR="00DA05DE" w:rsidRPr="00121F3E">
        <w:rPr>
          <w:rStyle w:val="SubtleEmphasis"/>
          <w:b w:val="0"/>
          <w:i w:val="0"/>
          <w:iCs w:val="0"/>
          <w:color w:val="30243C" w:themeColor="accent5" w:themeShade="80"/>
        </w:rPr>
        <w:t xml:space="preserve">he </w:t>
      </w:r>
      <w:r w:rsidR="00FE17E6" w:rsidRPr="00121F3E">
        <w:rPr>
          <w:rStyle w:val="SubtleEmphasis"/>
          <w:b w:val="0"/>
          <w:i w:val="0"/>
          <w:iCs w:val="0"/>
          <w:color w:val="30243C" w:themeColor="accent5" w:themeShade="80"/>
        </w:rPr>
        <w:t>Skin C</w:t>
      </w:r>
      <w:r w:rsidR="00DA05DE" w:rsidRPr="00121F3E">
        <w:rPr>
          <w:rStyle w:val="SubtleEmphasis"/>
          <w:b w:val="0"/>
          <w:i w:val="0"/>
          <w:iCs w:val="0"/>
          <w:color w:val="30243C" w:themeColor="accent5" w:themeShade="80"/>
        </w:rPr>
        <w:t>ontinued</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A91392" w:rsidRDefault="00770036">
      <w:r>
        <w:rPr>
          <w:noProof/>
          <w:lang w:bidi="ar-SA"/>
        </w:rPr>
        <mc:AlternateContent>
          <mc:Choice Requires="wps">
            <w:drawing>
              <wp:anchor distT="0" distB="0" distL="114300" distR="114300" simplePos="0" relativeHeight="252026880" behindDoc="0" locked="0" layoutInCell="1" allowOverlap="1" wp14:anchorId="0BB95758" wp14:editId="605871B4">
                <wp:simplePos x="0" y="0"/>
                <wp:positionH relativeFrom="margin">
                  <wp:posOffset>172299</wp:posOffset>
                </wp:positionH>
                <wp:positionV relativeFrom="paragraph">
                  <wp:posOffset>2769398</wp:posOffset>
                </wp:positionV>
                <wp:extent cx="3420110" cy="3066415"/>
                <wp:effectExtent l="0" t="0" r="27940" b="19685"/>
                <wp:wrapNone/>
                <wp:docPr id="3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3066415"/>
                        </a:xfrm>
                        <a:prstGeom prst="rect">
                          <a:avLst/>
                        </a:prstGeom>
                        <a:solidFill>
                          <a:srgbClr val="FFFFFF"/>
                        </a:solidFill>
                        <a:ln w="9525">
                          <a:solidFill>
                            <a:schemeClr val="accent3"/>
                          </a:solidFill>
                          <a:miter lim="800000"/>
                          <a:headEnd/>
                          <a:tailEnd/>
                        </a:ln>
                      </wps:spPr>
                      <wps:txbx>
                        <w:txbxContent>
                          <w:p w:rsidR="00CF610C" w:rsidRPr="00770036" w:rsidRDefault="00CF610C" w:rsidP="003D3814">
                            <w:pPr>
                              <w:pStyle w:val="ListParagraph"/>
                            </w:pPr>
                            <w:r w:rsidRPr="00770036">
                              <w:t>Among those with known stage, only one in ten (9.7%) was diagnosed at the regional or distant stage,  i.e. late stages, which may explain why melanoma skin cancer was least deadly among the 10 most common cancers.</w:t>
                            </w:r>
                          </w:p>
                          <w:p w:rsidR="00CF610C" w:rsidRPr="00770036" w:rsidRDefault="00CF610C" w:rsidP="003D3814">
                            <w:pPr>
                              <w:pStyle w:val="ListParagraph"/>
                            </w:pPr>
                            <w:r w:rsidRPr="00770036">
                              <w:t>There was a racial disparity in stage of diagnosis: almost one in three (31.7%) cases among blacks was diagnosed at late stages, compared to one in ten (9.7%) among whites.</w:t>
                            </w:r>
                          </w:p>
                          <w:p w:rsidR="00CF610C" w:rsidRPr="00770036" w:rsidRDefault="00CF610C" w:rsidP="00F54D6C">
                            <w:pPr>
                              <w:pStyle w:val="ListParagraph"/>
                            </w:pPr>
                            <w:r w:rsidRPr="00770036">
                              <w:t>This may have contributed to the much higher mortality-to-incidence ratio among blacks.</w:t>
                            </w:r>
                          </w:p>
                          <w:p w:rsidR="00CF610C" w:rsidRPr="00770036" w:rsidRDefault="00CF610C" w:rsidP="00F54D6C">
                            <w:pPr>
                              <w:pStyle w:val="ListParagraph"/>
                            </w:pPr>
                            <w:r w:rsidRPr="00770036">
                              <w:t xml:space="preserve">More information can be found on skin cancer at the </w:t>
                            </w:r>
                            <w:hyperlink r:id="rId102" w:history="1">
                              <w:r w:rsidRPr="00770036">
                                <w:rPr>
                                  <w:rStyle w:val="Hyperlink"/>
                                </w:rPr>
                                <w:t>American Cancer Society</w:t>
                              </w:r>
                            </w:hyperlink>
                            <w:r w:rsidRPr="00770036">
                              <w:t>.</w:t>
                            </w:r>
                          </w:p>
                          <w:p w:rsidR="00CF610C" w:rsidRPr="009B3B9A" w:rsidRDefault="00CF610C">
                            <w:pPr>
                              <w:rPr>
                                <w:sz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7" type="#_x0000_t202" style="position:absolute;margin-left:13.55pt;margin-top:218.05pt;width:269.3pt;height:241.4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" strokecolor="#1b587c [3206]">
                <v:textbox inset=",0,,0">
                  <w:txbxContent>
                    <w:p w:rsidR="00CF610C" w:rsidRPr="00770036" w:rsidRDefault="00CF610C" w:rsidP="003D3814">
                      <w:pPr>
                        <w:pStyle w:val="ListParagraph"/>
                      </w:pPr>
                      <w:r w:rsidRPr="00770036">
                        <w:t>Among those with known stage, only one in ten (9.7%) was diagnosed at the regional or distant stage,  i.e. late stages, which may explain why melanoma skin cancer was least deadly among the 10 most common cancers.</w:t>
                      </w:r>
                    </w:p>
                    <w:p w:rsidR="00CF610C" w:rsidRPr="00770036" w:rsidRDefault="00CF610C" w:rsidP="003D3814">
                      <w:pPr>
                        <w:pStyle w:val="ListParagraph"/>
                      </w:pPr>
                      <w:r w:rsidRPr="00770036">
                        <w:t>There was a racial disparity in stage of diagnosis: almost one in three (31.7%) cases among blacks was diagnosed at late stages, compared to one in ten (9.7%) among whites.</w:t>
                      </w:r>
                    </w:p>
                    <w:p w:rsidR="00CF610C" w:rsidRPr="00770036" w:rsidRDefault="00CF610C" w:rsidP="00F54D6C">
                      <w:pPr>
                        <w:pStyle w:val="ListParagraph"/>
                      </w:pPr>
                      <w:r w:rsidRPr="00770036">
                        <w:t>This may have contributed to the much higher mortality-to-incidence ratio among blacks.</w:t>
                      </w:r>
                    </w:p>
                    <w:p w:rsidR="00CF610C" w:rsidRPr="00770036" w:rsidRDefault="00CF610C" w:rsidP="00F54D6C">
                      <w:pPr>
                        <w:pStyle w:val="ListParagraph"/>
                      </w:pPr>
                      <w:r w:rsidRPr="00770036">
                        <w:t xml:space="preserve">More information can be found on skin cancer at the </w:t>
                      </w:r>
                      <w:hyperlink r:id="rId103" w:history="1">
                        <w:r w:rsidRPr="00770036">
                          <w:rPr>
                            <w:rStyle w:val="Hyperlink"/>
                          </w:rPr>
                          <w:t>American Cancer Society</w:t>
                        </w:r>
                      </w:hyperlink>
                      <w:r w:rsidRPr="00770036">
                        <w:t>.</w:t>
                      </w:r>
                    </w:p>
                    <w:p w:rsidR="00CF610C" w:rsidRPr="009B3B9A" w:rsidRDefault="00CF610C">
                      <w:pPr>
                        <w:rPr>
                          <w:sz w:val="18"/>
                        </w:rPr>
                      </w:pPr>
                    </w:p>
                  </w:txbxContent>
                </v:textbox>
                <w10:wrap anchorx="margin"/>
              </v:shape>
            </w:pict>
          </mc:Fallback>
        </mc:AlternateContent>
      </w:r>
      <w:r>
        <w:rPr>
          <w:noProof/>
          <w:lang w:bidi="ar-SA"/>
        </w:rPr>
        <mc:AlternateContent>
          <mc:Choice Requires="wps">
            <w:drawing>
              <wp:anchor distT="0" distB="0" distL="114300" distR="114300" simplePos="0" relativeHeight="251786240" behindDoc="1" locked="0" layoutInCell="1" allowOverlap="1" wp14:anchorId="3C0F0312" wp14:editId="26F5ACF9">
                <wp:simplePos x="0" y="0"/>
                <wp:positionH relativeFrom="margin">
                  <wp:posOffset>4717657</wp:posOffset>
                </wp:positionH>
                <wp:positionV relativeFrom="page">
                  <wp:posOffset>1213806</wp:posOffset>
                </wp:positionV>
                <wp:extent cx="3420110" cy="2201034"/>
                <wp:effectExtent l="0" t="0" r="27940" b="27940"/>
                <wp:wrapNone/>
                <wp:docPr id="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01034"/>
                        </a:xfrm>
                        <a:prstGeom prst="rect">
                          <a:avLst/>
                        </a:prstGeom>
                        <a:solidFill>
                          <a:srgbClr val="FFFFFF"/>
                        </a:solidFill>
                        <a:ln w="9525">
                          <a:solidFill>
                            <a:schemeClr val="accent3"/>
                          </a:solidFill>
                          <a:miter lim="800000"/>
                          <a:headEnd/>
                          <a:tailEnd/>
                        </a:ln>
                      </wps:spPr>
                      <wps:txbx>
                        <w:txbxContent>
                          <w:p w:rsidR="00CF610C" w:rsidRPr="00770036" w:rsidRDefault="00CF610C" w:rsidP="00D92249">
                            <w:pPr>
                              <w:pStyle w:val="ListParagraph"/>
                            </w:pPr>
                            <w:r w:rsidRPr="00770036">
                              <w:t>About one-third (36.1%) of melanoma skin cancer incident cases were diagnosed at the in situ stage.</w:t>
                            </w:r>
                          </w:p>
                          <w:p w:rsidR="00CF610C" w:rsidRPr="00770036" w:rsidRDefault="00CF610C" w:rsidP="00D92249">
                            <w:pPr>
                              <w:pStyle w:val="ListParagraph"/>
                            </w:pPr>
                            <w:r w:rsidRPr="00770036">
                              <w:t>Just over one-half of cases (50.8%) were diagnosed at the localized stage.</w:t>
                            </w:r>
                          </w:p>
                          <w:p w:rsidR="00CF610C" w:rsidRPr="00770036" w:rsidRDefault="00CF610C" w:rsidP="00D92249">
                            <w:pPr>
                              <w:pStyle w:val="ListParagraph"/>
                            </w:pPr>
                            <w:r w:rsidRPr="00770036">
                              <w:t>6.1% of cases were diagnosed at the regional stage.</w:t>
                            </w:r>
                          </w:p>
                          <w:p w:rsidR="00CF610C" w:rsidRPr="00770036" w:rsidRDefault="00CF610C" w:rsidP="00D92249">
                            <w:pPr>
                              <w:pStyle w:val="ListParagraph"/>
                            </w:pPr>
                            <w:r w:rsidRPr="00770036">
                              <w:t>3.1% of cases were diagnosed at distant stage.</w:t>
                            </w:r>
                          </w:p>
                          <w:p w:rsidR="00CF610C" w:rsidRPr="00770036" w:rsidRDefault="00CF610C" w:rsidP="00D92249">
                            <w:pPr>
                              <w:pStyle w:val="ListParagraph"/>
                            </w:pPr>
                            <w:r w:rsidRPr="00770036">
                              <w:t>3.8% of cases had unknown stage information.</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68" type="#_x0000_t202" style="position:absolute;margin-left:371.45pt;margin-top:95.6pt;width:269.3pt;height:173.3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" strokecolor="#1b587c [3206]">
                <v:textbox inset=",0,,0">
                  <w:txbxContent>
                    <w:p w:rsidR="00CF610C" w:rsidRPr="00770036" w:rsidRDefault="00CF610C" w:rsidP="00D92249">
                      <w:pPr>
                        <w:pStyle w:val="ListParagraph"/>
                      </w:pPr>
                      <w:r w:rsidRPr="00770036">
                        <w:t>About one-third (36.1%) of melanoma skin cancer incident cases were diagnosed at the in situ stage.</w:t>
                      </w:r>
                    </w:p>
                    <w:p w:rsidR="00CF610C" w:rsidRPr="00770036" w:rsidRDefault="00CF610C" w:rsidP="00D92249">
                      <w:pPr>
                        <w:pStyle w:val="ListParagraph"/>
                      </w:pPr>
                      <w:r w:rsidRPr="00770036">
                        <w:t>Just over one-half of cases (50.8%) were diagnosed at the localized stage.</w:t>
                      </w:r>
                    </w:p>
                    <w:p w:rsidR="00CF610C" w:rsidRPr="00770036" w:rsidRDefault="00CF610C" w:rsidP="00D92249">
                      <w:pPr>
                        <w:pStyle w:val="ListParagraph"/>
                      </w:pPr>
                      <w:r w:rsidRPr="00770036">
                        <w:t>6.1% of cases were diagnosed at the regional stage.</w:t>
                      </w:r>
                    </w:p>
                    <w:p w:rsidR="00CF610C" w:rsidRPr="00770036" w:rsidRDefault="00CF610C" w:rsidP="00D92249">
                      <w:pPr>
                        <w:pStyle w:val="ListParagraph"/>
                      </w:pPr>
                      <w:r w:rsidRPr="00770036">
                        <w:t>3.1% of cases were diagnosed at distant stage.</w:t>
                      </w:r>
                    </w:p>
                    <w:p w:rsidR="00CF610C" w:rsidRPr="00770036" w:rsidRDefault="00CF610C" w:rsidP="00D92249">
                      <w:pPr>
                        <w:pStyle w:val="ListParagraph"/>
                      </w:pPr>
                      <w:r w:rsidRPr="00770036">
                        <w:t>3.8% of cases had unknown stage information.</w:t>
                      </w:r>
                    </w:p>
                  </w:txbxContent>
                </v:textbox>
                <w10:wrap anchorx="margin" anchory="page"/>
              </v:shape>
            </w:pict>
          </mc:Fallback>
        </mc:AlternateContent>
      </w:r>
      <w:r w:rsidR="00DA3BA4">
        <w:rPr>
          <w:noProof/>
          <w:lang w:bidi="ar-SA"/>
        </w:rPr>
        <w:drawing>
          <wp:inline distT="0" distB="0" distL="0" distR="0" wp14:anchorId="39F9815B" wp14:editId="33E4630A">
            <wp:extent cx="4573925" cy="2715768"/>
            <wp:effectExtent l="0" t="0" r="0" b="8890"/>
            <wp:docPr id="119" name="Chart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41043" w:rsidRDefault="00DA3BA4" w:rsidP="00A91392">
      <w:pPr>
        <w:jc w:val="right"/>
      </w:pPr>
      <w:r>
        <w:rPr>
          <w:noProof/>
          <w:lang w:bidi="ar-SA"/>
        </w:rPr>
        <w:drawing>
          <wp:inline distT="0" distB="0" distL="0" distR="0" wp14:anchorId="5BB84E73" wp14:editId="48A6671F">
            <wp:extent cx="4530436" cy="2715491"/>
            <wp:effectExtent l="0" t="0" r="3810" b="8890"/>
            <wp:docPr id="121" name="Chart 1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6359E" w:rsidRPr="004324E9" w:rsidRDefault="005E61B4" w:rsidP="00D6359E">
      <w:pPr>
        <w:jc w:val="right"/>
        <w:rPr>
          <w:rStyle w:val="Hyperlink"/>
          <w:szCs w:val="26"/>
        </w:rPr>
      </w:pPr>
      <w:r>
        <w:rPr>
          <w:noProof/>
          <w:sz w:val="22"/>
          <w:lang w:bidi="ar-SA"/>
        </w:rPr>
        <mc:AlternateContent>
          <mc:Choice Requires="wps">
            <w:drawing>
              <wp:anchor distT="0" distB="0" distL="114300" distR="114300" simplePos="0" relativeHeight="252419072" behindDoc="0" locked="0" layoutInCell="1" allowOverlap="1" wp14:anchorId="32CEE5D5" wp14:editId="4653E07D">
                <wp:simplePos x="0" y="0"/>
                <wp:positionH relativeFrom="column">
                  <wp:posOffset>-26670</wp:posOffset>
                </wp:positionH>
                <wp:positionV relativeFrom="paragraph">
                  <wp:posOffset>282304</wp:posOffset>
                </wp:positionV>
                <wp:extent cx="8260579" cy="0"/>
                <wp:effectExtent l="0" t="0" r="26670" b="19050"/>
                <wp:wrapNone/>
                <wp:docPr id="358" name="Straight Connector 358"/>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8" o:spid="_x0000_s1026" style="position:absolute;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2.25pt" to="648.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" strokecolor="#1b587c [3206]" strokeweight="1pt"/>
            </w:pict>
          </mc:Fallback>
        </mc:AlternateContent>
      </w:r>
      <w:r w:rsidR="002949EC" w:rsidRPr="004324E9">
        <w:rPr>
          <w:szCs w:val="26"/>
        </w:rPr>
        <w:fldChar w:fldCharType="begin"/>
      </w:r>
      <w:r w:rsidR="00A0538B" w:rsidRPr="004324E9">
        <w:rPr>
          <w:szCs w:val="26"/>
        </w:rPr>
        <w:instrText>HYPERLINK  \l "_Data_Sources_1"</w:instrText>
      </w:r>
      <w:r w:rsidR="002949EC" w:rsidRPr="004324E9">
        <w:rPr>
          <w:szCs w:val="26"/>
        </w:rPr>
        <w:fldChar w:fldCharType="separate"/>
      </w:r>
      <w:r w:rsidR="002949EC" w:rsidRPr="004324E9">
        <w:rPr>
          <w:rStyle w:val="Hyperlink"/>
          <w:szCs w:val="26"/>
        </w:rPr>
        <w:t xml:space="preserve">Data </w:t>
      </w:r>
      <w:r w:rsidR="00D6359E" w:rsidRPr="004324E9">
        <w:rPr>
          <w:rStyle w:val="Hyperlink"/>
          <w:szCs w:val="26"/>
        </w:rPr>
        <w:t>Source</w:t>
      </w:r>
    </w:p>
    <w:bookmarkStart w:id="341" w:name="_Toc341099553"/>
    <w:p w:rsidR="00561452" w:rsidRPr="00976CBD" w:rsidRDefault="002949EC" w:rsidP="00903E48">
      <w:pPr>
        <w:pStyle w:val="Heading2"/>
        <w:rPr>
          <w:rStyle w:val="SubtleEmphasis"/>
          <w:b w:val="0"/>
          <w:i w:val="0"/>
          <w:iCs w:val="0"/>
          <w:color w:val="30243C" w:themeColor="accent5" w:themeShade="80"/>
        </w:rPr>
      </w:pPr>
      <w:r w:rsidRPr="004324E9">
        <w:rPr>
          <w:rFonts w:asciiTheme="minorHAnsi" w:hAnsiTheme="minorHAnsi"/>
          <w:color w:val="auto"/>
          <w:spacing w:val="0"/>
          <w:sz w:val="20"/>
        </w:rPr>
        <w:lastRenderedPageBreak/>
        <w:fldChar w:fldCharType="end"/>
      </w:r>
      <w:bookmarkStart w:id="342" w:name="_Toc421608545"/>
      <w:bookmarkStart w:id="343" w:name="_Toc421609363"/>
      <w:bookmarkStart w:id="344" w:name="_Toc421609697"/>
      <w:bookmarkStart w:id="345" w:name="_Toc421611223"/>
      <w:bookmarkStart w:id="346" w:name="_Toc439918853"/>
      <w:r w:rsidR="000C699F" w:rsidRPr="00976CBD">
        <w:rPr>
          <w:rStyle w:val="SubtleEmphasis"/>
          <w:b w:val="0"/>
          <w:i w:val="0"/>
          <w:iCs w:val="0"/>
          <w:color w:val="30243C" w:themeColor="accent5" w:themeShade="80"/>
        </w:rPr>
        <w:t>C</w:t>
      </w:r>
      <w:r w:rsidR="00561452" w:rsidRPr="00976CBD">
        <w:rPr>
          <w:rStyle w:val="SubtleEmphasis"/>
          <w:b w:val="0"/>
          <w:i w:val="0"/>
          <w:iCs w:val="0"/>
          <w:color w:val="30243C" w:themeColor="accent5" w:themeShade="80"/>
        </w:rPr>
        <w:t xml:space="preserve">ancer of </w:t>
      </w:r>
      <w:r w:rsidR="006E430F" w:rsidRPr="00976CBD">
        <w:rPr>
          <w:rStyle w:val="SubtleEmphasis"/>
          <w:b w:val="0"/>
          <w:i w:val="0"/>
          <w:iCs w:val="0"/>
          <w:color w:val="30243C" w:themeColor="accent5" w:themeShade="80"/>
        </w:rPr>
        <w:t>P</w:t>
      </w:r>
      <w:r w:rsidR="00561452" w:rsidRPr="00976CBD">
        <w:rPr>
          <w:rStyle w:val="SubtleEmphasis"/>
          <w:b w:val="0"/>
          <w:i w:val="0"/>
          <w:iCs w:val="0"/>
          <w:color w:val="30243C" w:themeColor="accent5" w:themeShade="80"/>
        </w:rPr>
        <w:t>ancreas</w:t>
      </w:r>
      <w:bookmarkEnd w:id="341"/>
      <w:bookmarkEnd w:id="342"/>
      <w:bookmarkEnd w:id="343"/>
      <w:bookmarkEnd w:id="344"/>
      <w:bookmarkEnd w:id="345"/>
      <w:bookmarkEnd w:id="346"/>
    </w:p>
    <w:p w:rsidR="00561452" w:rsidRDefault="00EF1914">
      <w:r>
        <w:rPr>
          <w:noProof/>
          <w:lang w:bidi="ar-SA"/>
        </w:rPr>
        <mc:AlternateContent>
          <mc:Choice Requires="wps">
            <w:drawing>
              <wp:anchor distT="0" distB="0" distL="114300" distR="114300" simplePos="0" relativeHeight="251787264" behindDoc="1" locked="0" layoutInCell="1" allowOverlap="1" wp14:anchorId="1AD7F986" wp14:editId="6A8C428C">
                <wp:simplePos x="0" y="0"/>
                <wp:positionH relativeFrom="margin">
                  <wp:posOffset>5020310</wp:posOffset>
                </wp:positionH>
                <wp:positionV relativeFrom="page">
                  <wp:posOffset>1641899</wp:posOffset>
                </wp:positionV>
                <wp:extent cx="3081867" cy="4766733"/>
                <wp:effectExtent l="0" t="0" r="23495" b="15240"/>
                <wp:wrapNone/>
                <wp:docPr id="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867" cy="4766733"/>
                        </a:xfrm>
                        <a:prstGeom prst="rect">
                          <a:avLst/>
                        </a:prstGeom>
                        <a:solidFill>
                          <a:srgbClr val="FFFFFF"/>
                        </a:solidFill>
                        <a:ln w="9525">
                          <a:solidFill>
                            <a:schemeClr val="accent3"/>
                          </a:solidFill>
                          <a:miter lim="800000"/>
                          <a:headEnd/>
                          <a:tailEnd/>
                        </a:ln>
                      </wps:spPr>
                      <wps:txbx>
                        <w:txbxContent>
                          <w:p w:rsidR="00CF610C" w:rsidRPr="00770036" w:rsidRDefault="00CF610C" w:rsidP="00FA7A88">
                            <w:pPr>
                              <w:pStyle w:val="ListParagraph"/>
                              <w:jc w:val="both"/>
                            </w:pPr>
                            <w:r w:rsidRPr="00770036">
                              <w:t>From 2008-2012, there were 4,168 new pancreatic cancer cases among Tennesseans and the age-adjusted incidence rate was 11.8 per 100,000.</w:t>
                            </w:r>
                          </w:p>
                          <w:p w:rsidR="00CF610C" w:rsidRPr="00770036" w:rsidRDefault="00CF610C" w:rsidP="00FA7A88">
                            <w:pPr>
                              <w:pStyle w:val="ListParagraph"/>
                              <w:jc w:val="both"/>
                            </w:pPr>
                            <w:r w:rsidRPr="00770036">
                              <w:t>During the same time period, 3,857 deaths were reported, giving an age-adjusted mortality rate of 11.0 per 100,000.</w:t>
                            </w:r>
                          </w:p>
                          <w:p w:rsidR="00CF610C" w:rsidRPr="00770036" w:rsidRDefault="00CF610C" w:rsidP="00FA7A88">
                            <w:pPr>
                              <w:pStyle w:val="ListParagraph"/>
                              <w:jc w:val="both"/>
                            </w:pPr>
                            <w:r w:rsidRPr="00770036">
                              <w:t>Blacks had higher incidence and mortality rates than whites regardless of gender.</w:t>
                            </w:r>
                          </w:p>
                          <w:p w:rsidR="00CF610C" w:rsidRDefault="00CF610C" w:rsidP="00FA7A88">
                            <w:pPr>
                              <w:pStyle w:val="ListParagraph"/>
                              <w:jc w:val="both"/>
                            </w:pPr>
                            <w:r w:rsidRPr="00770036">
                              <w:t>Males had higher incidence and mortality rates than females regardless of race.</w:t>
                            </w:r>
                          </w:p>
                          <w:p w:rsidR="00CF610C" w:rsidRPr="00333FE3" w:rsidRDefault="00CF610C" w:rsidP="00333FE3">
                            <w:pPr>
                              <w:pStyle w:val="ListParagraph"/>
                            </w:pPr>
                            <w:r>
                              <w:t>From 2008-2012, the pancreatic cancer incidence rate fell by 2.4% and the mortality rate decreased by 7.6% and these changes were statistically significant.</w:t>
                            </w:r>
                            <w:r w:rsidRPr="00333FE3">
                              <w:t xml:space="preserve"> </w:t>
                            </w:r>
                          </w:p>
                          <w:p w:rsidR="00CF610C" w:rsidRPr="00770036" w:rsidRDefault="00CF610C" w:rsidP="00FA7A88">
                            <w:pPr>
                              <w:pStyle w:val="ListParagraph"/>
                              <w:jc w:val="both"/>
                            </w:pPr>
                            <w:r w:rsidRPr="00770036">
                              <w:t>The mortality-to-incidence ratio for pancreatic cancer was 0.9</w:t>
                            </w:r>
                            <w:r>
                              <w:t>3</w:t>
                            </w:r>
                            <w:r w:rsidRPr="00770036">
                              <w:t xml:space="preserve">, making pancreatic cancer the most deadly among the 10 most common causes of cancer mortality in Tennessee (See </w:t>
                            </w:r>
                            <w:hyperlink w:anchor="Appendix II. Cancer Incidence and Mortality, By Site, Tennessee, 2008-2012" w:history="1">
                              <w:r w:rsidRPr="00770036">
                                <w:rPr>
                                  <w:rStyle w:val="Hyperlink"/>
                                </w:rPr>
                                <w:t>Appendix II</w:t>
                              </w:r>
                            </w:hyperlink>
                            <w:r w:rsidRPr="00770036">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69" type="#_x0000_t202" style="position:absolute;margin-left:395.3pt;margin-top:129.3pt;width:242.65pt;height:375.35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" strokecolor="#1b587c [3206]">
                <v:textbox inset=",0,,0">
                  <w:txbxContent>
                    <w:p w:rsidR="00CF610C" w:rsidRPr="00770036" w:rsidRDefault="00CF610C" w:rsidP="00FA7A88">
                      <w:pPr>
                        <w:pStyle w:val="ListParagraph"/>
                        <w:jc w:val="both"/>
                      </w:pPr>
                      <w:r w:rsidRPr="00770036">
                        <w:t>From 2008-2012, there were 4,168 new pancreatic cancer cases among Tennesseans and the age-adjusted incidence rate was 11.8 per 100,000.</w:t>
                      </w:r>
                    </w:p>
                    <w:p w:rsidR="00CF610C" w:rsidRPr="00770036" w:rsidRDefault="00CF610C" w:rsidP="00FA7A88">
                      <w:pPr>
                        <w:pStyle w:val="ListParagraph"/>
                        <w:jc w:val="both"/>
                      </w:pPr>
                      <w:r w:rsidRPr="00770036">
                        <w:t>During the same time period, 3,857 deaths were reported, giving an age-adjusted mortality rate of 11.0 per 100,000.</w:t>
                      </w:r>
                    </w:p>
                    <w:p w:rsidR="00CF610C" w:rsidRPr="00770036" w:rsidRDefault="00CF610C" w:rsidP="00FA7A88">
                      <w:pPr>
                        <w:pStyle w:val="ListParagraph"/>
                        <w:jc w:val="both"/>
                      </w:pPr>
                      <w:r w:rsidRPr="00770036">
                        <w:t>Blacks had higher incidence and mortality rates than whites regardless of gender.</w:t>
                      </w:r>
                    </w:p>
                    <w:p w:rsidR="00CF610C" w:rsidRDefault="00CF610C" w:rsidP="00FA7A88">
                      <w:pPr>
                        <w:pStyle w:val="ListParagraph"/>
                        <w:jc w:val="both"/>
                      </w:pPr>
                      <w:r w:rsidRPr="00770036">
                        <w:t>Males had higher incidence and mortality rates than females regardless of race.</w:t>
                      </w:r>
                    </w:p>
                    <w:p w:rsidR="00CF610C" w:rsidRPr="00333FE3" w:rsidRDefault="00CF610C" w:rsidP="00333FE3">
                      <w:pPr>
                        <w:pStyle w:val="ListParagraph"/>
                      </w:pPr>
                      <w:r>
                        <w:t>From 2008-2012, the pancreatic cancer incidence rate fell by 2.4% and the mortality rate decreased by 7.6% and these changes were statistically significant.</w:t>
                      </w:r>
                      <w:r w:rsidRPr="00333FE3">
                        <w:t xml:space="preserve"> </w:t>
                      </w:r>
                    </w:p>
                    <w:p w:rsidR="00CF610C" w:rsidRPr="00770036" w:rsidRDefault="00CF610C" w:rsidP="00FA7A88">
                      <w:pPr>
                        <w:pStyle w:val="ListParagraph"/>
                        <w:jc w:val="both"/>
                      </w:pPr>
                      <w:r w:rsidRPr="00770036">
                        <w:t>The mortality-to-incidence ratio for pancreatic cancer was 0.9</w:t>
                      </w:r>
                      <w:r>
                        <w:t>3</w:t>
                      </w:r>
                      <w:r w:rsidRPr="00770036">
                        <w:t xml:space="preserve">, making pancreatic cancer the most deadly among the 10 most common causes of cancer mortality in Tennessee (See </w:t>
                      </w:r>
                      <w:hyperlink w:anchor="Appendix II. Cancer Incidence and Mortality, By Site, Tennessee, 2008-2012" w:history="1">
                        <w:r w:rsidRPr="00770036">
                          <w:rPr>
                            <w:rStyle w:val="Hyperlink"/>
                          </w:rPr>
                          <w:t>Appendix II</w:t>
                        </w:r>
                      </w:hyperlink>
                      <w:r w:rsidRPr="00770036">
                        <w:t>).</w:t>
                      </w:r>
                    </w:p>
                  </w:txbxContent>
                </v:textbox>
                <w10:wrap anchorx="margin" anchory="page"/>
              </v:shape>
            </w:pict>
          </mc:Fallback>
        </mc:AlternateContent>
      </w:r>
      <w:r w:rsidR="00CB6B20">
        <w:rPr>
          <w:noProof/>
          <w:lang w:bidi="ar-SA"/>
        </w:rPr>
        <w:drawing>
          <wp:inline distT="0" distB="0" distL="0" distR="0" wp14:anchorId="21E1EFE5" wp14:editId="73BCE168">
            <wp:extent cx="4572000" cy="2715768"/>
            <wp:effectExtent l="0" t="0" r="0" b="8890"/>
            <wp:docPr id="123" name="Chart 1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74779" w:rsidRDefault="00974779"/>
    <w:p w:rsidR="004324E9" w:rsidRDefault="00CB6B20" w:rsidP="004324E9">
      <w:pPr>
        <w:pStyle w:val="NoSpacing"/>
      </w:pPr>
      <w:r>
        <w:rPr>
          <w:noProof/>
          <w:lang w:bidi="ar-SA"/>
        </w:rPr>
        <w:drawing>
          <wp:inline distT="0" distB="0" distL="0" distR="0" wp14:anchorId="30203BFB" wp14:editId="5FA9E6EC">
            <wp:extent cx="4572000" cy="2611581"/>
            <wp:effectExtent l="0" t="0" r="0" b="0"/>
            <wp:docPr id="124" name="Chart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6359E" w:rsidRPr="002949EC" w:rsidRDefault="005E61B4" w:rsidP="004324E9">
      <w:pPr>
        <w:pStyle w:val="NoSpacing"/>
        <w:jc w:val="right"/>
        <w:rPr>
          <w:rStyle w:val="Hyperlink"/>
        </w:rPr>
      </w:pPr>
      <w:r>
        <w:rPr>
          <w:noProof/>
          <w:sz w:val="22"/>
          <w:lang w:bidi="ar-SA"/>
        </w:rPr>
        <mc:AlternateContent>
          <mc:Choice Requires="wps">
            <w:drawing>
              <wp:anchor distT="0" distB="0" distL="114300" distR="114300" simplePos="0" relativeHeight="252421120" behindDoc="0" locked="0" layoutInCell="1" allowOverlap="1" wp14:anchorId="140CC44D" wp14:editId="48D38C46">
                <wp:simplePos x="0" y="0"/>
                <wp:positionH relativeFrom="column">
                  <wp:posOffset>4020</wp:posOffset>
                </wp:positionH>
                <wp:positionV relativeFrom="paragraph">
                  <wp:posOffset>262791</wp:posOffset>
                </wp:positionV>
                <wp:extent cx="8260579" cy="0"/>
                <wp:effectExtent l="0" t="0" r="26670" b="19050"/>
                <wp:wrapNone/>
                <wp:docPr id="359" name="Straight Connector 359"/>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9" o:spid="_x0000_s1026" style="position:absolute;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0.7pt" to="650.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" strokecolor="#1b587c [3206]" strokeweight="1pt"/>
            </w:pict>
          </mc:Fallback>
        </mc:AlternateContent>
      </w:r>
      <w:r w:rsidR="00066FF4">
        <w:rPr>
          <w:iCs/>
          <w:noProof/>
          <w:color w:val="773F04" w:themeColor="accent1" w:themeShade="7F"/>
          <w:lang w:bidi="ar-SA"/>
        </w:rPr>
        <mc:AlternateContent>
          <mc:Choice Requires="wps">
            <w:drawing>
              <wp:anchor distT="0" distB="0" distL="114300" distR="114300" simplePos="0" relativeHeight="252027904" behindDoc="0" locked="0" layoutInCell="1" allowOverlap="1" wp14:anchorId="76B92C26" wp14:editId="38DF9C06">
                <wp:simplePos x="0" y="0"/>
                <wp:positionH relativeFrom="column">
                  <wp:posOffset>5038725</wp:posOffset>
                </wp:positionH>
                <wp:positionV relativeFrom="paragraph">
                  <wp:posOffset>1073150</wp:posOffset>
                </wp:positionV>
                <wp:extent cx="3200400" cy="1181100"/>
                <wp:effectExtent l="0" t="0" r="19050" b="19050"/>
                <wp:wrapNone/>
                <wp:docPr id="3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81100"/>
                        </a:xfrm>
                        <a:prstGeom prst="rect">
                          <a:avLst/>
                        </a:prstGeom>
                        <a:solidFill>
                          <a:srgbClr val="FFFFFF"/>
                        </a:solidFill>
                        <a:ln w="9525">
                          <a:solidFill>
                            <a:schemeClr val="accent3"/>
                          </a:solidFill>
                          <a:miter lim="800000"/>
                          <a:headEnd/>
                          <a:tailEnd/>
                        </a:ln>
                      </wps:spPr>
                      <wps:txbx>
                        <w:txbxContent>
                          <w:p w:rsidR="00CF610C" w:rsidRDefault="00CF610C" w:rsidP="00372F2B">
                            <w:pPr>
                              <w:pStyle w:val="ListParagraph"/>
                              <w:rPr>
                                <w:sz w:val="22"/>
                              </w:rPr>
                            </w:pPr>
                            <w:r w:rsidRPr="009B3B9A">
                              <w:rPr>
                                <w:sz w:val="22"/>
                              </w:rPr>
                              <w:t xml:space="preserve">From 2008 to 2012, </w:t>
                            </w:r>
                            <w:r>
                              <w:rPr>
                                <w:sz w:val="22"/>
                              </w:rPr>
                              <w:t>the incidence rate fell by 2.4% and this change was statistically significant.</w:t>
                            </w:r>
                          </w:p>
                          <w:p w:rsidR="00CF610C" w:rsidRPr="009B3B9A" w:rsidRDefault="00CF610C" w:rsidP="00372F2B">
                            <w:pPr>
                              <w:pStyle w:val="ListParagraph"/>
                              <w:rPr>
                                <w:sz w:val="22"/>
                              </w:rPr>
                            </w:pPr>
                            <w:r>
                              <w:rPr>
                                <w:sz w:val="22"/>
                              </w:rPr>
                              <w:t xml:space="preserve">During the same period, </w:t>
                            </w:r>
                            <w:r w:rsidRPr="009B3B9A">
                              <w:rPr>
                                <w:sz w:val="22"/>
                              </w:rPr>
                              <w:t>the mortality rate fell by 7.</w:t>
                            </w:r>
                            <w:r>
                              <w:rPr>
                                <w:sz w:val="22"/>
                              </w:rPr>
                              <w:t>6</w:t>
                            </w:r>
                            <w:r w:rsidRPr="009B3B9A">
                              <w:rPr>
                                <w:sz w:val="22"/>
                              </w:rPr>
                              <w:t>% and this change was statistically significant.</w:t>
                            </w:r>
                          </w:p>
                          <w:p w:rsidR="00CF610C" w:rsidRPr="009B3B9A" w:rsidRDefault="00CF610C">
                            <w:pPr>
                              <w:rPr>
                                <w:sz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0" type="#_x0000_t202" style="position:absolute;left:0;text-align:left;margin-left:396.75pt;margin-top:84.5pt;width:252pt;height:9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" strokecolor="#1b587c [3206]">
                <v:textbox inset=",0,,0">
                  <w:txbxContent>
                    <w:p w:rsidR="00CF610C" w:rsidRDefault="00CF610C" w:rsidP="00372F2B">
                      <w:pPr>
                        <w:pStyle w:val="ListParagraph"/>
                        <w:rPr>
                          <w:sz w:val="22"/>
                        </w:rPr>
                      </w:pPr>
                      <w:r w:rsidRPr="009B3B9A">
                        <w:rPr>
                          <w:sz w:val="22"/>
                        </w:rPr>
                        <w:t xml:space="preserve">From 2008 to 2012, </w:t>
                      </w:r>
                      <w:r>
                        <w:rPr>
                          <w:sz w:val="22"/>
                        </w:rPr>
                        <w:t>the incidence rate fell by 2.4% and this change was statistically significant.</w:t>
                      </w:r>
                    </w:p>
                    <w:p w:rsidR="00CF610C" w:rsidRPr="009B3B9A" w:rsidRDefault="00CF610C" w:rsidP="00372F2B">
                      <w:pPr>
                        <w:pStyle w:val="ListParagraph"/>
                        <w:rPr>
                          <w:sz w:val="22"/>
                        </w:rPr>
                      </w:pPr>
                      <w:r>
                        <w:rPr>
                          <w:sz w:val="22"/>
                        </w:rPr>
                        <w:t xml:space="preserve">During the same period, </w:t>
                      </w:r>
                      <w:r w:rsidRPr="009B3B9A">
                        <w:rPr>
                          <w:sz w:val="22"/>
                        </w:rPr>
                        <w:t>the mortality rate fell by 7.</w:t>
                      </w:r>
                      <w:r>
                        <w:rPr>
                          <w:sz w:val="22"/>
                        </w:rPr>
                        <w:t>6</w:t>
                      </w:r>
                      <w:r w:rsidRPr="009B3B9A">
                        <w:rPr>
                          <w:sz w:val="22"/>
                        </w:rPr>
                        <w:t>% and this change was statistically significant.</w:t>
                      </w:r>
                    </w:p>
                    <w:p w:rsidR="00CF610C" w:rsidRPr="009B3B9A" w:rsidRDefault="00CF610C">
                      <w:pPr>
                        <w:rPr>
                          <w:sz w:val="18"/>
                        </w:rPr>
                      </w:pPr>
                    </w:p>
                  </w:txbxContent>
                </v:textbox>
              </v:shape>
            </w:pict>
          </mc:Fallback>
        </mc:AlternateContent>
      </w:r>
      <w:r w:rsidR="004324E9">
        <w:t xml:space="preserve"> </w:t>
      </w:r>
      <w:r w:rsidR="002949EC">
        <w:fldChar w:fldCharType="begin"/>
      </w:r>
      <w:r w:rsidR="0057251D">
        <w:instrText>HYPERLINK  \l "_Data_Sources_1"</w:instrText>
      </w:r>
      <w:r w:rsidR="002949EC">
        <w:fldChar w:fldCharType="separate"/>
      </w:r>
      <w:r w:rsidR="002949EC" w:rsidRPr="002949EC">
        <w:rPr>
          <w:rStyle w:val="Hyperlink"/>
        </w:rPr>
        <w:t xml:space="preserve">Data </w:t>
      </w:r>
      <w:r w:rsidR="00D6359E" w:rsidRPr="002949EC">
        <w:rPr>
          <w:rStyle w:val="Hyperlink"/>
        </w:rPr>
        <w:t>Source</w:t>
      </w:r>
    </w:p>
    <w:bookmarkStart w:id="347" w:name="_Toc337647254"/>
    <w:bookmarkStart w:id="348" w:name="_Toc337647373"/>
    <w:bookmarkStart w:id="349" w:name="_Toc339960303"/>
    <w:bookmarkStart w:id="350" w:name="_Toc341097782"/>
    <w:bookmarkStart w:id="351" w:name="_Toc341099554"/>
    <w:bookmarkStart w:id="352" w:name="_Toc341175083"/>
    <w:bookmarkStart w:id="353" w:name="_Toc341175179"/>
    <w:bookmarkStart w:id="354" w:name="_Toc341175545"/>
    <w:bookmarkStart w:id="355" w:name="_Toc341175910"/>
    <w:bookmarkStart w:id="356" w:name="_Toc341180953"/>
    <w:bookmarkStart w:id="357" w:name="_Toc341261037"/>
    <w:bookmarkStart w:id="358" w:name="_Toc342638178"/>
    <w:bookmarkStart w:id="359" w:name="_Toc346002141"/>
    <w:bookmarkStart w:id="360" w:name="_Toc374006839"/>
    <w:bookmarkStart w:id="361" w:name="_Toc400634538"/>
    <w:p w:rsidR="00933F20" w:rsidRPr="00121F3E" w:rsidRDefault="002949EC" w:rsidP="00494849">
      <w:pPr>
        <w:pStyle w:val="Heading5"/>
        <w:rPr>
          <w:rStyle w:val="SubtleEmphasis"/>
          <w:b w:val="0"/>
          <w:i w:val="0"/>
          <w:iCs w:val="0"/>
          <w:color w:val="30243C" w:themeColor="accent5" w:themeShade="80"/>
        </w:rPr>
      </w:pPr>
      <w:r>
        <w:lastRenderedPageBreak/>
        <w:fldChar w:fldCharType="end"/>
      </w:r>
      <w:r w:rsidR="000C699F" w:rsidRPr="00121F3E">
        <w:rPr>
          <w:rStyle w:val="SubtleEmphasis"/>
          <w:b w:val="0"/>
          <w:i w:val="0"/>
          <w:iCs w:val="0"/>
          <w:color w:val="30243C" w:themeColor="accent5" w:themeShade="80"/>
        </w:rPr>
        <w:t>C</w:t>
      </w:r>
      <w:r w:rsidR="00FE17E6" w:rsidRPr="00121F3E">
        <w:rPr>
          <w:rStyle w:val="SubtleEmphasis"/>
          <w:b w:val="0"/>
          <w:i w:val="0"/>
          <w:iCs w:val="0"/>
          <w:color w:val="30243C" w:themeColor="accent5" w:themeShade="80"/>
        </w:rPr>
        <w:t>ancer of P</w:t>
      </w:r>
      <w:r w:rsidR="006D6B94" w:rsidRPr="00121F3E">
        <w:rPr>
          <w:rStyle w:val="SubtleEmphasis"/>
          <w:b w:val="0"/>
          <w:i w:val="0"/>
          <w:iCs w:val="0"/>
          <w:color w:val="30243C" w:themeColor="accent5" w:themeShade="80"/>
        </w:rPr>
        <w:t xml:space="preserve">ancreas </w:t>
      </w:r>
      <w:r w:rsidR="00FE17E6" w:rsidRPr="00121F3E">
        <w:rPr>
          <w:rStyle w:val="SubtleEmphasis"/>
          <w:b w:val="0"/>
          <w:i w:val="0"/>
          <w:iCs w:val="0"/>
          <w:color w:val="30243C" w:themeColor="accent5" w:themeShade="80"/>
        </w:rPr>
        <w:t>C</w:t>
      </w:r>
      <w:r w:rsidR="006D6B94" w:rsidRPr="00121F3E">
        <w:rPr>
          <w:rStyle w:val="SubtleEmphasis"/>
          <w:b w:val="0"/>
          <w:i w:val="0"/>
          <w:iCs w:val="0"/>
          <w:color w:val="30243C" w:themeColor="accent5" w:themeShade="80"/>
        </w:rPr>
        <w:t>ontinu</w:t>
      </w:r>
      <w:r w:rsidR="00933F20" w:rsidRPr="00121F3E">
        <w:rPr>
          <w:rStyle w:val="SubtleEmphasis"/>
          <w:b w:val="0"/>
          <w:i w:val="0"/>
          <w:iCs w:val="0"/>
          <w:color w:val="30243C" w:themeColor="accent5" w:themeShade="80"/>
        </w:rPr>
        <w:t>ed</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B57ED9" w:rsidRDefault="005B21C4" w:rsidP="00B57ED9">
      <w:pPr>
        <w:rPr>
          <w:noProof/>
          <w:lang w:bidi="ar-SA"/>
        </w:rPr>
      </w:pPr>
      <w:r>
        <w:rPr>
          <w:noProof/>
          <w:lang w:bidi="ar-SA"/>
        </w:rPr>
        <mc:AlternateContent>
          <mc:Choice Requires="wps">
            <w:drawing>
              <wp:anchor distT="0" distB="0" distL="114300" distR="114300" simplePos="0" relativeHeight="251823104" behindDoc="1" locked="0" layoutInCell="1" allowOverlap="1" wp14:anchorId="75717382" wp14:editId="1C69408F">
                <wp:simplePos x="0" y="0"/>
                <wp:positionH relativeFrom="margin">
                  <wp:posOffset>4798060</wp:posOffset>
                </wp:positionH>
                <wp:positionV relativeFrom="page">
                  <wp:posOffset>1624965</wp:posOffset>
                </wp:positionV>
                <wp:extent cx="3420110" cy="1619885"/>
                <wp:effectExtent l="0" t="0" r="27940" b="18415"/>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619885"/>
                        </a:xfrm>
                        <a:prstGeom prst="rect">
                          <a:avLst/>
                        </a:prstGeom>
                        <a:solidFill>
                          <a:srgbClr val="FFFFFF"/>
                        </a:solidFill>
                        <a:ln w="9525">
                          <a:solidFill>
                            <a:schemeClr val="accent3"/>
                          </a:solidFill>
                          <a:miter lim="800000"/>
                          <a:headEnd/>
                          <a:tailEnd/>
                        </a:ln>
                      </wps:spPr>
                      <wps:txbx>
                        <w:txbxContent>
                          <w:p w:rsidR="00CF610C" w:rsidRPr="00770036" w:rsidRDefault="00CF610C" w:rsidP="00FA7A88">
                            <w:pPr>
                              <w:pStyle w:val="ListParagraph"/>
                              <w:jc w:val="both"/>
                              <w:rPr>
                                <w:szCs w:val="28"/>
                              </w:rPr>
                            </w:pPr>
                            <w:r>
                              <w:rPr>
                                <w:szCs w:val="28"/>
                              </w:rPr>
                              <w:t xml:space="preserve">Less than 1% of all </w:t>
                            </w:r>
                            <w:r w:rsidRPr="00770036">
                              <w:rPr>
                                <w:szCs w:val="28"/>
                              </w:rPr>
                              <w:t>pancreatic cancer cases were diagnosed at the in situ stage.</w:t>
                            </w:r>
                          </w:p>
                          <w:p w:rsidR="00CF610C" w:rsidRPr="00770036" w:rsidRDefault="00CF610C" w:rsidP="00FA7A88">
                            <w:pPr>
                              <w:pStyle w:val="ListParagraph"/>
                              <w:jc w:val="both"/>
                              <w:rPr>
                                <w:szCs w:val="28"/>
                              </w:rPr>
                            </w:pPr>
                            <w:r w:rsidRPr="00770036">
                              <w:rPr>
                                <w:szCs w:val="28"/>
                              </w:rPr>
                              <w:t>12.4% were diagnosed at the localized stage.</w:t>
                            </w:r>
                          </w:p>
                          <w:p w:rsidR="00CF610C" w:rsidRPr="00770036" w:rsidRDefault="00CF610C" w:rsidP="00FA7A88">
                            <w:pPr>
                              <w:pStyle w:val="ListParagraph"/>
                              <w:jc w:val="both"/>
                              <w:rPr>
                                <w:szCs w:val="28"/>
                              </w:rPr>
                            </w:pPr>
                            <w:r w:rsidRPr="00770036">
                              <w:rPr>
                                <w:szCs w:val="28"/>
                              </w:rPr>
                              <w:t>27.8% were diagnosed at the regional stage.</w:t>
                            </w:r>
                          </w:p>
                          <w:p w:rsidR="00CF610C" w:rsidRPr="00770036" w:rsidRDefault="00CF610C" w:rsidP="00FA7A88">
                            <w:pPr>
                              <w:pStyle w:val="ListParagraph"/>
                              <w:jc w:val="both"/>
                              <w:rPr>
                                <w:szCs w:val="28"/>
                              </w:rPr>
                            </w:pPr>
                            <w:r w:rsidRPr="00770036">
                              <w:rPr>
                                <w:szCs w:val="28"/>
                              </w:rPr>
                              <w:t>44.2% were diagnosed at the distant stage.</w:t>
                            </w:r>
                          </w:p>
                          <w:p w:rsidR="00CF610C" w:rsidRPr="00770036" w:rsidRDefault="00CF610C" w:rsidP="00FA7A88">
                            <w:pPr>
                              <w:pStyle w:val="ListParagraph"/>
                              <w:jc w:val="both"/>
                              <w:rPr>
                                <w:szCs w:val="28"/>
                              </w:rPr>
                            </w:pPr>
                            <w:r w:rsidRPr="00770036">
                              <w:rPr>
                                <w:szCs w:val="28"/>
                              </w:rPr>
                              <w:t>15.1% of cases had unknown stage information.</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71" type="#_x0000_t202" style="position:absolute;margin-left:377.8pt;margin-top:127.95pt;width:269.3pt;height:127.5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" strokecolor="#1b587c [3206]">
                <v:textbox inset=",0,,0">
                  <w:txbxContent>
                    <w:p w:rsidR="00CF610C" w:rsidRPr="00770036" w:rsidRDefault="00CF610C" w:rsidP="00FA7A88">
                      <w:pPr>
                        <w:pStyle w:val="ListParagraph"/>
                        <w:jc w:val="both"/>
                        <w:rPr>
                          <w:szCs w:val="28"/>
                        </w:rPr>
                      </w:pPr>
                      <w:r>
                        <w:rPr>
                          <w:szCs w:val="28"/>
                        </w:rPr>
                        <w:t xml:space="preserve">Less than 1% of all </w:t>
                      </w:r>
                      <w:r w:rsidRPr="00770036">
                        <w:rPr>
                          <w:szCs w:val="28"/>
                        </w:rPr>
                        <w:t>pancreatic cancer cases were diagnosed at the in situ stage.</w:t>
                      </w:r>
                    </w:p>
                    <w:p w:rsidR="00CF610C" w:rsidRPr="00770036" w:rsidRDefault="00CF610C" w:rsidP="00FA7A88">
                      <w:pPr>
                        <w:pStyle w:val="ListParagraph"/>
                        <w:jc w:val="both"/>
                        <w:rPr>
                          <w:szCs w:val="28"/>
                        </w:rPr>
                      </w:pPr>
                      <w:r w:rsidRPr="00770036">
                        <w:rPr>
                          <w:szCs w:val="28"/>
                        </w:rPr>
                        <w:t>12.4% were diagnosed at the localized stage.</w:t>
                      </w:r>
                    </w:p>
                    <w:p w:rsidR="00CF610C" w:rsidRPr="00770036" w:rsidRDefault="00CF610C" w:rsidP="00FA7A88">
                      <w:pPr>
                        <w:pStyle w:val="ListParagraph"/>
                        <w:jc w:val="both"/>
                        <w:rPr>
                          <w:szCs w:val="28"/>
                        </w:rPr>
                      </w:pPr>
                      <w:r w:rsidRPr="00770036">
                        <w:rPr>
                          <w:szCs w:val="28"/>
                        </w:rPr>
                        <w:t>27.8% were diagnosed at the regional stage.</w:t>
                      </w:r>
                    </w:p>
                    <w:p w:rsidR="00CF610C" w:rsidRPr="00770036" w:rsidRDefault="00CF610C" w:rsidP="00FA7A88">
                      <w:pPr>
                        <w:pStyle w:val="ListParagraph"/>
                        <w:jc w:val="both"/>
                        <w:rPr>
                          <w:szCs w:val="28"/>
                        </w:rPr>
                      </w:pPr>
                      <w:r w:rsidRPr="00770036">
                        <w:rPr>
                          <w:szCs w:val="28"/>
                        </w:rPr>
                        <w:t>44.2% were diagnosed at the distant stage.</w:t>
                      </w:r>
                    </w:p>
                    <w:p w:rsidR="00CF610C" w:rsidRPr="00770036" w:rsidRDefault="00CF610C" w:rsidP="00FA7A88">
                      <w:pPr>
                        <w:pStyle w:val="ListParagraph"/>
                        <w:jc w:val="both"/>
                        <w:rPr>
                          <w:szCs w:val="28"/>
                        </w:rPr>
                      </w:pPr>
                      <w:r w:rsidRPr="00770036">
                        <w:rPr>
                          <w:szCs w:val="28"/>
                        </w:rPr>
                        <w:t>15.1% of cases had unknown stage information.</w:t>
                      </w:r>
                    </w:p>
                  </w:txbxContent>
                </v:textbox>
                <w10:wrap anchorx="margin" anchory="page"/>
              </v:shape>
            </w:pict>
          </mc:Fallback>
        </mc:AlternateContent>
      </w:r>
      <w:r w:rsidR="00770036">
        <w:rPr>
          <w:noProof/>
          <w:lang w:bidi="ar-SA"/>
        </w:rPr>
        <mc:AlternateContent>
          <mc:Choice Requires="wps">
            <w:drawing>
              <wp:anchor distT="0" distB="0" distL="114300" distR="114300" simplePos="0" relativeHeight="252029952" behindDoc="0" locked="0" layoutInCell="1" allowOverlap="1" wp14:anchorId="0CDE6ADF" wp14:editId="4BB693F9">
                <wp:simplePos x="0" y="0"/>
                <wp:positionH relativeFrom="margin">
                  <wp:posOffset>4798060</wp:posOffset>
                </wp:positionH>
                <wp:positionV relativeFrom="paragraph">
                  <wp:posOffset>3296049</wp:posOffset>
                </wp:positionV>
                <wp:extent cx="3420110" cy="2155825"/>
                <wp:effectExtent l="0" t="0" r="27940" b="15875"/>
                <wp:wrapNone/>
                <wp:docPr id="3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155825"/>
                        </a:xfrm>
                        <a:prstGeom prst="rect">
                          <a:avLst/>
                        </a:prstGeom>
                        <a:solidFill>
                          <a:srgbClr val="FFFFFF"/>
                        </a:solidFill>
                        <a:ln w="9525">
                          <a:solidFill>
                            <a:schemeClr val="accent3"/>
                          </a:solidFill>
                          <a:miter lim="800000"/>
                          <a:headEnd/>
                          <a:tailEnd/>
                        </a:ln>
                      </wps:spPr>
                      <wps:txbx>
                        <w:txbxContent>
                          <w:p w:rsidR="00CF610C" w:rsidRPr="00770036" w:rsidRDefault="00CF610C" w:rsidP="00FA7A88">
                            <w:pPr>
                              <w:pStyle w:val="ListParagraph"/>
                              <w:jc w:val="both"/>
                            </w:pPr>
                            <w:r w:rsidRPr="00770036">
                              <w:t xml:space="preserve">Among cases with known stage, 84.7% </w:t>
                            </w:r>
                            <w:r>
                              <w:t xml:space="preserve">of Tennesseans </w:t>
                            </w:r>
                            <w:r w:rsidRPr="00770036">
                              <w:t>were diagnosed at the regional or distant stage.</w:t>
                            </w:r>
                          </w:p>
                          <w:p w:rsidR="00CF610C" w:rsidRPr="00770036" w:rsidRDefault="00CF610C" w:rsidP="00FA7A88">
                            <w:pPr>
                              <w:pStyle w:val="ListParagraph"/>
                              <w:jc w:val="both"/>
                            </w:pPr>
                            <w:r w:rsidRPr="00770036">
                              <w:t>There was no statistically significant difference in percentage of cases diagnosed at late stages (i.e. the regional or distant stage) between blacks and whites.</w:t>
                            </w:r>
                          </w:p>
                          <w:p w:rsidR="00CF610C" w:rsidRPr="00770036" w:rsidRDefault="00CF610C" w:rsidP="00FA7A88">
                            <w:pPr>
                              <w:pStyle w:val="ListParagraph"/>
                              <w:jc w:val="both"/>
                            </w:pPr>
                            <w:r w:rsidRPr="00770036">
                              <w:t xml:space="preserve">More information on pancreatic cancer can be found at the </w:t>
                            </w:r>
                            <w:hyperlink r:id="rId108" w:history="1">
                              <w:r w:rsidRPr="00770036">
                                <w:rPr>
                                  <w:rStyle w:val="Hyperlink"/>
                                </w:rPr>
                                <w:t>American Cancer Society</w:t>
                              </w:r>
                            </w:hyperlink>
                            <w:r w:rsidRPr="00770036">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72" type="#_x0000_t202" style="position:absolute;margin-left:377.8pt;margin-top:259.55pt;width:269.3pt;height:169.7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" strokecolor="#1b587c [3206]">
                <v:textbox inset=",0,,0">
                  <w:txbxContent>
                    <w:p w:rsidR="00CF610C" w:rsidRPr="00770036" w:rsidRDefault="00CF610C" w:rsidP="00FA7A88">
                      <w:pPr>
                        <w:pStyle w:val="ListParagraph"/>
                        <w:jc w:val="both"/>
                      </w:pPr>
                      <w:r w:rsidRPr="00770036">
                        <w:t xml:space="preserve">Among cases with known stage, 84.7% </w:t>
                      </w:r>
                      <w:r>
                        <w:t xml:space="preserve">of Tennesseans </w:t>
                      </w:r>
                      <w:r w:rsidRPr="00770036">
                        <w:t>were diagnosed at the regional or distant stage.</w:t>
                      </w:r>
                    </w:p>
                    <w:p w:rsidR="00CF610C" w:rsidRPr="00770036" w:rsidRDefault="00CF610C" w:rsidP="00FA7A88">
                      <w:pPr>
                        <w:pStyle w:val="ListParagraph"/>
                        <w:jc w:val="both"/>
                      </w:pPr>
                      <w:r w:rsidRPr="00770036">
                        <w:t>There was no statistically significant difference in percentage of cases diagnosed at late stages (i.e. the regional or distant stage) between blacks and whites.</w:t>
                      </w:r>
                    </w:p>
                    <w:p w:rsidR="00CF610C" w:rsidRPr="00770036" w:rsidRDefault="00CF610C" w:rsidP="00FA7A88">
                      <w:pPr>
                        <w:pStyle w:val="ListParagraph"/>
                        <w:jc w:val="both"/>
                      </w:pPr>
                      <w:r w:rsidRPr="00770036">
                        <w:t xml:space="preserve">More information on pancreatic cancer can be found at the </w:t>
                      </w:r>
                      <w:hyperlink r:id="rId109" w:history="1">
                        <w:r w:rsidRPr="00770036">
                          <w:rPr>
                            <w:rStyle w:val="Hyperlink"/>
                          </w:rPr>
                          <w:t>American Cancer Society</w:t>
                        </w:r>
                      </w:hyperlink>
                      <w:r w:rsidRPr="00770036">
                        <w:t>.</w:t>
                      </w:r>
                    </w:p>
                  </w:txbxContent>
                </v:textbox>
                <w10:wrap anchorx="margin"/>
              </v:shape>
            </w:pict>
          </mc:Fallback>
        </mc:AlternateContent>
      </w:r>
      <w:r w:rsidR="004D1E2A">
        <w:rPr>
          <w:noProof/>
          <w:lang w:bidi="ar-SA"/>
        </w:rPr>
        <w:drawing>
          <wp:inline distT="0" distB="0" distL="0" distR="0" wp14:anchorId="3657A2AE" wp14:editId="5B08C447">
            <wp:extent cx="4573925" cy="2715768"/>
            <wp:effectExtent l="0" t="0" r="0" b="8890"/>
            <wp:docPr id="125" name="Chart 1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6D6B94" w:rsidRPr="006D6B94">
        <w:rPr>
          <w:noProof/>
          <w:lang w:bidi="ar-SA"/>
        </w:rPr>
        <w:t xml:space="preserve"> </w:t>
      </w:r>
      <w:r w:rsidR="004D1E2A">
        <w:rPr>
          <w:noProof/>
          <w:lang w:bidi="ar-SA"/>
        </w:rPr>
        <w:drawing>
          <wp:inline distT="0" distB="0" distL="0" distR="0" wp14:anchorId="7A5EB42D" wp14:editId="1E332121">
            <wp:extent cx="4572000" cy="2714625"/>
            <wp:effectExtent l="0" t="0" r="0" b="9525"/>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324E9" w:rsidRPr="004324E9" w:rsidRDefault="004324E9" w:rsidP="004324E9">
      <w:pPr>
        <w:pStyle w:val="NoSpacing"/>
      </w:pPr>
    </w:p>
    <w:p w:rsidR="004324E9" w:rsidRPr="004324E9" w:rsidRDefault="005E61B4" w:rsidP="004324E9">
      <w:pPr>
        <w:pStyle w:val="NoSpacing"/>
        <w:jc w:val="right"/>
      </w:pPr>
      <w:r>
        <w:rPr>
          <w:noProof/>
          <w:sz w:val="22"/>
          <w:lang w:bidi="ar-SA"/>
        </w:rPr>
        <mc:AlternateContent>
          <mc:Choice Requires="wps">
            <w:drawing>
              <wp:anchor distT="0" distB="0" distL="114300" distR="114300" simplePos="0" relativeHeight="252423168" behindDoc="0" locked="0" layoutInCell="1" allowOverlap="1" wp14:anchorId="2A8AAF5A" wp14:editId="2575EAA9">
                <wp:simplePos x="0" y="0"/>
                <wp:positionH relativeFrom="column">
                  <wp:posOffset>3810</wp:posOffset>
                </wp:positionH>
                <wp:positionV relativeFrom="paragraph">
                  <wp:posOffset>254364</wp:posOffset>
                </wp:positionV>
                <wp:extent cx="8260579" cy="0"/>
                <wp:effectExtent l="0" t="0" r="26670" b="19050"/>
                <wp:wrapNone/>
                <wp:docPr id="360" name="Straight Connector 360"/>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0" o:spid="_x0000_s1026" style="position:absolute;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0.05pt" to="650.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" strokecolor="#1b587c [3206]" strokeweight="1pt"/>
            </w:pict>
          </mc:Fallback>
        </mc:AlternateContent>
      </w:r>
      <w:hyperlink w:anchor="_Data_Sources_1" w:history="1">
        <w:r w:rsidR="004324E9" w:rsidRPr="004324E9">
          <w:rPr>
            <w:rStyle w:val="Hyperlink"/>
          </w:rPr>
          <w:t>Data Source</w:t>
        </w:r>
      </w:hyperlink>
    </w:p>
    <w:p w:rsidR="00EC641A" w:rsidRPr="00121F3E" w:rsidRDefault="000C699F" w:rsidP="00F37C3F">
      <w:pPr>
        <w:pStyle w:val="Heading1"/>
      </w:pPr>
      <w:bookmarkStart w:id="362" w:name="_Toc341099555"/>
      <w:bookmarkStart w:id="363" w:name="_Toc421608546"/>
      <w:bookmarkStart w:id="364" w:name="_Toc421609364"/>
      <w:bookmarkStart w:id="365" w:name="_Toc421609698"/>
      <w:bookmarkStart w:id="366" w:name="_Toc421611224"/>
      <w:bookmarkStart w:id="367" w:name="_Toc439918854"/>
      <w:r w:rsidRPr="00121F3E">
        <w:lastRenderedPageBreak/>
        <w:t>C</w:t>
      </w:r>
      <w:r w:rsidR="00402650" w:rsidRPr="00121F3E">
        <w:t xml:space="preserve">hildhood </w:t>
      </w:r>
      <w:r w:rsidR="006E430F" w:rsidRPr="00121F3E">
        <w:t>C</w:t>
      </w:r>
      <w:r w:rsidR="00402650" w:rsidRPr="00121F3E">
        <w:t xml:space="preserve">ancer </w:t>
      </w:r>
      <w:bookmarkEnd w:id="362"/>
      <w:r w:rsidR="00FE17E6" w:rsidRPr="00121F3E">
        <w:t>in T</w:t>
      </w:r>
      <w:r w:rsidR="00511520" w:rsidRPr="00121F3E">
        <w:t>ennessee, 2008-2012</w:t>
      </w:r>
      <w:bookmarkEnd w:id="363"/>
      <w:bookmarkEnd w:id="364"/>
      <w:bookmarkEnd w:id="365"/>
      <w:bookmarkEnd w:id="366"/>
      <w:bookmarkEnd w:id="367"/>
      <w:r w:rsidR="00511520" w:rsidRPr="00121F3E">
        <w:t xml:space="preserve"> </w:t>
      </w:r>
    </w:p>
    <w:p w:rsidR="00923CC7" w:rsidRPr="00976CBD" w:rsidRDefault="000C699F" w:rsidP="00903E48">
      <w:pPr>
        <w:pStyle w:val="Heading2"/>
        <w:rPr>
          <w:rStyle w:val="SubtleEmphasis"/>
          <w:b w:val="0"/>
          <w:i w:val="0"/>
          <w:iCs w:val="0"/>
          <w:color w:val="30243C" w:themeColor="accent5" w:themeShade="80"/>
        </w:rPr>
      </w:pPr>
      <w:bookmarkStart w:id="368" w:name="_Toc341099556"/>
      <w:bookmarkStart w:id="369" w:name="_Toc374006841"/>
      <w:bookmarkStart w:id="370" w:name="_Toc400634540"/>
      <w:bookmarkStart w:id="371" w:name="_Toc421608547"/>
      <w:bookmarkStart w:id="372" w:name="_Toc421609365"/>
      <w:bookmarkStart w:id="373" w:name="_Toc421609699"/>
      <w:bookmarkStart w:id="374" w:name="_Toc421611225"/>
      <w:bookmarkStart w:id="375" w:name="_Toc439918855"/>
      <w:r w:rsidRPr="00976CBD">
        <w:rPr>
          <w:rStyle w:val="SubtleEmphasis"/>
          <w:b w:val="0"/>
          <w:i w:val="0"/>
          <w:iCs w:val="0"/>
          <w:color w:val="30243C" w:themeColor="accent5" w:themeShade="80"/>
        </w:rPr>
        <w:t>C</w:t>
      </w:r>
      <w:r w:rsidR="00923CC7" w:rsidRPr="00976CBD">
        <w:rPr>
          <w:rStyle w:val="SubtleEmphasis"/>
          <w:b w:val="0"/>
          <w:i w:val="0"/>
          <w:iCs w:val="0"/>
          <w:color w:val="30243C" w:themeColor="accent5" w:themeShade="80"/>
        </w:rPr>
        <w:t xml:space="preserve">hildhood </w:t>
      </w:r>
      <w:r w:rsidR="006E430F" w:rsidRPr="00976CBD">
        <w:rPr>
          <w:rStyle w:val="SubtleEmphasis"/>
          <w:b w:val="0"/>
          <w:i w:val="0"/>
          <w:iCs w:val="0"/>
          <w:color w:val="30243C" w:themeColor="accent5" w:themeShade="80"/>
        </w:rPr>
        <w:t>C</w:t>
      </w:r>
      <w:r w:rsidR="00923CC7" w:rsidRPr="00976CBD">
        <w:rPr>
          <w:rStyle w:val="SubtleEmphasis"/>
          <w:b w:val="0"/>
          <w:i w:val="0"/>
          <w:iCs w:val="0"/>
          <w:color w:val="30243C" w:themeColor="accent5" w:themeShade="80"/>
        </w:rPr>
        <w:t xml:space="preserve">ancer by </w:t>
      </w:r>
      <w:r w:rsidR="006E430F" w:rsidRPr="00976CBD">
        <w:rPr>
          <w:rStyle w:val="SubtleEmphasis"/>
          <w:b w:val="0"/>
          <w:i w:val="0"/>
          <w:iCs w:val="0"/>
          <w:color w:val="30243C" w:themeColor="accent5" w:themeShade="80"/>
        </w:rPr>
        <w:t>G</w:t>
      </w:r>
      <w:r w:rsidR="00923CC7" w:rsidRPr="00976CBD">
        <w:rPr>
          <w:rStyle w:val="SubtleEmphasis"/>
          <w:b w:val="0"/>
          <w:i w:val="0"/>
          <w:iCs w:val="0"/>
          <w:color w:val="30243C" w:themeColor="accent5" w:themeShade="80"/>
        </w:rPr>
        <w:t xml:space="preserve">ender and </w:t>
      </w:r>
      <w:r w:rsidR="006E430F" w:rsidRPr="00976CBD">
        <w:rPr>
          <w:rStyle w:val="SubtleEmphasis"/>
          <w:b w:val="0"/>
          <w:i w:val="0"/>
          <w:iCs w:val="0"/>
          <w:color w:val="30243C" w:themeColor="accent5" w:themeShade="80"/>
        </w:rPr>
        <w:t>R</w:t>
      </w:r>
      <w:r w:rsidR="00923CC7" w:rsidRPr="00976CBD">
        <w:rPr>
          <w:rStyle w:val="SubtleEmphasis"/>
          <w:b w:val="0"/>
          <w:i w:val="0"/>
          <w:iCs w:val="0"/>
          <w:color w:val="30243C" w:themeColor="accent5" w:themeShade="80"/>
        </w:rPr>
        <w:t>ace</w:t>
      </w:r>
      <w:r w:rsidR="00A53EDC" w:rsidRPr="00976CBD">
        <w:rPr>
          <w:rStyle w:val="SubtleEmphasis"/>
          <w:b w:val="0"/>
          <w:i w:val="0"/>
          <w:iCs w:val="0"/>
          <w:color w:val="30243C" w:themeColor="accent5" w:themeShade="80"/>
        </w:rPr>
        <w:t>,</w:t>
      </w:r>
      <w:r w:rsidR="00923CC7" w:rsidRPr="00976CBD">
        <w:rPr>
          <w:rStyle w:val="SubtleEmphasis"/>
          <w:b w:val="0"/>
          <w:i w:val="0"/>
          <w:iCs w:val="0"/>
          <w:color w:val="30243C" w:themeColor="accent5" w:themeShade="80"/>
        </w:rPr>
        <w:t xml:space="preserve"> and </w:t>
      </w:r>
      <w:r w:rsidR="006E430F" w:rsidRPr="00976CBD">
        <w:rPr>
          <w:rStyle w:val="SubtleEmphasis"/>
          <w:b w:val="0"/>
          <w:i w:val="0"/>
          <w:iCs w:val="0"/>
          <w:color w:val="30243C" w:themeColor="accent5" w:themeShade="80"/>
        </w:rPr>
        <w:t>T</w:t>
      </w:r>
      <w:r w:rsidR="00923CC7" w:rsidRPr="00976CBD">
        <w:rPr>
          <w:rStyle w:val="SubtleEmphasis"/>
          <w:b w:val="0"/>
          <w:i w:val="0"/>
          <w:iCs w:val="0"/>
          <w:color w:val="30243C" w:themeColor="accent5" w:themeShade="80"/>
        </w:rPr>
        <w:t xml:space="preserve">ime </w:t>
      </w:r>
      <w:r w:rsidR="006E430F" w:rsidRPr="00976CBD">
        <w:rPr>
          <w:rStyle w:val="SubtleEmphasis"/>
          <w:b w:val="0"/>
          <w:i w:val="0"/>
          <w:iCs w:val="0"/>
          <w:color w:val="30243C" w:themeColor="accent5" w:themeShade="80"/>
        </w:rPr>
        <w:t>T</w:t>
      </w:r>
      <w:r w:rsidR="00923CC7" w:rsidRPr="00976CBD">
        <w:rPr>
          <w:rStyle w:val="SubtleEmphasis"/>
          <w:b w:val="0"/>
          <w:i w:val="0"/>
          <w:iCs w:val="0"/>
          <w:color w:val="30243C" w:themeColor="accent5" w:themeShade="80"/>
        </w:rPr>
        <w:t>rend</w:t>
      </w:r>
      <w:bookmarkEnd w:id="368"/>
      <w:bookmarkEnd w:id="369"/>
      <w:bookmarkEnd w:id="370"/>
      <w:bookmarkEnd w:id="371"/>
      <w:bookmarkEnd w:id="372"/>
      <w:bookmarkEnd w:id="373"/>
      <w:bookmarkEnd w:id="374"/>
      <w:bookmarkEnd w:id="375"/>
    </w:p>
    <w:p w:rsidR="00561452" w:rsidRDefault="00770036">
      <w:r>
        <w:rPr>
          <w:noProof/>
          <w:lang w:bidi="ar-SA"/>
        </w:rPr>
        <mc:AlternateContent>
          <mc:Choice Requires="wps">
            <w:drawing>
              <wp:anchor distT="0" distB="0" distL="114300" distR="114300" simplePos="0" relativeHeight="251789312" behindDoc="1" locked="0" layoutInCell="1" allowOverlap="1" wp14:anchorId="37B81C81" wp14:editId="2D2A42CD">
                <wp:simplePos x="0" y="0"/>
                <wp:positionH relativeFrom="margin">
                  <wp:posOffset>4809067</wp:posOffset>
                </wp:positionH>
                <wp:positionV relativeFrom="margin">
                  <wp:posOffset>736600</wp:posOffset>
                </wp:positionV>
                <wp:extent cx="3437255" cy="4961467"/>
                <wp:effectExtent l="0" t="0" r="10795" b="10795"/>
                <wp:wrapNone/>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4961467"/>
                        </a:xfrm>
                        <a:prstGeom prst="rect">
                          <a:avLst/>
                        </a:prstGeom>
                        <a:solidFill>
                          <a:srgbClr val="FFFFFF"/>
                        </a:solidFill>
                        <a:ln w="9525">
                          <a:solidFill>
                            <a:schemeClr val="accent3"/>
                          </a:solidFill>
                          <a:miter lim="800000"/>
                          <a:headEnd/>
                          <a:tailEnd/>
                        </a:ln>
                      </wps:spPr>
                      <wps:txbx>
                        <w:txbxContent>
                          <w:p w:rsidR="00CF610C" w:rsidRPr="00770036" w:rsidRDefault="00CF610C" w:rsidP="00FA7A88">
                            <w:pPr>
                              <w:pStyle w:val="ListParagraph"/>
                              <w:jc w:val="both"/>
                            </w:pPr>
                            <w:r w:rsidRPr="00770036">
                              <w:t>A total of 1,527 new cancer cases in Tennessee were reported among children 19 years and younger from 2008 to 2012, and the age-adjusted incidence rate during this period was 182.1</w:t>
                            </w:r>
                            <w:r>
                              <w:t xml:space="preserve"> per </w:t>
                            </w:r>
                            <w:r w:rsidRPr="00770036">
                              <w:t>1,000,000.</w:t>
                            </w:r>
                          </w:p>
                          <w:p w:rsidR="00CF610C" w:rsidRPr="00770036" w:rsidRDefault="00CF610C" w:rsidP="00FA7A88">
                            <w:pPr>
                              <w:pStyle w:val="ListParagraph"/>
                              <w:jc w:val="both"/>
                            </w:pPr>
                            <w:r w:rsidRPr="00770036">
                              <w:t xml:space="preserve">A total of 209 children 19 years and younger died of cancer during that same five-year period, </w:t>
                            </w:r>
                            <w:r>
                              <w:t>resulting in</w:t>
                            </w:r>
                            <w:r w:rsidRPr="00770036">
                              <w:t xml:space="preserve"> an age-adjusted mortality rate of 25.0</w:t>
                            </w:r>
                            <w:r>
                              <w:t xml:space="preserve"> per </w:t>
                            </w:r>
                            <w:r w:rsidRPr="00770036">
                              <w:t>1,000,000.</w:t>
                            </w:r>
                          </w:p>
                          <w:p w:rsidR="00CF610C" w:rsidRPr="00770036" w:rsidRDefault="00CF610C" w:rsidP="00FA7A88">
                            <w:pPr>
                              <w:pStyle w:val="ListParagraph"/>
                              <w:jc w:val="both"/>
                            </w:pPr>
                            <w:r w:rsidRPr="00770036">
                              <w:t>There were no statistically significant differences between gender and/or race groups for either incidence or morality rate.</w:t>
                            </w:r>
                          </w:p>
                          <w:p w:rsidR="00CF610C" w:rsidRPr="00770036" w:rsidRDefault="00CF610C" w:rsidP="00FA7A88">
                            <w:pPr>
                              <w:pStyle w:val="ListParagraph"/>
                              <w:jc w:val="both"/>
                            </w:pPr>
                            <w:r w:rsidRPr="00770036">
                              <w:t>There were no statistically significant changes in either childhood cancer incidence rates or mortality rates from 2008 to 2012.</w:t>
                            </w:r>
                          </w:p>
                          <w:p w:rsidR="00CF610C" w:rsidRPr="00770036" w:rsidRDefault="00CF610C" w:rsidP="00FA7A88">
                            <w:pPr>
                              <w:pStyle w:val="ListParagraph"/>
                              <w:jc w:val="both"/>
                            </w:pPr>
                            <w:r w:rsidRPr="00770036">
                              <w:t>From 2008 to 2012, 284 black children and 1,171 white children were diagnosed with cancer.</w:t>
                            </w:r>
                          </w:p>
                          <w:p w:rsidR="00CF610C" w:rsidRPr="00770036" w:rsidRDefault="00CF610C" w:rsidP="00FA7A88">
                            <w:pPr>
                              <w:pStyle w:val="ListParagraph"/>
                              <w:jc w:val="both"/>
                            </w:pPr>
                            <w:r w:rsidRPr="00770036">
                              <w:t xml:space="preserve">During the same time period, 46 black children and 157 white children died from cancer. </w:t>
                            </w:r>
                          </w:p>
                          <w:p w:rsidR="00CF610C" w:rsidRPr="00770036" w:rsidRDefault="00CF610C" w:rsidP="00FA7A88">
                            <w:pPr>
                              <w:pStyle w:val="ListParagraph"/>
                              <w:jc w:val="both"/>
                            </w:pPr>
                            <w:r w:rsidRPr="00770036">
                              <w:t>From 2008 to 2012, childhood cancers had a mortality-to-incidence ratio of 0.14.</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73" type="#_x0000_t202" style="position:absolute;margin-left:378.65pt;margin-top:58pt;width:270.65pt;height:390.6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" strokecolor="#1b587c [3206]">
                <v:textbox inset=",0,,0">
                  <w:txbxContent>
                    <w:p w:rsidR="00CF610C" w:rsidRPr="00770036" w:rsidRDefault="00CF610C" w:rsidP="00FA7A88">
                      <w:pPr>
                        <w:pStyle w:val="ListParagraph"/>
                        <w:jc w:val="both"/>
                      </w:pPr>
                      <w:r w:rsidRPr="00770036">
                        <w:t>A total of 1,527 new cancer cases in Tennessee were reported among children 19 years and younger from 2008 to 2012, and the age-adjusted incidence rate during this period was 182.1</w:t>
                      </w:r>
                      <w:r>
                        <w:t xml:space="preserve"> per </w:t>
                      </w:r>
                      <w:r w:rsidRPr="00770036">
                        <w:t>1,000,000.</w:t>
                      </w:r>
                    </w:p>
                    <w:p w:rsidR="00CF610C" w:rsidRPr="00770036" w:rsidRDefault="00CF610C" w:rsidP="00FA7A88">
                      <w:pPr>
                        <w:pStyle w:val="ListParagraph"/>
                        <w:jc w:val="both"/>
                      </w:pPr>
                      <w:r w:rsidRPr="00770036">
                        <w:t xml:space="preserve">A total of 209 children 19 years and younger died of cancer during that same five-year period, </w:t>
                      </w:r>
                      <w:r>
                        <w:t>resulting in</w:t>
                      </w:r>
                      <w:r w:rsidRPr="00770036">
                        <w:t xml:space="preserve"> an age-adjusted mortality rate of 25.0</w:t>
                      </w:r>
                      <w:r>
                        <w:t xml:space="preserve"> per </w:t>
                      </w:r>
                      <w:r w:rsidRPr="00770036">
                        <w:t>1,000,000.</w:t>
                      </w:r>
                    </w:p>
                    <w:p w:rsidR="00CF610C" w:rsidRPr="00770036" w:rsidRDefault="00CF610C" w:rsidP="00FA7A88">
                      <w:pPr>
                        <w:pStyle w:val="ListParagraph"/>
                        <w:jc w:val="both"/>
                      </w:pPr>
                      <w:r w:rsidRPr="00770036">
                        <w:t>There were no statistically significant differences between gender and/or race groups for either incidence or morality rate.</w:t>
                      </w:r>
                    </w:p>
                    <w:p w:rsidR="00CF610C" w:rsidRPr="00770036" w:rsidRDefault="00CF610C" w:rsidP="00FA7A88">
                      <w:pPr>
                        <w:pStyle w:val="ListParagraph"/>
                        <w:jc w:val="both"/>
                      </w:pPr>
                      <w:r w:rsidRPr="00770036">
                        <w:t>There were no statistically significant changes in either childhood cancer incidence rates or mortality rates from 2008 to 2012.</w:t>
                      </w:r>
                    </w:p>
                    <w:p w:rsidR="00CF610C" w:rsidRPr="00770036" w:rsidRDefault="00CF610C" w:rsidP="00FA7A88">
                      <w:pPr>
                        <w:pStyle w:val="ListParagraph"/>
                        <w:jc w:val="both"/>
                      </w:pPr>
                      <w:r w:rsidRPr="00770036">
                        <w:t>From 2008 to 2012, 284 black children and 1,171 white children were diagnosed with cancer.</w:t>
                      </w:r>
                    </w:p>
                    <w:p w:rsidR="00CF610C" w:rsidRPr="00770036" w:rsidRDefault="00CF610C" w:rsidP="00FA7A88">
                      <w:pPr>
                        <w:pStyle w:val="ListParagraph"/>
                        <w:jc w:val="both"/>
                      </w:pPr>
                      <w:r w:rsidRPr="00770036">
                        <w:t xml:space="preserve">During the same time period, 46 black children and 157 white children died from cancer. </w:t>
                      </w:r>
                    </w:p>
                    <w:p w:rsidR="00CF610C" w:rsidRPr="00770036" w:rsidRDefault="00CF610C" w:rsidP="00FA7A88">
                      <w:pPr>
                        <w:pStyle w:val="ListParagraph"/>
                        <w:jc w:val="both"/>
                      </w:pPr>
                      <w:r w:rsidRPr="00770036">
                        <w:t>From 2008 to 2012, childhood cancers had a mortality-to-incidence ratio of 0.14.</w:t>
                      </w:r>
                    </w:p>
                  </w:txbxContent>
                </v:textbox>
                <w10:wrap anchorx="margin" anchory="margin"/>
              </v:shape>
            </w:pict>
          </mc:Fallback>
        </mc:AlternateContent>
      </w:r>
      <w:r w:rsidR="0085402F">
        <w:rPr>
          <w:noProof/>
          <w:lang w:bidi="ar-SA"/>
        </w:rPr>
        <w:drawing>
          <wp:inline distT="0" distB="0" distL="0" distR="0" wp14:anchorId="49518651" wp14:editId="579AB514">
            <wp:extent cx="4331025" cy="2573866"/>
            <wp:effectExtent l="0" t="0" r="0" b="0"/>
            <wp:docPr id="128" name="Chart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4324E9" w:rsidRDefault="0085402F" w:rsidP="004324E9">
      <w:pPr>
        <w:pStyle w:val="NoSpacing"/>
      </w:pPr>
      <w:r>
        <w:rPr>
          <w:noProof/>
          <w:lang w:bidi="ar-SA"/>
        </w:rPr>
        <w:drawing>
          <wp:inline distT="0" distB="0" distL="0" distR="0" wp14:anchorId="6521B06E" wp14:editId="587A68F1">
            <wp:extent cx="4495800" cy="2763981"/>
            <wp:effectExtent l="0" t="0" r="0" b="0"/>
            <wp:docPr id="131" name="Chart 1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00411AA8">
        <w:t xml:space="preserve"> </w:t>
      </w:r>
    </w:p>
    <w:p w:rsidR="009F4A43" w:rsidRDefault="004324E9" w:rsidP="004324E9">
      <w:pPr>
        <w:pStyle w:val="NoSpacing"/>
        <w:jc w:val="right"/>
        <w:rPr>
          <w:rStyle w:val="Hyperlink"/>
          <w:szCs w:val="26"/>
        </w:rPr>
      </w:pPr>
      <w:r>
        <w:t xml:space="preserve"> </w:t>
      </w:r>
      <w:r w:rsidR="002949EC" w:rsidRPr="00976CBD">
        <w:fldChar w:fldCharType="begin"/>
      </w:r>
      <w:r w:rsidR="0057251D" w:rsidRPr="00976CBD">
        <w:instrText>HYPERLINK  \l "_Data_Sources_1"</w:instrText>
      </w:r>
      <w:r w:rsidR="002949EC" w:rsidRPr="00976CBD">
        <w:fldChar w:fldCharType="separate"/>
      </w:r>
      <w:r w:rsidR="002949EC" w:rsidRPr="004324E9">
        <w:rPr>
          <w:rStyle w:val="Hyperlink"/>
          <w:szCs w:val="26"/>
        </w:rPr>
        <w:t xml:space="preserve">Data </w:t>
      </w:r>
      <w:r w:rsidR="00D6359E" w:rsidRPr="004324E9">
        <w:rPr>
          <w:rStyle w:val="Hyperlink"/>
          <w:szCs w:val="26"/>
        </w:rPr>
        <w:t>Source</w:t>
      </w:r>
      <w:r w:rsidR="009F4A43">
        <w:rPr>
          <w:rStyle w:val="Hyperlink"/>
          <w:szCs w:val="26"/>
        </w:rPr>
        <w:t xml:space="preserve"> </w:t>
      </w:r>
    </w:p>
    <w:p w:rsidR="00D6359E" w:rsidRPr="00976CBD" w:rsidRDefault="005E61B4" w:rsidP="004324E9">
      <w:pPr>
        <w:pStyle w:val="NoSpacing"/>
        <w:jc w:val="right"/>
        <w:rPr>
          <w:rStyle w:val="Hyperlink"/>
          <w:sz w:val="26"/>
          <w:szCs w:val="26"/>
        </w:rPr>
      </w:pPr>
      <w:r>
        <w:rPr>
          <w:noProof/>
          <w:sz w:val="22"/>
          <w:lang w:bidi="ar-SA"/>
        </w:rPr>
        <mc:AlternateContent>
          <mc:Choice Requires="wps">
            <w:drawing>
              <wp:anchor distT="0" distB="0" distL="114300" distR="114300" simplePos="0" relativeHeight="252425216" behindDoc="0" locked="0" layoutInCell="1" allowOverlap="1" wp14:anchorId="6B18BE7D" wp14:editId="2F50B28E">
                <wp:simplePos x="0" y="0"/>
                <wp:positionH relativeFrom="column">
                  <wp:posOffset>-7108</wp:posOffset>
                </wp:positionH>
                <wp:positionV relativeFrom="paragraph">
                  <wp:posOffset>202466</wp:posOffset>
                </wp:positionV>
                <wp:extent cx="8260579" cy="0"/>
                <wp:effectExtent l="0" t="0" r="26670" b="19050"/>
                <wp:wrapNone/>
                <wp:docPr id="361" name="Straight Connector 361"/>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1" o:spid="_x0000_s1026" style="position:absolute;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95pt" to="649.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" strokecolor="#1b587c [3206]" strokeweight="1pt"/>
            </w:pict>
          </mc:Fallback>
        </mc:AlternateContent>
      </w:r>
      <w:r w:rsidR="00003649" w:rsidRPr="004324E9">
        <w:rPr>
          <w:rStyle w:val="Hyperlink"/>
          <w:szCs w:val="26"/>
        </w:rPr>
        <w:t xml:space="preserve"> </w:t>
      </w:r>
    </w:p>
    <w:bookmarkStart w:id="376" w:name="_Toc400634541"/>
    <w:p w:rsidR="00354E8F" w:rsidRPr="00976CBD" w:rsidRDefault="002949EC" w:rsidP="00903E48">
      <w:pPr>
        <w:pStyle w:val="Heading2"/>
        <w:rPr>
          <w:rStyle w:val="SubtleEmphasis"/>
          <w:b w:val="0"/>
          <w:i w:val="0"/>
          <w:iCs w:val="0"/>
          <w:color w:val="30243C" w:themeColor="accent5" w:themeShade="80"/>
        </w:rPr>
      </w:pPr>
      <w:r w:rsidRPr="00976CBD">
        <w:lastRenderedPageBreak/>
        <w:fldChar w:fldCharType="end"/>
      </w:r>
      <w:bookmarkStart w:id="377" w:name="_Toc421608548"/>
      <w:bookmarkStart w:id="378" w:name="_Toc421609366"/>
      <w:bookmarkStart w:id="379" w:name="_Toc421609700"/>
      <w:bookmarkStart w:id="380" w:name="_Toc421611226"/>
      <w:bookmarkStart w:id="381" w:name="_Toc439918856"/>
      <w:r w:rsidR="000C699F" w:rsidRPr="00976CBD">
        <w:rPr>
          <w:rStyle w:val="SubtleEmphasis"/>
          <w:b w:val="0"/>
          <w:i w:val="0"/>
          <w:iCs w:val="0"/>
          <w:color w:val="30243C" w:themeColor="accent5" w:themeShade="80"/>
        </w:rPr>
        <w:t>C</w:t>
      </w:r>
      <w:r w:rsidR="00354E8F" w:rsidRPr="00976CBD">
        <w:rPr>
          <w:rStyle w:val="SubtleEmphasis"/>
          <w:b w:val="0"/>
          <w:i w:val="0"/>
          <w:iCs w:val="0"/>
          <w:color w:val="30243C" w:themeColor="accent5" w:themeShade="80"/>
        </w:rPr>
        <w:t xml:space="preserve">hildhood </w:t>
      </w:r>
      <w:r w:rsidR="006E430F" w:rsidRPr="00976CBD">
        <w:rPr>
          <w:rStyle w:val="SubtleEmphasis"/>
          <w:b w:val="0"/>
          <w:i w:val="0"/>
          <w:iCs w:val="0"/>
          <w:color w:val="30243C" w:themeColor="accent5" w:themeShade="80"/>
        </w:rPr>
        <w:t>C</w:t>
      </w:r>
      <w:r w:rsidR="00354E8F" w:rsidRPr="00976CBD">
        <w:rPr>
          <w:rStyle w:val="SubtleEmphasis"/>
          <w:b w:val="0"/>
          <w:i w:val="0"/>
          <w:iCs w:val="0"/>
          <w:color w:val="30243C" w:themeColor="accent5" w:themeShade="80"/>
        </w:rPr>
        <w:t xml:space="preserve">ancer by </w:t>
      </w:r>
      <w:r w:rsidR="006E430F" w:rsidRPr="00976CBD">
        <w:rPr>
          <w:rStyle w:val="SubtleEmphasis"/>
          <w:b w:val="0"/>
          <w:i w:val="0"/>
          <w:iCs w:val="0"/>
          <w:color w:val="30243C" w:themeColor="accent5" w:themeShade="80"/>
        </w:rPr>
        <w:t>S</w:t>
      </w:r>
      <w:r w:rsidR="00354E8F" w:rsidRPr="00976CBD">
        <w:rPr>
          <w:rStyle w:val="SubtleEmphasis"/>
          <w:b w:val="0"/>
          <w:i w:val="0"/>
          <w:iCs w:val="0"/>
          <w:color w:val="30243C" w:themeColor="accent5" w:themeShade="80"/>
        </w:rPr>
        <w:t>tage</w:t>
      </w:r>
      <w:bookmarkEnd w:id="376"/>
      <w:bookmarkEnd w:id="377"/>
      <w:bookmarkEnd w:id="378"/>
      <w:bookmarkEnd w:id="379"/>
      <w:bookmarkEnd w:id="380"/>
      <w:bookmarkEnd w:id="381"/>
    </w:p>
    <w:p w:rsidR="00561452" w:rsidRDefault="0085402F">
      <w:r>
        <w:rPr>
          <w:noProof/>
          <w:lang w:bidi="ar-SA"/>
        </w:rPr>
        <mc:AlternateContent>
          <mc:Choice Requires="wps">
            <w:drawing>
              <wp:anchor distT="0" distB="0" distL="114300" distR="114300" simplePos="0" relativeHeight="251811840" behindDoc="1" locked="0" layoutInCell="1" allowOverlap="1" wp14:anchorId="45DEAFB4" wp14:editId="0B075620">
                <wp:simplePos x="0" y="0"/>
                <wp:positionH relativeFrom="margin">
                  <wp:posOffset>4539632</wp:posOffset>
                </wp:positionH>
                <wp:positionV relativeFrom="page">
                  <wp:posOffset>1035781</wp:posOffset>
                </wp:positionV>
                <wp:extent cx="3648479" cy="1950180"/>
                <wp:effectExtent l="0" t="0" r="28575" b="12065"/>
                <wp:wrapNone/>
                <wp:docPr id="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479" cy="1950180"/>
                        </a:xfrm>
                        <a:prstGeom prst="rect">
                          <a:avLst/>
                        </a:prstGeom>
                        <a:solidFill>
                          <a:srgbClr val="FFFFFF"/>
                        </a:solidFill>
                        <a:ln w="9525">
                          <a:solidFill>
                            <a:schemeClr val="accent3"/>
                          </a:solidFill>
                          <a:miter lim="800000"/>
                          <a:headEnd/>
                          <a:tailEnd/>
                        </a:ln>
                      </wps:spPr>
                      <wps:txbx>
                        <w:txbxContent>
                          <w:p w:rsidR="00CF610C" w:rsidRPr="00770036" w:rsidRDefault="00CF610C" w:rsidP="00FA7A88">
                            <w:pPr>
                              <w:pStyle w:val="ListParagraph"/>
                              <w:jc w:val="both"/>
                            </w:pPr>
                            <w:r>
                              <w:t>Less than 1.0% of all c</w:t>
                            </w:r>
                            <w:r w:rsidRPr="00770036">
                              <w:t>hildhood cancer cases were diagnosed at the in situ stage.</w:t>
                            </w:r>
                          </w:p>
                          <w:p w:rsidR="00CF610C" w:rsidRPr="00770036" w:rsidRDefault="00CF610C" w:rsidP="00FA7A88">
                            <w:pPr>
                              <w:pStyle w:val="ListParagraph"/>
                              <w:jc w:val="both"/>
                            </w:pPr>
                            <w:r w:rsidRPr="00770036">
                              <w:t>38.9% of cases were diagnosed at the localized stage.</w:t>
                            </w:r>
                          </w:p>
                          <w:p w:rsidR="00CF610C" w:rsidRPr="00770036" w:rsidRDefault="00CF610C" w:rsidP="00FA7A88">
                            <w:pPr>
                              <w:pStyle w:val="ListParagraph"/>
                              <w:jc w:val="both"/>
                            </w:pPr>
                            <w:r w:rsidRPr="00770036">
                              <w:t>14.8% of cases were diagnosed at the regional stage.</w:t>
                            </w:r>
                          </w:p>
                          <w:p w:rsidR="00CF610C" w:rsidRPr="00770036" w:rsidRDefault="00CF610C" w:rsidP="00FA7A88">
                            <w:pPr>
                              <w:pStyle w:val="ListParagraph"/>
                              <w:jc w:val="both"/>
                            </w:pPr>
                            <w:r w:rsidRPr="00770036">
                              <w:t>43.6% of cases were diagnosed at the distant stage.</w:t>
                            </w:r>
                          </w:p>
                          <w:p w:rsidR="00CF610C" w:rsidRPr="00770036" w:rsidRDefault="00CF610C" w:rsidP="00FA7A88">
                            <w:pPr>
                              <w:pStyle w:val="ListParagraph"/>
                              <w:jc w:val="both"/>
                            </w:pPr>
                            <w:r w:rsidRPr="00770036">
                              <w:t>2.2% of cases had unknown stage information.</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74" type="#_x0000_t202" style="position:absolute;margin-left:357.45pt;margin-top:81.55pt;width:287.3pt;height:153.5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" strokecolor="#1b587c [3206]">
                <v:textbox inset=",0,,0">
                  <w:txbxContent>
                    <w:p w:rsidR="00CF610C" w:rsidRPr="00770036" w:rsidRDefault="00CF610C" w:rsidP="00FA7A88">
                      <w:pPr>
                        <w:pStyle w:val="ListParagraph"/>
                        <w:jc w:val="both"/>
                      </w:pPr>
                      <w:r>
                        <w:t>Less than 1.0% of all c</w:t>
                      </w:r>
                      <w:r w:rsidRPr="00770036">
                        <w:t>hildhood cancer cases were diagnosed at the in situ stage.</w:t>
                      </w:r>
                    </w:p>
                    <w:p w:rsidR="00CF610C" w:rsidRPr="00770036" w:rsidRDefault="00CF610C" w:rsidP="00FA7A88">
                      <w:pPr>
                        <w:pStyle w:val="ListParagraph"/>
                        <w:jc w:val="both"/>
                      </w:pPr>
                      <w:r w:rsidRPr="00770036">
                        <w:t>38.9% of cases were diagnosed at the localized stage.</w:t>
                      </w:r>
                    </w:p>
                    <w:p w:rsidR="00CF610C" w:rsidRPr="00770036" w:rsidRDefault="00CF610C" w:rsidP="00FA7A88">
                      <w:pPr>
                        <w:pStyle w:val="ListParagraph"/>
                        <w:jc w:val="both"/>
                      </w:pPr>
                      <w:r w:rsidRPr="00770036">
                        <w:t>14.8% of cases were diagnosed at the regional stage.</w:t>
                      </w:r>
                    </w:p>
                    <w:p w:rsidR="00CF610C" w:rsidRPr="00770036" w:rsidRDefault="00CF610C" w:rsidP="00FA7A88">
                      <w:pPr>
                        <w:pStyle w:val="ListParagraph"/>
                        <w:jc w:val="both"/>
                      </w:pPr>
                      <w:r w:rsidRPr="00770036">
                        <w:t>43.6% of cases were diagnosed at the distant stage.</w:t>
                      </w:r>
                    </w:p>
                    <w:p w:rsidR="00CF610C" w:rsidRPr="00770036" w:rsidRDefault="00CF610C" w:rsidP="00FA7A88">
                      <w:pPr>
                        <w:pStyle w:val="ListParagraph"/>
                        <w:jc w:val="both"/>
                      </w:pPr>
                      <w:r w:rsidRPr="00770036">
                        <w:t>2.2% of cases had unknown stage information.</w:t>
                      </w:r>
                    </w:p>
                  </w:txbxContent>
                </v:textbox>
                <w10:wrap anchorx="margin" anchory="page"/>
              </v:shape>
            </w:pict>
          </mc:Fallback>
        </mc:AlternateContent>
      </w:r>
      <w:r>
        <w:rPr>
          <w:noProof/>
          <w:lang w:bidi="ar-SA"/>
        </w:rPr>
        <w:drawing>
          <wp:inline distT="0" distB="0" distL="0" distR="0" wp14:anchorId="337FB2E9" wp14:editId="44FF71B5">
            <wp:extent cx="4429126" cy="2624667"/>
            <wp:effectExtent l="0" t="0" r="0" b="4445"/>
            <wp:docPr id="132" name="Chart 1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11AA8" w:rsidRDefault="00A30AE9" w:rsidP="00411AA8">
      <w:pPr>
        <w:tabs>
          <w:tab w:val="left" w:pos="1920"/>
          <w:tab w:val="left" w:pos="4302"/>
          <w:tab w:val="right" w:pos="12960"/>
        </w:tabs>
      </w:pPr>
      <w:r>
        <w:rPr>
          <w:noProof/>
          <w:lang w:bidi="ar-SA"/>
        </w:rPr>
        <mc:AlternateContent>
          <mc:Choice Requires="wps">
            <w:drawing>
              <wp:anchor distT="0" distB="0" distL="114300" distR="114300" simplePos="0" relativeHeight="252130304" behindDoc="0" locked="0" layoutInCell="1" allowOverlap="1" wp14:anchorId="16B9F729" wp14:editId="774BA187">
                <wp:simplePos x="0" y="0"/>
                <wp:positionH relativeFrom="column">
                  <wp:posOffset>194209</wp:posOffset>
                </wp:positionH>
                <wp:positionV relativeFrom="paragraph">
                  <wp:posOffset>470052</wp:posOffset>
                </wp:positionV>
                <wp:extent cx="2374265" cy="1974456"/>
                <wp:effectExtent l="0" t="0" r="2286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74456"/>
                        </a:xfrm>
                        <a:prstGeom prst="rect">
                          <a:avLst/>
                        </a:prstGeom>
                        <a:solidFill>
                          <a:srgbClr val="FFFFFF"/>
                        </a:solidFill>
                        <a:ln w="9525">
                          <a:solidFill>
                            <a:schemeClr val="accent3"/>
                          </a:solidFill>
                          <a:miter lim="800000"/>
                          <a:headEnd/>
                          <a:tailEnd/>
                        </a:ln>
                      </wps:spPr>
                      <wps:txbx>
                        <w:txbxContent>
                          <w:p w:rsidR="00CF610C" w:rsidRPr="006C5A65" w:rsidRDefault="00CF610C" w:rsidP="006C5A65">
                            <w:pPr>
                              <w:pStyle w:val="ListParagraph"/>
                              <w:numPr>
                                <w:ilvl w:val="0"/>
                                <w:numId w:val="38"/>
                              </w:numPr>
                              <w:jc w:val="both"/>
                            </w:pPr>
                            <w:r w:rsidRPr="006C5A65">
                              <w:t>Among cases with known stage, 59.7% were diagnosed at the regional or distant stage.</w:t>
                            </w:r>
                          </w:p>
                          <w:p w:rsidR="00CF610C" w:rsidRPr="006C5A65" w:rsidRDefault="00CF610C" w:rsidP="006C5A65">
                            <w:pPr>
                              <w:pStyle w:val="ListParagraph"/>
                              <w:numPr>
                                <w:ilvl w:val="0"/>
                                <w:numId w:val="38"/>
                              </w:numPr>
                              <w:jc w:val="both"/>
                            </w:pPr>
                            <w:r w:rsidRPr="006C5A65">
                              <w:t>There was no statistically significant difference in the percentage of cases diagnosed at late stages (i.e., the regional or distant stage) between blacks and whites.</w:t>
                            </w:r>
                          </w:p>
                          <w:p w:rsidR="00CF610C" w:rsidRPr="006C5A65" w:rsidRDefault="00CF610C" w:rsidP="006C5A65">
                            <w:pPr>
                              <w:pStyle w:val="ListParagraph"/>
                              <w:numPr>
                                <w:ilvl w:val="0"/>
                                <w:numId w:val="38"/>
                              </w:numPr>
                              <w:jc w:val="both"/>
                            </w:pPr>
                            <w:r w:rsidRPr="006C5A65">
                              <w:t xml:space="preserve">More information on childhood cancer can be found at the </w:t>
                            </w:r>
                            <w:hyperlink r:id="rId115" w:history="1">
                              <w:r w:rsidRPr="006C5A65">
                                <w:rPr>
                                  <w:rStyle w:val="Hyperlink"/>
                                </w:rPr>
                                <w:t>American Cancer Society</w:t>
                              </w:r>
                            </w:hyperlink>
                            <w:r w:rsidRPr="006C5A65">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5" type="#_x0000_t202" style="position:absolute;margin-left:15.3pt;margin-top:37pt;width:186.95pt;height:155.45pt;z-index:252130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" strokecolor="#1b587c [3206]">
                <v:textbox>
                  <w:txbxContent>
                    <w:p w:rsidR="00CF610C" w:rsidRPr="006C5A65" w:rsidRDefault="00CF610C" w:rsidP="006C5A65">
                      <w:pPr>
                        <w:pStyle w:val="ListParagraph"/>
                        <w:numPr>
                          <w:ilvl w:val="0"/>
                          <w:numId w:val="38"/>
                        </w:numPr>
                        <w:jc w:val="both"/>
                      </w:pPr>
                      <w:r w:rsidRPr="006C5A65">
                        <w:t>Among cases with known stage, 59.7% were diagnosed at the regional or distant stage.</w:t>
                      </w:r>
                    </w:p>
                    <w:p w:rsidR="00CF610C" w:rsidRPr="006C5A65" w:rsidRDefault="00CF610C" w:rsidP="006C5A65">
                      <w:pPr>
                        <w:pStyle w:val="ListParagraph"/>
                        <w:numPr>
                          <w:ilvl w:val="0"/>
                          <w:numId w:val="38"/>
                        </w:numPr>
                        <w:jc w:val="both"/>
                      </w:pPr>
                      <w:r w:rsidRPr="006C5A65">
                        <w:t>There was no statistically significant difference in the percentage of cases diagnosed at late stages (i.e., the regional or distant stage) between blacks and whites.</w:t>
                      </w:r>
                    </w:p>
                    <w:p w:rsidR="00CF610C" w:rsidRPr="006C5A65" w:rsidRDefault="00CF610C" w:rsidP="006C5A65">
                      <w:pPr>
                        <w:pStyle w:val="ListParagraph"/>
                        <w:numPr>
                          <w:ilvl w:val="0"/>
                          <w:numId w:val="38"/>
                        </w:numPr>
                        <w:jc w:val="both"/>
                      </w:pPr>
                      <w:r w:rsidRPr="006C5A65">
                        <w:t xml:space="preserve">More information on childhood cancer can be found at the </w:t>
                      </w:r>
                      <w:hyperlink r:id="rId116" w:history="1">
                        <w:r w:rsidRPr="006C5A65">
                          <w:rPr>
                            <w:rStyle w:val="Hyperlink"/>
                          </w:rPr>
                          <w:t>American Cancer Society</w:t>
                        </w:r>
                      </w:hyperlink>
                      <w:r w:rsidRPr="006C5A65">
                        <w:t>.</w:t>
                      </w:r>
                    </w:p>
                  </w:txbxContent>
                </v:textbox>
              </v:shape>
            </w:pict>
          </mc:Fallback>
        </mc:AlternateContent>
      </w:r>
      <w:r>
        <w:tab/>
      </w:r>
      <w:r>
        <w:tab/>
      </w:r>
      <w:r>
        <w:tab/>
      </w:r>
      <w:r w:rsidR="0085402F">
        <w:rPr>
          <w:noProof/>
          <w:lang w:bidi="ar-SA"/>
        </w:rPr>
        <w:drawing>
          <wp:inline distT="0" distB="0" distL="0" distR="0" wp14:anchorId="2B80BCBE" wp14:editId="04D592E1">
            <wp:extent cx="4401084" cy="2616200"/>
            <wp:effectExtent l="0" t="0" r="0" b="12700"/>
            <wp:docPr id="133" name="Chart 1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4324E9" w:rsidRDefault="004324E9" w:rsidP="00411AA8">
      <w:pPr>
        <w:tabs>
          <w:tab w:val="left" w:pos="1920"/>
          <w:tab w:val="left" w:pos="4302"/>
          <w:tab w:val="right" w:pos="12960"/>
        </w:tabs>
        <w:jc w:val="right"/>
      </w:pPr>
    </w:p>
    <w:p w:rsidR="00D6359E" w:rsidRDefault="005E61B4" w:rsidP="00411AA8">
      <w:pPr>
        <w:tabs>
          <w:tab w:val="left" w:pos="1920"/>
          <w:tab w:val="left" w:pos="4302"/>
          <w:tab w:val="right" w:pos="12960"/>
        </w:tabs>
        <w:jc w:val="right"/>
        <w:rPr>
          <w:rStyle w:val="Hyperlink"/>
          <w:szCs w:val="26"/>
        </w:rPr>
      </w:pPr>
      <w:r>
        <w:rPr>
          <w:noProof/>
          <w:sz w:val="22"/>
          <w:lang w:bidi="ar-SA"/>
        </w:rPr>
        <mc:AlternateContent>
          <mc:Choice Requires="wps">
            <w:drawing>
              <wp:anchor distT="0" distB="0" distL="114300" distR="114300" simplePos="0" relativeHeight="252427264" behindDoc="0" locked="0" layoutInCell="1" allowOverlap="1" wp14:anchorId="10706AA7" wp14:editId="43B842E3">
                <wp:simplePos x="0" y="0"/>
                <wp:positionH relativeFrom="column">
                  <wp:posOffset>4020</wp:posOffset>
                </wp:positionH>
                <wp:positionV relativeFrom="paragraph">
                  <wp:posOffset>189766</wp:posOffset>
                </wp:positionV>
                <wp:extent cx="8260579" cy="0"/>
                <wp:effectExtent l="0" t="0" r="26670" b="19050"/>
                <wp:wrapNone/>
                <wp:docPr id="362" name="Straight Connector 362"/>
                <wp:cNvGraphicFramePr/>
                <a:graphic xmlns:a="http://schemas.openxmlformats.org/drawingml/2006/main">
                  <a:graphicData uri="http://schemas.microsoft.com/office/word/2010/wordprocessingShape">
                    <wps:wsp>
                      <wps:cNvCnPr/>
                      <wps:spPr>
                        <a:xfrm>
                          <a:off x="0" y="0"/>
                          <a:ext cx="826057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2" o:spid="_x0000_s1026" style="position:absolute;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4.95pt" to="650.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" strokecolor="#1b587c [3206]" strokeweight="1pt"/>
            </w:pict>
          </mc:Fallback>
        </mc:AlternateContent>
      </w:r>
      <w:r w:rsidR="00411AA8">
        <w:t xml:space="preserve"> </w:t>
      </w:r>
      <w:r w:rsidR="002949EC" w:rsidRPr="00976CBD">
        <w:rPr>
          <w:sz w:val="26"/>
          <w:szCs w:val="26"/>
        </w:rPr>
        <w:fldChar w:fldCharType="begin"/>
      </w:r>
      <w:r w:rsidR="0057251D" w:rsidRPr="00976CBD">
        <w:rPr>
          <w:sz w:val="26"/>
          <w:szCs w:val="26"/>
        </w:rPr>
        <w:instrText>HYPERLINK  \l "_Data_Sources_1"</w:instrText>
      </w:r>
      <w:r w:rsidR="002949EC" w:rsidRPr="00976CBD">
        <w:rPr>
          <w:sz w:val="26"/>
          <w:szCs w:val="26"/>
        </w:rPr>
        <w:fldChar w:fldCharType="separate"/>
      </w:r>
      <w:r w:rsidR="002949EC" w:rsidRPr="004324E9">
        <w:rPr>
          <w:rStyle w:val="Hyperlink"/>
          <w:szCs w:val="26"/>
        </w:rPr>
        <w:t xml:space="preserve">Data </w:t>
      </w:r>
      <w:r w:rsidR="00D6359E" w:rsidRPr="004324E9">
        <w:rPr>
          <w:rStyle w:val="Hyperlink"/>
          <w:szCs w:val="26"/>
        </w:rPr>
        <w:t>Source</w:t>
      </w:r>
      <w:r w:rsidR="004324E9">
        <w:rPr>
          <w:rStyle w:val="Hyperlink"/>
          <w:szCs w:val="26"/>
        </w:rPr>
        <w:t xml:space="preserve"> </w:t>
      </w:r>
    </w:p>
    <w:bookmarkStart w:id="382" w:name="_Toc341099558"/>
    <w:bookmarkStart w:id="383" w:name="_Toc374006843"/>
    <w:bookmarkStart w:id="384" w:name="_Toc400634542"/>
    <w:p w:rsidR="00354E8F" w:rsidRPr="00976CBD" w:rsidRDefault="002949EC" w:rsidP="00903E48">
      <w:pPr>
        <w:pStyle w:val="Heading2"/>
        <w:rPr>
          <w:rStyle w:val="SubtleEmphasis"/>
          <w:b w:val="0"/>
          <w:i w:val="0"/>
          <w:iCs w:val="0"/>
          <w:color w:val="30243C" w:themeColor="accent5" w:themeShade="80"/>
        </w:rPr>
      </w:pPr>
      <w:r w:rsidRPr="00976CBD">
        <w:rPr>
          <w:rFonts w:asciiTheme="minorHAnsi" w:hAnsiTheme="minorHAnsi"/>
          <w:color w:val="auto"/>
          <w:spacing w:val="0"/>
        </w:rPr>
        <w:lastRenderedPageBreak/>
        <w:fldChar w:fldCharType="end"/>
      </w:r>
      <w:bookmarkStart w:id="385" w:name="_Toc421608549"/>
      <w:bookmarkStart w:id="386" w:name="_Toc421609367"/>
      <w:bookmarkStart w:id="387" w:name="_Toc421609701"/>
      <w:bookmarkStart w:id="388" w:name="_Toc421611227"/>
      <w:bookmarkStart w:id="389" w:name="_Toc439918857"/>
      <w:r w:rsidR="000C699F" w:rsidRPr="00976CBD">
        <w:rPr>
          <w:rStyle w:val="SubtleEmphasis"/>
          <w:b w:val="0"/>
          <w:i w:val="0"/>
          <w:iCs w:val="0"/>
          <w:color w:val="30243C" w:themeColor="accent5" w:themeShade="80"/>
        </w:rPr>
        <w:t>L</w:t>
      </w:r>
      <w:r w:rsidR="00354E8F" w:rsidRPr="00976CBD">
        <w:rPr>
          <w:rStyle w:val="SubtleEmphasis"/>
          <w:b w:val="0"/>
          <w:i w:val="0"/>
          <w:iCs w:val="0"/>
          <w:color w:val="30243C" w:themeColor="accent5" w:themeShade="80"/>
        </w:rPr>
        <w:t xml:space="preserve">eading </w:t>
      </w:r>
      <w:r w:rsidR="006E430F" w:rsidRPr="00976CBD">
        <w:rPr>
          <w:rStyle w:val="SubtleEmphasis"/>
          <w:b w:val="0"/>
          <w:i w:val="0"/>
          <w:iCs w:val="0"/>
          <w:color w:val="30243C" w:themeColor="accent5" w:themeShade="80"/>
        </w:rPr>
        <w:t>C</w:t>
      </w:r>
      <w:r w:rsidR="00354E8F" w:rsidRPr="00976CBD">
        <w:rPr>
          <w:rStyle w:val="SubtleEmphasis"/>
          <w:b w:val="0"/>
          <w:i w:val="0"/>
          <w:iCs w:val="0"/>
          <w:color w:val="30243C" w:themeColor="accent5" w:themeShade="80"/>
        </w:rPr>
        <w:t>auses</w:t>
      </w:r>
      <w:r w:rsidR="00A53EDC" w:rsidRPr="00976CBD">
        <w:rPr>
          <w:rStyle w:val="SubtleEmphasis"/>
          <w:b w:val="0"/>
          <w:i w:val="0"/>
          <w:iCs w:val="0"/>
          <w:color w:val="30243C" w:themeColor="accent5" w:themeShade="80"/>
        </w:rPr>
        <w:t xml:space="preserve"> of </w:t>
      </w:r>
      <w:r w:rsidR="006E430F" w:rsidRPr="00976CBD">
        <w:rPr>
          <w:rStyle w:val="SubtleEmphasis"/>
          <w:b w:val="0"/>
          <w:i w:val="0"/>
          <w:iCs w:val="0"/>
          <w:color w:val="30243C" w:themeColor="accent5" w:themeShade="80"/>
        </w:rPr>
        <w:t>C</w:t>
      </w:r>
      <w:r w:rsidR="00A53EDC" w:rsidRPr="00976CBD">
        <w:rPr>
          <w:rStyle w:val="SubtleEmphasis"/>
          <w:b w:val="0"/>
          <w:i w:val="0"/>
          <w:iCs w:val="0"/>
          <w:color w:val="30243C" w:themeColor="accent5" w:themeShade="80"/>
        </w:rPr>
        <w:t xml:space="preserve">hildhood </w:t>
      </w:r>
      <w:r w:rsidR="006E430F" w:rsidRPr="00976CBD">
        <w:rPr>
          <w:rStyle w:val="SubtleEmphasis"/>
          <w:b w:val="0"/>
          <w:i w:val="0"/>
          <w:iCs w:val="0"/>
          <w:color w:val="30243C" w:themeColor="accent5" w:themeShade="80"/>
        </w:rPr>
        <w:t>C</w:t>
      </w:r>
      <w:r w:rsidR="00A53EDC" w:rsidRPr="00976CBD">
        <w:rPr>
          <w:rStyle w:val="SubtleEmphasis"/>
          <w:b w:val="0"/>
          <w:i w:val="0"/>
          <w:iCs w:val="0"/>
          <w:color w:val="30243C" w:themeColor="accent5" w:themeShade="80"/>
        </w:rPr>
        <w:t xml:space="preserve">ancer </w:t>
      </w:r>
      <w:r w:rsidR="006E430F" w:rsidRPr="00976CBD">
        <w:rPr>
          <w:rStyle w:val="SubtleEmphasis"/>
          <w:b w:val="0"/>
          <w:i w:val="0"/>
          <w:iCs w:val="0"/>
          <w:color w:val="30243C" w:themeColor="accent5" w:themeShade="80"/>
        </w:rPr>
        <w:t>I</w:t>
      </w:r>
      <w:r w:rsidR="00A53EDC" w:rsidRPr="00976CBD">
        <w:rPr>
          <w:rStyle w:val="SubtleEmphasis"/>
          <w:b w:val="0"/>
          <w:i w:val="0"/>
          <w:iCs w:val="0"/>
          <w:color w:val="30243C" w:themeColor="accent5" w:themeShade="80"/>
        </w:rPr>
        <w:t>ncidence</w:t>
      </w:r>
      <w:bookmarkEnd w:id="382"/>
      <w:bookmarkEnd w:id="383"/>
      <w:bookmarkEnd w:id="384"/>
      <w:bookmarkEnd w:id="385"/>
      <w:bookmarkEnd w:id="386"/>
      <w:bookmarkEnd w:id="387"/>
      <w:bookmarkEnd w:id="388"/>
      <w:bookmarkEnd w:id="389"/>
    </w:p>
    <w:p w:rsidR="00354E8F" w:rsidRDefault="009B5089">
      <w:r>
        <w:rPr>
          <w:noProof/>
          <w:lang w:bidi="ar-SA"/>
        </w:rPr>
        <w:drawing>
          <wp:inline distT="0" distB="0" distL="0" distR="0" wp14:anchorId="0EEADD7A" wp14:editId="633F5115">
            <wp:extent cx="8246533" cy="4038600"/>
            <wp:effectExtent l="0" t="0" r="25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28684E">
        <w:rPr>
          <w:noProof/>
          <w:sz w:val="22"/>
          <w:lang w:bidi="ar-SA"/>
        </w:rPr>
        <mc:AlternateContent>
          <mc:Choice Requires="wps">
            <w:drawing>
              <wp:anchor distT="0" distB="0" distL="114300" distR="114300" simplePos="0" relativeHeight="252171264" behindDoc="0" locked="0" layoutInCell="1" allowOverlap="1" wp14:anchorId="0F168293" wp14:editId="6D9C031D">
                <wp:simplePos x="0" y="0"/>
                <wp:positionH relativeFrom="column">
                  <wp:posOffset>0</wp:posOffset>
                </wp:positionH>
                <wp:positionV relativeFrom="paragraph">
                  <wp:posOffset>4179570</wp:posOffset>
                </wp:positionV>
                <wp:extent cx="8246110" cy="0"/>
                <wp:effectExtent l="0" t="0" r="21590" b="19050"/>
                <wp:wrapNone/>
                <wp:docPr id="66" name="Straight Connector 66"/>
                <wp:cNvGraphicFramePr/>
                <a:graphic xmlns:a="http://schemas.openxmlformats.org/drawingml/2006/main">
                  <a:graphicData uri="http://schemas.microsoft.com/office/word/2010/wordprocessingShape">
                    <wps:wsp>
                      <wps:cNvCnPr/>
                      <wps:spPr>
                        <a:xfrm>
                          <a:off x="0" y="0"/>
                          <a:ext cx="824611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9.1pt" to="649.3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" strokecolor="#1b587c [3206]" strokeweight="1pt"/>
            </w:pict>
          </mc:Fallback>
        </mc:AlternateContent>
      </w:r>
    </w:p>
    <w:p w:rsidR="0098131B" w:rsidRPr="002120BD" w:rsidRDefault="0098131B" w:rsidP="008A7576">
      <w:pPr>
        <w:pStyle w:val="ListParagraph"/>
        <w:numPr>
          <w:ilvl w:val="0"/>
          <w:numId w:val="30"/>
        </w:numPr>
        <w:jc w:val="both"/>
      </w:pPr>
      <w:r w:rsidRPr="002120BD">
        <w:t>Leukemia was the 1</w:t>
      </w:r>
      <w:r w:rsidRPr="002120BD">
        <w:rPr>
          <w:vertAlign w:val="superscript"/>
        </w:rPr>
        <w:t>st</w:t>
      </w:r>
      <w:r w:rsidRPr="002120BD">
        <w:t xml:space="preserve"> leading cause of cancer incidence among children in Tennessee, representing almost a quarter (23.8%) of the childhood cancer cases in Tennessee. </w:t>
      </w:r>
    </w:p>
    <w:p w:rsidR="0098131B" w:rsidRPr="002120BD" w:rsidRDefault="0098131B" w:rsidP="008A7576">
      <w:pPr>
        <w:pStyle w:val="ListParagraph"/>
        <w:numPr>
          <w:ilvl w:val="0"/>
          <w:numId w:val="29"/>
        </w:numPr>
        <w:jc w:val="both"/>
      </w:pPr>
      <w:r w:rsidRPr="002120BD">
        <w:t>The 2</w:t>
      </w:r>
      <w:r w:rsidRPr="002120BD">
        <w:rPr>
          <w:vertAlign w:val="superscript"/>
        </w:rPr>
        <w:t>nd</w:t>
      </w:r>
      <w:r w:rsidRPr="002120BD">
        <w:t xml:space="preserve"> leading cause of childhood cancer incidence was cancer of the c</w:t>
      </w:r>
      <w:r w:rsidR="009B5089">
        <w:t>ranial</w:t>
      </w:r>
      <w:r w:rsidRPr="002120BD">
        <w:t xml:space="preserve"> nervous system, followed by lymphoma (3</w:t>
      </w:r>
      <w:r w:rsidRPr="002120BD">
        <w:rPr>
          <w:vertAlign w:val="superscript"/>
        </w:rPr>
        <w:t>rd</w:t>
      </w:r>
      <w:r w:rsidRPr="002120BD">
        <w:t xml:space="preserve">), </w:t>
      </w:r>
      <w:r w:rsidR="00406070">
        <w:t xml:space="preserve">other malignant </w:t>
      </w:r>
      <w:r w:rsidRPr="002120BD">
        <w:t>epithelial neoplasm</w:t>
      </w:r>
      <w:r w:rsidR="00406070">
        <w:t>s</w:t>
      </w:r>
      <w:r w:rsidRPr="002120BD">
        <w:t xml:space="preserve"> and melanoma</w:t>
      </w:r>
      <w:r w:rsidR="00406070">
        <w:t>s</w:t>
      </w:r>
      <w:r w:rsidRPr="002120BD">
        <w:t xml:space="preserve"> (4</w:t>
      </w:r>
      <w:r w:rsidRPr="002120BD">
        <w:rPr>
          <w:vertAlign w:val="superscript"/>
        </w:rPr>
        <w:t>th</w:t>
      </w:r>
      <w:r w:rsidRPr="002120BD">
        <w:t xml:space="preserve">), and </w:t>
      </w:r>
      <w:r w:rsidR="00406070">
        <w:t>so</w:t>
      </w:r>
      <w:r w:rsidRPr="002120BD">
        <w:t>ft tissue</w:t>
      </w:r>
      <w:r w:rsidR="00406070">
        <w:t xml:space="preserve"> sarcomas</w:t>
      </w:r>
      <w:r w:rsidRPr="002120BD">
        <w:t xml:space="preserve"> (5</w:t>
      </w:r>
      <w:r w:rsidRPr="002120BD">
        <w:rPr>
          <w:vertAlign w:val="superscript"/>
        </w:rPr>
        <w:t>th</w:t>
      </w:r>
      <w:r w:rsidRPr="002120BD">
        <w:t>).</w:t>
      </w:r>
    </w:p>
    <w:p w:rsidR="00D71C98" w:rsidRPr="002120BD" w:rsidRDefault="0028684E" w:rsidP="008A7576">
      <w:pPr>
        <w:pStyle w:val="ListParagraph"/>
        <w:numPr>
          <w:ilvl w:val="0"/>
          <w:numId w:val="29"/>
        </w:numPr>
        <w:jc w:val="both"/>
      </w:pPr>
      <w:r w:rsidRPr="002120BD">
        <w:rPr>
          <w:noProof/>
          <w:lang w:bidi="ar-SA"/>
        </w:rPr>
        <mc:AlternateContent>
          <mc:Choice Requires="wps">
            <w:drawing>
              <wp:anchor distT="0" distB="0" distL="114300" distR="114300" simplePos="0" relativeHeight="252234752" behindDoc="0" locked="0" layoutInCell="1" allowOverlap="1" wp14:anchorId="153054D7" wp14:editId="7A3385C2">
                <wp:simplePos x="0" y="0"/>
                <wp:positionH relativeFrom="column">
                  <wp:posOffset>0</wp:posOffset>
                </wp:positionH>
                <wp:positionV relativeFrom="paragraph">
                  <wp:posOffset>321945</wp:posOffset>
                </wp:positionV>
                <wp:extent cx="8246110" cy="0"/>
                <wp:effectExtent l="0" t="0" r="21590" b="19050"/>
                <wp:wrapNone/>
                <wp:docPr id="113" name="Straight Connector 113"/>
                <wp:cNvGraphicFramePr/>
                <a:graphic xmlns:a="http://schemas.openxmlformats.org/drawingml/2006/main">
                  <a:graphicData uri="http://schemas.microsoft.com/office/word/2010/wordprocessingShape">
                    <wps:wsp>
                      <wps:cNvCnPr/>
                      <wps:spPr>
                        <a:xfrm>
                          <a:off x="0" y="0"/>
                          <a:ext cx="824611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35pt" to="649.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" strokecolor="#1b587c [3206]" strokeweight="1pt"/>
            </w:pict>
          </mc:Fallback>
        </mc:AlternateContent>
      </w:r>
      <w:r w:rsidR="0098131B" w:rsidRPr="002120BD">
        <w:t>The 5 leading causes of childhood cancer represented roughly three quarters (74.7%) of all childhood cancer incidence cases.</w:t>
      </w:r>
    </w:p>
    <w:p w:rsidR="00003649" w:rsidRDefault="00003649" w:rsidP="004324E9">
      <w:pPr>
        <w:pStyle w:val="NoSpacing"/>
      </w:pPr>
      <w:r>
        <w:t xml:space="preserve"> </w:t>
      </w:r>
    </w:p>
    <w:p w:rsidR="004324E9" w:rsidRDefault="004324E9" w:rsidP="004324E9">
      <w:pPr>
        <w:pStyle w:val="NoSpacing"/>
      </w:pPr>
    </w:p>
    <w:p w:rsidR="004324E9" w:rsidRDefault="004324E9" w:rsidP="004324E9">
      <w:pPr>
        <w:pStyle w:val="NoSpacing"/>
      </w:pPr>
    </w:p>
    <w:p w:rsidR="00D71C98" w:rsidRDefault="00C632CD" w:rsidP="00FE2646">
      <w:pPr>
        <w:pStyle w:val="NoSpacing"/>
        <w:jc w:val="right"/>
        <w:rPr>
          <w:rStyle w:val="Hyperlink"/>
        </w:rPr>
      </w:pPr>
      <w:r>
        <w:t xml:space="preserve"> </w:t>
      </w:r>
      <w:hyperlink w:anchor="_Data_Sources_1" w:history="1">
        <w:r w:rsidR="00D71C98" w:rsidRPr="00D71C98">
          <w:rPr>
            <w:rStyle w:val="Hyperlink"/>
          </w:rPr>
          <w:t>Data Source</w:t>
        </w:r>
      </w:hyperlink>
      <w:r w:rsidR="00896640">
        <w:rPr>
          <w:rStyle w:val="Hyperlink"/>
        </w:rPr>
        <w:t xml:space="preserve"> </w:t>
      </w:r>
    </w:p>
    <w:p w:rsidR="007C6615" w:rsidRDefault="000C699F" w:rsidP="00F37C3F">
      <w:pPr>
        <w:pStyle w:val="Heading1"/>
      </w:pPr>
      <w:bookmarkStart w:id="390" w:name="_Toc341099559"/>
      <w:bookmarkStart w:id="391" w:name="_Toc421608550"/>
      <w:bookmarkStart w:id="392" w:name="_Toc421609368"/>
      <w:bookmarkStart w:id="393" w:name="_Toc421609702"/>
      <w:bookmarkStart w:id="394" w:name="_Toc421611228"/>
      <w:bookmarkStart w:id="395" w:name="_Toc439918858"/>
      <w:r w:rsidRPr="00121F3E">
        <w:lastRenderedPageBreak/>
        <w:t>C</w:t>
      </w:r>
      <w:r w:rsidR="007C6615" w:rsidRPr="00121F3E">
        <w:t>a</w:t>
      </w:r>
      <w:r w:rsidR="00402650" w:rsidRPr="00121F3E">
        <w:t>n</w:t>
      </w:r>
      <w:r w:rsidR="007C6615" w:rsidRPr="00121F3E">
        <w:t>c</w:t>
      </w:r>
      <w:r w:rsidR="00402650" w:rsidRPr="00121F3E">
        <w:t xml:space="preserve">er </w:t>
      </w:r>
      <w:r w:rsidR="007C11CD" w:rsidRPr="00121F3E">
        <w:t>R</w:t>
      </w:r>
      <w:r w:rsidR="00402650" w:rsidRPr="00121F3E">
        <w:t xml:space="preserve">isk </w:t>
      </w:r>
      <w:r w:rsidR="00B14205" w:rsidRPr="00121F3E">
        <w:t xml:space="preserve">Factor </w:t>
      </w:r>
      <w:r w:rsidR="007C11CD" w:rsidRPr="00121F3E">
        <w:t>P</w:t>
      </w:r>
      <w:r w:rsidR="00402650" w:rsidRPr="00121F3E">
        <w:t>revalence in T</w:t>
      </w:r>
      <w:r w:rsidR="007C6615" w:rsidRPr="00121F3E">
        <w:t>ennessee</w:t>
      </w:r>
      <w:bookmarkEnd w:id="390"/>
      <w:r w:rsidR="00B61F67">
        <w:t>, 2012</w:t>
      </w:r>
      <w:bookmarkEnd w:id="391"/>
      <w:bookmarkEnd w:id="392"/>
      <w:bookmarkEnd w:id="393"/>
      <w:bookmarkEnd w:id="394"/>
      <w:bookmarkEnd w:id="395"/>
    </w:p>
    <w:p w:rsidR="00206AFC" w:rsidRPr="00976CBD" w:rsidRDefault="00206AFC" w:rsidP="00903E48">
      <w:pPr>
        <w:pStyle w:val="Heading2"/>
      </w:pPr>
      <w:bookmarkStart w:id="396" w:name="_Cancer_Screening_Prevalence,"/>
      <w:bookmarkStart w:id="397" w:name="_Toc439918859"/>
      <w:bookmarkStart w:id="398" w:name="_Toc421608551"/>
      <w:bookmarkStart w:id="399" w:name="_Toc421609369"/>
      <w:bookmarkStart w:id="400" w:name="_Toc421609703"/>
      <w:bookmarkStart w:id="401" w:name="_Toc421611229"/>
      <w:bookmarkEnd w:id="396"/>
      <w:r w:rsidRPr="00976CBD">
        <w:t>Cancer Screening Prevalence, Tennessee</w:t>
      </w:r>
      <w:bookmarkEnd w:id="397"/>
      <w:r w:rsidRPr="00976CBD">
        <w:t xml:space="preserve"> </w:t>
      </w:r>
      <w:bookmarkEnd w:id="398"/>
      <w:bookmarkEnd w:id="399"/>
      <w:bookmarkEnd w:id="400"/>
      <w:bookmarkEnd w:id="401"/>
    </w:p>
    <w:p w:rsidR="00561452" w:rsidRDefault="00212415" w:rsidP="007C772F">
      <w:pPr>
        <w:spacing w:before="0"/>
      </w:pPr>
      <w:r>
        <w:rPr>
          <w:noProof/>
          <w:lang w:bidi="ar-SA"/>
        </w:rPr>
        <mc:AlternateContent>
          <mc:Choice Requires="wps">
            <w:drawing>
              <wp:anchor distT="0" distB="0" distL="114300" distR="114300" simplePos="0" relativeHeight="252465152" behindDoc="0" locked="0" layoutInCell="1" allowOverlap="1" wp14:anchorId="2B8AFC24" wp14:editId="0DF7CE24">
                <wp:simplePos x="0" y="0"/>
                <wp:positionH relativeFrom="column">
                  <wp:posOffset>249555</wp:posOffset>
                </wp:positionH>
                <wp:positionV relativeFrom="paragraph">
                  <wp:posOffset>3832225</wp:posOffset>
                </wp:positionV>
                <wp:extent cx="3869055" cy="34480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44805"/>
                        </a:xfrm>
                        <a:prstGeom prst="rect">
                          <a:avLst/>
                        </a:prstGeom>
                        <a:noFill/>
                        <a:ln w="9525">
                          <a:noFill/>
                          <a:miter lim="800000"/>
                          <a:headEnd/>
                          <a:tailEnd/>
                        </a:ln>
                      </wps:spPr>
                      <wps:txbx>
                        <w:txbxContent>
                          <w:p w:rsidR="00CF610C" w:rsidRPr="006749C3" w:rsidRDefault="00CF610C" w:rsidP="002D630F">
                            <w:pPr>
                              <w:rPr>
                                <w:sz w:val="16"/>
                              </w:rPr>
                            </w:pPr>
                            <w:r w:rsidRPr="006749C3">
                              <w:rPr>
                                <w:sz w:val="16"/>
                              </w:rPr>
                              <w:t>Source: Tennessee Department of Health, Division of Policy, Planning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9.65pt;margin-top:301.75pt;width:304.65pt;height:27.1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" filled="f" stroked="f">
                <v:textbox>
                  <w:txbxContent>
                    <w:p w:rsidR="00CF610C" w:rsidRPr="006749C3" w:rsidRDefault="00CF610C" w:rsidP="002D630F">
                      <w:pPr>
                        <w:rPr>
                          <w:sz w:val="16"/>
                        </w:rPr>
                      </w:pPr>
                      <w:r w:rsidRPr="006749C3">
                        <w:rPr>
                          <w:sz w:val="16"/>
                        </w:rPr>
                        <w:t>Source: Tennessee Department of Health, Division of Policy, Planning and Assessment</w:t>
                      </w:r>
                    </w:p>
                  </w:txbxContent>
                </v:textbox>
              </v:shape>
            </w:pict>
          </mc:Fallback>
        </mc:AlternateContent>
      </w:r>
      <w:r>
        <w:rPr>
          <w:noProof/>
          <w:sz w:val="22"/>
          <w:lang w:bidi="ar-SA"/>
        </w:rPr>
        <mc:AlternateContent>
          <mc:Choice Requires="wps">
            <w:drawing>
              <wp:anchor distT="0" distB="0" distL="114300" distR="114300" simplePos="0" relativeHeight="252169216" behindDoc="0" locked="0" layoutInCell="1" allowOverlap="1" wp14:anchorId="76AC057B" wp14:editId="405B27AF">
                <wp:simplePos x="0" y="0"/>
                <wp:positionH relativeFrom="column">
                  <wp:posOffset>64135</wp:posOffset>
                </wp:positionH>
                <wp:positionV relativeFrom="paragraph">
                  <wp:posOffset>4309110</wp:posOffset>
                </wp:positionV>
                <wp:extent cx="8192135" cy="0"/>
                <wp:effectExtent l="0" t="0" r="18415" b="19050"/>
                <wp:wrapNone/>
                <wp:docPr id="63" name="Straight Connector 63"/>
                <wp:cNvGraphicFramePr/>
                <a:graphic xmlns:a="http://schemas.openxmlformats.org/drawingml/2006/main">
                  <a:graphicData uri="http://schemas.microsoft.com/office/word/2010/wordprocessingShape">
                    <wps:wsp>
                      <wps:cNvCnPr/>
                      <wps:spPr>
                        <a:xfrm>
                          <a:off x="0" y="0"/>
                          <a:ext cx="819213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339.3pt" to="650.1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" strokecolor="#1b587c [3206]" strokeweight="1pt"/>
            </w:pict>
          </mc:Fallback>
        </mc:AlternateContent>
      </w:r>
      <w:r w:rsidR="00A7296F">
        <w:rPr>
          <w:noProof/>
          <w:lang w:bidi="ar-SA"/>
        </w:rPr>
        <w:drawing>
          <wp:inline distT="0" distB="0" distL="0" distR="0" wp14:anchorId="040E42EA" wp14:editId="3229B26C">
            <wp:extent cx="8136467" cy="4309534"/>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A0E7D" w:rsidRPr="002120BD" w:rsidRDefault="005A06E6" w:rsidP="002120BD">
      <w:pPr>
        <w:pStyle w:val="ListParagraph"/>
        <w:numPr>
          <w:ilvl w:val="0"/>
          <w:numId w:val="30"/>
        </w:numPr>
        <w:jc w:val="both"/>
      </w:pPr>
      <w:r>
        <w:t>Nearly</w:t>
      </w:r>
      <w:r w:rsidR="000A0E7D" w:rsidRPr="002120BD">
        <w:t xml:space="preserve"> </w:t>
      </w:r>
      <w:r w:rsidR="0005501F">
        <w:t>68</w:t>
      </w:r>
      <w:r w:rsidR="000A0E7D" w:rsidRPr="002120BD">
        <w:t>% (67.8%) of the Tennessee population</w:t>
      </w:r>
      <w:r w:rsidR="00B92CF7" w:rsidRPr="002120BD">
        <w:t>,</w:t>
      </w:r>
      <w:r w:rsidR="000A0E7D" w:rsidRPr="002120BD">
        <w:t xml:space="preserve"> over 50 years of age</w:t>
      </w:r>
      <w:r w:rsidR="00B92CF7" w:rsidRPr="002120BD">
        <w:t>,</w:t>
      </w:r>
      <w:r w:rsidR="000A0E7D" w:rsidRPr="002120BD">
        <w:t xml:space="preserve"> received a </w:t>
      </w:r>
      <w:r w:rsidR="00406070">
        <w:t>s</w:t>
      </w:r>
      <w:r w:rsidR="000A0E7D" w:rsidRPr="002120BD">
        <w:t xml:space="preserve">igmoidoscopy or </w:t>
      </w:r>
      <w:r w:rsidR="00406070">
        <w:t>c</w:t>
      </w:r>
      <w:r w:rsidR="000A0E7D" w:rsidRPr="002120BD">
        <w:t>olonoscopy in 2012</w:t>
      </w:r>
      <w:r w:rsidR="00A7296F">
        <w:t>.</w:t>
      </w:r>
    </w:p>
    <w:p w:rsidR="000A0E7D" w:rsidRPr="002120BD" w:rsidRDefault="000A0E7D" w:rsidP="008A7576">
      <w:pPr>
        <w:pStyle w:val="ListParagraph"/>
        <w:numPr>
          <w:ilvl w:val="0"/>
          <w:numId w:val="30"/>
        </w:numPr>
        <w:jc w:val="both"/>
      </w:pPr>
      <w:r w:rsidRPr="002120BD">
        <w:t xml:space="preserve">In 2012, 74.0% of </w:t>
      </w:r>
      <w:r w:rsidR="00C7391B">
        <w:t xml:space="preserve">Tennessee </w:t>
      </w:r>
      <w:r w:rsidRPr="002120BD">
        <w:t>women over 40 years of age received a Mammogram in the past 2 years.</w:t>
      </w:r>
      <w:r w:rsidR="002D630F" w:rsidRPr="002D630F">
        <w:rPr>
          <w:noProof/>
          <w:lang w:bidi="ar-SA"/>
        </w:rPr>
        <w:t xml:space="preserve"> </w:t>
      </w:r>
    </w:p>
    <w:p w:rsidR="00212415" w:rsidRDefault="00212415" w:rsidP="008A7576">
      <w:pPr>
        <w:pStyle w:val="ListParagraph"/>
        <w:numPr>
          <w:ilvl w:val="0"/>
          <w:numId w:val="30"/>
        </w:numPr>
        <w:jc w:val="both"/>
      </w:pPr>
      <w:r>
        <w:t xml:space="preserve">In 2012, 91.7% of Tennessee women over 18 years of age indicated they had received a Pap </w:t>
      </w:r>
      <w:r w:rsidR="000326B1">
        <w:t>t</w:t>
      </w:r>
      <w:r>
        <w:t>est in their lifetime.</w:t>
      </w:r>
    </w:p>
    <w:p w:rsidR="000A0E7D" w:rsidRPr="002120BD" w:rsidRDefault="00212415" w:rsidP="008A7576">
      <w:pPr>
        <w:pStyle w:val="ListParagraph"/>
        <w:numPr>
          <w:ilvl w:val="0"/>
          <w:numId w:val="30"/>
        </w:numPr>
        <w:jc w:val="both"/>
      </w:pPr>
      <w:r w:rsidRPr="002120BD">
        <w:rPr>
          <w:noProof/>
          <w:lang w:bidi="ar-SA"/>
        </w:rPr>
        <mc:AlternateContent>
          <mc:Choice Requires="wps">
            <w:drawing>
              <wp:anchor distT="0" distB="0" distL="114300" distR="114300" simplePos="0" relativeHeight="252236800" behindDoc="0" locked="0" layoutInCell="1" allowOverlap="1" wp14:anchorId="04AEA18B" wp14:editId="3A780FD6">
                <wp:simplePos x="0" y="0"/>
                <wp:positionH relativeFrom="column">
                  <wp:posOffset>31750</wp:posOffset>
                </wp:positionH>
                <wp:positionV relativeFrom="paragraph">
                  <wp:posOffset>287020</wp:posOffset>
                </wp:positionV>
                <wp:extent cx="8192135" cy="0"/>
                <wp:effectExtent l="0" t="0" r="18415" b="19050"/>
                <wp:wrapNone/>
                <wp:docPr id="115" name="Straight Connector 115"/>
                <wp:cNvGraphicFramePr/>
                <a:graphic xmlns:a="http://schemas.openxmlformats.org/drawingml/2006/main">
                  <a:graphicData uri="http://schemas.microsoft.com/office/word/2010/wordprocessingShape">
                    <wps:wsp>
                      <wps:cNvCnPr/>
                      <wps:spPr>
                        <a:xfrm>
                          <a:off x="0" y="0"/>
                          <a:ext cx="819213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2.6pt" to="647.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" strokecolor="#1b587c [3206]" strokeweight="1pt"/>
            </w:pict>
          </mc:Fallback>
        </mc:AlternateContent>
      </w:r>
      <w:r w:rsidR="000A0E7D" w:rsidRPr="002120BD">
        <w:t xml:space="preserve">In 2012, 51.2% of </w:t>
      </w:r>
      <w:r w:rsidR="00C7391B">
        <w:t xml:space="preserve">TN </w:t>
      </w:r>
      <w:r w:rsidR="000A0E7D" w:rsidRPr="002120BD">
        <w:t>men over 40 years of age received a Prostate-Specific Antigen (PSA) Test.</w:t>
      </w:r>
    </w:p>
    <w:p w:rsidR="007C772F" w:rsidRDefault="00964E4C" w:rsidP="00212415">
      <w:pPr>
        <w:ind w:left="360"/>
        <w:jc w:val="right"/>
        <w:rPr>
          <w:rStyle w:val="Hyperlink"/>
        </w:rPr>
      </w:pPr>
      <w:hyperlink w:anchor="_Data_Sources_1" w:history="1">
        <w:r w:rsidR="007C772F" w:rsidRPr="007C772F">
          <w:rPr>
            <w:rStyle w:val="Hyperlink"/>
          </w:rPr>
          <w:t>Data Source</w:t>
        </w:r>
      </w:hyperlink>
      <w:r w:rsidR="004F1CB5">
        <w:rPr>
          <w:rStyle w:val="Hyperlink"/>
        </w:rPr>
        <w:t xml:space="preserve"> </w:t>
      </w:r>
      <w:r w:rsidR="00212415">
        <w:rPr>
          <w:rStyle w:val="Hyperlink"/>
        </w:rPr>
        <w:t xml:space="preserve"> </w:t>
      </w:r>
    </w:p>
    <w:p w:rsidR="006A1B40" w:rsidRPr="00976CBD" w:rsidRDefault="00206AFC" w:rsidP="00903E48">
      <w:pPr>
        <w:pStyle w:val="Heading2"/>
      </w:pPr>
      <w:bookmarkStart w:id="402" w:name="_Cigarette_Smoking_Prevalence"/>
      <w:bookmarkStart w:id="403" w:name="_Toc421608553"/>
      <w:bookmarkStart w:id="404" w:name="_Toc421609371"/>
      <w:bookmarkStart w:id="405" w:name="_Toc421609705"/>
      <w:bookmarkStart w:id="406" w:name="_Toc421611231"/>
      <w:bookmarkStart w:id="407" w:name="_Toc439918860"/>
      <w:bookmarkEnd w:id="402"/>
      <w:r w:rsidRPr="00976CBD">
        <w:lastRenderedPageBreak/>
        <w:t>Cigarette Smoking Prevalence Among Adults</w:t>
      </w:r>
      <w:r w:rsidR="00857352">
        <w:t xml:space="preserve"> Over 18 Years of age</w:t>
      </w:r>
      <w:r w:rsidRPr="00976CBD">
        <w:t>, Tennessee, 1995-2012</w:t>
      </w:r>
      <w:bookmarkEnd w:id="403"/>
      <w:bookmarkEnd w:id="404"/>
      <w:bookmarkEnd w:id="405"/>
      <w:bookmarkEnd w:id="406"/>
      <w:bookmarkEnd w:id="407"/>
    </w:p>
    <w:p w:rsidR="00206AFC" w:rsidRDefault="006749C3">
      <w:r>
        <w:rPr>
          <w:noProof/>
          <w:lang w:bidi="ar-SA"/>
        </w:rPr>
        <mc:AlternateContent>
          <mc:Choice Requires="wps">
            <w:drawing>
              <wp:anchor distT="0" distB="0" distL="114300" distR="114300" simplePos="0" relativeHeight="251641840" behindDoc="0" locked="0" layoutInCell="1" allowOverlap="1" wp14:anchorId="60B8EA86" wp14:editId="3109EDF9">
                <wp:simplePos x="0" y="0"/>
                <wp:positionH relativeFrom="column">
                  <wp:posOffset>410845</wp:posOffset>
                </wp:positionH>
                <wp:positionV relativeFrom="paragraph">
                  <wp:posOffset>4298950</wp:posOffset>
                </wp:positionV>
                <wp:extent cx="3869267" cy="34480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267" cy="344805"/>
                        </a:xfrm>
                        <a:prstGeom prst="rect">
                          <a:avLst/>
                        </a:prstGeom>
                        <a:noFill/>
                        <a:ln w="9525">
                          <a:noFill/>
                          <a:miter lim="800000"/>
                          <a:headEnd/>
                          <a:tailEnd/>
                        </a:ln>
                      </wps:spPr>
                      <wps:txbx>
                        <w:txbxContent>
                          <w:p w:rsidR="00CF610C" w:rsidRPr="006749C3" w:rsidRDefault="00CF610C">
                            <w:pPr>
                              <w:rPr>
                                <w:sz w:val="16"/>
                              </w:rPr>
                            </w:pPr>
                            <w:r w:rsidRPr="006749C3">
                              <w:rPr>
                                <w:sz w:val="16"/>
                              </w:rPr>
                              <w:t>Source: Tennessee Department of Health, Division of Policy, Planning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2.35pt;margin-top:338.5pt;width:304.65pt;height:27.15pt;z-index:25164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" filled="f" stroked="f">
                <v:textbox>
                  <w:txbxContent>
                    <w:p w:rsidR="00CF610C" w:rsidRPr="006749C3" w:rsidRDefault="00CF610C">
                      <w:pPr>
                        <w:rPr>
                          <w:sz w:val="16"/>
                        </w:rPr>
                      </w:pPr>
                      <w:r w:rsidRPr="006749C3">
                        <w:rPr>
                          <w:sz w:val="16"/>
                        </w:rPr>
                        <w:t>Source: Tennessee Department of Health, Division of Policy, Planning and Assessment</w:t>
                      </w:r>
                    </w:p>
                  </w:txbxContent>
                </v:textbox>
              </v:shape>
            </w:pict>
          </mc:Fallback>
        </mc:AlternateContent>
      </w:r>
      <w:r w:rsidR="00361022">
        <w:rPr>
          <w:noProof/>
          <w:sz w:val="22"/>
          <w:lang w:bidi="ar-SA"/>
        </w:rPr>
        <mc:AlternateContent>
          <mc:Choice Requires="wps">
            <w:drawing>
              <wp:anchor distT="0" distB="0" distL="114300" distR="114300" simplePos="0" relativeHeight="252240896" behindDoc="0" locked="0" layoutInCell="1" allowOverlap="1" wp14:anchorId="64FB3462" wp14:editId="14158605">
                <wp:simplePos x="0" y="0"/>
                <wp:positionH relativeFrom="column">
                  <wp:posOffset>-3647</wp:posOffset>
                </wp:positionH>
                <wp:positionV relativeFrom="paragraph">
                  <wp:posOffset>4730238</wp:posOffset>
                </wp:positionV>
                <wp:extent cx="8192135" cy="0"/>
                <wp:effectExtent l="0" t="0" r="18415" b="19050"/>
                <wp:wrapNone/>
                <wp:docPr id="130" name="Straight Connector 130"/>
                <wp:cNvGraphicFramePr/>
                <a:graphic xmlns:a="http://schemas.openxmlformats.org/drawingml/2006/main">
                  <a:graphicData uri="http://schemas.microsoft.com/office/word/2010/wordprocessingShape">
                    <wps:wsp>
                      <wps:cNvCnPr/>
                      <wps:spPr>
                        <a:xfrm>
                          <a:off x="0" y="0"/>
                          <a:ext cx="819213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2.45pt" to="644.75pt,3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" strokecolor="#1b587c [3206]" strokeweight="1pt"/>
            </w:pict>
          </mc:Fallback>
        </mc:AlternateContent>
      </w:r>
      <w:r w:rsidR="00206AFC">
        <w:rPr>
          <w:noProof/>
          <w:lang w:bidi="ar-SA"/>
        </w:rPr>
        <w:drawing>
          <wp:inline distT="0" distB="0" distL="0" distR="0" wp14:anchorId="18C32F4E" wp14:editId="12FA93BD">
            <wp:extent cx="8197232" cy="4628644"/>
            <wp:effectExtent l="0" t="0" r="0" b="6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6B1E16" w:rsidRDefault="000A0E7D" w:rsidP="008A7576">
      <w:pPr>
        <w:pStyle w:val="ListParagraph"/>
        <w:numPr>
          <w:ilvl w:val="0"/>
          <w:numId w:val="20"/>
        </w:numPr>
      </w:pPr>
      <w:r w:rsidRPr="00795E90">
        <w:t xml:space="preserve">In 1995, </w:t>
      </w:r>
      <w:r w:rsidR="00BD2EF8">
        <w:t>26.5</w:t>
      </w:r>
      <w:r w:rsidRPr="00795E90">
        <w:t xml:space="preserve">% of </w:t>
      </w:r>
      <w:r w:rsidR="00EE7745" w:rsidRPr="00795E90">
        <w:t>Tennesseans</w:t>
      </w:r>
      <w:r w:rsidRPr="00795E90">
        <w:t xml:space="preserve"> w</w:t>
      </w:r>
      <w:r w:rsidR="00EE7745" w:rsidRPr="00795E90">
        <w:t>ere</w:t>
      </w:r>
      <w:r w:rsidRPr="00795E90">
        <w:t xml:space="preserve"> cigarette smokers</w:t>
      </w:r>
      <w:r w:rsidR="006B1E16">
        <w:t>.</w:t>
      </w:r>
    </w:p>
    <w:p w:rsidR="000A0E7D" w:rsidRPr="00795E90" w:rsidRDefault="006B1E16" w:rsidP="008A7576">
      <w:pPr>
        <w:pStyle w:val="ListParagraph"/>
        <w:numPr>
          <w:ilvl w:val="0"/>
          <w:numId w:val="20"/>
        </w:numPr>
      </w:pPr>
      <w:r>
        <w:t>In 2012, almost a quarter (24.9%) of Tennesseans identified themselves as cigarette smokers.</w:t>
      </w:r>
      <w:r w:rsidR="000A0E7D" w:rsidRPr="00795E90">
        <w:t xml:space="preserve"> </w:t>
      </w:r>
    </w:p>
    <w:p w:rsidR="000A0E7D" w:rsidRPr="00795E90" w:rsidRDefault="006A49F3" w:rsidP="008A7576">
      <w:pPr>
        <w:pStyle w:val="ListParagraph"/>
        <w:numPr>
          <w:ilvl w:val="0"/>
          <w:numId w:val="20"/>
        </w:numPr>
      </w:pPr>
      <w:r w:rsidRPr="00795E90">
        <w:rPr>
          <w:noProof/>
          <w:lang w:bidi="ar-SA"/>
        </w:rPr>
        <mc:AlternateContent>
          <mc:Choice Requires="wps">
            <w:drawing>
              <wp:anchor distT="0" distB="0" distL="114300" distR="114300" simplePos="0" relativeHeight="252242944" behindDoc="0" locked="0" layoutInCell="1" allowOverlap="1" wp14:anchorId="32026951" wp14:editId="218F0FFC">
                <wp:simplePos x="0" y="0"/>
                <wp:positionH relativeFrom="column">
                  <wp:posOffset>-1905</wp:posOffset>
                </wp:positionH>
                <wp:positionV relativeFrom="paragraph">
                  <wp:posOffset>278130</wp:posOffset>
                </wp:positionV>
                <wp:extent cx="8192135" cy="0"/>
                <wp:effectExtent l="0" t="0" r="18415" b="19050"/>
                <wp:wrapNone/>
                <wp:docPr id="135" name="Straight Connector 135"/>
                <wp:cNvGraphicFramePr/>
                <a:graphic xmlns:a="http://schemas.openxmlformats.org/drawingml/2006/main">
                  <a:graphicData uri="http://schemas.microsoft.com/office/word/2010/wordprocessingShape">
                    <wps:wsp>
                      <wps:cNvCnPr/>
                      <wps:spPr>
                        <a:xfrm>
                          <a:off x="0" y="0"/>
                          <a:ext cx="8192135"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1.9pt" to="644.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" strokecolor="#1b587c [3206]" strokeweight="1pt"/>
            </w:pict>
          </mc:Fallback>
        </mc:AlternateContent>
      </w:r>
      <w:r w:rsidR="000A0E7D" w:rsidRPr="00795E90">
        <w:t>It is important to note that the state of Tennessee has the f</w:t>
      </w:r>
      <w:r w:rsidR="00175ABB" w:rsidRPr="00795E90">
        <w:t>ifth</w:t>
      </w:r>
      <w:r w:rsidR="000A0E7D" w:rsidRPr="00795E90">
        <w:t xml:space="preserve"> highest incidence rate for lung cancer from 200</w:t>
      </w:r>
      <w:r w:rsidR="00175ABB" w:rsidRPr="00795E90">
        <w:t>8</w:t>
      </w:r>
      <w:r w:rsidR="000A0E7D" w:rsidRPr="00795E90">
        <w:t xml:space="preserve"> to 201</w:t>
      </w:r>
      <w:r w:rsidR="00175ABB" w:rsidRPr="00795E90">
        <w:t>2</w:t>
      </w:r>
      <w:r w:rsidR="000A0E7D" w:rsidRPr="00795E90">
        <w:t>.</w:t>
      </w:r>
    </w:p>
    <w:p w:rsidR="00206AFC" w:rsidRDefault="00206AFC" w:rsidP="007C772F">
      <w:pPr>
        <w:jc w:val="right"/>
      </w:pPr>
    </w:p>
    <w:p w:rsidR="009A1109" w:rsidRDefault="00964E4C" w:rsidP="007C772F">
      <w:pPr>
        <w:jc w:val="right"/>
        <w:rPr>
          <w:rStyle w:val="Hyperlink"/>
        </w:rPr>
      </w:pPr>
      <w:hyperlink w:anchor="_Data_Sources_1" w:history="1">
        <w:r w:rsidR="00FB3165" w:rsidRPr="00FB3165">
          <w:rPr>
            <w:rStyle w:val="Hyperlink"/>
          </w:rPr>
          <w:t>Data Source</w:t>
        </w:r>
      </w:hyperlink>
      <w:r w:rsidR="009A1109">
        <w:rPr>
          <w:rStyle w:val="Hyperlink"/>
        </w:rPr>
        <w:t xml:space="preserve"> </w:t>
      </w:r>
    </w:p>
    <w:bookmarkStart w:id="408" w:name="_Definition_of_Terms"/>
    <w:bookmarkEnd w:id="408"/>
    <w:p w:rsidR="00157584" w:rsidRDefault="000520F1">
      <w:r>
        <w:rPr>
          <w:noProof/>
          <w:lang w:bidi="ar-SA"/>
        </w:rPr>
        <w:lastRenderedPageBreak/>
        <mc:AlternateContent>
          <mc:Choice Requires="wps">
            <w:drawing>
              <wp:anchor distT="0" distB="0" distL="114300" distR="114300" simplePos="0" relativeHeight="252435456" behindDoc="0" locked="0" layoutInCell="1" allowOverlap="1" wp14:anchorId="0864FBEF" wp14:editId="2521BAF2">
                <wp:simplePos x="0" y="0"/>
                <wp:positionH relativeFrom="column">
                  <wp:posOffset>0</wp:posOffset>
                </wp:positionH>
                <wp:positionV relativeFrom="paragraph">
                  <wp:posOffset>0</wp:posOffset>
                </wp:positionV>
                <wp:extent cx="81915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81915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" strokecolor="#1b587c [3206]"/>
            </w:pict>
          </mc:Fallback>
        </mc:AlternateContent>
      </w:r>
    </w:p>
    <w:p w:rsidR="00157584" w:rsidRDefault="00157584"/>
    <w:p w:rsidR="00157584" w:rsidRDefault="00157584"/>
    <w:p w:rsidR="00157584" w:rsidRDefault="00157584"/>
    <w:p w:rsidR="00157584" w:rsidRDefault="00157584"/>
    <w:p w:rsidR="00157584" w:rsidRDefault="00157584"/>
    <w:p w:rsidR="00157584" w:rsidRDefault="00157584"/>
    <w:p w:rsidR="00157584" w:rsidRDefault="00157584"/>
    <w:p w:rsidR="00157584" w:rsidRDefault="00157584"/>
    <w:p w:rsidR="006A1B40" w:rsidRPr="00157584" w:rsidRDefault="00157584" w:rsidP="000520F1">
      <w:pPr>
        <w:pStyle w:val="NoSpacing"/>
        <w:jc w:val="center"/>
        <w:rPr>
          <w:b/>
          <w:sz w:val="52"/>
        </w:rPr>
      </w:pPr>
      <w:r w:rsidRPr="00157584">
        <w:rPr>
          <w:b/>
          <w:sz w:val="52"/>
        </w:rPr>
        <w:t>Appendices</w:t>
      </w:r>
    </w:p>
    <w:p w:rsidR="00157584" w:rsidRPr="00157584" w:rsidRDefault="00157584" w:rsidP="00157584">
      <w:pPr>
        <w:sectPr w:rsidR="00157584" w:rsidRPr="00157584" w:rsidSect="00F2283B">
          <w:pgSz w:w="15840" w:h="12240" w:orient="landscape"/>
          <w:pgMar w:top="1080" w:right="1440" w:bottom="1080" w:left="1440" w:header="720" w:footer="144" w:gutter="0"/>
          <w:pgNumType w:fmt="numberInDash"/>
          <w:cols w:space="720"/>
          <w:docGrid w:linePitch="360"/>
        </w:sectPr>
      </w:pPr>
    </w:p>
    <w:p w:rsidR="007B0E3B" w:rsidRDefault="000520F1" w:rsidP="007B0E3B">
      <w:pPr>
        <w:rPr>
          <w:rFonts w:cs="Arial"/>
          <w:color w:val="222222"/>
          <w:sz w:val="22"/>
          <w:szCs w:val="22"/>
        </w:rPr>
        <w:sectPr w:rsidR="007B0E3B" w:rsidSect="00F2283B">
          <w:type w:val="continuous"/>
          <w:pgSz w:w="15840" w:h="12240" w:orient="landscape"/>
          <w:pgMar w:top="1080" w:right="1440" w:bottom="1080" w:left="1440" w:header="720" w:footer="144" w:gutter="0"/>
          <w:pgNumType w:fmt="numberInDash"/>
          <w:cols w:space="720"/>
          <w:docGrid w:linePitch="360"/>
        </w:sectPr>
      </w:pPr>
      <w:r>
        <w:rPr>
          <w:noProof/>
          <w:lang w:bidi="ar-SA"/>
        </w:rPr>
        <w:lastRenderedPageBreak/>
        <mc:AlternateContent>
          <mc:Choice Requires="wps">
            <w:drawing>
              <wp:anchor distT="0" distB="0" distL="114300" distR="114300" simplePos="0" relativeHeight="252437504" behindDoc="0" locked="0" layoutInCell="1" allowOverlap="1" wp14:anchorId="1A0D9575" wp14:editId="162B5E2E">
                <wp:simplePos x="0" y="0"/>
                <wp:positionH relativeFrom="column">
                  <wp:posOffset>0</wp:posOffset>
                </wp:positionH>
                <wp:positionV relativeFrom="paragraph">
                  <wp:posOffset>3252470</wp:posOffset>
                </wp:positionV>
                <wp:extent cx="81915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81915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6.1pt" to="645pt,2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" strokecolor="#1b587c [3206]"/>
            </w:pict>
          </mc:Fallback>
        </mc:AlternateContent>
      </w:r>
    </w:p>
    <w:p w:rsidR="005C0ADF" w:rsidRPr="00955C53" w:rsidRDefault="005A7524" w:rsidP="00F37C3F">
      <w:pPr>
        <w:pStyle w:val="Heading1"/>
      </w:pPr>
      <w:bookmarkStart w:id="409" w:name="_Data_Sources_1"/>
      <w:bookmarkStart w:id="410" w:name="_Toc339631383"/>
      <w:bookmarkStart w:id="411" w:name="_Toc421608559"/>
      <w:bookmarkStart w:id="412" w:name="_Toc421609377"/>
      <w:bookmarkStart w:id="413" w:name="_Toc421609711"/>
      <w:bookmarkStart w:id="414" w:name="_Toc421611237"/>
      <w:bookmarkStart w:id="415" w:name="_Toc439918861"/>
      <w:bookmarkEnd w:id="409"/>
      <w:r w:rsidRPr="00121F3E">
        <w:lastRenderedPageBreak/>
        <w:t>Appendic</w:t>
      </w:r>
      <w:r w:rsidR="005C0ADF" w:rsidRPr="00121F3E">
        <w:t>es</w:t>
      </w:r>
      <w:bookmarkEnd w:id="410"/>
      <w:bookmarkEnd w:id="411"/>
      <w:bookmarkEnd w:id="412"/>
      <w:bookmarkEnd w:id="413"/>
      <w:bookmarkEnd w:id="414"/>
      <w:bookmarkEnd w:id="415"/>
    </w:p>
    <w:p w:rsidR="005C0ADF" w:rsidRPr="00976CBD" w:rsidRDefault="005C0ADF" w:rsidP="00903E48">
      <w:pPr>
        <w:pStyle w:val="Heading2"/>
      </w:pPr>
      <w:bookmarkStart w:id="416" w:name="_Toc339631384"/>
      <w:bookmarkStart w:id="417" w:name="_Toc421608560"/>
      <w:bookmarkStart w:id="418" w:name="_Toc421609378"/>
      <w:bookmarkStart w:id="419" w:name="_Toc421609712"/>
      <w:bookmarkStart w:id="420" w:name="_Toc421611238"/>
      <w:bookmarkStart w:id="421" w:name="_Toc439918862"/>
      <w:r w:rsidRPr="00976CBD">
        <w:t>Appendix I. Incidence and Mortality of Common Cancers</w:t>
      </w:r>
      <w:bookmarkEnd w:id="416"/>
      <w:bookmarkEnd w:id="417"/>
      <w:bookmarkEnd w:id="418"/>
      <w:bookmarkEnd w:id="419"/>
      <w:bookmarkEnd w:id="420"/>
      <w:bookmarkEnd w:id="421"/>
    </w:p>
    <w:p w:rsidR="005C0ADF" w:rsidRPr="009C60A7" w:rsidRDefault="003E0A78" w:rsidP="00157584">
      <w:pPr>
        <w:pStyle w:val="Heading5"/>
        <w:rPr>
          <w:b/>
        </w:rPr>
      </w:pPr>
      <w:bookmarkStart w:id="422" w:name="_Toc339631385"/>
      <w:bookmarkStart w:id="423" w:name="_Toc421608561"/>
      <w:bookmarkStart w:id="424" w:name="_Toc421609379"/>
      <w:bookmarkStart w:id="425" w:name="_Toc421609713"/>
      <w:bookmarkStart w:id="426" w:name="_Toc421611239"/>
      <w:r>
        <w:t xml:space="preserve">1. Cancer Incidence and Mortality, Lung and Bronchus, </w:t>
      </w:r>
      <w:r w:rsidRPr="00955C53">
        <w:t>Tennessee</w:t>
      </w:r>
      <w:r>
        <w:t>, 2008-2012</w:t>
      </w:r>
      <w:bookmarkEnd w:id="422"/>
      <w:bookmarkEnd w:id="423"/>
      <w:bookmarkEnd w:id="424"/>
      <w:bookmarkEnd w:id="425"/>
      <w:bookmarkEnd w:id="426"/>
    </w:p>
    <w:bookmarkStart w:id="427" w:name="_MON_1486542232"/>
    <w:bookmarkEnd w:id="427"/>
    <w:p w:rsidR="00157584" w:rsidRDefault="0022621F" w:rsidP="00157584">
      <w:r>
        <w:rPr>
          <w:lang w:eastAsia="zh-CN" w:bidi="ar-SA"/>
        </w:rPr>
        <w:object w:dxaOrig="11492" w:dyaOrig="6970">
          <v:shape id="_x0000_i1030" type="#_x0000_t75" style="width:718.35pt;height:409.4pt" o:ole="">
            <v:imagedata r:id="rId121" o:title=""/>
          </v:shape>
          <o:OLEObject Type="Embed" ProgID="Excel.Sheet.12" ShapeID="_x0000_i1030" DrawAspect="Content" ObjectID="_1513764405" r:id="rId122"/>
        </w:object>
      </w:r>
      <w:r w:rsidR="00167616">
        <w:t xml:space="preserve">   </w:t>
      </w:r>
    </w:p>
    <w:p w:rsidR="003B0272" w:rsidRPr="00E14902" w:rsidRDefault="00157584" w:rsidP="00167616">
      <w:pPr>
        <w:jc w:val="right"/>
        <w:rPr>
          <w:rStyle w:val="Hyperlink"/>
          <w:lang w:eastAsia="zh-CN" w:bidi="ar-SA"/>
        </w:rPr>
      </w:pPr>
      <w:r>
        <w:t xml:space="preserve"> </w:t>
      </w:r>
      <w:r w:rsidR="002949EC">
        <w:fldChar w:fldCharType="begin"/>
      </w:r>
      <w:r w:rsidR="00725924">
        <w:instrText>HYPERLINK  \l "_Data_Sources_1"</w:instrText>
      </w:r>
      <w:r w:rsidR="002949EC">
        <w:fldChar w:fldCharType="separate"/>
      </w:r>
      <w:r w:rsidR="002949EC" w:rsidRPr="002949EC">
        <w:rPr>
          <w:rStyle w:val="Hyperlink"/>
        </w:rPr>
        <w:t xml:space="preserve">Data </w:t>
      </w:r>
      <w:r w:rsidR="005D38A1" w:rsidRPr="002949EC">
        <w:rPr>
          <w:rStyle w:val="Hyperlink"/>
          <w:lang w:eastAsia="zh-CN" w:bidi="ar-SA"/>
        </w:rPr>
        <w:t>Source</w:t>
      </w:r>
    </w:p>
    <w:bookmarkStart w:id="428" w:name="_Toc339631386"/>
    <w:p w:rsidR="005C0ADF" w:rsidRDefault="002949EC" w:rsidP="00157584">
      <w:pPr>
        <w:pStyle w:val="Heading5"/>
      </w:pPr>
      <w:r>
        <w:rPr>
          <w:rFonts w:asciiTheme="minorHAnsi" w:hAnsiTheme="minorHAnsi"/>
          <w:b/>
          <w:color w:val="auto"/>
          <w:spacing w:val="0"/>
          <w:szCs w:val="20"/>
        </w:rPr>
        <w:lastRenderedPageBreak/>
        <w:fldChar w:fldCharType="end"/>
      </w:r>
      <w:bookmarkStart w:id="429" w:name="_Toc421608562"/>
      <w:bookmarkStart w:id="430" w:name="_Toc421609380"/>
      <w:bookmarkStart w:id="431" w:name="_Toc421609714"/>
      <w:bookmarkStart w:id="432" w:name="_Toc421611240"/>
      <w:r w:rsidR="005C0ADF" w:rsidRPr="007B3911">
        <w:t xml:space="preserve">2. Cancer Incidence and Mortality, Prostate, Tennessee, </w:t>
      </w:r>
      <w:r w:rsidR="00D1325B" w:rsidRPr="007B3911">
        <w:t>200</w:t>
      </w:r>
      <w:r w:rsidR="00DF4E32" w:rsidRPr="007B3911">
        <w:t>8</w:t>
      </w:r>
      <w:r w:rsidR="00D1325B" w:rsidRPr="007B3911">
        <w:t>-201</w:t>
      </w:r>
      <w:bookmarkEnd w:id="428"/>
      <w:r w:rsidR="00DF4E32" w:rsidRPr="007B3911">
        <w:t>2</w:t>
      </w:r>
      <w:bookmarkEnd w:id="429"/>
      <w:bookmarkEnd w:id="430"/>
      <w:bookmarkEnd w:id="431"/>
      <w:bookmarkEnd w:id="432"/>
    </w:p>
    <w:p w:rsidR="00D8482C" w:rsidRPr="00CF7CB0" w:rsidRDefault="00D8482C" w:rsidP="00D8482C">
      <w:pPr>
        <w:pStyle w:val="NoSpacing"/>
        <w:rPr>
          <w:b/>
        </w:rPr>
      </w:pPr>
    </w:p>
    <w:bookmarkStart w:id="433" w:name="_MON_1486544414"/>
    <w:bookmarkEnd w:id="433"/>
    <w:p w:rsidR="00317A68" w:rsidRDefault="003E27C4" w:rsidP="003B0272">
      <w:pPr>
        <w:pStyle w:val="NoSpacing"/>
      </w:pPr>
      <w:r>
        <w:object w:dxaOrig="11492" w:dyaOrig="5532">
          <v:shape id="_x0000_i1031" type="#_x0000_t75" style="width:717.5pt;height:327.35pt" o:ole="">
            <v:imagedata r:id="rId123" o:title=""/>
          </v:shape>
          <o:OLEObject Type="Embed" ProgID="Excel.Sheet.12" ShapeID="_x0000_i1031" DrawAspect="Content" ObjectID="_1513764406" r:id="rId124"/>
        </w:object>
      </w:r>
    </w:p>
    <w:p w:rsidR="005C0ADF" w:rsidRPr="005D38A1" w:rsidRDefault="00964E4C" w:rsidP="00E14902">
      <w:pPr>
        <w:jc w:val="right"/>
      </w:pPr>
      <w:hyperlink w:anchor="_Data_Sources_1" w:history="1">
        <w:r w:rsidR="002949EC" w:rsidRPr="002949EC">
          <w:rPr>
            <w:rStyle w:val="Hyperlink"/>
          </w:rPr>
          <w:t xml:space="preserve">Data </w:t>
        </w:r>
        <w:r w:rsidR="005D38A1" w:rsidRPr="002949EC">
          <w:rPr>
            <w:rStyle w:val="Hyperlink"/>
          </w:rPr>
          <w:t>Source</w:t>
        </w:r>
      </w:hyperlink>
      <w:r w:rsidR="005C0ADF" w:rsidRPr="005D38A1">
        <w:br w:type="page"/>
      </w:r>
    </w:p>
    <w:p w:rsidR="00D8482C" w:rsidRDefault="005C0ADF" w:rsidP="00157584">
      <w:pPr>
        <w:pStyle w:val="Heading5"/>
      </w:pPr>
      <w:bookmarkStart w:id="434" w:name="_Toc339631387"/>
      <w:bookmarkStart w:id="435" w:name="_Toc421608563"/>
      <w:bookmarkStart w:id="436" w:name="_Toc421609381"/>
      <w:bookmarkStart w:id="437" w:name="_Toc421609715"/>
      <w:bookmarkStart w:id="438" w:name="_Toc421611241"/>
      <w:r w:rsidRPr="007B3911">
        <w:lastRenderedPageBreak/>
        <w:t xml:space="preserve">3. Cancer Incidence and Mortality, Female Breast, Tennessee, </w:t>
      </w:r>
      <w:r w:rsidR="00D1325B" w:rsidRPr="007B3911">
        <w:t>200</w:t>
      </w:r>
      <w:r w:rsidR="00C8472F" w:rsidRPr="007B3911">
        <w:t>8</w:t>
      </w:r>
      <w:r w:rsidR="00D1325B" w:rsidRPr="007B3911">
        <w:t>-201</w:t>
      </w:r>
      <w:bookmarkEnd w:id="434"/>
      <w:r w:rsidR="00C8472F" w:rsidRPr="007B3911">
        <w:t>2</w:t>
      </w:r>
      <w:bookmarkEnd w:id="435"/>
      <w:bookmarkEnd w:id="436"/>
      <w:bookmarkEnd w:id="437"/>
      <w:bookmarkEnd w:id="438"/>
    </w:p>
    <w:p w:rsidR="00D8482C" w:rsidRDefault="00D8482C" w:rsidP="00D8482C">
      <w:pPr>
        <w:pStyle w:val="NoSpacing"/>
      </w:pPr>
    </w:p>
    <w:bookmarkStart w:id="439" w:name="_MON_1486545194"/>
    <w:bookmarkEnd w:id="439"/>
    <w:p w:rsidR="00631599" w:rsidRDefault="0022621F" w:rsidP="00D8482C">
      <w:pPr>
        <w:pStyle w:val="NoSpacing"/>
      </w:pPr>
      <w:r>
        <w:object w:dxaOrig="11492" w:dyaOrig="5532">
          <v:shape id="_x0000_i1032" type="#_x0000_t75" style="width:724.2pt;height:355pt" o:ole="">
            <v:imagedata r:id="rId125" o:title=""/>
          </v:shape>
          <o:OLEObject Type="Embed" ProgID="Excel.Sheet.12" ShapeID="_x0000_i1032" DrawAspect="Content" ObjectID="_1513764407" r:id="rId126"/>
        </w:object>
      </w:r>
    </w:p>
    <w:p w:rsidR="003B0272" w:rsidRDefault="002949EC" w:rsidP="00E14902">
      <w:pPr>
        <w:tabs>
          <w:tab w:val="left" w:pos="14400"/>
        </w:tabs>
        <w:jc w:val="right"/>
        <w:rPr>
          <w:rStyle w:val="Hyperlink"/>
        </w:rPr>
      </w:pPr>
      <w:r>
        <w:fldChar w:fldCharType="begin"/>
      </w:r>
      <w:r w:rsidR="0057251D">
        <w:instrText>HYPERLINK  \l "_Data_Sources_1"</w:instrText>
      </w:r>
      <w:r>
        <w:fldChar w:fldCharType="separate"/>
      </w:r>
      <w:r w:rsidRPr="002949EC">
        <w:rPr>
          <w:rStyle w:val="Hyperlink"/>
        </w:rPr>
        <w:t xml:space="preserve">Data </w:t>
      </w:r>
      <w:r w:rsidR="005D38A1" w:rsidRPr="002949EC">
        <w:rPr>
          <w:rStyle w:val="Hyperlink"/>
        </w:rPr>
        <w:t>Source</w:t>
      </w:r>
      <w:r w:rsidR="003B0272">
        <w:rPr>
          <w:rStyle w:val="Hyperlink"/>
        </w:rPr>
        <w:t xml:space="preserve"> </w:t>
      </w:r>
    </w:p>
    <w:p w:rsidR="003B0272" w:rsidRDefault="003B0272" w:rsidP="003B0272">
      <w:pPr>
        <w:tabs>
          <w:tab w:val="left" w:pos="14400"/>
        </w:tabs>
        <w:ind w:right="2880"/>
        <w:jc w:val="right"/>
        <w:rPr>
          <w:rStyle w:val="Hyperlink"/>
        </w:rPr>
      </w:pPr>
    </w:p>
    <w:p w:rsidR="003B0272" w:rsidRDefault="003B0272" w:rsidP="003B0272">
      <w:pPr>
        <w:tabs>
          <w:tab w:val="left" w:pos="14400"/>
        </w:tabs>
        <w:ind w:right="2880"/>
        <w:jc w:val="right"/>
        <w:rPr>
          <w:rStyle w:val="Hyperlink"/>
        </w:rPr>
      </w:pPr>
    </w:p>
    <w:p w:rsidR="00317A68" w:rsidRDefault="005E6810" w:rsidP="00E14902">
      <w:pPr>
        <w:tabs>
          <w:tab w:val="left" w:pos="14400"/>
        </w:tabs>
        <w:ind w:right="2880"/>
        <w:rPr>
          <w:rStyle w:val="Hyperlink"/>
        </w:rPr>
      </w:pPr>
      <w:r>
        <w:rPr>
          <w:rStyle w:val="Hyperlink"/>
        </w:rPr>
        <w:t xml:space="preserve"> </w:t>
      </w:r>
    </w:p>
    <w:p w:rsidR="005E6810" w:rsidRPr="002949EC" w:rsidRDefault="005E6810" w:rsidP="00E14902">
      <w:pPr>
        <w:tabs>
          <w:tab w:val="left" w:pos="14400"/>
        </w:tabs>
        <w:ind w:right="2880"/>
        <w:rPr>
          <w:rStyle w:val="Hyperlink"/>
        </w:rPr>
      </w:pPr>
    </w:p>
    <w:bookmarkStart w:id="440" w:name="_Toc339631388"/>
    <w:p w:rsidR="005C0ADF" w:rsidRPr="007B3911" w:rsidRDefault="002949EC" w:rsidP="00157584">
      <w:pPr>
        <w:pStyle w:val="Heading5"/>
      </w:pPr>
      <w:r>
        <w:rPr>
          <w:rFonts w:asciiTheme="minorHAnsi" w:hAnsiTheme="minorHAnsi"/>
          <w:b/>
          <w:color w:val="auto"/>
          <w:spacing w:val="0"/>
          <w:szCs w:val="20"/>
        </w:rPr>
        <w:lastRenderedPageBreak/>
        <w:fldChar w:fldCharType="end"/>
      </w:r>
      <w:bookmarkStart w:id="441" w:name="_Toc421608564"/>
      <w:bookmarkStart w:id="442" w:name="_Toc421609382"/>
      <w:bookmarkStart w:id="443" w:name="_Toc421609716"/>
      <w:bookmarkStart w:id="444" w:name="_Toc421611242"/>
      <w:r w:rsidR="005C0ADF" w:rsidRPr="007B3911">
        <w:t xml:space="preserve">4. Cancer Incidence and Mortality, Colon and Rectum, Tennessee, </w:t>
      </w:r>
      <w:r w:rsidR="00D1325B" w:rsidRPr="007B3911">
        <w:t>200</w:t>
      </w:r>
      <w:r w:rsidR="00826A20" w:rsidRPr="007B3911">
        <w:t>8</w:t>
      </w:r>
      <w:r w:rsidR="00D1325B" w:rsidRPr="007B3911">
        <w:t>-201</w:t>
      </w:r>
      <w:bookmarkEnd w:id="440"/>
      <w:r w:rsidR="00826A20" w:rsidRPr="007B3911">
        <w:t>2</w:t>
      </w:r>
      <w:bookmarkEnd w:id="441"/>
      <w:bookmarkEnd w:id="442"/>
      <w:bookmarkEnd w:id="443"/>
      <w:bookmarkEnd w:id="444"/>
    </w:p>
    <w:p w:rsidR="00D8482C" w:rsidRDefault="00D8482C" w:rsidP="00D8482C">
      <w:pPr>
        <w:pStyle w:val="NoSpacing"/>
      </w:pPr>
    </w:p>
    <w:bookmarkStart w:id="445" w:name="_MON_1486546095"/>
    <w:bookmarkEnd w:id="445"/>
    <w:p w:rsidR="00E14902" w:rsidRDefault="0022621F" w:rsidP="00E14902">
      <w:pPr>
        <w:pStyle w:val="NoSpacing"/>
      </w:pPr>
      <w:r>
        <w:object w:dxaOrig="11492" w:dyaOrig="6970">
          <v:shape id="_x0000_i1033" type="#_x0000_t75" style="width:724.2pt;height:439.55pt" o:ole="">
            <v:imagedata r:id="rId127" o:title=""/>
          </v:shape>
          <o:OLEObject Type="Embed" ProgID="Excel.Sheet.12" ShapeID="_x0000_i1033" DrawAspect="Content" ObjectID="_1513764408" r:id="rId128"/>
        </w:object>
      </w:r>
    </w:p>
    <w:p w:rsidR="005C0ADF" w:rsidRDefault="00964E4C" w:rsidP="00E14902">
      <w:pPr>
        <w:pStyle w:val="NoSpacing"/>
        <w:ind w:left="13410"/>
      </w:pPr>
      <w:hyperlink w:anchor="_Data_Sources_1" w:history="1">
        <w:r w:rsidR="002949EC" w:rsidRPr="002949EC">
          <w:rPr>
            <w:rStyle w:val="Hyperlink"/>
          </w:rPr>
          <w:t xml:space="preserve">Data </w:t>
        </w:r>
        <w:r w:rsidR="005D38A1" w:rsidRPr="002949EC">
          <w:rPr>
            <w:rStyle w:val="Hyperlink"/>
          </w:rPr>
          <w:t>Source</w:t>
        </w:r>
      </w:hyperlink>
      <w:r w:rsidR="005C0ADF">
        <w:br w:type="page"/>
      </w:r>
    </w:p>
    <w:p w:rsidR="00D8482C" w:rsidRDefault="005C0ADF" w:rsidP="00157584">
      <w:pPr>
        <w:pStyle w:val="Heading5"/>
      </w:pPr>
      <w:bookmarkStart w:id="446" w:name="_Toc339631389"/>
      <w:bookmarkStart w:id="447" w:name="_Toc421608565"/>
      <w:bookmarkStart w:id="448" w:name="_Toc421609383"/>
      <w:bookmarkStart w:id="449" w:name="_Toc421609717"/>
      <w:bookmarkStart w:id="450" w:name="_Toc421611243"/>
      <w:r w:rsidRPr="007B3911">
        <w:lastRenderedPageBreak/>
        <w:t xml:space="preserve">5. Cancer Incidence and Mortality, Melanoma of the Skin, Tennessee, </w:t>
      </w:r>
      <w:r w:rsidR="00D1325B" w:rsidRPr="007B3911">
        <w:t>200</w:t>
      </w:r>
      <w:r w:rsidR="001B7C0D" w:rsidRPr="007B3911">
        <w:t>8</w:t>
      </w:r>
      <w:r w:rsidR="00D1325B" w:rsidRPr="007B3911">
        <w:t>-201</w:t>
      </w:r>
      <w:bookmarkEnd w:id="446"/>
      <w:r w:rsidR="001B7C0D" w:rsidRPr="007B3911">
        <w:t>2</w:t>
      </w:r>
      <w:bookmarkEnd w:id="447"/>
      <w:bookmarkEnd w:id="448"/>
      <w:bookmarkEnd w:id="449"/>
      <w:bookmarkEnd w:id="450"/>
    </w:p>
    <w:p w:rsidR="00D8482C" w:rsidRDefault="00D8482C" w:rsidP="00D8482C">
      <w:pPr>
        <w:pStyle w:val="NoSpacing"/>
      </w:pPr>
    </w:p>
    <w:bookmarkStart w:id="451" w:name="_MON_1486546694"/>
    <w:bookmarkEnd w:id="451"/>
    <w:p w:rsidR="005D38A1" w:rsidRDefault="0022621F" w:rsidP="004D259C">
      <w:pPr>
        <w:pStyle w:val="NoSpacing"/>
      </w:pPr>
      <w:r>
        <w:object w:dxaOrig="11492" w:dyaOrig="6704">
          <v:shape id="_x0000_i1034" type="#_x0000_t75" style="width:724.2pt;height:421.1pt" o:ole="">
            <v:imagedata r:id="rId129" o:title=""/>
          </v:shape>
          <o:OLEObject Type="Embed" ProgID="Excel.Sheet.12" ShapeID="_x0000_i1034" DrawAspect="Content" ObjectID="_1513764409" r:id="rId130"/>
        </w:object>
      </w:r>
    </w:p>
    <w:p w:rsidR="005C0ADF" w:rsidRDefault="00E14902" w:rsidP="00E14902">
      <w:pPr>
        <w:jc w:val="right"/>
      </w:pPr>
      <w:r>
        <w:t xml:space="preserve">      </w:t>
      </w:r>
      <w:hyperlink w:anchor="_Data_Sources_1" w:history="1">
        <w:r w:rsidR="002949EC" w:rsidRPr="002949EC">
          <w:rPr>
            <w:rStyle w:val="Hyperlink"/>
          </w:rPr>
          <w:t xml:space="preserve">Data </w:t>
        </w:r>
        <w:r w:rsidR="005D38A1" w:rsidRPr="002949EC">
          <w:rPr>
            <w:rStyle w:val="Hyperlink"/>
          </w:rPr>
          <w:t>Source</w:t>
        </w:r>
      </w:hyperlink>
      <w:r w:rsidR="005C0ADF">
        <w:br w:type="page"/>
      </w:r>
    </w:p>
    <w:p w:rsidR="005C0ADF" w:rsidRPr="007B3911" w:rsidRDefault="005C0ADF" w:rsidP="00157584">
      <w:pPr>
        <w:pStyle w:val="Heading5"/>
      </w:pPr>
      <w:bookmarkStart w:id="452" w:name="_Toc339631390"/>
      <w:bookmarkStart w:id="453" w:name="_Toc421608566"/>
      <w:bookmarkStart w:id="454" w:name="_Toc421609384"/>
      <w:bookmarkStart w:id="455" w:name="_Toc421609718"/>
      <w:bookmarkStart w:id="456" w:name="_Toc421611244"/>
      <w:r w:rsidRPr="007B3911">
        <w:lastRenderedPageBreak/>
        <w:t xml:space="preserve">6. Cancer Incidence and Mortality, Pancreas, Tennessee, </w:t>
      </w:r>
      <w:r w:rsidR="00D1325B" w:rsidRPr="007B3911">
        <w:t>200</w:t>
      </w:r>
      <w:r w:rsidR="00BE6436" w:rsidRPr="007B3911">
        <w:t>8</w:t>
      </w:r>
      <w:r w:rsidR="00D1325B" w:rsidRPr="007B3911">
        <w:t>-201</w:t>
      </w:r>
      <w:bookmarkEnd w:id="452"/>
      <w:r w:rsidR="00BE6436" w:rsidRPr="007B3911">
        <w:t>2</w:t>
      </w:r>
      <w:bookmarkEnd w:id="453"/>
      <w:bookmarkEnd w:id="454"/>
      <w:bookmarkEnd w:id="455"/>
      <w:bookmarkEnd w:id="456"/>
    </w:p>
    <w:p w:rsidR="00D8482C" w:rsidRDefault="00D8482C" w:rsidP="00D8482C">
      <w:pPr>
        <w:pStyle w:val="NoSpacing"/>
      </w:pPr>
    </w:p>
    <w:bookmarkStart w:id="457" w:name="_MON_1486549907"/>
    <w:bookmarkEnd w:id="457"/>
    <w:p w:rsidR="005C0ADF" w:rsidRDefault="003E27C4" w:rsidP="00D8482C">
      <w:pPr>
        <w:pStyle w:val="NoSpacing"/>
      </w:pPr>
      <w:r>
        <w:object w:dxaOrig="11492" w:dyaOrig="6718">
          <v:shape id="_x0000_i1035" type="#_x0000_t75" style="width:724.2pt;height:424.45pt" o:ole="">
            <v:imagedata r:id="rId131" o:title=""/>
          </v:shape>
          <o:OLEObject Type="Embed" ProgID="Excel.Sheet.12" ShapeID="_x0000_i1035" DrawAspect="Content" ObjectID="_1513764410" r:id="rId132"/>
        </w:object>
      </w:r>
    </w:p>
    <w:p w:rsidR="005D38A1" w:rsidRDefault="00964E4C" w:rsidP="00BA0090">
      <w:pPr>
        <w:jc w:val="right"/>
      </w:pPr>
      <w:hyperlink w:anchor="_Data_Sources_1" w:history="1">
        <w:r w:rsidR="003B0272" w:rsidRPr="003B0272">
          <w:rPr>
            <w:rStyle w:val="Hyperlink"/>
          </w:rPr>
          <w:t>Data Source</w:t>
        </w:r>
      </w:hyperlink>
    </w:p>
    <w:p w:rsidR="00317A68" w:rsidRDefault="00317A68" w:rsidP="00317A68">
      <w:pPr>
        <w:pStyle w:val="NoSpacing"/>
        <w:sectPr w:rsidR="00317A68" w:rsidSect="00F2283B">
          <w:footerReference w:type="default" r:id="rId133"/>
          <w:pgSz w:w="15840" w:h="12240" w:orient="landscape" w:code="1"/>
          <w:pgMar w:top="720" w:right="720" w:bottom="720" w:left="720" w:header="720" w:footer="720" w:gutter="0"/>
          <w:pgNumType w:fmt="numberInDash"/>
          <w:cols w:space="720"/>
          <w:docGrid w:linePitch="360"/>
        </w:sectPr>
      </w:pPr>
    </w:p>
    <w:p w:rsidR="003A120C" w:rsidRPr="00976CBD" w:rsidRDefault="00C2703B" w:rsidP="00903E48">
      <w:pPr>
        <w:pStyle w:val="Heading2"/>
      </w:pPr>
      <w:bookmarkStart w:id="458" w:name="_Toc421608567"/>
      <w:bookmarkStart w:id="459" w:name="_Toc421609385"/>
      <w:bookmarkStart w:id="460" w:name="_Toc421609719"/>
      <w:bookmarkStart w:id="461" w:name="_Toc421611245"/>
      <w:bookmarkStart w:id="462" w:name="_Toc439918863"/>
      <w:proofErr w:type="gramStart"/>
      <w:r w:rsidRPr="00976CBD">
        <w:lastRenderedPageBreak/>
        <w:t>Appendix II.</w:t>
      </w:r>
      <w:proofErr w:type="gramEnd"/>
      <w:r w:rsidRPr="00976CBD">
        <w:t xml:space="preserve"> Cancer Incidence and Mortality, By Site, Tennessee, 2008-2012</w:t>
      </w:r>
      <w:bookmarkEnd w:id="458"/>
      <w:bookmarkEnd w:id="459"/>
      <w:bookmarkEnd w:id="460"/>
      <w:bookmarkEnd w:id="461"/>
      <w:bookmarkEnd w:id="462"/>
    </w:p>
    <w:bookmarkStart w:id="463" w:name="_MON_1486552559"/>
    <w:bookmarkEnd w:id="463"/>
    <w:p w:rsidR="0051376C" w:rsidRDefault="00D81286" w:rsidP="006437E6">
      <w:pPr>
        <w:pStyle w:val="NoSpacing"/>
        <w:spacing w:before="240"/>
      </w:pPr>
      <w:r>
        <w:object w:dxaOrig="11640" w:dyaOrig="12108">
          <v:shape id="_x0000_i1036" type="#_x0000_t75" style="width:510.7pt;height:637.1pt" o:ole="">
            <v:imagedata r:id="rId134" o:title=""/>
          </v:shape>
          <o:OLEObject Type="Embed" ProgID="Excel.Sheet.12" ShapeID="_x0000_i1036" DrawAspect="Content" ObjectID="_1513764411" r:id="rId135"/>
        </w:object>
      </w:r>
    </w:p>
    <w:p w:rsidR="00AE29A6" w:rsidRDefault="003A120C" w:rsidP="0040391C">
      <w:pPr>
        <w:pStyle w:val="NoSpacing"/>
        <w:jc w:val="center"/>
      </w:pPr>
      <w:r>
        <w:t>Continued on next page</w:t>
      </w:r>
    </w:p>
    <w:p w:rsidR="00BA2629" w:rsidRDefault="008575E4" w:rsidP="00494849">
      <w:pPr>
        <w:pStyle w:val="Heading5"/>
      </w:pPr>
      <w:proofErr w:type="gramStart"/>
      <w:r w:rsidRPr="008575E4">
        <w:lastRenderedPageBreak/>
        <w:t>Appendix II</w:t>
      </w:r>
      <w:r w:rsidR="00EB1F98">
        <w:t>.</w:t>
      </w:r>
      <w:proofErr w:type="gramEnd"/>
      <w:r w:rsidR="00EB1F98">
        <w:t xml:space="preserve"> </w:t>
      </w:r>
      <w:r w:rsidRPr="008575E4">
        <w:t>Continued</w:t>
      </w:r>
    </w:p>
    <w:p w:rsidR="007718B7" w:rsidRDefault="007718B7" w:rsidP="00955459">
      <w:pPr>
        <w:pStyle w:val="NoSpacing"/>
      </w:pPr>
    </w:p>
    <w:bookmarkStart w:id="464" w:name="_MON_1486554147"/>
    <w:bookmarkEnd w:id="464"/>
    <w:p w:rsidR="00BA2629" w:rsidRDefault="00D81286" w:rsidP="00955459">
      <w:pPr>
        <w:pStyle w:val="NoSpacing"/>
      </w:pPr>
      <w:r>
        <w:object w:dxaOrig="12162" w:dyaOrig="11909">
          <v:shape id="_x0000_i1037" type="#_x0000_t75" style="width:534.15pt;height:652.2pt" o:ole="">
            <v:imagedata r:id="rId136" o:title=""/>
          </v:shape>
          <o:OLEObject Type="Embed" ProgID="Excel.Sheet.12" ShapeID="_x0000_i1037" DrawAspect="Content" ObjectID="_1513764412" r:id="rId137"/>
        </w:object>
      </w:r>
    </w:p>
    <w:p w:rsidR="00C22C73" w:rsidRDefault="00952B55" w:rsidP="0040391C">
      <w:pPr>
        <w:pStyle w:val="NoSpacing"/>
        <w:jc w:val="center"/>
      </w:pPr>
      <w:r>
        <w:t>Continued on next page</w:t>
      </w:r>
    </w:p>
    <w:p w:rsidR="0082354C" w:rsidRPr="009239D8" w:rsidRDefault="008575E4" w:rsidP="00494849">
      <w:pPr>
        <w:pStyle w:val="Heading5"/>
      </w:pPr>
      <w:proofErr w:type="gramStart"/>
      <w:r w:rsidRPr="009239D8">
        <w:lastRenderedPageBreak/>
        <w:t>Appendix II</w:t>
      </w:r>
      <w:r w:rsidR="00EB1F98" w:rsidRPr="009239D8">
        <w:t>.</w:t>
      </w:r>
      <w:proofErr w:type="gramEnd"/>
      <w:r w:rsidR="00EB1F98" w:rsidRPr="009239D8">
        <w:t xml:space="preserve"> </w:t>
      </w:r>
      <w:r w:rsidRPr="009239D8">
        <w:t>Continued</w:t>
      </w:r>
    </w:p>
    <w:p w:rsidR="007718B7" w:rsidRDefault="007718B7" w:rsidP="00955459">
      <w:pPr>
        <w:pStyle w:val="NoSpacing"/>
      </w:pPr>
    </w:p>
    <w:bookmarkStart w:id="465" w:name="_MON_1486554806"/>
    <w:bookmarkEnd w:id="465"/>
    <w:p w:rsidR="0051376C" w:rsidRDefault="00D81286" w:rsidP="0051376C">
      <w:pPr>
        <w:pStyle w:val="NoSpacing"/>
      </w:pPr>
      <w:r>
        <w:object w:dxaOrig="12275" w:dyaOrig="8491">
          <v:shape id="_x0000_i1038" type="#_x0000_t75" style="width:531.65pt;height:470.5pt" o:ole="">
            <v:imagedata r:id="rId138" o:title=""/>
          </v:shape>
          <o:OLEObject Type="Embed" ProgID="Excel.Sheet.12" ShapeID="_x0000_i1038" DrawAspect="Content" ObjectID="_1513764413" r:id="rId139"/>
        </w:object>
      </w:r>
      <w:r w:rsidR="00952B55">
        <w:t xml:space="preserve">  </w:t>
      </w:r>
    </w:p>
    <w:p w:rsidR="00F73A8B" w:rsidRDefault="00F73A8B" w:rsidP="0051376C">
      <w:pPr>
        <w:pStyle w:val="NoSpacing"/>
        <w:jc w:val="right"/>
      </w:pPr>
    </w:p>
    <w:p w:rsidR="00F73A8B" w:rsidRDefault="00F73A8B" w:rsidP="0051376C">
      <w:pPr>
        <w:pStyle w:val="NoSpacing"/>
        <w:jc w:val="right"/>
      </w:pPr>
    </w:p>
    <w:p w:rsidR="00F73A8B" w:rsidRDefault="00F73A8B" w:rsidP="0051376C">
      <w:pPr>
        <w:pStyle w:val="NoSpacing"/>
        <w:jc w:val="right"/>
      </w:pPr>
    </w:p>
    <w:p w:rsidR="00F73A8B" w:rsidRDefault="00F73A8B" w:rsidP="0051376C">
      <w:pPr>
        <w:pStyle w:val="NoSpacing"/>
        <w:jc w:val="right"/>
      </w:pPr>
    </w:p>
    <w:p w:rsidR="00D65C54" w:rsidRDefault="00D65C54" w:rsidP="0051376C">
      <w:pPr>
        <w:pStyle w:val="NoSpacing"/>
        <w:jc w:val="right"/>
      </w:pPr>
    </w:p>
    <w:p w:rsidR="003A576A" w:rsidRDefault="003A576A" w:rsidP="0051376C">
      <w:pPr>
        <w:pStyle w:val="NoSpacing"/>
        <w:jc w:val="right"/>
      </w:pPr>
    </w:p>
    <w:p w:rsidR="003A576A" w:rsidRDefault="003A576A" w:rsidP="0051376C">
      <w:pPr>
        <w:pStyle w:val="NoSpacing"/>
        <w:jc w:val="right"/>
      </w:pPr>
    </w:p>
    <w:p w:rsidR="00D65C54" w:rsidRDefault="00D65C54" w:rsidP="0051376C">
      <w:pPr>
        <w:pStyle w:val="NoSpacing"/>
        <w:jc w:val="right"/>
      </w:pPr>
    </w:p>
    <w:p w:rsidR="00F81C45" w:rsidRDefault="00F81C45" w:rsidP="0051376C">
      <w:pPr>
        <w:pStyle w:val="NoSpacing"/>
        <w:jc w:val="right"/>
      </w:pPr>
    </w:p>
    <w:p w:rsidR="00F73A8B" w:rsidRDefault="00F73A8B" w:rsidP="0051376C">
      <w:pPr>
        <w:pStyle w:val="NoSpacing"/>
        <w:jc w:val="right"/>
      </w:pPr>
    </w:p>
    <w:p w:rsidR="00F73A8B" w:rsidRDefault="00F73A8B" w:rsidP="0051376C">
      <w:pPr>
        <w:pStyle w:val="NoSpacing"/>
        <w:jc w:val="right"/>
      </w:pPr>
    </w:p>
    <w:p w:rsidR="00C17427" w:rsidRDefault="00C17427" w:rsidP="0051376C">
      <w:pPr>
        <w:pStyle w:val="NoSpacing"/>
        <w:jc w:val="right"/>
      </w:pPr>
    </w:p>
    <w:p w:rsidR="00C17427" w:rsidRDefault="00C17427" w:rsidP="0051376C">
      <w:pPr>
        <w:pStyle w:val="NoSpacing"/>
        <w:jc w:val="right"/>
      </w:pPr>
    </w:p>
    <w:p w:rsidR="00B07FF1" w:rsidRDefault="00F73A8B" w:rsidP="0051376C">
      <w:pPr>
        <w:pStyle w:val="NoSpacing"/>
        <w:jc w:val="right"/>
        <w:rPr>
          <w:rStyle w:val="Hyperlink"/>
        </w:rPr>
      </w:pPr>
      <w:r>
        <w:t xml:space="preserve"> </w:t>
      </w:r>
      <w:hyperlink w:anchor="_Data_Sources_1" w:history="1">
        <w:r w:rsidR="002949EC" w:rsidRPr="002949EC">
          <w:rPr>
            <w:rStyle w:val="Hyperlink"/>
          </w:rPr>
          <w:t xml:space="preserve">Data </w:t>
        </w:r>
        <w:r w:rsidR="00BF2CEF" w:rsidRPr="002949EC">
          <w:rPr>
            <w:rStyle w:val="Hyperlink"/>
          </w:rPr>
          <w:t>Source</w:t>
        </w:r>
      </w:hyperlink>
      <w:r w:rsidR="00B07FF1">
        <w:rPr>
          <w:rStyle w:val="Hyperlink"/>
        </w:rPr>
        <w:t xml:space="preserve"> </w:t>
      </w:r>
    </w:p>
    <w:p w:rsidR="005514F9" w:rsidRDefault="00952B55" w:rsidP="0051376C">
      <w:pPr>
        <w:pStyle w:val="NoSpacing"/>
        <w:jc w:val="right"/>
      </w:pPr>
      <w:r>
        <w:t xml:space="preserve">  </w:t>
      </w:r>
      <w:r w:rsidR="0051376C">
        <w:t xml:space="preserve"> </w:t>
      </w:r>
    </w:p>
    <w:p w:rsidR="001730F2" w:rsidRPr="00976CBD" w:rsidRDefault="001730F2" w:rsidP="00903E48">
      <w:pPr>
        <w:pStyle w:val="Heading2"/>
      </w:pPr>
      <w:bookmarkStart w:id="466" w:name="_Appendix_III._Cancer"/>
      <w:bookmarkStart w:id="467" w:name="_Toc421608568"/>
      <w:bookmarkStart w:id="468" w:name="_Toc421609386"/>
      <w:bookmarkStart w:id="469" w:name="_Toc421609720"/>
      <w:bookmarkStart w:id="470" w:name="_Toc421611246"/>
      <w:bookmarkStart w:id="471" w:name="_Toc439918864"/>
      <w:bookmarkEnd w:id="466"/>
      <w:proofErr w:type="gramStart"/>
      <w:r w:rsidRPr="00976CBD">
        <w:lastRenderedPageBreak/>
        <w:t>Appendix III.</w:t>
      </w:r>
      <w:proofErr w:type="gramEnd"/>
      <w:r w:rsidRPr="00976CBD">
        <w:t xml:space="preserve"> Cancer Incidence and Mortality, All Sites Combined, by Gender, Race and Resident Region, Tennessee 2008-2012</w:t>
      </w:r>
      <w:bookmarkEnd w:id="467"/>
      <w:bookmarkEnd w:id="468"/>
      <w:bookmarkEnd w:id="469"/>
      <w:bookmarkEnd w:id="470"/>
      <w:bookmarkEnd w:id="471"/>
    </w:p>
    <w:bookmarkStart w:id="472" w:name="_MON_1486556513"/>
    <w:bookmarkEnd w:id="472"/>
    <w:p w:rsidR="001730F2" w:rsidRPr="00976CBD" w:rsidRDefault="00F31003" w:rsidP="00DF1B83">
      <w:pPr>
        <w:pStyle w:val="NoSpacing"/>
        <w:jc w:val="right"/>
        <w:rPr>
          <w:rStyle w:val="Hyperlink"/>
          <w:sz w:val="26"/>
          <w:szCs w:val="26"/>
        </w:rPr>
      </w:pPr>
      <w:r>
        <w:object w:dxaOrig="11857" w:dyaOrig="12252">
          <v:shape id="_x0000_i1039" type="#_x0000_t75" style="width:534.15pt;height:651.35pt" o:ole="">
            <v:imagedata r:id="rId140" o:title=""/>
          </v:shape>
          <o:OLEObject Type="Embed" ProgID="Excel.Sheet.12" ShapeID="_x0000_i1039" DrawAspect="Content" ObjectID="_1513764414" r:id="rId141"/>
        </w:object>
      </w:r>
      <w:r w:rsidR="002949EC" w:rsidRPr="00976CBD">
        <w:rPr>
          <w:sz w:val="26"/>
          <w:szCs w:val="26"/>
        </w:rPr>
        <w:fldChar w:fldCharType="begin"/>
      </w:r>
      <w:r w:rsidR="0057251D" w:rsidRPr="00976CBD">
        <w:rPr>
          <w:sz w:val="26"/>
          <w:szCs w:val="26"/>
        </w:rPr>
        <w:instrText>HYPERLINK  \l "_Data_Sources_1"</w:instrText>
      </w:r>
      <w:r w:rsidR="002949EC" w:rsidRPr="00976CBD">
        <w:rPr>
          <w:sz w:val="26"/>
          <w:szCs w:val="26"/>
        </w:rPr>
        <w:fldChar w:fldCharType="separate"/>
      </w:r>
      <w:r w:rsidR="002949EC" w:rsidRPr="0040391C">
        <w:rPr>
          <w:rStyle w:val="Hyperlink"/>
          <w:szCs w:val="26"/>
        </w:rPr>
        <w:t xml:space="preserve">Data </w:t>
      </w:r>
      <w:r w:rsidR="001730F2" w:rsidRPr="0040391C">
        <w:rPr>
          <w:rStyle w:val="Hyperlink"/>
          <w:szCs w:val="26"/>
        </w:rPr>
        <w:t>Source</w:t>
      </w:r>
    </w:p>
    <w:bookmarkStart w:id="473" w:name="_Toc339631393"/>
    <w:p w:rsidR="00BA6B07" w:rsidRPr="00976CBD" w:rsidRDefault="002949EC" w:rsidP="00903E48">
      <w:pPr>
        <w:pStyle w:val="Heading2"/>
      </w:pPr>
      <w:r w:rsidRPr="00976CBD">
        <w:rPr>
          <w:rFonts w:asciiTheme="minorHAnsi" w:hAnsiTheme="minorHAnsi"/>
          <w:color w:val="auto"/>
          <w:spacing w:val="0"/>
        </w:rPr>
        <w:lastRenderedPageBreak/>
        <w:fldChar w:fldCharType="end"/>
      </w:r>
      <w:bookmarkStart w:id="474" w:name="_Toc421608569"/>
      <w:bookmarkStart w:id="475" w:name="_Toc421609387"/>
      <w:bookmarkStart w:id="476" w:name="_Toc421609721"/>
      <w:bookmarkStart w:id="477" w:name="_Toc421611247"/>
      <w:bookmarkStart w:id="478" w:name="_Toc439918865"/>
      <w:proofErr w:type="gramStart"/>
      <w:r w:rsidR="00BA6B07" w:rsidRPr="00976CBD">
        <w:t>Appendix IV.</w:t>
      </w:r>
      <w:proofErr w:type="gramEnd"/>
      <w:r w:rsidR="00BA6B07" w:rsidRPr="00976CBD">
        <w:t xml:space="preserve"> Cancer Incidence and Mortality, All Sites Combined, by Resident County, Tennessee, 200</w:t>
      </w:r>
      <w:r w:rsidR="00F459B7" w:rsidRPr="00976CBD">
        <w:t>8</w:t>
      </w:r>
      <w:r w:rsidR="00BA6B07" w:rsidRPr="00976CBD">
        <w:t>-201</w:t>
      </w:r>
      <w:bookmarkEnd w:id="473"/>
      <w:r w:rsidR="00F459B7" w:rsidRPr="00976CBD">
        <w:t>2</w:t>
      </w:r>
      <w:bookmarkEnd w:id="474"/>
      <w:bookmarkEnd w:id="475"/>
      <w:bookmarkEnd w:id="476"/>
      <w:bookmarkEnd w:id="477"/>
      <w:bookmarkEnd w:id="478"/>
    </w:p>
    <w:bookmarkStart w:id="479" w:name="_MON_1486557675"/>
    <w:bookmarkEnd w:id="479"/>
    <w:p w:rsidR="005C3555" w:rsidRDefault="00E33747" w:rsidP="0040391C">
      <w:pPr>
        <w:pStyle w:val="NoSpacing"/>
        <w:jc w:val="center"/>
      </w:pPr>
      <w:r>
        <w:object w:dxaOrig="12081" w:dyaOrig="12489">
          <v:shape id="_x0000_i1040" type="#_x0000_t75" style="width:543.35pt;height:591.05pt" o:ole="">
            <v:imagedata r:id="rId142" o:title=""/>
          </v:shape>
          <o:OLEObject Type="Embed" ProgID="Excel.Sheet.12" ShapeID="_x0000_i1040" DrawAspect="Content" ObjectID="_1513764415" r:id="rId143"/>
        </w:object>
      </w:r>
      <w:r w:rsidR="00252318" w:rsidRPr="005514F9">
        <w:t>Continued on next page</w:t>
      </w:r>
    </w:p>
    <w:p w:rsidR="0040391C" w:rsidRDefault="0040391C" w:rsidP="0040391C">
      <w:pPr>
        <w:pStyle w:val="NoSpacing"/>
      </w:pPr>
    </w:p>
    <w:p w:rsidR="006627D3" w:rsidRDefault="006627D3" w:rsidP="0040391C">
      <w:pPr>
        <w:pStyle w:val="NoSpacing"/>
      </w:pPr>
    </w:p>
    <w:p w:rsidR="00EB1F98" w:rsidRPr="00397E9B" w:rsidRDefault="00EB1F98" w:rsidP="00494849">
      <w:pPr>
        <w:pStyle w:val="Heading5"/>
        <w:rPr>
          <w:rStyle w:val="Heading5Char"/>
          <w:smallCaps/>
        </w:rPr>
      </w:pPr>
      <w:proofErr w:type="gramStart"/>
      <w:r w:rsidRPr="00397E9B">
        <w:rPr>
          <w:rStyle w:val="Heading5Char"/>
          <w:smallCaps/>
        </w:rPr>
        <w:lastRenderedPageBreak/>
        <w:t>Appendix IV.</w:t>
      </w:r>
      <w:proofErr w:type="gramEnd"/>
      <w:r w:rsidRPr="00397E9B">
        <w:rPr>
          <w:rStyle w:val="Heading5Char"/>
          <w:smallCaps/>
        </w:rPr>
        <w:t xml:space="preserve"> Cancer </w:t>
      </w:r>
      <w:r w:rsidRPr="00397E9B">
        <w:rPr>
          <w:rStyle w:val="Heading5Char"/>
          <w:caps/>
        </w:rPr>
        <w:t>Incidence</w:t>
      </w:r>
      <w:r w:rsidRPr="00397E9B">
        <w:rPr>
          <w:rStyle w:val="Heading5Char"/>
          <w:smallCaps/>
        </w:rPr>
        <w:t xml:space="preserve"> and Mortality, All Sites Combi</w:t>
      </w:r>
      <w:r w:rsidR="00500216" w:rsidRPr="00397E9B">
        <w:rPr>
          <w:rStyle w:val="Heading5Char"/>
          <w:smallCaps/>
        </w:rPr>
        <w:t>ned, by Resident County,</w:t>
      </w:r>
      <w:r w:rsidRPr="00397E9B">
        <w:rPr>
          <w:rStyle w:val="Heading5Char"/>
          <w:smallCaps/>
        </w:rPr>
        <w:t xml:space="preserve"> Tennessee, 2008-2012, Continued</w:t>
      </w:r>
    </w:p>
    <w:bookmarkStart w:id="480" w:name="_MON_1486557888"/>
    <w:bookmarkEnd w:id="480"/>
    <w:p w:rsidR="00671538" w:rsidRDefault="00E33747" w:rsidP="0040391C">
      <w:pPr>
        <w:pStyle w:val="NoSpacing"/>
        <w:jc w:val="center"/>
        <w:rPr>
          <w:lang w:eastAsia="zh-CN" w:bidi="ar-SA"/>
        </w:rPr>
      </w:pPr>
      <w:r>
        <w:rPr>
          <w:lang w:eastAsia="zh-CN" w:bidi="ar-SA"/>
        </w:rPr>
        <w:object w:dxaOrig="12194" w:dyaOrig="14519">
          <v:shape id="_x0000_i1041" type="#_x0000_t75" style="width:543.35pt;height:647.15pt" o:ole="">
            <v:imagedata r:id="rId144" o:title=""/>
          </v:shape>
          <o:OLEObject Type="Embed" ProgID="Excel.Sheet.12" ShapeID="_x0000_i1041" DrawAspect="Content" ObjectID="_1513764416" r:id="rId145"/>
        </w:object>
      </w:r>
      <w:r w:rsidR="00500216">
        <w:rPr>
          <w:lang w:eastAsia="zh-CN" w:bidi="ar-SA"/>
        </w:rPr>
        <w:t>Continued</w:t>
      </w:r>
      <w:r w:rsidR="00ED3E4D">
        <w:rPr>
          <w:lang w:eastAsia="zh-CN" w:bidi="ar-SA"/>
        </w:rPr>
        <w:t xml:space="preserve"> on next page</w:t>
      </w:r>
    </w:p>
    <w:p w:rsidR="009E67C1" w:rsidRPr="00AD1B96" w:rsidRDefault="008575E4" w:rsidP="00494849">
      <w:pPr>
        <w:pStyle w:val="Heading5"/>
        <w:rPr>
          <w:rFonts w:eastAsia="Times New Roman" w:cs="Arial"/>
          <w:b/>
          <w:bCs/>
          <w:sz w:val="20"/>
          <w:lang w:eastAsia="zh-CN" w:bidi="ar-SA"/>
        </w:rPr>
      </w:pPr>
      <w:proofErr w:type="gramStart"/>
      <w:r w:rsidRPr="00AD1B96">
        <w:rPr>
          <w:lang w:eastAsia="zh-CN" w:bidi="ar-SA"/>
        </w:rPr>
        <w:lastRenderedPageBreak/>
        <w:t>Appendix IV</w:t>
      </w:r>
      <w:r w:rsidR="009E67C1" w:rsidRPr="00AD1B96">
        <w:rPr>
          <w:lang w:eastAsia="zh-CN" w:bidi="ar-SA"/>
        </w:rPr>
        <w:t>.</w:t>
      </w:r>
      <w:proofErr w:type="gramEnd"/>
      <w:r w:rsidR="009E67C1" w:rsidRPr="00AD1B96">
        <w:rPr>
          <w:lang w:eastAsia="zh-CN" w:bidi="ar-SA"/>
        </w:rPr>
        <w:t xml:space="preserve"> Cancer Incidence and Mortality, All Sites Combined, by Resident County, Tennessee, 2008-2012,</w:t>
      </w:r>
      <w:r w:rsidRPr="00AD1B96">
        <w:rPr>
          <w:lang w:eastAsia="zh-CN" w:bidi="ar-SA"/>
        </w:rPr>
        <w:t xml:space="preserve"> Continued</w:t>
      </w:r>
    </w:p>
    <w:p w:rsidR="007718B7" w:rsidRDefault="007718B7" w:rsidP="00955459">
      <w:pPr>
        <w:pStyle w:val="NoSpacing"/>
        <w:rPr>
          <w:rFonts w:eastAsia="Times New Roman" w:cs="Arial"/>
          <w:bCs/>
          <w:sz w:val="18"/>
          <w:lang w:eastAsia="zh-CN" w:bidi="ar-SA"/>
        </w:rPr>
      </w:pPr>
    </w:p>
    <w:bookmarkStart w:id="481" w:name="_MON_1486558293"/>
    <w:bookmarkEnd w:id="481"/>
    <w:p w:rsidR="00ED3E4D" w:rsidRDefault="00435AD7" w:rsidP="00955459">
      <w:pPr>
        <w:pStyle w:val="NoSpacing"/>
        <w:rPr>
          <w:rFonts w:eastAsia="Times New Roman" w:cs="Arial"/>
          <w:bCs/>
          <w:sz w:val="18"/>
          <w:lang w:eastAsia="zh-CN" w:bidi="ar-SA"/>
        </w:rPr>
      </w:pPr>
      <w:r>
        <w:rPr>
          <w:rFonts w:eastAsia="Times New Roman" w:cs="Arial"/>
          <w:bCs/>
          <w:sz w:val="18"/>
          <w:lang w:eastAsia="zh-CN" w:bidi="ar-SA"/>
        </w:rPr>
        <w:object w:dxaOrig="12194" w:dyaOrig="6979">
          <v:shape id="_x0000_i1042" type="#_x0000_t75" style="width:544.2pt;height:301.4pt" o:ole="">
            <v:imagedata r:id="rId146" o:title=""/>
          </v:shape>
          <o:OLEObject Type="Embed" ProgID="Excel.Sheet.12" ShapeID="_x0000_i1042" DrawAspect="Content" ObjectID="_1513764417" r:id="rId147"/>
        </w:object>
      </w: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F73A8B" w:rsidRDefault="00F73A8B" w:rsidP="00DC3F8A">
      <w:pPr>
        <w:jc w:val="right"/>
      </w:pPr>
    </w:p>
    <w:p w:rsidR="009242D9" w:rsidRPr="00DC3F8A" w:rsidRDefault="00F73A8B" w:rsidP="00DC3F8A">
      <w:pPr>
        <w:jc w:val="right"/>
        <w:rPr>
          <w:rFonts w:eastAsia="Times New Roman" w:cs="Arial"/>
          <w:bCs/>
          <w:sz w:val="22"/>
          <w:lang w:eastAsia="zh-CN" w:bidi="ar-SA"/>
        </w:rPr>
      </w:pPr>
      <w:r>
        <w:t xml:space="preserve"> </w:t>
      </w:r>
      <w:hyperlink w:anchor="_Data_Sources_1" w:history="1">
        <w:r w:rsidR="002949EC" w:rsidRPr="002949EC">
          <w:rPr>
            <w:rStyle w:val="Hyperlink"/>
          </w:rPr>
          <w:t xml:space="preserve">Data </w:t>
        </w:r>
        <w:r w:rsidR="00DC3F8A" w:rsidRPr="002949EC">
          <w:rPr>
            <w:rStyle w:val="Hyperlink"/>
            <w:rFonts w:eastAsia="Times New Roman" w:cs="Arial"/>
            <w:bCs/>
            <w:lang w:eastAsia="zh-CN" w:bidi="ar-SA"/>
          </w:rPr>
          <w:t>Source</w:t>
        </w:r>
      </w:hyperlink>
      <w:r w:rsidR="009956A9" w:rsidRPr="00DC3F8A">
        <w:rPr>
          <w:rFonts w:eastAsia="Times New Roman" w:cs="Arial"/>
          <w:bCs/>
          <w:sz w:val="22"/>
          <w:lang w:eastAsia="zh-CN" w:bidi="ar-SA"/>
        </w:rPr>
        <w:br w:type="page"/>
      </w:r>
    </w:p>
    <w:p w:rsidR="009242D9" w:rsidRPr="00976CBD" w:rsidRDefault="009242D9" w:rsidP="00903E48">
      <w:pPr>
        <w:pStyle w:val="Heading2"/>
      </w:pPr>
      <w:bookmarkStart w:id="482" w:name="_Toc421608570"/>
      <w:bookmarkStart w:id="483" w:name="_Toc421609388"/>
      <w:bookmarkStart w:id="484" w:name="_Toc421609722"/>
      <w:bookmarkStart w:id="485" w:name="_Toc421611248"/>
      <w:bookmarkStart w:id="486" w:name="_Toc439918866"/>
      <w:r w:rsidRPr="00976CBD">
        <w:lastRenderedPageBreak/>
        <w:t>Appendix V. Lung and Bronchus Cancer Incidence and Mortality by Resident County, Tennessee, 200</w:t>
      </w:r>
      <w:r w:rsidR="008575E4" w:rsidRPr="00976CBD">
        <w:t>8</w:t>
      </w:r>
      <w:r w:rsidRPr="00976CBD">
        <w:t>-201</w:t>
      </w:r>
      <w:r w:rsidR="008575E4" w:rsidRPr="00976CBD">
        <w:t>2</w:t>
      </w:r>
      <w:bookmarkEnd w:id="482"/>
      <w:bookmarkEnd w:id="483"/>
      <w:bookmarkEnd w:id="484"/>
      <w:bookmarkEnd w:id="485"/>
      <w:bookmarkEnd w:id="486"/>
    </w:p>
    <w:bookmarkStart w:id="487" w:name="_MON_1486798341"/>
    <w:bookmarkEnd w:id="487"/>
    <w:p w:rsidR="002D2473" w:rsidRDefault="00BE5930" w:rsidP="0040391C">
      <w:pPr>
        <w:pStyle w:val="NoSpacing"/>
        <w:jc w:val="center"/>
      </w:pPr>
      <w:r>
        <w:object w:dxaOrig="11937" w:dyaOrig="12489">
          <v:shape id="_x0000_i1043" type="#_x0000_t75" style="width:537.5pt;height:605.3pt" o:ole="">
            <v:imagedata r:id="rId148" o:title=""/>
          </v:shape>
          <o:OLEObject Type="Embed" ProgID="Excel.Sheet.12" ShapeID="_x0000_i1043" DrawAspect="Content" ObjectID="_1513764418" r:id="rId149"/>
        </w:object>
      </w:r>
      <w:r w:rsidR="00FE5962">
        <w:t>Continued on next page</w:t>
      </w:r>
    </w:p>
    <w:p w:rsidR="002D2473" w:rsidRDefault="002D2473" w:rsidP="0008578E">
      <w:pPr>
        <w:pStyle w:val="NoSpacing"/>
        <w:jc w:val="center"/>
        <w:rPr>
          <w:rStyle w:val="Hyperlink"/>
          <w:caps/>
        </w:rPr>
      </w:pPr>
    </w:p>
    <w:p w:rsidR="00C34675" w:rsidRDefault="00C34675" w:rsidP="00494849">
      <w:pPr>
        <w:pStyle w:val="Heading5"/>
      </w:pPr>
    </w:p>
    <w:p w:rsidR="00573771" w:rsidRPr="00AD1B96" w:rsidRDefault="001E7AA9" w:rsidP="00494849">
      <w:pPr>
        <w:pStyle w:val="Heading5"/>
      </w:pPr>
      <w:r w:rsidRPr="00AD1B96">
        <w:lastRenderedPageBreak/>
        <w:t>Appendix V</w:t>
      </w:r>
      <w:r w:rsidR="009E67C1" w:rsidRPr="00AD1B96">
        <w:t>. Lung and Bronchus</w:t>
      </w:r>
      <w:r w:rsidR="00123805" w:rsidRPr="00AD1B96">
        <w:t xml:space="preserve"> cancer</w:t>
      </w:r>
      <w:r w:rsidR="009E67C1" w:rsidRPr="00AD1B96">
        <w:t xml:space="preserve"> Incidence and Mortality by Resident County, Tennessee, 2008-2012,</w:t>
      </w:r>
      <w:r w:rsidRPr="00AD1B96">
        <w:t xml:space="preserve"> Continued</w:t>
      </w:r>
    </w:p>
    <w:bookmarkStart w:id="488" w:name="_MON_1486799074"/>
    <w:bookmarkEnd w:id="488"/>
    <w:p w:rsidR="00FE5962" w:rsidRPr="00DC3F8A" w:rsidRDefault="00A8087B" w:rsidP="0040391C">
      <w:pPr>
        <w:pStyle w:val="NoSpacing"/>
        <w:jc w:val="center"/>
      </w:pPr>
      <w:r>
        <w:object w:dxaOrig="12050" w:dyaOrig="14543">
          <v:shape id="_x0000_i1044" type="#_x0000_t75" style="width:542.5pt;height:639.65pt" o:ole="">
            <v:imagedata r:id="rId150" o:title=""/>
          </v:shape>
          <o:OLEObject Type="Embed" ProgID="Excel.Sheet.12" ShapeID="_x0000_i1044" DrawAspect="Content" ObjectID="_1513764419" r:id="rId151"/>
        </w:object>
      </w:r>
      <w:r w:rsidR="00FE5962">
        <w:t>Continued on next page</w:t>
      </w:r>
    </w:p>
    <w:p w:rsidR="00FE5962" w:rsidRPr="008575E4" w:rsidRDefault="001E7AA9" w:rsidP="00494849">
      <w:pPr>
        <w:pStyle w:val="Heading5"/>
        <w:rPr>
          <w:b/>
        </w:rPr>
      </w:pPr>
      <w:r w:rsidRPr="00217ACB">
        <w:lastRenderedPageBreak/>
        <w:t>Appendix V</w:t>
      </w:r>
      <w:r w:rsidR="001D7BE6" w:rsidRPr="00217ACB">
        <w:t>.</w:t>
      </w:r>
      <w:r w:rsidR="001D7BE6">
        <w:rPr>
          <w:b/>
        </w:rPr>
        <w:t xml:space="preserve"> </w:t>
      </w:r>
      <w:r w:rsidR="001D7BE6">
        <w:t>Lung and Bronchus</w:t>
      </w:r>
      <w:r w:rsidR="007423FC">
        <w:t xml:space="preserve"> Cancer</w:t>
      </w:r>
      <w:r w:rsidR="001D7BE6">
        <w:t xml:space="preserve"> Incidence and Mortality by Resident County, Tennessee, 2008-2012,</w:t>
      </w:r>
      <w:r w:rsidR="001D7BE6" w:rsidRPr="008575E4">
        <w:t xml:space="preserve"> </w:t>
      </w:r>
      <w:r w:rsidR="001D7BE6" w:rsidRPr="00217ACB">
        <w:t>Continued</w:t>
      </w:r>
    </w:p>
    <w:bookmarkStart w:id="489" w:name="_MON_1486799510"/>
    <w:bookmarkEnd w:id="489"/>
    <w:p w:rsidR="009E23B7" w:rsidRDefault="00026F79" w:rsidP="0051376C">
      <w:pPr>
        <w:spacing w:before="0" w:after="0" w:line="240" w:lineRule="auto"/>
        <w:ind w:right="1280"/>
      </w:pPr>
      <w:r>
        <w:object w:dxaOrig="11937" w:dyaOrig="7269">
          <v:shape id="_x0000_i1045" type="#_x0000_t75" style="width:537.5pt;height:335.7pt" o:ole="">
            <v:imagedata r:id="rId152" o:title=""/>
          </v:shape>
          <o:OLEObject Type="Embed" ProgID="Excel.Sheet.12" ShapeID="_x0000_i1045" DrawAspect="Content" ObjectID="_1513764420" r:id="rId153"/>
        </w:object>
      </w:r>
      <w:r w:rsidR="00AE4B27">
        <w:t xml:space="preserve"> </w:t>
      </w: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BF2896" w:rsidRDefault="00BF2896" w:rsidP="002E6A5C">
      <w:pPr>
        <w:spacing w:before="0" w:after="0" w:line="240" w:lineRule="auto"/>
        <w:jc w:val="right"/>
      </w:pPr>
    </w:p>
    <w:p w:rsidR="00550724" w:rsidRDefault="00BF2896" w:rsidP="002E6A5C">
      <w:pPr>
        <w:spacing w:before="0" w:after="0" w:line="240" w:lineRule="auto"/>
        <w:jc w:val="right"/>
        <w:rPr>
          <w:rFonts w:eastAsia="Times New Roman" w:cs="Arial"/>
          <w:b/>
          <w:bCs/>
          <w:sz w:val="22"/>
          <w:lang w:eastAsia="zh-CN" w:bidi="ar-SA"/>
        </w:rPr>
      </w:pPr>
      <w:r>
        <w:t xml:space="preserve"> </w:t>
      </w:r>
      <w:hyperlink w:anchor="_Data_Sources_1" w:history="1">
        <w:r w:rsidR="002949EC" w:rsidRPr="002949EC">
          <w:rPr>
            <w:rStyle w:val="Hyperlink"/>
          </w:rPr>
          <w:t xml:space="preserve">Data </w:t>
        </w:r>
        <w:r w:rsidR="002E6A5C" w:rsidRPr="002949EC">
          <w:rPr>
            <w:rStyle w:val="Hyperlink"/>
          </w:rPr>
          <w:t>Source</w:t>
        </w:r>
      </w:hyperlink>
      <w:r w:rsidR="005C0ADF">
        <w:br w:type="page"/>
      </w:r>
    </w:p>
    <w:p w:rsidR="002001FF" w:rsidRPr="00976CBD" w:rsidRDefault="002001FF" w:rsidP="00903E48">
      <w:pPr>
        <w:pStyle w:val="Heading2"/>
      </w:pPr>
      <w:bookmarkStart w:id="490" w:name="_Toc339631399"/>
      <w:bookmarkStart w:id="491" w:name="_Toc421608571"/>
      <w:bookmarkStart w:id="492" w:name="_Toc421609389"/>
      <w:bookmarkStart w:id="493" w:name="_Toc421609723"/>
      <w:bookmarkStart w:id="494" w:name="_Toc421611249"/>
      <w:bookmarkStart w:id="495" w:name="_Toc439918867"/>
      <w:proofErr w:type="gramStart"/>
      <w:r w:rsidRPr="00976CBD">
        <w:lastRenderedPageBreak/>
        <w:t xml:space="preserve">Appendix </w:t>
      </w:r>
      <w:r w:rsidR="00986C2B" w:rsidRPr="00976CBD">
        <w:t>VI</w:t>
      </w:r>
      <w:r w:rsidRPr="00976CBD">
        <w:t>.</w:t>
      </w:r>
      <w:proofErr w:type="gramEnd"/>
      <w:r w:rsidRPr="00976CBD">
        <w:t xml:space="preserve"> Prostate Cancer Incidence and Mortality by Resident County, Tennessee, 200</w:t>
      </w:r>
      <w:r w:rsidR="008201AF" w:rsidRPr="00976CBD">
        <w:t>8</w:t>
      </w:r>
      <w:r w:rsidRPr="00976CBD">
        <w:t>-201</w:t>
      </w:r>
      <w:bookmarkEnd w:id="490"/>
      <w:r w:rsidR="008201AF" w:rsidRPr="00976CBD">
        <w:t>2</w:t>
      </w:r>
      <w:bookmarkEnd w:id="491"/>
      <w:bookmarkEnd w:id="492"/>
      <w:bookmarkEnd w:id="493"/>
      <w:bookmarkEnd w:id="494"/>
      <w:bookmarkEnd w:id="495"/>
    </w:p>
    <w:bookmarkStart w:id="496" w:name="_MON_1486814438"/>
    <w:bookmarkEnd w:id="496"/>
    <w:p w:rsidR="003E1B28" w:rsidRDefault="00F31003" w:rsidP="003E1B28">
      <w:pPr>
        <w:pStyle w:val="NoSpacing"/>
        <w:jc w:val="center"/>
      </w:pPr>
      <w:r>
        <w:object w:dxaOrig="11372" w:dyaOrig="12489">
          <v:shape id="_x0000_i1046" type="#_x0000_t75" style="width:535.8pt;height:612pt" o:ole="">
            <v:imagedata r:id="rId154" o:title=""/>
          </v:shape>
          <o:OLEObject Type="Embed" ProgID="Excel.Sheet.12" ShapeID="_x0000_i1046" DrawAspect="Content" ObjectID="_1513764421" r:id="rId155"/>
        </w:object>
      </w:r>
      <w:r w:rsidR="00D3299B" w:rsidRPr="007423FC">
        <w:t>C</w:t>
      </w:r>
      <w:r w:rsidR="00E834E6" w:rsidRPr="007423FC">
        <w:t>ontinued on next page</w:t>
      </w:r>
    </w:p>
    <w:p w:rsidR="00DD13DD" w:rsidRPr="00763AE1" w:rsidRDefault="002949EC" w:rsidP="003E1B28">
      <w:pPr>
        <w:pStyle w:val="NoSpacing"/>
        <w:jc w:val="center"/>
        <w:rPr>
          <w:rStyle w:val="Hyperlink"/>
          <w:color w:val="auto"/>
          <w:u w:val="none"/>
        </w:rPr>
      </w:pPr>
      <w:r>
        <w:fldChar w:fldCharType="begin"/>
      </w:r>
      <w:r w:rsidR="00782EC2">
        <w:instrText>HYPERLINK  \l "_Data_Sources_1"</w:instrText>
      </w:r>
      <w:r>
        <w:fldChar w:fldCharType="separate"/>
      </w:r>
    </w:p>
    <w:p w:rsidR="002001FF" w:rsidRDefault="002949EC" w:rsidP="00494849">
      <w:pPr>
        <w:pStyle w:val="Heading5"/>
        <w:rPr>
          <w:lang w:eastAsia="zh-CN" w:bidi="ar-SA"/>
        </w:rPr>
      </w:pPr>
      <w:r>
        <w:rPr>
          <w:rFonts w:asciiTheme="minorHAnsi" w:hAnsiTheme="minorHAnsi"/>
          <w:color w:val="auto"/>
          <w:spacing w:val="0"/>
          <w:szCs w:val="20"/>
        </w:rPr>
        <w:lastRenderedPageBreak/>
        <w:fldChar w:fldCharType="end"/>
      </w:r>
      <w:proofErr w:type="gramStart"/>
      <w:r w:rsidR="002001FF">
        <w:rPr>
          <w:lang w:eastAsia="zh-CN" w:bidi="ar-SA"/>
        </w:rPr>
        <w:t xml:space="preserve">Appendix </w:t>
      </w:r>
      <w:r w:rsidR="00986C2B">
        <w:rPr>
          <w:lang w:eastAsia="zh-CN" w:bidi="ar-SA"/>
        </w:rPr>
        <w:t>VI</w:t>
      </w:r>
      <w:r w:rsidR="001D7BE6">
        <w:rPr>
          <w:lang w:eastAsia="zh-CN" w:bidi="ar-SA"/>
        </w:rPr>
        <w:t>.</w:t>
      </w:r>
      <w:proofErr w:type="gramEnd"/>
      <w:r w:rsidR="001D7BE6">
        <w:rPr>
          <w:lang w:eastAsia="zh-CN" w:bidi="ar-SA"/>
        </w:rPr>
        <w:t xml:space="preserve"> </w:t>
      </w:r>
      <w:r w:rsidR="002001FF">
        <w:rPr>
          <w:lang w:eastAsia="zh-CN" w:bidi="ar-SA"/>
        </w:rPr>
        <w:t>Continued</w:t>
      </w:r>
    </w:p>
    <w:bookmarkStart w:id="497" w:name="_MON_1486813311"/>
    <w:bookmarkEnd w:id="497"/>
    <w:p w:rsidR="00DD13DD" w:rsidRPr="00DD13DD" w:rsidRDefault="00DC6A59" w:rsidP="00F73A8B">
      <w:pPr>
        <w:pStyle w:val="NoSpacing"/>
        <w:jc w:val="center"/>
        <w:rPr>
          <w:rStyle w:val="Hyperlink"/>
          <w:color w:val="auto"/>
          <w:u w:val="none"/>
        </w:rPr>
      </w:pPr>
      <w:r>
        <w:object w:dxaOrig="11516" w:dyaOrig="14519">
          <v:shape id="_x0000_i1047" type="#_x0000_t75" style="width:542.5pt;height:650.5pt" o:ole="">
            <v:imagedata r:id="rId156" o:title=""/>
          </v:shape>
          <o:OLEObject Type="Embed" ProgID="Excel.Sheet.12" ShapeID="_x0000_i1047" DrawAspect="Content" ObjectID="_1513764422" r:id="rId157"/>
        </w:object>
      </w:r>
      <w:r w:rsidR="005C0ADF" w:rsidRPr="002E6A5C">
        <w:t>Continued on next page</w:t>
      </w:r>
      <w:r w:rsidR="002949EC">
        <w:fldChar w:fldCharType="begin"/>
      </w:r>
      <w:r w:rsidR="00782EC2">
        <w:instrText>HYPERLINK  \l "_Data_Sources_1"</w:instrText>
      </w:r>
      <w:r w:rsidR="002949EC">
        <w:fldChar w:fldCharType="separate"/>
      </w:r>
    </w:p>
    <w:p w:rsidR="002001FF" w:rsidRPr="00C34675" w:rsidRDefault="002949EC" w:rsidP="00494849">
      <w:pPr>
        <w:pStyle w:val="Heading5"/>
        <w:rPr>
          <w:rFonts w:asciiTheme="minorHAnsi" w:hAnsiTheme="minorHAnsi"/>
          <w:color w:val="auto"/>
          <w:spacing w:val="0"/>
          <w:szCs w:val="20"/>
        </w:rPr>
      </w:pPr>
      <w:r>
        <w:rPr>
          <w:rFonts w:asciiTheme="minorHAnsi" w:hAnsiTheme="minorHAnsi"/>
          <w:color w:val="auto"/>
          <w:spacing w:val="0"/>
          <w:szCs w:val="20"/>
        </w:rPr>
        <w:lastRenderedPageBreak/>
        <w:fldChar w:fldCharType="end"/>
      </w:r>
      <w:proofErr w:type="gramStart"/>
      <w:r w:rsidR="002001FF">
        <w:rPr>
          <w:lang w:eastAsia="zh-CN" w:bidi="ar-SA"/>
        </w:rPr>
        <w:t xml:space="preserve">Appendix </w:t>
      </w:r>
      <w:r w:rsidR="00986C2B">
        <w:rPr>
          <w:lang w:eastAsia="zh-CN" w:bidi="ar-SA"/>
        </w:rPr>
        <w:t>VI</w:t>
      </w:r>
      <w:r w:rsidR="00D3299B">
        <w:rPr>
          <w:lang w:eastAsia="zh-CN" w:bidi="ar-SA"/>
        </w:rPr>
        <w:t>.</w:t>
      </w:r>
      <w:proofErr w:type="gramEnd"/>
      <w:r w:rsidR="002001FF">
        <w:rPr>
          <w:lang w:eastAsia="zh-CN" w:bidi="ar-SA"/>
        </w:rPr>
        <w:t xml:space="preserve"> </w:t>
      </w:r>
      <w:r w:rsidR="002001FF" w:rsidRPr="00DD13DD">
        <w:t>Continued</w:t>
      </w:r>
    </w:p>
    <w:bookmarkStart w:id="498" w:name="_MON_1486815002"/>
    <w:bookmarkEnd w:id="498"/>
    <w:p w:rsidR="00B15EFB" w:rsidRDefault="00026F79" w:rsidP="0051376C">
      <w:pPr>
        <w:pStyle w:val="NoSpacing"/>
      </w:pPr>
      <w:r>
        <w:object w:dxaOrig="11372" w:dyaOrig="7269">
          <v:shape id="_x0000_i1048" type="#_x0000_t75" style="width:535.8pt;height:349.1pt" o:ole="">
            <v:imagedata r:id="rId158" o:title=""/>
          </v:shape>
          <o:OLEObject Type="Embed" ProgID="Excel.Sheet.12" ShapeID="_x0000_i1048" DrawAspect="Content" ObjectID="_1513764423" r:id="rId159"/>
        </w:object>
      </w: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BF2896" w:rsidRDefault="00BF2896" w:rsidP="00B50A97">
      <w:pPr>
        <w:jc w:val="right"/>
      </w:pPr>
    </w:p>
    <w:p w:rsidR="005C0ADF" w:rsidRDefault="00BF2896" w:rsidP="00B50A97">
      <w:pPr>
        <w:jc w:val="right"/>
      </w:pPr>
      <w:r>
        <w:t xml:space="preserve"> </w:t>
      </w:r>
      <w:hyperlink w:anchor="_Data_Sources_1" w:history="1">
        <w:r w:rsidR="002949EC" w:rsidRPr="002949EC">
          <w:rPr>
            <w:rStyle w:val="Hyperlink"/>
          </w:rPr>
          <w:t xml:space="preserve">Data </w:t>
        </w:r>
        <w:r w:rsidR="00B50A97" w:rsidRPr="002949EC">
          <w:rPr>
            <w:rStyle w:val="Hyperlink"/>
          </w:rPr>
          <w:t>Source</w:t>
        </w:r>
      </w:hyperlink>
      <w:r w:rsidR="005C0ADF">
        <w:br w:type="page"/>
      </w:r>
    </w:p>
    <w:p w:rsidR="00B97253" w:rsidRPr="00976CBD" w:rsidRDefault="00B97253" w:rsidP="00903E48">
      <w:pPr>
        <w:pStyle w:val="Heading2"/>
      </w:pPr>
      <w:bookmarkStart w:id="499" w:name="_Toc421608572"/>
      <w:bookmarkStart w:id="500" w:name="_Toc421609390"/>
      <w:bookmarkStart w:id="501" w:name="_Toc421609724"/>
      <w:bookmarkStart w:id="502" w:name="_Toc421611250"/>
      <w:bookmarkStart w:id="503" w:name="_Toc439918868"/>
      <w:proofErr w:type="gramStart"/>
      <w:r w:rsidRPr="00976CBD">
        <w:lastRenderedPageBreak/>
        <w:t xml:space="preserve">Appendix </w:t>
      </w:r>
      <w:r w:rsidR="00986C2B" w:rsidRPr="00976CBD">
        <w:t>VI</w:t>
      </w:r>
      <w:r w:rsidRPr="00976CBD">
        <w:t>I.</w:t>
      </w:r>
      <w:proofErr w:type="gramEnd"/>
      <w:r w:rsidRPr="00976CBD">
        <w:t xml:space="preserve"> Female Breast Cancer Incidence and Mortality by Resident County, Tennessee, 200</w:t>
      </w:r>
      <w:r w:rsidR="00075673" w:rsidRPr="00976CBD">
        <w:t>8</w:t>
      </w:r>
      <w:r w:rsidRPr="00976CBD">
        <w:t>-201</w:t>
      </w:r>
      <w:r w:rsidR="00075673" w:rsidRPr="00976CBD">
        <w:t>2</w:t>
      </w:r>
      <w:bookmarkEnd w:id="499"/>
      <w:bookmarkEnd w:id="500"/>
      <w:bookmarkEnd w:id="501"/>
      <w:bookmarkEnd w:id="502"/>
      <w:bookmarkEnd w:id="503"/>
    </w:p>
    <w:bookmarkStart w:id="504" w:name="_MON_1486815536"/>
    <w:bookmarkEnd w:id="504"/>
    <w:p w:rsidR="00A44DE3" w:rsidRDefault="00A14EE1" w:rsidP="00F73A8B">
      <w:pPr>
        <w:pStyle w:val="NoSpacing"/>
        <w:jc w:val="center"/>
      </w:pPr>
      <w:r>
        <w:object w:dxaOrig="11516" w:dyaOrig="12489">
          <v:shape id="_x0000_i1049" type="#_x0000_t75" style="width:542.5pt;height:631.25pt" o:ole="">
            <v:imagedata r:id="rId160" o:title=""/>
          </v:shape>
          <o:OLEObject Type="Embed" ProgID="Excel.Sheet.12" ShapeID="_x0000_i1049" DrawAspect="Content" ObjectID="_1513764424" r:id="rId161"/>
        </w:object>
      </w:r>
      <w:r w:rsidR="00140756" w:rsidRPr="004F7107">
        <w:t>Continued</w:t>
      </w:r>
      <w:r w:rsidR="00140756" w:rsidRPr="009E23B7">
        <w:t xml:space="preserve"> on next page</w:t>
      </w:r>
    </w:p>
    <w:p w:rsidR="00B97253" w:rsidRDefault="00A44DE3" w:rsidP="00494849">
      <w:pPr>
        <w:pStyle w:val="Heading5"/>
      </w:pPr>
      <w:r>
        <w:rPr>
          <w:lang w:eastAsia="zh-CN" w:bidi="ar-SA"/>
        </w:rPr>
        <w:lastRenderedPageBreak/>
        <w:t xml:space="preserve"> </w:t>
      </w:r>
      <w:proofErr w:type="gramStart"/>
      <w:r w:rsidR="00B97253">
        <w:rPr>
          <w:lang w:eastAsia="zh-CN" w:bidi="ar-SA"/>
        </w:rPr>
        <w:t xml:space="preserve">Appendix </w:t>
      </w:r>
      <w:r w:rsidR="00986C2B">
        <w:rPr>
          <w:lang w:eastAsia="zh-CN" w:bidi="ar-SA"/>
        </w:rPr>
        <w:t>VII</w:t>
      </w:r>
      <w:r w:rsidR="0062184B">
        <w:rPr>
          <w:lang w:eastAsia="zh-CN" w:bidi="ar-SA"/>
        </w:rPr>
        <w:t>.</w:t>
      </w:r>
      <w:proofErr w:type="gramEnd"/>
      <w:r w:rsidR="00B97253">
        <w:rPr>
          <w:lang w:eastAsia="zh-CN" w:bidi="ar-SA"/>
        </w:rPr>
        <w:t xml:space="preserve"> Continued</w:t>
      </w:r>
    </w:p>
    <w:bookmarkStart w:id="505" w:name="_MON_1486815734"/>
    <w:bookmarkEnd w:id="505"/>
    <w:p w:rsidR="00B50A97" w:rsidRDefault="00B01D7F" w:rsidP="00A44DE3">
      <w:pPr>
        <w:pStyle w:val="NoSpacing"/>
        <w:jc w:val="center"/>
      </w:pPr>
      <w:r>
        <w:object w:dxaOrig="11742" w:dyaOrig="14519">
          <v:shape id="_x0000_i1050" type="#_x0000_t75" style="width:542.5pt;height:662.25pt" o:ole="">
            <v:imagedata r:id="rId162" o:title=""/>
          </v:shape>
          <o:OLEObject Type="Embed" ProgID="Excel.Sheet.12" ShapeID="_x0000_i1050" DrawAspect="Content" ObjectID="_1513764425" r:id="rId163"/>
        </w:object>
      </w:r>
      <w:r w:rsidR="00140756" w:rsidRPr="004F7107">
        <w:t>Continued on next page</w:t>
      </w:r>
    </w:p>
    <w:p w:rsidR="00B97253" w:rsidRDefault="00B97253" w:rsidP="00494849">
      <w:pPr>
        <w:pStyle w:val="Heading5"/>
        <w:rPr>
          <w:lang w:eastAsia="zh-CN" w:bidi="ar-SA"/>
        </w:rPr>
      </w:pPr>
      <w:proofErr w:type="gramStart"/>
      <w:r>
        <w:rPr>
          <w:lang w:eastAsia="zh-CN" w:bidi="ar-SA"/>
        </w:rPr>
        <w:lastRenderedPageBreak/>
        <w:t xml:space="preserve">Appendix </w:t>
      </w:r>
      <w:r w:rsidR="00986C2B">
        <w:rPr>
          <w:lang w:eastAsia="zh-CN" w:bidi="ar-SA"/>
        </w:rPr>
        <w:t>VI</w:t>
      </w:r>
      <w:r>
        <w:rPr>
          <w:lang w:eastAsia="zh-CN" w:bidi="ar-SA"/>
        </w:rPr>
        <w:t>I</w:t>
      </w:r>
      <w:r w:rsidR="004D75E2">
        <w:rPr>
          <w:lang w:eastAsia="zh-CN" w:bidi="ar-SA"/>
        </w:rPr>
        <w:t>.</w:t>
      </w:r>
      <w:proofErr w:type="gramEnd"/>
      <w:r>
        <w:rPr>
          <w:lang w:eastAsia="zh-CN" w:bidi="ar-SA"/>
        </w:rPr>
        <w:t xml:space="preserve"> Continued</w:t>
      </w:r>
    </w:p>
    <w:bookmarkStart w:id="506" w:name="_MON_1486816078"/>
    <w:bookmarkEnd w:id="506"/>
    <w:p w:rsidR="003B0272" w:rsidRDefault="00026F79" w:rsidP="003B0272">
      <w:pPr>
        <w:pStyle w:val="NoSpacing"/>
        <w:rPr>
          <w:rFonts w:ascii="Arial" w:eastAsia="Times New Roman" w:hAnsi="Arial" w:cs="Arial"/>
          <w:b/>
          <w:bCs/>
          <w:color w:val="000000"/>
          <w:lang w:eastAsia="zh-CN" w:bidi="ar-SA"/>
        </w:rPr>
      </w:pPr>
      <w:r>
        <w:rPr>
          <w:rFonts w:ascii="Arial" w:eastAsia="Times New Roman" w:hAnsi="Arial" w:cs="Arial"/>
          <w:b/>
          <w:bCs/>
          <w:color w:val="000000"/>
          <w:lang w:eastAsia="zh-CN" w:bidi="ar-SA"/>
        </w:rPr>
        <w:object w:dxaOrig="11516" w:dyaOrig="7269">
          <v:shape id="_x0000_i1051" type="#_x0000_t75" style="width:545pt;height:365pt" o:ole="">
            <v:imagedata r:id="rId164" o:title=""/>
          </v:shape>
          <o:OLEObject Type="Embed" ProgID="Excel.Sheet.12" ShapeID="_x0000_i1051" DrawAspect="Content" ObjectID="_1513764426" r:id="rId165"/>
        </w:object>
      </w:r>
    </w:p>
    <w:p w:rsidR="003B0272" w:rsidRDefault="003B0272"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BF2896" w:rsidRDefault="00BF2896" w:rsidP="003B0272">
      <w:pPr>
        <w:pStyle w:val="NoSpacing"/>
        <w:rPr>
          <w:rFonts w:ascii="Arial" w:eastAsia="Times New Roman" w:hAnsi="Arial" w:cs="Arial"/>
          <w:b/>
          <w:bCs/>
          <w:color w:val="000000"/>
          <w:lang w:eastAsia="zh-CN" w:bidi="ar-SA"/>
        </w:rPr>
      </w:pPr>
    </w:p>
    <w:p w:rsidR="005C0ADF" w:rsidRPr="003B0272" w:rsidRDefault="00964E4C" w:rsidP="003B0272">
      <w:pPr>
        <w:pStyle w:val="NoSpacing"/>
        <w:jc w:val="right"/>
        <w:rPr>
          <w:rFonts w:ascii="Arial" w:eastAsia="Times New Roman" w:hAnsi="Arial" w:cs="Arial"/>
          <w:b/>
          <w:bCs/>
          <w:color w:val="000000"/>
          <w:lang w:eastAsia="zh-CN" w:bidi="ar-SA"/>
        </w:rPr>
      </w:pPr>
      <w:hyperlink w:anchor="_Data_Sources_1" w:history="1">
        <w:r w:rsidR="002949EC" w:rsidRPr="002949EC">
          <w:rPr>
            <w:rStyle w:val="Hyperlink"/>
          </w:rPr>
          <w:t xml:space="preserve">Data </w:t>
        </w:r>
        <w:r w:rsidR="00B50A97" w:rsidRPr="002949EC">
          <w:rPr>
            <w:rStyle w:val="Hyperlink"/>
          </w:rPr>
          <w:t>Source</w:t>
        </w:r>
      </w:hyperlink>
      <w:r w:rsidR="005C0ADF">
        <w:br w:type="page"/>
      </w:r>
    </w:p>
    <w:p w:rsidR="00B97253" w:rsidRPr="006627D3" w:rsidRDefault="00B97253" w:rsidP="00903E48">
      <w:pPr>
        <w:pStyle w:val="Heading2"/>
      </w:pPr>
      <w:bookmarkStart w:id="507" w:name="_Toc339631401"/>
      <w:bookmarkStart w:id="508" w:name="_Toc421608573"/>
      <w:bookmarkStart w:id="509" w:name="_Toc421609391"/>
      <w:bookmarkStart w:id="510" w:name="_Toc421609725"/>
      <w:bookmarkStart w:id="511" w:name="_Toc421611251"/>
      <w:bookmarkStart w:id="512" w:name="_Toc439918869"/>
      <w:proofErr w:type="gramStart"/>
      <w:r w:rsidRPr="00976CBD">
        <w:lastRenderedPageBreak/>
        <w:t xml:space="preserve">Appendix </w:t>
      </w:r>
      <w:r w:rsidR="00986C2B" w:rsidRPr="00976CBD">
        <w:t>V</w:t>
      </w:r>
      <w:r w:rsidRPr="00976CBD">
        <w:t>II</w:t>
      </w:r>
      <w:r w:rsidR="00FE7C48" w:rsidRPr="00976CBD">
        <w:t>I</w:t>
      </w:r>
      <w:r w:rsidRPr="00976CBD">
        <w:t>.</w:t>
      </w:r>
      <w:proofErr w:type="gramEnd"/>
      <w:r w:rsidRPr="00976CBD">
        <w:t xml:space="preserve"> Colorectal Cancer Incidence and Mortality by Resident County, Tennessee, 200</w:t>
      </w:r>
      <w:r w:rsidR="00D766F6" w:rsidRPr="00976CBD">
        <w:t>8</w:t>
      </w:r>
      <w:r w:rsidRPr="00976CBD">
        <w:t>-201</w:t>
      </w:r>
      <w:bookmarkEnd w:id="507"/>
      <w:r w:rsidR="00D766F6" w:rsidRPr="00976CBD">
        <w:t>2</w:t>
      </w:r>
      <w:bookmarkEnd w:id="508"/>
      <w:bookmarkEnd w:id="509"/>
      <w:bookmarkEnd w:id="510"/>
      <w:bookmarkEnd w:id="511"/>
      <w:bookmarkEnd w:id="512"/>
    </w:p>
    <w:bookmarkStart w:id="513" w:name="_MON_1486890523"/>
    <w:bookmarkEnd w:id="513"/>
    <w:p w:rsidR="009E23B7" w:rsidRDefault="00DF1BF2" w:rsidP="0012375D">
      <w:pPr>
        <w:spacing w:before="0" w:after="0" w:line="240" w:lineRule="auto"/>
        <w:jc w:val="center"/>
      </w:pPr>
      <w:r>
        <w:object w:dxaOrig="11629" w:dyaOrig="12489">
          <v:shape id="_x0000_i1052" type="#_x0000_t75" style="width:543.35pt;height:603.65pt" o:ole="">
            <v:imagedata r:id="rId166" o:title=""/>
          </v:shape>
          <o:OLEObject Type="Embed" ProgID="Excel.Sheet.12" ShapeID="_x0000_i1052" DrawAspect="Content" ObjectID="_1513764427" r:id="rId167"/>
        </w:object>
      </w:r>
      <w:r w:rsidR="00D15A88" w:rsidRPr="00B50A97">
        <w:t>Continued on next page</w:t>
      </w:r>
    </w:p>
    <w:p w:rsidR="0012375D" w:rsidRDefault="0012375D" w:rsidP="00554710">
      <w:pPr>
        <w:spacing w:before="0" w:after="0" w:line="240" w:lineRule="auto"/>
        <w:jc w:val="center"/>
      </w:pPr>
    </w:p>
    <w:p w:rsidR="0012375D" w:rsidRPr="00B50A97" w:rsidRDefault="0012375D" w:rsidP="00554710">
      <w:pPr>
        <w:spacing w:before="0" w:after="0" w:line="240" w:lineRule="auto"/>
        <w:jc w:val="center"/>
      </w:pPr>
    </w:p>
    <w:p w:rsidR="003C3F33" w:rsidRDefault="003C3F33" w:rsidP="00494849">
      <w:pPr>
        <w:pStyle w:val="Heading5"/>
        <w:rPr>
          <w:lang w:eastAsia="zh-CN" w:bidi="ar-SA"/>
        </w:rPr>
      </w:pPr>
      <w:proofErr w:type="gramStart"/>
      <w:r>
        <w:rPr>
          <w:lang w:eastAsia="zh-CN" w:bidi="ar-SA"/>
        </w:rPr>
        <w:lastRenderedPageBreak/>
        <w:t xml:space="preserve">Appendix </w:t>
      </w:r>
      <w:r w:rsidR="00986C2B">
        <w:rPr>
          <w:lang w:eastAsia="zh-CN" w:bidi="ar-SA"/>
        </w:rPr>
        <w:t>VII</w:t>
      </w:r>
      <w:r>
        <w:rPr>
          <w:lang w:eastAsia="zh-CN" w:bidi="ar-SA"/>
        </w:rPr>
        <w:t>I</w:t>
      </w:r>
      <w:r w:rsidR="00132827">
        <w:rPr>
          <w:lang w:eastAsia="zh-CN" w:bidi="ar-SA"/>
        </w:rPr>
        <w:t>.</w:t>
      </w:r>
      <w:proofErr w:type="gramEnd"/>
      <w:r>
        <w:rPr>
          <w:lang w:eastAsia="zh-CN" w:bidi="ar-SA"/>
        </w:rPr>
        <w:t xml:space="preserve"> Continued</w:t>
      </w:r>
    </w:p>
    <w:bookmarkStart w:id="514" w:name="_MON_1486890862"/>
    <w:bookmarkEnd w:id="514"/>
    <w:p w:rsidR="00D15A88" w:rsidRPr="00F51B89" w:rsidRDefault="00DF1BF2" w:rsidP="00C251F7">
      <w:pPr>
        <w:spacing w:before="0" w:after="0" w:line="240" w:lineRule="auto"/>
        <w:jc w:val="center"/>
      </w:pPr>
      <w:r>
        <w:rPr>
          <w:sz w:val="16"/>
        </w:rPr>
        <w:object w:dxaOrig="11629" w:dyaOrig="14519">
          <v:shape id="_x0000_i1053" type="#_x0000_t75" style="width:540.85pt;height:650.5pt" o:ole="">
            <v:imagedata r:id="rId168" o:title=""/>
          </v:shape>
          <o:OLEObject Type="Embed" ProgID="Excel.Sheet.12" ShapeID="_x0000_i1053" DrawAspect="Content" ObjectID="_1513764428" r:id="rId169"/>
        </w:object>
      </w:r>
      <w:r w:rsidR="00D15A88" w:rsidRPr="00F51B89">
        <w:t>Continued on next page</w:t>
      </w:r>
    </w:p>
    <w:p w:rsidR="003C3F33" w:rsidRDefault="00986C2B" w:rsidP="00494849">
      <w:pPr>
        <w:pStyle w:val="Heading5"/>
        <w:rPr>
          <w:lang w:eastAsia="zh-CN" w:bidi="ar-SA"/>
        </w:rPr>
      </w:pPr>
      <w:proofErr w:type="gramStart"/>
      <w:r>
        <w:rPr>
          <w:lang w:eastAsia="zh-CN" w:bidi="ar-SA"/>
        </w:rPr>
        <w:lastRenderedPageBreak/>
        <w:t>Appendix VII</w:t>
      </w:r>
      <w:r w:rsidR="003C3F33">
        <w:rPr>
          <w:lang w:eastAsia="zh-CN" w:bidi="ar-SA"/>
        </w:rPr>
        <w:t>I</w:t>
      </w:r>
      <w:r w:rsidR="00132827">
        <w:rPr>
          <w:lang w:eastAsia="zh-CN" w:bidi="ar-SA"/>
        </w:rPr>
        <w:t>.</w:t>
      </w:r>
      <w:proofErr w:type="gramEnd"/>
      <w:r w:rsidR="003C3F33">
        <w:rPr>
          <w:lang w:eastAsia="zh-CN" w:bidi="ar-SA"/>
        </w:rPr>
        <w:t xml:space="preserve"> Continued</w:t>
      </w:r>
    </w:p>
    <w:bookmarkStart w:id="515" w:name="_MON_1486891123"/>
    <w:bookmarkEnd w:id="515"/>
    <w:p w:rsidR="00F51B89" w:rsidRDefault="00026F79" w:rsidP="00FD4A18">
      <w:pPr>
        <w:pStyle w:val="NoSpacing"/>
      </w:pPr>
      <w:r>
        <w:object w:dxaOrig="11629" w:dyaOrig="7269">
          <v:shape id="_x0000_i1054" type="#_x0000_t75" style="width:543.35pt;height:337.4pt" o:ole="">
            <v:imagedata r:id="rId170" o:title=""/>
          </v:shape>
          <o:OLEObject Type="Embed" ProgID="Excel.Sheet.12" ShapeID="_x0000_i1054" DrawAspect="Content" ObjectID="_1513764429" r:id="rId171"/>
        </w:object>
      </w: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3324FD" w:rsidRDefault="003324FD" w:rsidP="00FD4A18">
      <w:pPr>
        <w:pStyle w:val="NoSpacing"/>
      </w:pPr>
    </w:p>
    <w:p w:rsidR="0012375D" w:rsidRDefault="0012375D" w:rsidP="00FD4A18">
      <w:pPr>
        <w:pStyle w:val="NoSpacing"/>
      </w:pPr>
    </w:p>
    <w:p w:rsidR="0012375D" w:rsidRDefault="0012375D" w:rsidP="00FD4A18">
      <w:pPr>
        <w:pStyle w:val="NoSpacing"/>
      </w:pPr>
    </w:p>
    <w:p w:rsidR="0012375D" w:rsidRDefault="0012375D" w:rsidP="00FD4A18">
      <w:pPr>
        <w:pStyle w:val="NoSpacing"/>
      </w:pPr>
    </w:p>
    <w:p w:rsidR="0012375D" w:rsidRDefault="0012375D" w:rsidP="00FD4A18">
      <w:pPr>
        <w:pStyle w:val="NoSpacing"/>
      </w:pPr>
    </w:p>
    <w:p w:rsidR="003C3F33" w:rsidRDefault="00964E4C" w:rsidP="00F51B89">
      <w:pPr>
        <w:jc w:val="right"/>
      </w:pPr>
      <w:hyperlink w:anchor="_Data_Sources_1" w:history="1">
        <w:r w:rsidR="002949EC" w:rsidRPr="002949EC">
          <w:rPr>
            <w:rStyle w:val="Hyperlink"/>
          </w:rPr>
          <w:t xml:space="preserve">Data </w:t>
        </w:r>
        <w:r w:rsidR="00F51B89" w:rsidRPr="002949EC">
          <w:rPr>
            <w:rStyle w:val="Hyperlink"/>
          </w:rPr>
          <w:t>Source</w:t>
        </w:r>
      </w:hyperlink>
      <w:r w:rsidR="003C3F33">
        <w:br w:type="page"/>
      </w:r>
    </w:p>
    <w:p w:rsidR="00B97253" w:rsidRPr="00976CBD" w:rsidRDefault="00B97253" w:rsidP="00903E48">
      <w:pPr>
        <w:pStyle w:val="Heading2"/>
      </w:pPr>
      <w:bookmarkStart w:id="516" w:name="_Appendix_IX._Melanoma"/>
      <w:bookmarkStart w:id="517" w:name="_Toc421608574"/>
      <w:bookmarkStart w:id="518" w:name="_Toc421609392"/>
      <w:bookmarkStart w:id="519" w:name="_Toc421609726"/>
      <w:bookmarkStart w:id="520" w:name="_Toc421611252"/>
      <w:bookmarkStart w:id="521" w:name="_Toc439918870"/>
      <w:bookmarkEnd w:id="516"/>
      <w:proofErr w:type="gramStart"/>
      <w:r w:rsidRPr="00976CBD">
        <w:lastRenderedPageBreak/>
        <w:t xml:space="preserve">Appendix </w:t>
      </w:r>
      <w:r w:rsidR="00986C2B" w:rsidRPr="00976CBD">
        <w:t>I</w:t>
      </w:r>
      <w:r w:rsidRPr="00976CBD">
        <w:t>X.</w:t>
      </w:r>
      <w:proofErr w:type="gramEnd"/>
      <w:r w:rsidRPr="00976CBD">
        <w:t xml:space="preserve"> Melanoma of the Skin Incidence and Mortality by Resident County, Tennessee, 200</w:t>
      </w:r>
      <w:r w:rsidR="007B0E82" w:rsidRPr="00976CBD">
        <w:t>8</w:t>
      </w:r>
      <w:r w:rsidRPr="00976CBD">
        <w:t>-201</w:t>
      </w:r>
      <w:r w:rsidR="007B0E82" w:rsidRPr="00976CBD">
        <w:t>2</w:t>
      </w:r>
      <w:bookmarkEnd w:id="517"/>
      <w:bookmarkEnd w:id="518"/>
      <w:bookmarkEnd w:id="519"/>
      <w:bookmarkEnd w:id="520"/>
      <w:bookmarkEnd w:id="521"/>
    </w:p>
    <w:bookmarkStart w:id="522" w:name="_MON_1486891439"/>
    <w:bookmarkEnd w:id="522"/>
    <w:p w:rsidR="00034508" w:rsidRDefault="00A15855" w:rsidP="006A2E12">
      <w:pPr>
        <w:spacing w:before="0" w:after="0" w:line="240" w:lineRule="auto"/>
        <w:jc w:val="center"/>
      </w:pPr>
      <w:r>
        <w:rPr>
          <w:sz w:val="16"/>
        </w:rPr>
        <w:object w:dxaOrig="11824" w:dyaOrig="12510">
          <v:shape id="_x0000_i1055" type="#_x0000_t75" style="width:542.5pt;height:622.05pt" o:ole="">
            <v:imagedata r:id="rId172" o:title=""/>
          </v:shape>
          <o:OLEObject Type="Embed" ProgID="Excel.Sheet.12" ShapeID="_x0000_i1055" DrawAspect="Content" ObjectID="_1513764430" r:id="rId173"/>
        </w:object>
      </w:r>
      <w:r w:rsidR="00034508" w:rsidRPr="00F51B89">
        <w:t>Continued on next page</w:t>
      </w:r>
    </w:p>
    <w:p w:rsidR="00D37D4B" w:rsidRPr="00F51B89" w:rsidRDefault="00D37D4B" w:rsidP="00554710">
      <w:pPr>
        <w:spacing w:before="0" w:after="0" w:line="240" w:lineRule="auto"/>
        <w:jc w:val="center"/>
      </w:pPr>
    </w:p>
    <w:p w:rsidR="003C3F33" w:rsidRDefault="003C3F33" w:rsidP="00494849">
      <w:pPr>
        <w:pStyle w:val="Heading5"/>
        <w:rPr>
          <w:lang w:eastAsia="zh-CN" w:bidi="ar-SA"/>
        </w:rPr>
      </w:pPr>
      <w:proofErr w:type="gramStart"/>
      <w:r>
        <w:rPr>
          <w:lang w:eastAsia="zh-CN" w:bidi="ar-SA"/>
        </w:rPr>
        <w:lastRenderedPageBreak/>
        <w:t xml:space="preserve">Appendix </w:t>
      </w:r>
      <w:r w:rsidR="00986C2B">
        <w:rPr>
          <w:lang w:eastAsia="zh-CN" w:bidi="ar-SA"/>
        </w:rPr>
        <w:t>I</w:t>
      </w:r>
      <w:r>
        <w:rPr>
          <w:lang w:eastAsia="zh-CN" w:bidi="ar-SA"/>
        </w:rPr>
        <w:t>X</w:t>
      </w:r>
      <w:r w:rsidR="00C32F37">
        <w:rPr>
          <w:lang w:eastAsia="zh-CN" w:bidi="ar-SA"/>
        </w:rPr>
        <w:t>.</w:t>
      </w:r>
      <w:proofErr w:type="gramEnd"/>
      <w:r>
        <w:rPr>
          <w:lang w:eastAsia="zh-CN" w:bidi="ar-SA"/>
        </w:rPr>
        <w:t xml:space="preserve"> Continued</w:t>
      </w:r>
    </w:p>
    <w:bookmarkStart w:id="523" w:name="_MON_1486891645"/>
    <w:bookmarkEnd w:id="523"/>
    <w:p w:rsidR="00D856A2" w:rsidRDefault="00DF1BF2" w:rsidP="00C10DE8">
      <w:pPr>
        <w:pStyle w:val="NoSpacing"/>
        <w:jc w:val="center"/>
      </w:pPr>
      <w:r>
        <w:object w:dxaOrig="11855" w:dyaOrig="14519">
          <v:shape id="_x0000_i1056" type="#_x0000_t75" style="width:545pt;height:644.65pt" o:ole="">
            <v:imagedata r:id="rId174" o:title=""/>
          </v:shape>
          <o:OLEObject Type="Embed" ProgID="Excel.Sheet.12" ShapeID="_x0000_i1056" DrawAspect="Content" ObjectID="_1513764431" r:id="rId175"/>
        </w:object>
      </w:r>
      <w:r w:rsidR="00D856A2" w:rsidRPr="00F51B89">
        <w:t>Continued on next page</w:t>
      </w:r>
    </w:p>
    <w:p w:rsidR="007B0E82" w:rsidRDefault="007B0E82" w:rsidP="00494849">
      <w:pPr>
        <w:pStyle w:val="Heading5"/>
      </w:pPr>
      <w:proofErr w:type="gramStart"/>
      <w:r>
        <w:t>Appendix IX.</w:t>
      </w:r>
      <w:proofErr w:type="gramEnd"/>
      <w:r>
        <w:t xml:space="preserve"> Continued</w:t>
      </w:r>
    </w:p>
    <w:bookmarkStart w:id="524" w:name="_MON_1486891869"/>
    <w:bookmarkEnd w:id="524"/>
    <w:p w:rsidR="003B0272" w:rsidRDefault="00C54605" w:rsidP="003B0272">
      <w:pPr>
        <w:pStyle w:val="NoSpacing"/>
      </w:pPr>
      <w:r>
        <w:object w:dxaOrig="11855" w:dyaOrig="7269">
          <v:shape id="_x0000_i1057" type="#_x0000_t75" style="width:545pt;height:320.65pt" o:ole="">
            <v:imagedata r:id="rId176" o:title=""/>
          </v:shape>
          <o:OLEObject Type="Embed" ProgID="Excel.Sheet.12" ShapeID="_x0000_i1057" DrawAspect="Content" ObjectID="_1513764432" r:id="rId177"/>
        </w:object>
      </w:r>
    </w:p>
    <w:p w:rsidR="003B0272" w:rsidRDefault="003B0272" w:rsidP="003B0272">
      <w:pPr>
        <w:pStyle w:val="NoSpacing"/>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3324FD" w:rsidRDefault="003324FD" w:rsidP="003B0272">
      <w:pPr>
        <w:pStyle w:val="NoSpacing"/>
        <w:jc w:val="right"/>
        <w:rPr>
          <w:sz w:val="26"/>
          <w:szCs w:val="26"/>
        </w:rPr>
      </w:pPr>
    </w:p>
    <w:p w:rsidR="00CE257D" w:rsidRDefault="00CE257D" w:rsidP="003B0272">
      <w:pPr>
        <w:pStyle w:val="NoSpacing"/>
        <w:jc w:val="right"/>
        <w:rPr>
          <w:sz w:val="26"/>
          <w:szCs w:val="26"/>
        </w:rPr>
      </w:pPr>
    </w:p>
    <w:p w:rsidR="003B0272" w:rsidRPr="00976CBD" w:rsidRDefault="003324FD" w:rsidP="003B0272">
      <w:pPr>
        <w:pStyle w:val="NoSpacing"/>
        <w:jc w:val="right"/>
        <w:rPr>
          <w:rStyle w:val="Hyperlink"/>
          <w:color w:val="auto"/>
          <w:sz w:val="26"/>
          <w:szCs w:val="26"/>
          <w:u w:val="none"/>
        </w:rPr>
      </w:pPr>
      <w:r>
        <w:rPr>
          <w:sz w:val="26"/>
          <w:szCs w:val="26"/>
        </w:rPr>
        <w:t xml:space="preserve"> </w:t>
      </w:r>
      <w:r w:rsidR="002949EC" w:rsidRPr="00976CBD">
        <w:rPr>
          <w:sz w:val="26"/>
          <w:szCs w:val="26"/>
        </w:rPr>
        <w:fldChar w:fldCharType="begin"/>
      </w:r>
      <w:r w:rsidR="00782EC2" w:rsidRPr="00976CBD">
        <w:rPr>
          <w:sz w:val="26"/>
          <w:szCs w:val="26"/>
        </w:rPr>
        <w:instrText>HYPERLINK  \l "_Data_Sources_1"</w:instrText>
      </w:r>
      <w:r w:rsidR="002949EC" w:rsidRPr="00976CBD">
        <w:rPr>
          <w:sz w:val="26"/>
          <w:szCs w:val="26"/>
        </w:rPr>
        <w:fldChar w:fldCharType="separate"/>
      </w:r>
      <w:r w:rsidR="002949EC" w:rsidRPr="003324FD">
        <w:rPr>
          <w:rStyle w:val="Hyperlink"/>
          <w:szCs w:val="26"/>
        </w:rPr>
        <w:t xml:space="preserve">Data </w:t>
      </w:r>
      <w:r w:rsidR="00F51B89" w:rsidRPr="003324FD">
        <w:rPr>
          <w:rStyle w:val="Hyperlink"/>
          <w:rFonts w:eastAsia="Times New Roman" w:cs="Arial"/>
          <w:bCs/>
          <w:szCs w:val="26"/>
          <w:lang w:eastAsia="zh-CN" w:bidi="ar-SA"/>
        </w:rPr>
        <w:t>Source</w:t>
      </w:r>
      <w:r w:rsidR="00D20319" w:rsidRPr="003324FD">
        <w:rPr>
          <w:rStyle w:val="Hyperlink"/>
          <w:rFonts w:eastAsia="Times New Roman" w:cs="Arial"/>
          <w:bCs/>
          <w:szCs w:val="26"/>
          <w:lang w:eastAsia="zh-CN" w:bidi="ar-SA"/>
        </w:rPr>
        <w:t xml:space="preserve"> </w:t>
      </w:r>
      <w:r w:rsidR="003B0272" w:rsidRPr="00976CBD">
        <w:rPr>
          <w:rStyle w:val="Hyperlink"/>
          <w:rFonts w:eastAsia="Times New Roman" w:cs="Arial"/>
          <w:bCs/>
          <w:sz w:val="26"/>
          <w:szCs w:val="26"/>
          <w:lang w:eastAsia="zh-CN" w:bidi="ar-SA"/>
        </w:rPr>
        <w:br w:type="page"/>
      </w:r>
    </w:p>
    <w:bookmarkStart w:id="525" w:name="_Toc339631403"/>
    <w:p w:rsidR="00B97253" w:rsidRPr="00976CBD" w:rsidRDefault="002949EC" w:rsidP="00903E48">
      <w:pPr>
        <w:pStyle w:val="Heading2"/>
      </w:pPr>
      <w:r w:rsidRPr="00976CBD">
        <w:rPr>
          <w:rFonts w:asciiTheme="minorHAnsi" w:hAnsiTheme="minorHAnsi"/>
          <w:color w:val="auto"/>
          <w:spacing w:val="0"/>
        </w:rPr>
        <w:lastRenderedPageBreak/>
        <w:fldChar w:fldCharType="end"/>
      </w:r>
      <w:bookmarkStart w:id="526" w:name="_Toc421608575"/>
      <w:bookmarkStart w:id="527" w:name="_Toc421609393"/>
      <w:bookmarkStart w:id="528" w:name="_Toc421609727"/>
      <w:bookmarkStart w:id="529" w:name="_Toc421611253"/>
      <w:bookmarkStart w:id="530" w:name="_Toc439918871"/>
      <w:r w:rsidR="00B97253" w:rsidRPr="00976CBD">
        <w:t>Appendix X. Pancreatic Cancer Incidence and Mortality by Resident County, Tennessee, 200</w:t>
      </w:r>
      <w:r w:rsidR="005D2736" w:rsidRPr="00976CBD">
        <w:t>8</w:t>
      </w:r>
      <w:r w:rsidR="00B97253" w:rsidRPr="00976CBD">
        <w:t>-201</w:t>
      </w:r>
      <w:bookmarkEnd w:id="525"/>
      <w:r w:rsidR="005D2736" w:rsidRPr="00976CBD">
        <w:t>2</w:t>
      </w:r>
      <w:bookmarkEnd w:id="526"/>
      <w:bookmarkEnd w:id="527"/>
      <w:bookmarkEnd w:id="528"/>
      <w:bookmarkEnd w:id="529"/>
      <w:bookmarkEnd w:id="530"/>
    </w:p>
    <w:bookmarkStart w:id="531" w:name="_MON_1486895675"/>
    <w:bookmarkEnd w:id="531"/>
    <w:p w:rsidR="00D856A2" w:rsidRDefault="00DF1BF2" w:rsidP="006A2E12">
      <w:pPr>
        <w:spacing w:before="0" w:after="0" w:line="240" w:lineRule="auto"/>
        <w:jc w:val="center"/>
      </w:pPr>
      <w:r>
        <w:rPr>
          <w:sz w:val="16"/>
        </w:rPr>
        <w:object w:dxaOrig="11855" w:dyaOrig="12489">
          <v:shape id="_x0000_i1058" type="#_x0000_t75" style="width:543.35pt;height:620.35pt" o:ole="">
            <v:imagedata r:id="rId178" o:title=""/>
          </v:shape>
          <o:OLEObject Type="Embed" ProgID="Excel.Sheet.12" ShapeID="_x0000_i1058" DrawAspect="Content" ObjectID="_1513764433" r:id="rId179"/>
        </w:object>
      </w:r>
      <w:r w:rsidR="00D856A2" w:rsidRPr="00F51B89">
        <w:t>Continued on next page</w:t>
      </w:r>
    </w:p>
    <w:p w:rsidR="00871ABC" w:rsidRPr="00F51B89" w:rsidRDefault="00871ABC" w:rsidP="00554710">
      <w:pPr>
        <w:spacing w:before="0" w:after="0" w:line="240" w:lineRule="auto"/>
        <w:jc w:val="center"/>
      </w:pPr>
    </w:p>
    <w:p w:rsidR="00F674C4" w:rsidRDefault="003C3F33" w:rsidP="00494849">
      <w:pPr>
        <w:pStyle w:val="Heading5"/>
        <w:rPr>
          <w:lang w:eastAsia="zh-CN" w:bidi="ar-SA"/>
        </w:rPr>
      </w:pPr>
      <w:r>
        <w:rPr>
          <w:lang w:eastAsia="zh-CN" w:bidi="ar-SA"/>
        </w:rPr>
        <w:lastRenderedPageBreak/>
        <w:t>Appendix X</w:t>
      </w:r>
      <w:r w:rsidR="00F674C4">
        <w:rPr>
          <w:lang w:eastAsia="zh-CN" w:bidi="ar-SA"/>
        </w:rPr>
        <w:t>.</w:t>
      </w:r>
      <w:r>
        <w:rPr>
          <w:lang w:eastAsia="zh-CN" w:bidi="ar-SA"/>
        </w:rPr>
        <w:t xml:space="preserve"> Continued</w:t>
      </w:r>
    </w:p>
    <w:bookmarkStart w:id="532" w:name="_MON_1486895893"/>
    <w:bookmarkEnd w:id="532"/>
    <w:p w:rsidR="003C3F33" w:rsidRDefault="005F6764" w:rsidP="006A2E12">
      <w:pPr>
        <w:pStyle w:val="NoSpacing"/>
        <w:jc w:val="center"/>
      </w:pPr>
      <w:r>
        <w:object w:dxaOrig="11855" w:dyaOrig="14519">
          <v:shape id="_x0000_i1059" type="#_x0000_t75" style="width:543.35pt;height:653pt" o:ole="">
            <v:imagedata r:id="rId180" o:title=""/>
          </v:shape>
          <o:OLEObject Type="Embed" ProgID="Excel.Sheet.12" ShapeID="_x0000_i1059" DrawAspect="Content" ObjectID="_1513764434" r:id="rId181"/>
        </w:object>
      </w:r>
      <w:r w:rsidR="003C3F33" w:rsidRPr="00F51B89">
        <w:t>Continued on next page</w:t>
      </w:r>
    </w:p>
    <w:p w:rsidR="003C3F33" w:rsidRDefault="003C3F33" w:rsidP="00494849">
      <w:pPr>
        <w:pStyle w:val="Heading5"/>
        <w:rPr>
          <w:lang w:eastAsia="zh-CN" w:bidi="ar-SA"/>
        </w:rPr>
      </w:pPr>
      <w:r>
        <w:rPr>
          <w:lang w:eastAsia="zh-CN" w:bidi="ar-SA"/>
        </w:rPr>
        <w:lastRenderedPageBreak/>
        <w:t>Appendix X</w:t>
      </w:r>
      <w:r w:rsidR="00F674C4">
        <w:rPr>
          <w:lang w:eastAsia="zh-CN" w:bidi="ar-SA"/>
        </w:rPr>
        <w:t>.</w:t>
      </w:r>
      <w:r>
        <w:rPr>
          <w:lang w:eastAsia="zh-CN" w:bidi="ar-SA"/>
        </w:rPr>
        <w:t xml:space="preserve"> Continued</w:t>
      </w:r>
    </w:p>
    <w:bookmarkStart w:id="533" w:name="_MON_1486896119"/>
    <w:bookmarkEnd w:id="533"/>
    <w:p w:rsidR="00325805" w:rsidRDefault="00D42B93" w:rsidP="00DF58F2">
      <w:pPr>
        <w:pStyle w:val="NoSpacing"/>
        <w:rPr>
          <w:rFonts w:ascii="Arial" w:eastAsia="Times New Roman" w:hAnsi="Arial" w:cs="Arial"/>
          <w:b/>
          <w:bCs/>
          <w:color w:val="000000"/>
          <w:lang w:eastAsia="zh-CN" w:bidi="ar-SA"/>
        </w:rPr>
      </w:pPr>
      <w:r>
        <w:rPr>
          <w:rFonts w:ascii="Arial" w:eastAsia="Times New Roman" w:hAnsi="Arial" w:cs="Arial"/>
          <w:b/>
          <w:bCs/>
          <w:color w:val="000000"/>
          <w:lang w:eastAsia="zh-CN" w:bidi="ar-SA"/>
        </w:rPr>
        <w:object w:dxaOrig="11828" w:dyaOrig="7269">
          <v:shape id="_x0000_i1060" type="#_x0000_t75" style="width:543.35pt;height:325.65pt" o:ole="">
            <v:imagedata r:id="rId182" o:title=""/>
          </v:shape>
          <o:OLEObject Type="Embed" ProgID="Excel.Sheet.12" ShapeID="_x0000_i1060" DrawAspect="Content" ObjectID="_1513764435" r:id="rId183"/>
        </w:object>
      </w:r>
    </w:p>
    <w:p w:rsidR="00871ABC" w:rsidRDefault="00871ABC" w:rsidP="00F51B89">
      <w:pPr>
        <w:jc w:val="right"/>
      </w:pPr>
    </w:p>
    <w:p w:rsidR="00871ABC" w:rsidRDefault="00871ABC" w:rsidP="00F51B89">
      <w:pPr>
        <w:jc w:val="right"/>
      </w:pPr>
    </w:p>
    <w:p w:rsidR="00871ABC" w:rsidRDefault="00871ABC" w:rsidP="00F51B89">
      <w:pPr>
        <w:jc w:val="right"/>
      </w:pPr>
    </w:p>
    <w:p w:rsidR="00871ABC" w:rsidRDefault="00871ABC" w:rsidP="00F51B89">
      <w:pPr>
        <w:jc w:val="right"/>
      </w:pPr>
    </w:p>
    <w:p w:rsidR="00871ABC" w:rsidRDefault="00871ABC" w:rsidP="00F51B89">
      <w:pPr>
        <w:jc w:val="right"/>
      </w:pPr>
    </w:p>
    <w:p w:rsidR="00871ABC" w:rsidRDefault="00871ABC" w:rsidP="00F51B89">
      <w:pPr>
        <w:jc w:val="right"/>
      </w:pPr>
    </w:p>
    <w:p w:rsidR="00871ABC" w:rsidRDefault="00871ABC" w:rsidP="00F51B89">
      <w:pPr>
        <w:jc w:val="right"/>
      </w:pPr>
    </w:p>
    <w:p w:rsidR="00871ABC" w:rsidRDefault="00871ABC" w:rsidP="00F51B89">
      <w:pPr>
        <w:jc w:val="right"/>
      </w:pPr>
    </w:p>
    <w:p w:rsidR="00871ABC" w:rsidRDefault="00871ABC" w:rsidP="00F51B89">
      <w:pPr>
        <w:jc w:val="right"/>
      </w:pPr>
    </w:p>
    <w:p w:rsidR="00871ABC" w:rsidRDefault="00871ABC" w:rsidP="00F51B89">
      <w:pPr>
        <w:jc w:val="right"/>
      </w:pPr>
    </w:p>
    <w:p w:rsidR="00871ABC" w:rsidRDefault="00871ABC" w:rsidP="00F51B89">
      <w:pPr>
        <w:jc w:val="right"/>
      </w:pPr>
    </w:p>
    <w:p w:rsidR="000227BA" w:rsidRDefault="000227BA" w:rsidP="00F51B89">
      <w:pPr>
        <w:jc w:val="right"/>
      </w:pPr>
    </w:p>
    <w:p w:rsidR="006A2E12" w:rsidRDefault="006A2E12" w:rsidP="00F51B89">
      <w:pPr>
        <w:jc w:val="right"/>
      </w:pPr>
    </w:p>
    <w:p w:rsidR="00325805" w:rsidRPr="00F51B89" w:rsidRDefault="00871ABC" w:rsidP="00F51B89">
      <w:pPr>
        <w:jc w:val="right"/>
        <w:rPr>
          <w:rFonts w:eastAsia="Times New Roman" w:cs="Arial"/>
          <w:bCs/>
          <w:color w:val="000000"/>
          <w:lang w:eastAsia="zh-CN" w:bidi="ar-SA"/>
        </w:rPr>
      </w:pPr>
      <w:r>
        <w:t xml:space="preserve"> </w:t>
      </w:r>
      <w:hyperlink w:anchor="_Data_Sources_1" w:history="1">
        <w:r w:rsidR="002949EC" w:rsidRPr="002949EC">
          <w:rPr>
            <w:rStyle w:val="Hyperlink"/>
          </w:rPr>
          <w:t xml:space="preserve">Data </w:t>
        </w:r>
        <w:r w:rsidR="00F51B89" w:rsidRPr="002949EC">
          <w:rPr>
            <w:rStyle w:val="Hyperlink"/>
            <w:rFonts w:eastAsia="Times New Roman" w:cs="Arial"/>
            <w:bCs/>
            <w:lang w:eastAsia="zh-CN" w:bidi="ar-SA"/>
          </w:rPr>
          <w:t>Source</w:t>
        </w:r>
      </w:hyperlink>
      <w:r w:rsidR="00325805" w:rsidRPr="00F51B89">
        <w:rPr>
          <w:rFonts w:eastAsia="Times New Roman" w:cs="Arial"/>
          <w:bCs/>
          <w:color w:val="000000"/>
          <w:lang w:eastAsia="zh-CN" w:bidi="ar-SA"/>
        </w:rPr>
        <w:br w:type="page"/>
      </w:r>
    </w:p>
    <w:p w:rsidR="00B97253" w:rsidRPr="00976CBD" w:rsidRDefault="00B97253" w:rsidP="00903E48">
      <w:pPr>
        <w:pStyle w:val="Heading2"/>
      </w:pPr>
      <w:bookmarkStart w:id="534" w:name="_Toc336590626"/>
      <w:bookmarkStart w:id="535" w:name="_Toc421608576"/>
      <w:bookmarkStart w:id="536" w:name="_Toc421609394"/>
      <w:bookmarkStart w:id="537" w:name="_Toc421609728"/>
      <w:bookmarkStart w:id="538" w:name="_Toc421611254"/>
      <w:bookmarkStart w:id="539" w:name="_Toc439918872"/>
      <w:bookmarkStart w:id="540" w:name="_Toc339631404"/>
      <w:proofErr w:type="gramStart"/>
      <w:r w:rsidRPr="00976CBD">
        <w:lastRenderedPageBreak/>
        <w:t>Appendix X</w:t>
      </w:r>
      <w:r w:rsidR="00986C2B" w:rsidRPr="00976CBD">
        <w:t>I</w:t>
      </w:r>
      <w:r w:rsidRPr="00976CBD">
        <w:t>.</w:t>
      </w:r>
      <w:proofErr w:type="gramEnd"/>
      <w:r w:rsidRPr="00976CBD">
        <w:t xml:space="preserve"> Cancer Incidence and Mortality, Children 0-19 Years, </w:t>
      </w:r>
      <w:r w:rsidR="00113F2B" w:rsidRPr="00976CBD">
        <w:t>b</w:t>
      </w:r>
      <w:r w:rsidR="007E5BB7" w:rsidRPr="00976CBD">
        <w:t xml:space="preserve">y Resident County, </w:t>
      </w:r>
      <w:r w:rsidRPr="00976CBD">
        <w:t>Tennessee, 200</w:t>
      </w:r>
      <w:r w:rsidR="004C5635" w:rsidRPr="00976CBD">
        <w:t>8</w:t>
      </w:r>
      <w:r w:rsidRPr="00976CBD">
        <w:t>-201</w:t>
      </w:r>
      <w:bookmarkEnd w:id="534"/>
      <w:r w:rsidR="004C5635" w:rsidRPr="00976CBD">
        <w:t>2</w:t>
      </w:r>
      <w:bookmarkEnd w:id="535"/>
      <w:bookmarkEnd w:id="536"/>
      <w:bookmarkEnd w:id="537"/>
      <w:bookmarkEnd w:id="538"/>
      <w:bookmarkEnd w:id="539"/>
    </w:p>
    <w:bookmarkStart w:id="541" w:name="_MON_1486903007"/>
    <w:bookmarkEnd w:id="541"/>
    <w:p w:rsidR="00325805" w:rsidRDefault="00912B79" w:rsidP="006A2E12">
      <w:pPr>
        <w:spacing w:before="0" w:after="0" w:line="240" w:lineRule="auto"/>
        <w:jc w:val="center"/>
      </w:pPr>
      <w:r>
        <w:rPr>
          <w:sz w:val="16"/>
        </w:rPr>
        <w:object w:dxaOrig="11855" w:dyaOrig="12489">
          <v:shape id="_x0000_i1061" type="#_x0000_t75" style="width:543.35pt;height:618.7pt" o:ole="">
            <v:imagedata r:id="rId184" o:title=""/>
          </v:shape>
          <o:OLEObject Type="Embed" ProgID="Excel.Sheet.12" ShapeID="_x0000_i1061" DrawAspect="Content" ObjectID="_1513764436" r:id="rId185"/>
        </w:object>
      </w:r>
      <w:r w:rsidR="00325805" w:rsidRPr="00F51B89">
        <w:t>Continued on next page</w:t>
      </w:r>
    </w:p>
    <w:p w:rsidR="00871ABC" w:rsidRPr="00F51B89" w:rsidRDefault="00871ABC" w:rsidP="00554710">
      <w:pPr>
        <w:spacing w:before="0" w:after="0" w:line="240" w:lineRule="auto"/>
        <w:jc w:val="center"/>
      </w:pPr>
    </w:p>
    <w:p w:rsidR="00C81DD1" w:rsidRDefault="00964E4C" w:rsidP="00494849">
      <w:pPr>
        <w:pStyle w:val="Heading5"/>
        <w:rPr>
          <w:lang w:eastAsia="zh-CN" w:bidi="ar-SA"/>
        </w:rPr>
      </w:pPr>
      <w:hyperlink w:anchor="_Data_Sources_1" w:history="1">
        <w:r w:rsidR="00786DC8">
          <w:rPr>
            <w:rStyle w:val="Hyperlink"/>
          </w:rPr>
          <w:t xml:space="preserve"> </w:t>
        </w:r>
      </w:hyperlink>
      <w:proofErr w:type="gramStart"/>
      <w:r w:rsidR="003C3F33">
        <w:rPr>
          <w:lang w:eastAsia="zh-CN" w:bidi="ar-SA"/>
        </w:rPr>
        <w:t>Appendix XI</w:t>
      </w:r>
      <w:r w:rsidR="00C81DD1">
        <w:rPr>
          <w:lang w:eastAsia="zh-CN" w:bidi="ar-SA"/>
        </w:rPr>
        <w:t>.</w:t>
      </w:r>
      <w:proofErr w:type="gramEnd"/>
      <w:r w:rsidR="003C3F33">
        <w:rPr>
          <w:lang w:eastAsia="zh-CN" w:bidi="ar-SA"/>
        </w:rPr>
        <w:t xml:space="preserve"> Continued</w:t>
      </w:r>
    </w:p>
    <w:bookmarkStart w:id="542" w:name="_MON_1486903335"/>
    <w:bookmarkEnd w:id="542"/>
    <w:p w:rsidR="00D856A2" w:rsidRDefault="00F3028A" w:rsidP="006A2E12">
      <w:pPr>
        <w:pStyle w:val="NoSpacing"/>
        <w:jc w:val="center"/>
      </w:pPr>
      <w:r>
        <w:object w:dxaOrig="11855" w:dyaOrig="14519">
          <v:shape id="_x0000_i1062" type="#_x0000_t75" style="width:543.35pt;height:653pt" o:ole="">
            <v:imagedata r:id="rId186" o:title=""/>
          </v:shape>
          <o:OLEObject Type="Embed" ProgID="Excel.Sheet.12" ShapeID="_x0000_i1062" DrawAspect="Content" ObjectID="_1513764437" r:id="rId187"/>
        </w:object>
      </w:r>
      <w:r w:rsidR="00D856A2" w:rsidRPr="004F7107">
        <w:t>Continued on next page</w:t>
      </w:r>
    </w:p>
    <w:p w:rsidR="003C3F33" w:rsidRDefault="003C3F33" w:rsidP="00494849">
      <w:pPr>
        <w:pStyle w:val="Heading5"/>
        <w:rPr>
          <w:lang w:eastAsia="zh-CN" w:bidi="ar-SA"/>
        </w:rPr>
      </w:pPr>
      <w:proofErr w:type="gramStart"/>
      <w:r>
        <w:rPr>
          <w:lang w:eastAsia="zh-CN" w:bidi="ar-SA"/>
        </w:rPr>
        <w:lastRenderedPageBreak/>
        <w:t>Appendix XI</w:t>
      </w:r>
      <w:r w:rsidR="00650086">
        <w:rPr>
          <w:lang w:eastAsia="zh-CN" w:bidi="ar-SA"/>
        </w:rPr>
        <w:t>.</w:t>
      </w:r>
      <w:proofErr w:type="gramEnd"/>
      <w:r>
        <w:rPr>
          <w:lang w:eastAsia="zh-CN" w:bidi="ar-SA"/>
        </w:rPr>
        <w:t xml:space="preserve"> Continued</w:t>
      </w:r>
    </w:p>
    <w:bookmarkStart w:id="543" w:name="_MON_1486903590"/>
    <w:bookmarkEnd w:id="543"/>
    <w:p w:rsidR="00786DC8" w:rsidRDefault="00F31003" w:rsidP="00786DC8">
      <w:pPr>
        <w:pStyle w:val="NoSpacing"/>
      </w:pPr>
      <w:r>
        <w:object w:dxaOrig="11855" w:dyaOrig="7269">
          <v:shape id="_x0000_i1063" type="#_x0000_t75" style="width:543.35pt;height:351.65pt" o:ole="">
            <v:imagedata r:id="rId188" o:title=""/>
          </v:shape>
          <o:OLEObject Type="Embed" ProgID="Excel.Sheet.12" ShapeID="_x0000_i1063" DrawAspect="Content" ObjectID="_1513764438" r:id="rId189"/>
        </w:object>
      </w:r>
      <w:bookmarkStart w:id="544" w:name="_Toc339631405"/>
      <w:bookmarkEnd w:id="540"/>
    </w:p>
    <w:p w:rsidR="00786DC8" w:rsidRDefault="00786DC8"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871ABC" w:rsidRDefault="00871ABC" w:rsidP="00786DC8">
      <w:pPr>
        <w:pStyle w:val="NoSpacing"/>
      </w:pPr>
    </w:p>
    <w:p w:rsidR="000227BA" w:rsidRDefault="000227BA" w:rsidP="00786DC8">
      <w:pPr>
        <w:pStyle w:val="NoSpacing"/>
      </w:pPr>
    </w:p>
    <w:p w:rsidR="00325805" w:rsidRPr="00786DC8" w:rsidRDefault="00964E4C" w:rsidP="00786DC8">
      <w:pPr>
        <w:pStyle w:val="NoSpacing"/>
        <w:jc w:val="right"/>
      </w:pPr>
      <w:hyperlink w:anchor="_Data_Sources_1" w:history="1">
        <w:r w:rsidR="002949EC" w:rsidRPr="002949EC">
          <w:rPr>
            <w:rStyle w:val="Hyperlink"/>
          </w:rPr>
          <w:t xml:space="preserve">Data </w:t>
        </w:r>
        <w:r w:rsidR="00F51B89" w:rsidRPr="002949EC">
          <w:rPr>
            <w:rStyle w:val="Hyperlink"/>
          </w:rPr>
          <w:t>Source</w:t>
        </w:r>
      </w:hyperlink>
      <w:r w:rsidR="00325805">
        <w:br w:type="page"/>
      </w:r>
    </w:p>
    <w:p w:rsidR="003C3F33" w:rsidRPr="00976CBD" w:rsidRDefault="003C3F33" w:rsidP="00903E48">
      <w:pPr>
        <w:pStyle w:val="Heading2"/>
      </w:pPr>
      <w:bookmarkStart w:id="545" w:name="_Toc421608577"/>
      <w:bookmarkStart w:id="546" w:name="_Toc421609395"/>
      <w:bookmarkStart w:id="547" w:name="_Toc421609729"/>
      <w:bookmarkStart w:id="548" w:name="_Toc421611255"/>
      <w:bookmarkStart w:id="549" w:name="_Toc439918873"/>
      <w:proofErr w:type="gramStart"/>
      <w:r w:rsidRPr="00976CBD">
        <w:lastRenderedPageBreak/>
        <w:t>Appendix XII.</w:t>
      </w:r>
      <w:proofErr w:type="gramEnd"/>
      <w:r w:rsidRPr="00976CBD">
        <w:t xml:space="preserve"> Incidence and Mortality of Common Cancers, Three-Year Moving Average, Tennessee, 200</w:t>
      </w:r>
      <w:r w:rsidR="00143763" w:rsidRPr="00976CBD">
        <w:t>8</w:t>
      </w:r>
      <w:r w:rsidRPr="00976CBD">
        <w:t>-201</w:t>
      </w:r>
      <w:bookmarkEnd w:id="544"/>
      <w:r w:rsidR="00143763" w:rsidRPr="00976CBD">
        <w:t>2</w:t>
      </w:r>
      <w:bookmarkEnd w:id="545"/>
      <w:bookmarkEnd w:id="546"/>
      <w:bookmarkEnd w:id="547"/>
      <w:bookmarkEnd w:id="548"/>
      <w:bookmarkEnd w:id="549"/>
    </w:p>
    <w:p w:rsidR="00AC291D" w:rsidRDefault="00AC291D" w:rsidP="00DF58F2">
      <w:pPr>
        <w:pStyle w:val="NoSpacing"/>
      </w:pPr>
    </w:p>
    <w:bookmarkStart w:id="550" w:name="_MON_1486904211"/>
    <w:bookmarkEnd w:id="550"/>
    <w:p w:rsidR="007B2652" w:rsidRDefault="00F31003" w:rsidP="00DF58F2">
      <w:pPr>
        <w:pStyle w:val="NoSpacing"/>
      </w:pPr>
      <w:r>
        <w:object w:dxaOrig="11857" w:dyaOrig="8139">
          <v:shape id="_x0000_i1064" type="#_x0000_t75" style="width:543.35pt;height:371.7pt" o:ole="">
            <v:imagedata r:id="rId190" o:title=""/>
          </v:shape>
          <o:OLEObject Type="Embed" ProgID="Excel.Sheet.12" ShapeID="_x0000_i1064" DrawAspect="Content" ObjectID="_1513764439" r:id="rId191"/>
        </w:object>
      </w: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2A7BC6" w:rsidRDefault="002A7BC6" w:rsidP="00DF58F2">
      <w:pPr>
        <w:pStyle w:val="NoSpacing"/>
      </w:pPr>
    </w:p>
    <w:p w:rsidR="00DF58F2" w:rsidRDefault="00964E4C" w:rsidP="007577C0">
      <w:pPr>
        <w:jc w:val="right"/>
        <w:rPr>
          <w:rStyle w:val="Hyperlink"/>
        </w:rPr>
        <w:sectPr w:rsidR="00DF58F2" w:rsidSect="00F2283B">
          <w:pgSz w:w="12240" w:h="15840" w:code="1"/>
          <w:pgMar w:top="720" w:right="720" w:bottom="720" w:left="720" w:header="720" w:footer="720" w:gutter="0"/>
          <w:pgNumType w:fmt="numberInDash"/>
          <w:cols w:space="720"/>
          <w:docGrid w:linePitch="360"/>
        </w:sectPr>
      </w:pPr>
      <w:hyperlink w:anchor="_Data_Sources_1" w:history="1">
        <w:r w:rsidR="002949EC" w:rsidRPr="002949EC">
          <w:rPr>
            <w:rStyle w:val="Hyperlink"/>
          </w:rPr>
          <w:t xml:space="preserve">Data </w:t>
        </w:r>
        <w:r w:rsidR="00F51B89" w:rsidRPr="002949EC">
          <w:rPr>
            <w:rStyle w:val="Hyperlink"/>
          </w:rPr>
          <w:t>Source</w:t>
        </w:r>
      </w:hyperlink>
    </w:p>
    <w:p w:rsidR="003C6CC4" w:rsidRPr="00976CBD" w:rsidRDefault="006117B4" w:rsidP="00903E48">
      <w:pPr>
        <w:pStyle w:val="Heading2"/>
      </w:pPr>
      <w:bookmarkStart w:id="551" w:name="_Toc421608578"/>
      <w:bookmarkStart w:id="552" w:name="_Toc421609396"/>
      <w:bookmarkStart w:id="553" w:name="_Toc421609730"/>
      <w:bookmarkStart w:id="554" w:name="_Toc421611256"/>
      <w:bookmarkStart w:id="555" w:name="_Toc439918874"/>
      <w:r w:rsidRPr="00976CBD">
        <w:rPr>
          <w:noProof/>
          <w:lang w:bidi="ar-SA"/>
        </w:rPr>
        <w:lastRenderedPageBreak/>
        <w:drawing>
          <wp:anchor distT="0" distB="0" distL="114300" distR="114300" simplePos="0" relativeHeight="251643890" behindDoc="1" locked="0" layoutInCell="1" allowOverlap="1" wp14:anchorId="18C8D8CA" wp14:editId="6C317B32">
            <wp:simplePos x="0" y="0"/>
            <wp:positionH relativeFrom="column">
              <wp:posOffset>348659</wp:posOffset>
            </wp:positionH>
            <wp:positionV relativeFrom="paragraph">
              <wp:posOffset>-14058</wp:posOffset>
            </wp:positionV>
            <wp:extent cx="8540160" cy="6602818"/>
            <wp:effectExtent l="19050" t="0" r="0" b="0"/>
            <wp:wrapNone/>
            <wp:docPr id="1" name="Picture 0" descr="Rural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ralRegions.jpg"/>
                    <pic:cNvPicPr/>
                  </pic:nvPicPr>
                  <pic:blipFill>
                    <a:blip r:embed="rId192" cstate="screen">
                      <a:extLst>
                        <a:ext uri="{28A0092B-C50C-407E-A947-70E740481C1C}">
                          <a14:useLocalDpi xmlns:a14="http://schemas.microsoft.com/office/drawing/2010/main" val="0"/>
                        </a:ext>
                      </a:extLst>
                    </a:blip>
                    <a:stretch>
                      <a:fillRect/>
                    </a:stretch>
                  </pic:blipFill>
                  <pic:spPr>
                    <a:xfrm>
                      <a:off x="0" y="0"/>
                      <a:ext cx="8540160" cy="6602818"/>
                    </a:xfrm>
                    <a:prstGeom prst="rect">
                      <a:avLst/>
                    </a:prstGeom>
                  </pic:spPr>
                </pic:pic>
              </a:graphicData>
            </a:graphic>
          </wp:anchor>
        </w:drawing>
      </w:r>
      <w:proofErr w:type="gramStart"/>
      <w:r w:rsidR="00837DC0" w:rsidRPr="00976CBD">
        <w:t>Appendix XIII.</w:t>
      </w:r>
      <w:proofErr w:type="gramEnd"/>
      <w:r w:rsidR="00837DC0" w:rsidRPr="00976CBD">
        <w:t xml:space="preserve"> </w:t>
      </w:r>
      <w:r w:rsidR="0015682A" w:rsidRPr="00976CBD">
        <w:t xml:space="preserve">County Maps of </w:t>
      </w:r>
      <w:r w:rsidR="00837DC0" w:rsidRPr="00976CBD">
        <w:t xml:space="preserve">Incidence and Mortality </w:t>
      </w:r>
      <w:r w:rsidR="000311E1" w:rsidRPr="00976CBD">
        <w:t xml:space="preserve">Rates </w:t>
      </w:r>
      <w:r w:rsidR="00837DC0" w:rsidRPr="00976CBD">
        <w:t xml:space="preserve">of </w:t>
      </w:r>
      <w:r w:rsidR="0015682A" w:rsidRPr="00976CBD">
        <w:t xml:space="preserve">All Cancers and </w:t>
      </w:r>
      <w:r w:rsidR="00837DC0" w:rsidRPr="00976CBD">
        <w:t>Common Cancers</w:t>
      </w:r>
      <w:bookmarkEnd w:id="551"/>
      <w:bookmarkEnd w:id="552"/>
      <w:bookmarkEnd w:id="553"/>
      <w:bookmarkEnd w:id="554"/>
      <w:bookmarkEnd w:id="555"/>
    </w:p>
    <w:p w:rsidR="002A6F13" w:rsidRDefault="00FA1685" w:rsidP="00796916">
      <w:pPr>
        <w:pStyle w:val="Heading3"/>
        <w:framePr w:wrap="around"/>
        <w:spacing w:before="0"/>
      </w:pPr>
      <w:bookmarkStart w:id="556" w:name="_Toc421608579"/>
      <w:bookmarkStart w:id="557" w:name="_Toc421609397"/>
      <w:bookmarkStart w:id="558" w:name="_Toc421609731"/>
      <w:bookmarkStart w:id="559" w:name="_Toc421611257"/>
      <w:bookmarkStart w:id="560" w:name="_Toc439918875"/>
      <w:r>
        <w:t>1. T</w:t>
      </w:r>
      <w:r w:rsidR="002A6F13">
        <w:t>ennessee Counties and Regional Groupings</w:t>
      </w:r>
      <w:bookmarkEnd w:id="556"/>
      <w:bookmarkEnd w:id="557"/>
      <w:bookmarkEnd w:id="558"/>
      <w:bookmarkEnd w:id="559"/>
      <w:bookmarkEnd w:id="560"/>
    </w:p>
    <w:p w:rsidR="008750B3" w:rsidRDefault="008750B3">
      <w:pPr>
        <w:rPr>
          <w:noProof/>
          <w:lang w:eastAsia="zh-CN" w:bidi="ar-SA"/>
        </w:rPr>
      </w:pPr>
    </w:p>
    <w:p w:rsidR="008750B3" w:rsidRDefault="008750B3">
      <w:pPr>
        <w:rPr>
          <w:noProof/>
          <w:lang w:eastAsia="zh-CN" w:bidi="ar-SA"/>
        </w:rPr>
      </w:pPr>
    </w:p>
    <w:p w:rsidR="008750B3" w:rsidRDefault="008750B3">
      <w:pPr>
        <w:rPr>
          <w:noProof/>
          <w:lang w:eastAsia="zh-CN" w:bidi="ar-SA"/>
        </w:rPr>
      </w:pPr>
    </w:p>
    <w:p w:rsidR="008750B3" w:rsidRDefault="008750B3">
      <w:pPr>
        <w:rPr>
          <w:noProof/>
          <w:lang w:eastAsia="zh-CN" w:bidi="ar-SA"/>
        </w:rPr>
      </w:pPr>
    </w:p>
    <w:p w:rsidR="008750B3" w:rsidRDefault="008750B3">
      <w:pPr>
        <w:rPr>
          <w:noProof/>
          <w:lang w:eastAsia="zh-CN" w:bidi="ar-SA"/>
        </w:rPr>
      </w:pPr>
    </w:p>
    <w:p w:rsidR="006E60A7" w:rsidRDefault="006E60A7">
      <w:r>
        <w:br w:type="page"/>
      </w:r>
    </w:p>
    <w:p w:rsidR="00901DAF" w:rsidRDefault="00FA1685" w:rsidP="00796916">
      <w:pPr>
        <w:pStyle w:val="Heading3"/>
        <w:framePr w:wrap="around"/>
        <w:spacing w:before="0"/>
      </w:pPr>
      <w:bookmarkStart w:id="561" w:name="_Toc421608580"/>
      <w:bookmarkStart w:id="562" w:name="_Toc421609398"/>
      <w:bookmarkStart w:id="563" w:name="_Toc421609732"/>
      <w:bookmarkStart w:id="564" w:name="_Toc421611258"/>
      <w:bookmarkStart w:id="565" w:name="_Toc439918876"/>
      <w:r>
        <w:lastRenderedPageBreak/>
        <w:t xml:space="preserve">2. </w:t>
      </w:r>
      <w:r w:rsidR="0015682A" w:rsidRPr="0015682A">
        <w:t xml:space="preserve">Age-adjusted Cancer </w:t>
      </w:r>
      <w:r w:rsidR="0015682A">
        <w:t xml:space="preserve">Incidence </w:t>
      </w:r>
      <w:r w:rsidR="00B72226">
        <w:t>and Mortality</w:t>
      </w:r>
      <w:r w:rsidR="0015682A">
        <w:t xml:space="preserve"> </w:t>
      </w:r>
      <w:r w:rsidR="00B72226">
        <w:t xml:space="preserve">Rates </w:t>
      </w:r>
      <w:r w:rsidR="0015682A" w:rsidRPr="0015682A">
        <w:t xml:space="preserve">by Resident County, </w:t>
      </w:r>
      <w:r w:rsidR="0015682A">
        <w:t>All Sites Combined</w:t>
      </w:r>
      <w:r w:rsidR="0015682A" w:rsidRPr="0015682A">
        <w:t xml:space="preserve">, Tennessee, </w:t>
      </w:r>
      <w:r w:rsidR="00D1325B">
        <w:t>200</w:t>
      </w:r>
      <w:r w:rsidR="00157584">
        <w:t>8</w:t>
      </w:r>
      <w:r w:rsidR="00D1325B">
        <w:t>-201</w:t>
      </w:r>
      <w:bookmarkEnd w:id="561"/>
      <w:bookmarkEnd w:id="562"/>
      <w:bookmarkEnd w:id="563"/>
      <w:bookmarkEnd w:id="564"/>
      <w:r w:rsidR="00157584">
        <w:t>2</w:t>
      </w:r>
      <w:bookmarkEnd w:id="565"/>
    </w:p>
    <w:p w:rsidR="00D50166" w:rsidRDefault="00157584" w:rsidP="00B830E0">
      <w:pPr>
        <w:jc w:val="center"/>
        <w:rPr>
          <w:noProof/>
          <w:lang w:eastAsia="zh-CN" w:bidi="ar-SA"/>
        </w:rPr>
      </w:pPr>
      <w:r>
        <w:rPr>
          <w:noProof/>
          <w:lang w:bidi="ar-SA"/>
        </w:rPr>
        <w:drawing>
          <wp:inline distT="0" distB="0" distL="0" distR="0" wp14:anchorId="415027BF" wp14:editId="3B11AA85">
            <wp:extent cx="7914066" cy="6112934"/>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0"/>
                      <a:ext cx="7914066" cy="6112934"/>
                    </a:xfrm>
                    <a:prstGeom prst="rect">
                      <a:avLst/>
                    </a:prstGeom>
                  </pic:spPr>
                </pic:pic>
              </a:graphicData>
            </a:graphic>
          </wp:inline>
        </w:drawing>
      </w:r>
    </w:p>
    <w:p w:rsidR="0015682A" w:rsidRDefault="00B72226" w:rsidP="00796916">
      <w:pPr>
        <w:pStyle w:val="Heading3"/>
        <w:framePr w:wrap="around"/>
        <w:spacing w:before="0"/>
      </w:pPr>
      <w:bookmarkStart w:id="566" w:name="_Toc421608581"/>
      <w:bookmarkStart w:id="567" w:name="_Toc421609399"/>
      <w:bookmarkStart w:id="568" w:name="_Toc421609733"/>
      <w:bookmarkStart w:id="569" w:name="_Toc421611259"/>
      <w:bookmarkStart w:id="570" w:name="_Toc439918877"/>
      <w:r>
        <w:lastRenderedPageBreak/>
        <w:t>3</w:t>
      </w:r>
      <w:r w:rsidR="00FA1685">
        <w:t xml:space="preserve">. </w:t>
      </w:r>
      <w:r w:rsidRPr="0015682A">
        <w:t xml:space="preserve">Age-adjusted Cancer </w:t>
      </w:r>
      <w:r>
        <w:t xml:space="preserve">Incidence and Mortality Rates </w:t>
      </w:r>
      <w:r w:rsidRPr="0015682A">
        <w:t>by Resident County</w:t>
      </w:r>
      <w:r w:rsidR="0015682A" w:rsidRPr="0015682A">
        <w:t xml:space="preserve">, </w:t>
      </w:r>
      <w:r w:rsidR="0015682A">
        <w:t>Lung and Bronchus</w:t>
      </w:r>
      <w:r w:rsidR="0015682A" w:rsidRPr="0015682A">
        <w:t xml:space="preserve">, Tennessee, </w:t>
      </w:r>
      <w:r w:rsidR="00D1325B">
        <w:t>200</w:t>
      </w:r>
      <w:r w:rsidR="00221700">
        <w:t>8</w:t>
      </w:r>
      <w:r w:rsidR="00D1325B">
        <w:t>-201</w:t>
      </w:r>
      <w:bookmarkEnd w:id="566"/>
      <w:bookmarkEnd w:id="567"/>
      <w:bookmarkEnd w:id="568"/>
      <w:bookmarkEnd w:id="569"/>
      <w:r w:rsidR="00221700">
        <w:t>2</w:t>
      </w:r>
      <w:bookmarkEnd w:id="570"/>
    </w:p>
    <w:p w:rsidR="00312C8A" w:rsidRDefault="00221700" w:rsidP="0080309C">
      <w:pPr>
        <w:jc w:val="center"/>
      </w:pPr>
      <w:r>
        <w:rPr>
          <w:noProof/>
          <w:lang w:bidi="ar-SA"/>
        </w:rPr>
        <w:drawing>
          <wp:inline distT="0" distB="0" distL="0" distR="0" wp14:anchorId="2FC78BE1" wp14:editId="154E0F3B">
            <wp:extent cx="7918704" cy="6120738"/>
            <wp:effectExtent l="0" t="0" r="635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a:off x="0" y="0"/>
                      <a:ext cx="7918704" cy="6120738"/>
                    </a:xfrm>
                    <a:prstGeom prst="rect">
                      <a:avLst/>
                    </a:prstGeom>
                  </pic:spPr>
                </pic:pic>
              </a:graphicData>
            </a:graphic>
          </wp:inline>
        </w:drawing>
      </w:r>
    </w:p>
    <w:p w:rsidR="0015682A" w:rsidRDefault="002128AE" w:rsidP="00796916">
      <w:pPr>
        <w:pStyle w:val="Heading3"/>
        <w:framePr w:wrap="around"/>
        <w:spacing w:before="0"/>
      </w:pPr>
      <w:bookmarkStart w:id="571" w:name="_Toc421608582"/>
      <w:bookmarkStart w:id="572" w:name="_Toc421609400"/>
      <w:bookmarkStart w:id="573" w:name="_Toc421609734"/>
      <w:bookmarkStart w:id="574" w:name="_Toc421611260"/>
      <w:bookmarkStart w:id="575" w:name="_Toc439918878"/>
      <w:r>
        <w:lastRenderedPageBreak/>
        <w:t>4</w:t>
      </w:r>
      <w:r w:rsidR="00FA1685">
        <w:t xml:space="preserve">. </w:t>
      </w:r>
      <w:r w:rsidR="00B72226" w:rsidRPr="0015682A">
        <w:t xml:space="preserve">Age-adjusted Cancer </w:t>
      </w:r>
      <w:r w:rsidR="00B72226">
        <w:t xml:space="preserve">Incidence and Mortality Rates </w:t>
      </w:r>
      <w:r w:rsidR="00B72226" w:rsidRPr="0015682A">
        <w:t>by Resident County</w:t>
      </w:r>
      <w:r w:rsidR="0015682A" w:rsidRPr="0015682A">
        <w:t xml:space="preserve">, </w:t>
      </w:r>
      <w:r w:rsidR="0015682A">
        <w:t>Prostate</w:t>
      </w:r>
      <w:r w:rsidR="0015682A" w:rsidRPr="0015682A">
        <w:t xml:space="preserve">, Tennessee, </w:t>
      </w:r>
      <w:r w:rsidR="00D1325B">
        <w:t>200</w:t>
      </w:r>
      <w:r w:rsidR="00221700">
        <w:t>8</w:t>
      </w:r>
      <w:r w:rsidR="00D1325B">
        <w:t>-201</w:t>
      </w:r>
      <w:bookmarkEnd w:id="571"/>
      <w:bookmarkEnd w:id="572"/>
      <w:bookmarkEnd w:id="573"/>
      <w:bookmarkEnd w:id="574"/>
      <w:r w:rsidR="00221700">
        <w:t>2</w:t>
      </w:r>
      <w:bookmarkEnd w:id="575"/>
    </w:p>
    <w:p w:rsidR="00312C8A" w:rsidRDefault="00312C8A" w:rsidP="00312C8A"/>
    <w:p w:rsidR="002A6F13" w:rsidRDefault="00221700" w:rsidP="0080309C">
      <w:pPr>
        <w:spacing w:before="0" w:after="0"/>
        <w:jc w:val="center"/>
      </w:pPr>
      <w:r w:rsidRPr="00221700">
        <w:rPr>
          <w:noProof/>
          <w:lang w:bidi="ar-SA"/>
        </w:rPr>
        <w:drawing>
          <wp:inline distT="0" distB="0" distL="0" distR="0" wp14:anchorId="6EAB11C3" wp14:editId="33D5630C">
            <wp:extent cx="7900416" cy="6117336"/>
            <wp:effectExtent l="0" t="0" r="5715" b="0"/>
            <wp:docPr id="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7900416" cy="6117336"/>
                    </a:xfrm>
                    <a:prstGeom prst="rect">
                      <a:avLst/>
                    </a:prstGeom>
                  </pic:spPr>
                </pic:pic>
              </a:graphicData>
            </a:graphic>
          </wp:inline>
        </w:drawing>
      </w:r>
    </w:p>
    <w:p w:rsidR="00796916" w:rsidRDefault="00796916" w:rsidP="0080309C">
      <w:pPr>
        <w:spacing w:before="0" w:after="0"/>
        <w:jc w:val="center"/>
      </w:pPr>
    </w:p>
    <w:p w:rsidR="0015682A" w:rsidRDefault="006E60A7" w:rsidP="00796916">
      <w:pPr>
        <w:pStyle w:val="Heading3"/>
        <w:framePr w:wrap="around"/>
        <w:spacing w:before="0"/>
      </w:pPr>
      <w:bookmarkStart w:id="576" w:name="_Toc421608583"/>
      <w:bookmarkStart w:id="577" w:name="_Toc421609401"/>
      <w:bookmarkStart w:id="578" w:name="_Toc421609735"/>
      <w:bookmarkStart w:id="579" w:name="_Toc421611261"/>
      <w:bookmarkStart w:id="580" w:name="_Toc439918879"/>
      <w:r>
        <w:lastRenderedPageBreak/>
        <w:t>5</w:t>
      </w:r>
      <w:r w:rsidR="00FA1685">
        <w:t xml:space="preserve">. </w:t>
      </w:r>
      <w:r w:rsidR="00B72226" w:rsidRPr="0015682A">
        <w:t xml:space="preserve">Age-adjusted Cancer </w:t>
      </w:r>
      <w:r w:rsidR="00B72226">
        <w:t xml:space="preserve">Incidence and Mortality Rates </w:t>
      </w:r>
      <w:r w:rsidR="00B72226" w:rsidRPr="0015682A">
        <w:t>by Resident County</w:t>
      </w:r>
      <w:r w:rsidR="0015682A" w:rsidRPr="0015682A">
        <w:t xml:space="preserve">, </w:t>
      </w:r>
      <w:r w:rsidR="0015682A">
        <w:t>Female Breast</w:t>
      </w:r>
      <w:r w:rsidR="0015682A" w:rsidRPr="0015682A">
        <w:t xml:space="preserve">, Tennessee, </w:t>
      </w:r>
      <w:r w:rsidR="00D1325B">
        <w:t>200</w:t>
      </w:r>
      <w:r w:rsidR="00221700">
        <w:t>8</w:t>
      </w:r>
      <w:r w:rsidR="00D1325B">
        <w:t>-201</w:t>
      </w:r>
      <w:bookmarkEnd w:id="576"/>
      <w:bookmarkEnd w:id="577"/>
      <w:bookmarkEnd w:id="578"/>
      <w:bookmarkEnd w:id="579"/>
      <w:r w:rsidR="00221700">
        <w:t>2</w:t>
      </w:r>
      <w:bookmarkEnd w:id="580"/>
    </w:p>
    <w:p w:rsidR="00FD385A" w:rsidRDefault="00221700" w:rsidP="0080309C">
      <w:pPr>
        <w:spacing w:before="0"/>
        <w:jc w:val="center"/>
      </w:pPr>
      <w:r w:rsidRPr="00221700">
        <w:rPr>
          <w:noProof/>
          <w:lang w:bidi="ar-SA"/>
        </w:rPr>
        <w:drawing>
          <wp:inline distT="0" distB="0" distL="0" distR="0" wp14:anchorId="1C458AEB" wp14:editId="32EF1EC1">
            <wp:extent cx="7946136" cy="6117336"/>
            <wp:effectExtent l="0" t="0" r="0" b="0"/>
            <wp:docPr id="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0" y="0"/>
                      <a:ext cx="7946136" cy="6117336"/>
                    </a:xfrm>
                    <a:prstGeom prst="rect">
                      <a:avLst/>
                    </a:prstGeom>
                  </pic:spPr>
                </pic:pic>
              </a:graphicData>
            </a:graphic>
          </wp:inline>
        </w:drawing>
      </w:r>
    </w:p>
    <w:p w:rsidR="0015682A" w:rsidRDefault="00FA6C33" w:rsidP="00796916">
      <w:pPr>
        <w:pStyle w:val="Heading3"/>
        <w:framePr w:wrap="around"/>
        <w:spacing w:before="0"/>
      </w:pPr>
      <w:bookmarkStart w:id="581" w:name="_Toc421608584"/>
      <w:bookmarkStart w:id="582" w:name="_Toc421609402"/>
      <w:bookmarkStart w:id="583" w:name="_Toc421609736"/>
      <w:bookmarkStart w:id="584" w:name="_Toc421611262"/>
      <w:bookmarkStart w:id="585" w:name="_Toc439918880"/>
      <w:r>
        <w:lastRenderedPageBreak/>
        <w:t>6</w:t>
      </w:r>
      <w:r w:rsidR="00FA1685">
        <w:t xml:space="preserve">. </w:t>
      </w:r>
      <w:r w:rsidR="00B72226" w:rsidRPr="0015682A">
        <w:t xml:space="preserve">Age-adjusted Cancer </w:t>
      </w:r>
      <w:r w:rsidR="00B72226">
        <w:t xml:space="preserve">Incidence and Mortality Rates </w:t>
      </w:r>
      <w:r w:rsidR="00B72226" w:rsidRPr="0015682A">
        <w:t>by Resident County</w:t>
      </w:r>
      <w:r w:rsidR="0015682A" w:rsidRPr="0015682A">
        <w:t xml:space="preserve">, </w:t>
      </w:r>
      <w:r w:rsidR="0015682A">
        <w:t>Colon and Rectum</w:t>
      </w:r>
      <w:r w:rsidR="0015682A" w:rsidRPr="0015682A">
        <w:t xml:space="preserve">, Tennessee, </w:t>
      </w:r>
      <w:r w:rsidR="00D1325B">
        <w:t>200</w:t>
      </w:r>
      <w:r w:rsidR="00221700">
        <w:t>8</w:t>
      </w:r>
      <w:r w:rsidR="00D1325B">
        <w:t>-201</w:t>
      </w:r>
      <w:bookmarkEnd w:id="581"/>
      <w:bookmarkEnd w:id="582"/>
      <w:bookmarkEnd w:id="583"/>
      <w:bookmarkEnd w:id="584"/>
      <w:r w:rsidR="00221700">
        <w:t>2</w:t>
      </w:r>
      <w:bookmarkEnd w:id="585"/>
    </w:p>
    <w:p w:rsidR="003F39F8" w:rsidRDefault="00221700" w:rsidP="0080309C">
      <w:pPr>
        <w:jc w:val="center"/>
      </w:pPr>
      <w:r>
        <w:rPr>
          <w:noProof/>
          <w:lang w:bidi="ar-SA"/>
        </w:rPr>
        <w:drawing>
          <wp:inline distT="0" distB="0" distL="0" distR="0" wp14:anchorId="1A7BB399" wp14:editId="16A5B420">
            <wp:extent cx="7918704" cy="6117336"/>
            <wp:effectExtent l="0" t="0" r="635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7">
                      <a:extLst>
                        <a:ext uri="{28A0092B-C50C-407E-A947-70E740481C1C}">
                          <a14:useLocalDpi xmlns:a14="http://schemas.microsoft.com/office/drawing/2010/main" val="0"/>
                        </a:ext>
                      </a:extLst>
                    </a:blip>
                    <a:stretch>
                      <a:fillRect/>
                    </a:stretch>
                  </pic:blipFill>
                  <pic:spPr>
                    <a:xfrm>
                      <a:off x="0" y="0"/>
                      <a:ext cx="7918704" cy="6117336"/>
                    </a:xfrm>
                    <a:prstGeom prst="rect">
                      <a:avLst/>
                    </a:prstGeom>
                  </pic:spPr>
                </pic:pic>
              </a:graphicData>
            </a:graphic>
          </wp:inline>
        </w:drawing>
      </w:r>
    </w:p>
    <w:p w:rsidR="0015682A" w:rsidRDefault="00C127D5" w:rsidP="00796916">
      <w:pPr>
        <w:pStyle w:val="Heading3"/>
        <w:framePr w:wrap="around"/>
        <w:spacing w:before="0"/>
      </w:pPr>
      <w:bookmarkStart w:id="586" w:name="_Toc421608585"/>
      <w:bookmarkStart w:id="587" w:name="_Toc421609403"/>
      <w:bookmarkStart w:id="588" w:name="_Toc421609737"/>
      <w:bookmarkStart w:id="589" w:name="_Toc421611263"/>
      <w:bookmarkStart w:id="590" w:name="_Toc439918881"/>
      <w:r>
        <w:lastRenderedPageBreak/>
        <w:t>7</w:t>
      </w:r>
      <w:r w:rsidR="00FA1685">
        <w:t xml:space="preserve">. </w:t>
      </w:r>
      <w:r w:rsidR="00B72226" w:rsidRPr="0015682A">
        <w:t xml:space="preserve">Age-adjusted Cancer </w:t>
      </w:r>
      <w:r w:rsidR="00B72226" w:rsidRPr="00656D3B">
        <w:t>Incidence</w:t>
      </w:r>
      <w:r w:rsidR="00B72226">
        <w:t xml:space="preserve"> and Mortality Rates </w:t>
      </w:r>
      <w:r w:rsidR="00B72226" w:rsidRPr="0015682A">
        <w:t>by Resident County</w:t>
      </w:r>
      <w:r w:rsidR="0015682A" w:rsidRPr="0015682A">
        <w:t xml:space="preserve">, </w:t>
      </w:r>
      <w:r w:rsidR="0015682A">
        <w:t>Melanoma of the Skin</w:t>
      </w:r>
      <w:r w:rsidR="0015682A" w:rsidRPr="0015682A">
        <w:t xml:space="preserve">, Tennessee, </w:t>
      </w:r>
      <w:r w:rsidR="00D1325B">
        <w:t>200</w:t>
      </w:r>
      <w:r w:rsidR="00221700">
        <w:t>8</w:t>
      </w:r>
      <w:r w:rsidR="00D1325B">
        <w:t>-201</w:t>
      </w:r>
      <w:bookmarkEnd w:id="586"/>
      <w:bookmarkEnd w:id="587"/>
      <w:bookmarkEnd w:id="588"/>
      <w:bookmarkEnd w:id="589"/>
      <w:r w:rsidR="00221700">
        <w:t>2</w:t>
      </w:r>
      <w:bookmarkEnd w:id="590"/>
    </w:p>
    <w:p w:rsidR="002414D2" w:rsidRDefault="00221700" w:rsidP="0080309C">
      <w:pPr>
        <w:jc w:val="center"/>
      </w:pPr>
      <w:r w:rsidRPr="00221700">
        <w:rPr>
          <w:noProof/>
          <w:lang w:bidi="ar-SA"/>
        </w:rPr>
        <w:drawing>
          <wp:inline distT="0" distB="0" distL="0" distR="0" wp14:anchorId="6DFBE44C" wp14:editId="73722C0C">
            <wp:extent cx="7918704" cy="6117336"/>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8">
                      <a:extLst>
                        <a:ext uri="{28A0092B-C50C-407E-A947-70E740481C1C}">
                          <a14:useLocalDpi xmlns:a14="http://schemas.microsoft.com/office/drawing/2010/main" val="0"/>
                        </a:ext>
                      </a:extLst>
                    </a:blip>
                    <a:stretch>
                      <a:fillRect/>
                    </a:stretch>
                  </pic:blipFill>
                  <pic:spPr>
                    <a:xfrm>
                      <a:off x="0" y="0"/>
                      <a:ext cx="7918704" cy="6117336"/>
                    </a:xfrm>
                    <a:prstGeom prst="rect">
                      <a:avLst/>
                    </a:prstGeom>
                  </pic:spPr>
                </pic:pic>
              </a:graphicData>
            </a:graphic>
          </wp:inline>
        </w:drawing>
      </w:r>
    </w:p>
    <w:p w:rsidR="0015682A" w:rsidRDefault="007743A2" w:rsidP="00796916">
      <w:pPr>
        <w:pStyle w:val="Heading3"/>
        <w:framePr w:wrap="around"/>
        <w:spacing w:before="0"/>
      </w:pPr>
      <w:bookmarkStart w:id="591" w:name="_Toc421608586"/>
      <w:bookmarkStart w:id="592" w:name="_Toc421609404"/>
      <w:bookmarkStart w:id="593" w:name="_Toc421609738"/>
      <w:bookmarkStart w:id="594" w:name="_Toc421611264"/>
      <w:bookmarkStart w:id="595" w:name="_Toc439918882"/>
      <w:r w:rsidRPr="00656D3B">
        <w:lastRenderedPageBreak/>
        <w:t>8</w:t>
      </w:r>
      <w:r w:rsidR="00FA1685" w:rsidRPr="00656D3B">
        <w:t>.</w:t>
      </w:r>
      <w:r w:rsidR="00B72226" w:rsidRPr="00656D3B">
        <w:t xml:space="preserve"> Age-adjusted Cancer Incidence and Mortality Rates by Resident County</w:t>
      </w:r>
      <w:r w:rsidR="0015682A" w:rsidRPr="00656D3B">
        <w:t xml:space="preserve">, Pancreas, Tennessee, </w:t>
      </w:r>
      <w:r w:rsidR="00D1325B">
        <w:t>200</w:t>
      </w:r>
      <w:r w:rsidR="00221700">
        <w:t>8</w:t>
      </w:r>
      <w:r w:rsidR="00D1325B">
        <w:t>-201</w:t>
      </w:r>
      <w:bookmarkEnd w:id="591"/>
      <w:bookmarkEnd w:id="592"/>
      <w:bookmarkEnd w:id="593"/>
      <w:bookmarkEnd w:id="594"/>
      <w:r w:rsidR="00221700">
        <w:t>2</w:t>
      </w:r>
      <w:bookmarkEnd w:id="595"/>
    </w:p>
    <w:p w:rsidR="00FD385A" w:rsidRDefault="00FD385A" w:rsidP="00796916">
      <w:pPr>
        <w:spacing w:before="0"/>
        <w:jc w:val="center"/>
      </w:pPr>
    </w:p>
    <w:p w:rsidR="00221700" w:rsidRDefault="00221700" w:rsidP="00796916">
      <w:pPr>
        <w:spacing w:before="0" w:after="0"/>
        <w:jc w:val="center"/>
        <w:sectPr w:rsidR="00221700" w:rsidSect="00F2283B">
          <w:pgSz w:w="15840" w:h="12240" w:orient="landscape" w:code="1"/>
          <w:pgMar w:top="720" w:right="720" w:bottom="720" w:left="720" w:header="720" w:footer="720" w:gutter="0"/>
          <w:pgNumType w:fmt="numberInDash"/>
          <w:cols w:space="720"/>
          <w:docGrid w:linePitch="360"/>
        </w:sectPr>
      </w:pPr>
      <w:r w:rsidRPr="00221700">
        <w:rPr>
          <w:noProof/>
          <w:lang w:bidi="ar-SA"/>
        </w:rPr>
        <w:drawing>
          <wp:inline distT="0" distB="0" distL="0" distR="0" wp14:anchorId="7E10AC89" wp14:editId="60B7FE6D">
            <wp:extent cx="8037576" cy="6117336"/>
            <wp:effectExtent l="0" t="0" r="1905"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0" y="0"/>
                      <a:ext cx="8037576" cy="6117336"/>
                    </a:xfrm>
                    <a:prstGeom prst="rect">
                      <a:avLst/>
                    </a:prstGeom>
                  </pic:spPr>
                </pic:pic>
              </a:graphicData>
            </a:graphic>
          </wp:inline>
        </w:drawing>
      </w:r>
    </w:p>
    <w:bookmarkStart w:id="596" w:name="_Toc421608587"/>
    <w:bookmarkStart w:id="597" w:name="_Toc421609405"/>
    <w:bookmarkStart w:id="598" w:name="_Toc421609739"/>
    <w:bookmarkStart w:id="599" w:name="_Toc421611265"/>
    <w:p w:rsidR="00A84F8A" w:rsidRDefault="00A84F8A" w:rsidP="00A84F8A">
      <w:pPr>
        <w:jc w:val="center"/>
      </w:pPr>
      <w:r>
        <w:rPr>
          <w:noProof/>
          <w:lang w:bidi="ar-SA"/>
        </w:rPr>
        <w:lastRenderedPageBreak/>
        <mc:AlternateContent>
          <mc:Choice Requires="wps">
            <w:drawing>
              <wp:anchor distT="0" distB="0" distL="114300" distR="114300" simplePos="0" relativeHeight="252288000" behindDoc="0" locked="0" layoutInCell="1" allowOverlap="1" wp14:anchorId="0DA882C7" wp14:editId="14ADC458">
                <wp:simplePos x="0" y="0"/>
                <wp:positionH relativeFrom="column">
                  <wp:posOffset>0</wp:posOffset>
                </wp:positionH>
                <wp:positionV relativeFrom="paragraph">
                  <wp:posOffset>-154940</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2288000;visibility:visible;mso-wrap-style:square;mso-wrap-distance-left:9pt;mso-wrap-distance-top:0;mso-wrap-distance-right:9pt;mso-wrap-distance-bottom:0;mso-position-horizontal:absolute;mso-position-horizontal-relative:text;mso-position-vertical:absolute;mso-position-vertical-relative:text" from="0,-12.2pt" to="54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" strokecolor="#1b587c [3206]"/>
            </w:pict>
          </mc:Fallback>
        </mc:AlternateContent>
      </w:r>
    </w:p>
    <w:p w:rsidR="00A84F8A" w:rsidRDefault="00A84F8A" w:rsidP="00A84F8A">
      <w:pPr>
        <w:jc w:val="center"/>
      </w:pPr>
    </w:p>
    <w:p w:rsidR="00A84F8A" w:rsidRDefault="00A84F8A" w:rsidP="00A84F8A">
      <w:pPr>
        <w:jc w:val="center"/>
      </w:pPr>
    </w:p>
    <w:p w:rsidR="00A84F8A" w:rsidRDefault="00A84F8A" w:rsidP="00A84F8A">
      <w:pPr>
        <w:jc w:val="center"/>
      </w:pPr>
    </w:p>
    <w:p w:rsidR="00A84F8A" w:rsidRDefault="00A84F8A" w:rsidP="00A84F8A">
      <w:pPr>
        <w:jc w:val="center"/>
      </w:pPr>
    </w:p>
    <w:p w:rsidR="00A84F8A" w:rsidRDefault="00A84F8A" w:rsidP="00A84F8A">
      <w:pPr>
        <w:jc w:val="center"/>
      </w:pPr>
    </w:p>
    <w:p w:rsidR="00A84F8A" w:rsidRDefault="00A84F8A" w:rsidP="00A84F8A">
      <w:pPr>
        <w:jc w:val="center"/>
      </w:pPr>
    </w:p>
    <w:p w:rsidR="00A84F8A" w:rsidRDefault="00A84F8A" w:rsidP="00A84F8A">
      <w:pPr>
        <w:jc w:val="center"/>
      </w:pPr>
    </w:p>
    <w:p w:rsidR="00A84F8A" w:rsidRDefault="00A84F8A" w:rsidP="00A84F8A">
      <w:pPr>
        <w:jc w:val="center"/>
      </w:pPr>
    </w:p>
    <w:p w:rsidR="00A84F8A" w:rsidRDefault="00A84F8A" w:rsidP="00A84F8A">
      <w:pPr>
        <w:jc w:val="center"/>
      </w:pPr>
    </w:p>
    <w:p w:rsidR="00A84F8A" w:rsidRDefault="00A84F8A" w:rsidP="00A84F8A">
      <w:pPr>
        <w:jc w:val="center"/>
      </w:pPr>
    </w:p>
    <w:p w:rsidR="00A84F8A" w:rsidRDefault="00A84F8A" w:rsidP="00A84F8A">
      <w:pPr>
        <w:jc w:val="center"/>
      </w:pPr>
    </w:p>
    <w:p w:rsidR="00A84F8A" w:rsidRDefault="00A84F8A" w:rsidP="00A84F8A">
      <w:pPr>
        <w:jc w:val="center"/>
      </w:pPr>
    </w:p>
    <w:p w:rsidR="00A84F8A" w:rsidRPr="00A84F8A" w:rsidRDefault="00A84F8A" w:rsidP="00A84F8A">
      <w:pPr>
        <w:jc w:val="center"/>
        <w:rPr>
          <w:b/>
          <w:sz w:val="52"/>
        </w:rPr>
      </w:pPr>
      <w:r w:rsidRPr="00A84F8A">
        <w:rPr>
          <w:b/>
          <w:sz w:val="52"/>
        </w:rPr>
        <w:t>Tables</w:t>
      </w:r>
    </w:p>
    <w:p w:rsidR="00A84F8A" w:rsidRDefault="00A84F8A">
      <w:pPr>
        <w:rPr>
          <w:rFonts w:asciiTheme="majorHAnsi" w:hAnsiTheme="majorHAnsi"/>
          <w:b/>
          <w:bCs/>
          <w:caps/>
          <w:color w:val="FFFFFF" w:themeColor="background1"/>
          <w:spacing w:val="15"/>
          <w:sz w:val="28"/>
          <w:szCs w:val="22"/>
        </w:rPr>
      </w:pPr>
      <w:r>
        <w:rPr>
          <w:noProof/>
          <w:lang w:bidi="ar-SA"/>
        </w:rPr>
        <mc:AlternateContent>
          <mc:Choice Requires="wps">
            <w:drawing>
              <wp:anchor distT="0" distB="0" distL="114300" distR="114300" simplePos="0" relativeHeight="252290048" behindDoc="0" locked="0" layoutInCell="1" allowOverlap="1" wp14:anchorId="69521259" wp14:editId="0C96CAE2">
                <wp:simplePos x="0" y="0"/>
                <wp:positionH relativeFrom="column">
                  <wp:posOffset>1270</wp:posOffset>
                </wp:positionH>
                <wp:positionV relativeFrom="paragraph">
                  <wp:posOffset>4201160</wp:posOffset>
                </wp:positionV>
                <wp:extent cx="6858000" cy="0"/>
                <wp:effectExtent l="0" t="0" r="19050" b="19050"/>
                <wp:wrapNone/>
                <wp:docPr id="308" name="Straight Connector 308"/>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 o:spid="_x0000_s1026" style="position:absolute;z-index:252290048;visibility:visible;mso-wrap-style:square;mso-wrap-distance-left:9pt;mso-wrap-distance-top:0;mso-wrap-distance-right:9pt;mso-wrap-distance-bottom:0;mso-position-horizontal:absolute;mso-position-horizontal-relative:text;mso-position-vertical:absolute;mso-position-vertical-relative:text" from=".1pt,330.8pt" to="540.1pt,3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" strokecolor="#1b587c [3206]"/>
            </w:pict>
          </mc:Fallback>
        </mc:AlternateContent>
      </w:r>
      <w:r>
        <w:br w:type="page"/>
      </w:r>
    </w:p>
    <w:p w:rsidR="009C15EF" w:rsidRDefault="001B7F2C" w:rsidP="007E49D7">
      <w:pPr>
        <w:pStyle w:val="Heading1"/>
      </w:pPr>
      <w:bookmarkStart w:id="600" w:name="_Toc439918883"/>
      <w:r>
        <w:lastRenderedPageBreak/>
        <w:t>Tables</w:t>
      </w:r>
      <w:bookmarkStart w:id="601" w:name="_Table_1:_2012"/>
      <w:bookmarkStart w:id="602" w:name="_Table_1._Leading"/>
      <w:bookmarkEnd w:id="596"/>
      <w:bookmarkEnd w:id="597"/>
      <w:bookmarkEnd w:id="598"/>
      <w:bookmarkEnd w:id="599"/>
      <w:bookmarkEnd w:id="600"/>
      <w:bookmarkEnd w:id="601"/>
      <w:bookmarkEnd w:id="602"/>
    </w:p>
    <w:p w:rsidR="00583ED3" w:rsidRPr="00976CBD" w:rsidRDefault="004657C2" w:rsidP="00E1718D">
      <w:pPr>
        <w:pStyle w:val="Heading2"/>
        <w:spacing w:after="0"/>
      </w:pPr>
      <w:bookmarkStart w:id="603" w:name="_Toc421608591"/>
      <w:bookmarkStart w:id="604" w:name="_Toc421609409"/>
      <w:bookmarkStart w:id="605" w:name="_Toc421609743"/>
      <w:bookmarkStart w:id="606" w:name="_Toc421611269"/>
      <w:bookmarkStart w:id="607" w:name="_Toc439918884"/>
      <w:proofErr w:type="gramStart"/>
      <w:r w:rsidRPr="00976CBD">
        <w:t xml:space="preserve">Table </w:t>
      </w:r>
      <w:r w:rsidR="007E49D7">
        <w:t>1</w:t>
      </w:r>
      <w:r w:rsidR="00F67AE2" w:rsidRPr="00976CBD">
        <w:t>.</w:t>
      </w:r>
      <w:proofErr w:type="gramEnd"/>
      <w:r w:rsidRPr="00976CBD">
        <w:t xml:space="preserve"> </w:t>
      </w:r>
      <w:r w:rsidR="00010712" w:rsidRPr="00976CBD">
        <w:t xml:space="preserve">Number of Deaths and </w:t>
      </w:r>
      <w:r w:rsidRPr="00976CBD">
        <w:t>Years of</w:t>
      </w:r>
      <w:r w:rsidR="00106BF1" w:rsidRPr="00976CBD">
        <w:t xml:space="preserve"> </w:t>
      </w:r>
      <w:r w:rsidR="00F3086B" w:rsidRPr="00976CBD">
        <w:t>P</w:t>
      </w:r>
      <w:r w:rsidR="00106BF1" w:rsidRPr="00976CBD">
        <w:t>otential</w:t>
      </w:r>
      <w:r w:rsidRPr="00976CBD">
        <w:t xml:space="preserve"> Life Lost</w:t>
      </w:r>
      <w:r w:rsidR="00EA42B7" w:rsidRPr="00976CBD">
        <w:t>,</w:t>
      </w:r>
      <w:r w:rsidRPr="00976CBD">
        <w:t xml:space="preserve"> </w:t>
      </w:r>
      <w:r w:rsidR="00EA42B7" w:rsidRPr="00976CBD">
        <w:t>By Gender and Race</w:t>
      </w:r>
      <w:r w:rsidR="006B6F2C" w:rsidRPr="00976CBD">
        <w:t xml:space="preserve">, </w:t>
      </w:r>
      <w:r w:rsidR="008B0792" w:rsidRPr="00976CBD">
        <w:t xml:space="preserve">Tennessee, </w:t>
      </w:r>
      <w:r w:rsidR="006B6F2C" w:rsidRPr="00976CBD">
        <w:t>2008-2012</w:t>
      </w:r>
      <w:bookmarkStart w:id="608" w:name="IDX"/>
      <w:bookmarkEnd w:id="603"/>
      <w:bookmarkEnd w:id="604"/>
      <w:bookmarkEnd w:id="605"/>
      <w:bookmarkEnd w:id="606"/>
      <w:bookmarkEnd w:id="607"/>
      <w:bookmarkEnd w:id="608"/>
    </w:p>
    <w:tbl>
      <w:tblPr>
        <w:tblStyle w:val="TableGrid"/>
        <w:tblW w:w="0" w:type="auto"/>
        <w:tblLayout w:type="fixed"/>
        <w:tblLook w:val="04A0" w:firstRow="1" w:lastRow="0" w:firstColumn="1" w:lastColumn="0" w:noHBand="0" w:noVBand="1"/>
      </w:tblPr>
      <w:tblGrid>
        <w:gridCol w:w="1101"/>
        <w:gridCol w:w="1102"/>
        <w:gridCol w:w="1101"/>
        <w:gridCol w:w="1102"/>
        <w:gridCol w:w="1102"/>
        <w:gridCol w:w="1101"/>
        <w:gridCol w:w="1102"/>
        <w:gridCol w:w="1101"/>
        <w:gridCol w:w="1102"/>
        <w:gridCol w:w="1102"/>
      </w:tblGrid>
      <w:tr w:rsidR="00152F80" w:rsidRPr="00152F80" w:rsidTr="003013C0">
        <w:trPr>
          <w:trHeight w:val="422"/>
        </w:trPr>
        <w:tc>
          <w:tcPr>
            <w:tcW w:w="11016" w:type="dxa"/>
            <w:gridSpan w:val="10"/>
            <w:tcBorders>
              <w:bottom w:val="single" w:sz="4" w:space="0" w:color="auto"/>
            </w:tcBorders>
            <w:shd w:val="clear" w:color="auto" w:fill="E3DED1" w:themeFill="background2"/>
            <w:noWrap/>
            <w:vAlign w:val="center"/>
            <w:hideMark/>
          </w:tcPr>
          <w:p w:rsidR="00152F80" w:rsidRPr="00152F80" w:rsidRDefault="00152F80" w:rsidP="00152F80">
            <w:pPr>
              <w:jc w:val="center"/>
              <w:rPr>
                <w:rFonts w:cstheme="minorHAnsi"/>
                <w:b/>
                <w:sz w:val="18"/>
                <w:szCs w:val="18"/>
              </w:rPr>
            </w:pPr>
            <w:r w:rsidRPr="00152F80">
              <w:rPr>
                <w:rFonts w:cstheme="minorHAnsi"/>
                <w:b/>
                <w:sz w:val="18"/>
                <w:szCs w:val="18"/>
              </w:rPr>
              <w:t>Number of Deaths &amp; Years of Potential Life Lost to Cancer, by Gender and Race</w:t>
            </w:r>
          </w:p>
        </w:tc>
      </w:tr>
      <w:tr w:rsidR="00152F80" w:rsidRPr="00152F80" w:rsidTr="003013C0">
        <w:trPr>
          <w:trHeight w:val="300"/>
        </w:trPr>
        <w:tc>
          <w:tcPr>
            <w:tcW w:w="1101" w:type="dxa"/>
            <w:tcBorders>
              <w:bottom w:val="single" w:sz="4" w:space="0" w:color="auto"/>
              <w:right w:val="nil"/>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Year</w:t>
            </w:r>
          </w:p>
        </w:tc>
        <w:tc>
          <w:tcPr>
            <w:tcW w:w="1102" w:type="dxa"/>
            <w:tcBorders>
              <w:left w:val="nil"/>
              <w:bottom w:val="single" w:sz="4" w:space="0" w:color="auto"/>
              <w:right w:val="nil"/>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Total</w:t>
            </w:r>
          </w:p>
        </w:tc>
        <w:tc>
          <w:tcPr>
            <w:tcW w:w="1101" w:type="dxa"/>
            <w:tcBorders>
              <w:left w:val="nil"/>
              <w:bottom w:val="single" w:sz="4" w:space="0" w:color="auto"/>
              <w:right w:val="nil"/>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Female</w:t>
            </w:r>
          </w:p>
        </w:tc>
        <w:tc>
          <w:tcPr>
            <w:tcW w:w="1102" w:type="dxa"/>
            <w:tcBorders>
              <w:left w:val="nil"/>
              <w:bottom w:val="single" w:sz="4" w:space="0" w:color="auto"/>
              <w:right w:val="nil"/>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Male</w:t>
            </w:r>
          </w:p>
        </w:tc>
        <w:tc>
          <w:tcPr>
            <w:tcW w:w="1102" w:type="dxa"/>
            <w:tcBorders>
              <w:left w:val="nil"/>
              <w:bottom w:val="single" w:sz="4" w:space="0" w:color="auto"/>
              <w:right w:val="nil"/>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Black</w:t>
            </w:r>
          </w:p>
        </w:tc>
        <w:tc>
          <w:tcPr>
            <w:tcW w:w="1101" w:type="dxa"/>
            <w:tcBorders>
              <w:left w:val="nil"/>
              <w:bottom w:val="single" w:sz="4" w:space="0" w:color="auto"/>
              <w:right w:val="nil"/>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White</w:t>
            </w:r>
          </w:p>
        </w:tc>
        <w:tc>
          <w:tcPr>
            <w:tcW w:w="1102" w:type="dxa"/>
            <w:tcBorders>
              <w:left w:val="nil"/>
              <w:bottom w:val="single" w:sz="4" w:space="0" w:color="auto"/>
              <w:right w:val="nil"/>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 xml:space="preserve">Black </w:t>
            </w:r>
          </w:p>
          <w:p w:rsidR="00152F80" w:rsidRPr="003013C0" w:rsidRDefault="00152F80" w:rsidP="00152F80">
            <w:pPr>
              <w:jc w:val="center"/>
              <w:rPr>
                <w:rFonts w:cstheme="minorHAnsi"/>
                <w:b/>
                <w:sz w:val="16"/>
                <w:szCs w:val="18"/>
              </w:rPr>
            </w:pPr>
            <w:r w:rsidRPr="003013C0">
              <w:rPr>
                <w:rFonts w:cstheme="minorHAnsi"/>
                <w:b/>
                <w:sz w:val="16"/>
                <w:szCs w:val="18"/>
              </w:rPr>
              <w:t>Female</w:t>
            </w:r>
          </w:p>
        </w:tc>
        <w:tc>
          <w:tcPr>
            <w:tcW w:w="1101" w:type="dxa"/>
            <w:tcBorders>
              <w:left w:val="nil"/>
              <w:bottom w:val="single" w:sz="4" w:space="0" w:color="auto"/>
              <w:right w:val="nil"/>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 xml:space="preserve">Black </w:t>
            </w:r>
          </w:p>
          <w:p w:rsidR="00152F80" w:rsidRPr="003013C0" w:rsidRDefault="00152F80" w:rsidP="00152F80">
            <w:pPr>
              <w:jc w:val="center"/>
              <w:rPr>
                <w:rFonts w:cstheme="minorHAnsi"/>
                <w:b/>
                <w:sz w:val="16"/>
                <w:szCs w:val="18"/>
              </w:rPr>
            </w:pPr>
            <w:r w:rsidRPr="003013C0">
              <w:rPr>
                <w:rFonts w:cstheme="minorHAnsi"/>
                <w:b/>
                <w:sz w:val="16"/>
                <w:szCs w:val="18"/>
              </w:rPr>
              <w:t>Male</w:t>
            </w:r>
          </w:p>
        </w:tc>
        <w:tc>
          <w:tcPr>
            <w:tcW w:w="1102" w:type="dxa"/>
            <w:tcBorders>
              <w:left w:val="nil"/>
              <w:bottom w:val="single" w:sz="4" w:space="0" w:color="auto"/>
              <w:right w:val="nil"/>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 xml:space="preserve">White </w:t>
            </w:r>
          </w:p>
          <w:p w:rsidR="00152F80" w:rsidRPr="003013C0" w:rsidRDefault="00152F80" w:rsidP="00152F80">
            <w:pPr>
              <w:jc w:val="center"/>
              <w:rPr>
                <w:rFonts w:cstheme="minorHAnsi"/>
                <w:b/>
                <w:sz w:val="16"/>
                <w:szCs w:val="18"/>
              </w:rPr>
            </w:pPr>
            <w:r w:rsidRPr="003013C0">
              <w:rPr>
                <w:rFonts w:cstheme="minorHAnsi"/>
                <w:b/>
                <w:sz w:val="16"/>
                <w:szCs w:val="18"/>
              </w:rPr>
              <w:t>Female</w:t>
            </w:r>
          </w:p>
        </w:tc>
        <w:tc>
          <w:tcPr>
            <w:tcW w:w="1102" w:type="dxa"/>
            <w:tcBorders>
              <w:left w:val="nil"/>
              <w:bottom w:val="single" w:sz="4" w:space="0" w:color="auto"/>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 xml:space="preserve">White </w:t>
            </w:r>
          </w:p>
          <w:p w:rsidR="00152F80" w:rsidRPr="003013C0" w:rsidRDefault="00152F80" w:rsidP="00152F80">
            <w:pPr>
              <w:jc w:val="center"/>
              <w:rPr>
                <w:rFonts w:cstheme="minorHAnsi"/>
                <w:b/>
                <w:sz w:val="16"/>
                <w:szCs w:val="18"/>
              </w:rPr>
            </w:pPr>
            <w:r w:rsidRPr="003013C0">
              <w:rPr>
                <w:rFonts w:cstheme="minorHAnsi"/>
                <w:b/>
                <w:sz w:val="16"/>
                <w:szCs w:val="18"/>
              </w:rPr>
              <w:t>Male</w:t>
            </w:r>
          </w:p>
        </w:tc>
      </w:tr>
      <w:tr w:rsidR="00152F80" w:rsidRPr="00152F80" w:rsidTr="003013C0">
        <w:trPr>
          <w:trHeight w:val="267"/>
        </w:trPr>
        <w:tc>
          <w:tcPr>
            <w:tcW w:w="1101" w:type="dxa"/>
            <w:tcBorders>
              <w:top w:val="single" w:sz="4" w:space="0" w:color="auto"/>
              <w:bottom w:val="nil"/>
              <w:right w:val="single" w:sz="4" w:space="0" w:color="auto"/>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2008</w:t>
            </w:r>
          </w:p>
        </w:tc>
        <w:tc>
          <w:tcPr>
            <w:tcW w:w="1102" w:type="dxa"/>
            <w:tcBorders>
              <w:top w:val="single" w:sz="4" w:space="0" w:color="auto"/>
              <w:left w:val="single" w:sz="4" w:space="0" w:color="auto"/>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13,108</w:t>
            </w:r>
          </w:p>
        </w:tc>
        <w:tc>
          <w:tcPr>
            <w:tcW w:w="1101" w:type="dxa"/>
            <w:tcBorders>
              <w:top w:val="single" w:sz="4" w:space="0" w:color="auto"/>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5,958</w:t>
            </w:r>
          </w:p>
        </w:tc>
        <w:tc>
          <w:tcPr>
            <w:tcW w:w="1102" w:type="dxa"/>
            <w:tcBorders>
              <w:top w:val="single" w:sz="4" w:space="0" w:color="auto"/>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7,150</w:t>
            </w:r>
          </w:p>
        </w:tc>
        <w:tc>
          <w:tcPr>
            <w:tcW w:w="1102" w:type="dxa"/>
            <w:tcBorders>
              <w:top w:val="single" w:sz="4" w:space="0" w:color="auto"/>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1,792</w:t>
            </w:r>
          </w:p>
        </w:tc>
        <w:tc>
          <w:tcPr>
            <w:tcW w:w="1101" w:type="dxa"/>
            <w:tcBorders>
              <w:top w:val="single" w:sz="4" w:space="0" w:color="auto"/>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11,252</w:t>
            </w:r>
          </w:p>
        </w:tc>
        <w:tc>
          <w:tcPr>
            <w:tcW w:w="1102" w:type="dxa"/>
            <w:tcBorders>
              <w:top w:val="single" w:sz="4" w:space="0" w:color="auto"/>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869</w:t>
            </w:r>
          </w:p>
        </w:tc>
        <w:tc>
          <w:tcPr>
            <w:tcW w:w="1101" w:type="dxa"/>
            <w:tcBorders>
              <w:top w:val="single" w:sz="4" w:space="0" w:color="auto"/>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923</w:t>
            </w:r>
          </w:p>
        </w:tc>
        <w:tc>
          <w:tcPr>
            <w:tcW w:w="1102" w:type="dxa"/>
            <w:tcBorders>
              <w:top w:val="single" w:sz="4" w:space="0" w:color="auto"/>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5,051</w:t>
            </w:r>
          </w:p>
        </w:tc>
        <w:tc>
          <w:tcPr>
            <w:tcW w:w="1102" w:type="dxa"/>
            <w:tcBorders>
              <w:top w:val="single" w:sz="4" w:space="0" w:color="auto"/>
              <w:left w:val="nil"/>
              <w:bottom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6,201</w:t>
            </w:r>
          </w:p>
        </w:tc>
      </w:tr>
      <w:tr w:rsidR="00152F80" w:rsidRPr="00152F80" w:rsidTr="003013C0">
        <w:trPr>
          <w:trHeight w:val="267"/>
        </w:trPr>
        <w:tc>
          <w:tcPr>
            <w:tcW w:w="1101" w:type="dxa"/>
            <w:tcBorders>
              <w:top w:val="nil"/>
              <w:bottom w:val="nil"/>
              <w:right w:val="single" w:sz="4" w:space="0" w:color="auto"/>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2009</w:t>
            </w:r>
          </w:p>
        </w:tc>
        <w:tc>
          <w:tcPr>
            <w:tcW w:w="1102" w:type="dxa"/>
            <w:tcBorders>
              <w:top w:val="nil"/>
              <w:left w:val="single" w:sz="4" w:space="0" w:color="auto"/>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13,407</w:t>
            </w:r>
          </w:p>
        </w:tc>
        <w:tc>
          <w:tcPr>
            <w:tcW w:w="1101"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6,108</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7,299</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1,905</w:t>
            </w:r>
          </w:p>
        </w:tc>
        <w:tc>
          <w:tcPr>
            <w:tcW w:w="1101"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11,438</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885</w:t>
            </w:r>
          </w:p>
        </w:tc>
        <w:tc>
          <w:tcPr>
            <w:tcW w:w="1101"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1,020</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5,188</w:t>
            </w:r>
          </w:p>
        </w:tc>
        <w:tc>
          <w:tcPr>
            <w:tcW w:w="1102" w:type="dxa"/>
            <w:tcBorders>
              <w:top w:val="nil"/>
              <w:left w:val="nil"/>
              <w:bottom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6,250</w:t>
            </w:r>
          </w:p>
        </w:tc>
      </w:tr>
      <w:tr w:rsidR="00152F80" w:rsidRPr="00152F80" w:rsidTr="003013C0">
        <w:trPr>
          <w:trHeight w:val="267"/>
        </w:trPr>
        <w:tc>
          <w:tcPr>
            <w:tcW w:w="1101" w:type="dxa"/>
            <w:tcBorders>
              <w:top w:val="nil"/>
              <w:bottom w:val="nil"/>
              <w:right w:val="single" w:sz="4" w:space="0" w:color="auto"/>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2010</w:t>
            </w:r>
          </w:p>
        </w:tc>
        <w:tc>
          <w:tcPr>
            <w:tcW w:w="1102" w:type="dxa"/>
            <w:tcBorders>
              <w:top w:val="nil"/>
              <w:left w:val="single" w:sz="4" w:space="0" w:color="auto"/>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13,514</w:t>
            </w:r>
          </w:p>
        </w:tc>
        <w:tc>
          <w:tcPr>
            <w:tcW w:w="1101"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6,096</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7,418</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1,892</w:t>
            </w:r>
          </w:p>
        </w:tc>
        <w:tc>
          <w:tcPr>
            <w:tcW w:w="1101"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11,545</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908</w:t>
            </w:r>
          </w:p>
        </w:tc>
        <w:tc>
          <w:tcPr>
            <w:tcW w:w="1101"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984</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5,146</w:t>
            </w:r>
          </w:p>
        </w:tc>
        <w:tc>
          <w:tcPr>
            <w:tcW w:w="1102" w:type="dxa"/>
            <w:tcBorders>
              <w:top w:val="nil"/>
              <w:left w:val="nil"/>
              <w:bottom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6,399</w:t>
            </w:r>
          </w:p>
        </w:tc>
      </w:tr>
      <w:tr w:rsidR="00152F80" w:rsidRPr="00152F80" w:rsidTr="003013C0">
        <w:trPr>
          <w:trHeight w:val="267"/>
        </w:trPr>
        <w:tc>
          <w:tcPr>
            <w:tcW w:w="1101" w:type="dxa"/>
            <w:tcBorders>
              <w:top w:val="nil"/>
              <w:bottom w:val="nil"/>
              <w:right w:val="single" w:sz="4" w:space="0" w:color="auto"/>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2011</w:t>
            </w:r>
          </w:p>
        </w:tc>
        <w:tc>
          <w:tcPr>
            <w:tcW w:w="1102" w:type="dxa"/>
            <w:tcBorders>
              <w:top w:val="nil"/>
              <w:left w:val="single" w:sz="4" w:space="0" w:color="auto"/>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13,461</w:t>
            </w:r>
          </w:p>
        </w:tc>
        <w:tc>
          <w:tcPr>
            <w:tcW w:w="1101"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6,161</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7,300</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1,950</w:t>
            </w:r>
          </w:p>
        </w:tc>
        <w:tc>
          <w:tcPr>
            <w:tcW w:w="1101"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11,430</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920</w:t>
            </w:r>
          </w:p>
        </w:tc>
        <w:tc>
          <w:tcPr>
            <w:tcW w:w="1101"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1,030</w:t>
            </w:r>
          </w:p>
        </w:tc>
        <w:tc>
          <w:tcPr>
            <w:tcW w:w="1102" w:type="dxa"/>
            <w:tcBorders>
              <w:top w:val="nil"/>
              <w:left w:val="nil"/>
              <w:bottom w:val="nil"/>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5,197</w:t>
            </w:r>
          </w:p>
        </w:tc>
        <w:tc>
          <w:tcPr>
            <w:tcW w:w="1102" w:type="dxa"/>
            <w:tcBorders>
              <w:top w:val="nil"/>
              <w:left w:val="nil"/>
              <w:bottom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6,233</w:t>
            </w:r>
          </w:p>
        </w:tc>
      </w:tr>
      <w:tr w:rsidR="00152F80" w:rsidRPr="00152F80" w:rsidTr="003013C0">
        <w:trPr>
          <w:trHeight w:val="267"/>
        </w:trPr>
        <w:tc>
          <w:tcPr>
            <w:tcW w:w="1101" w:type="dxa"/>
            <w:tcBorders>
              <w:top w:val="nil"/>
              <w:bottom w:val="single" w:sz="4" w:space="0" w:color="auto"/>
              <w:right w:val="single" w:sz="4" w:space="0" w:color="auto"/>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2012</w:t>
            </w:r>
          </w:p>
        </w:tc>
        <w:tc>
          <w:tcPr>
            <w:tcW w:w="1102" w:type="dxa"/>
            <w:tcBorders>
              <w:top w:val="nil"/>
              <w:left w:val="single" w:sz="4" w:space="0" w:color="auto"/>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13,630</w:t>
            </w:r>
          </w:p>
        </w:tc>
        <w:tc>
          <w:tcPr>
            <w:tcW w:w="1101" w:type="dxa"/>
            <w:tcBorders>
              <w:top w:val="nil"/>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6,218</w:t>
            </w:r>
          </w:p>
        </w:tc>
        <w:tc>
          <w:tcPr>
            <w:tcW w:w="1102" w:type="dxa"/>
            <w:tcBorders>
              <w:top w:val="nil"/>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7,412</w:t>
            </w:r>
          </w:p>
        </w:tc>
        <w:tc>
          <w:tcPr>
            <w:tcW w:w="1102" w:type="dxa"/>
            <w:tcBorders>
              <w:top w:val="nil"/>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1,934</w:t>
            </w:r>
          </w:p>
        </w:tc>
        <w:tc>
          <w:tcPr>
            <w:tcW w:w="1101" w:type="dxa"/>
            <w:tcBorders>
              <w:top w:val="nil"/>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11,550</w:t>
            </w:r>
          </w:p>
        </w:tc>
        <w:tc>
          <w:tcPr>
            <w:tcW w:w="1102" w:type="dxa"/>
            <w:tcBorders>
              <w:top w:val="nil"/>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883</w:t>
            </w:r>
          </w:p>
        </w:tc>
        <w:tc>
          <w:tcPr>
            <w:tcW w:w="1101" w:type="dxa"/>
            <w:tcBorders>
              <w:top w:val="nil"/>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1,051</w:t>
            </w:r>
          </w:p>
        </w:tc>
        <w:tc>
          <w:tcPr>
            <w:tcW w:w="1102" w:type="dxa"/>
            <w:tcBorders>
              <w:top w:val="nil"/>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5,264</w:t>
            </w:r>
          </w:p>
        </w:tc>
        <w:tc>
          <w:tcPr>
            <w:tcW w:w="1102" w:type="dxa"/>
            <w:tcBorders>
              <w:top w:val="nil"/>
              <w:left w:val="nil"/>
              <w:bottom w:val="single" w:sz="4" w:space="0" w:color="auto"/>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6,286</w:t>
            </w:r>
          </w:p>
        </w:tc>
      </w:tr>
      <w:tr w:rsidR="00152F80" w:rsidRPr="00152F80" w:rsidTr="003013C0">
        <w:trPr>
          <w:trHeight w:val="267"/>
        </w:trPr>
        <w:tc>
          <w:tcPr>
            <w:tcW w:w="1101" w:type="dxa"/>
            <w:tcBorders>
              <w:top w:val="single" w:sz="4" w:space="0" w:color="auto"/>
              <w:bottom w:val="single" w:sz="4" w:space="0" w:color="auto"/>
              <w:right w:val="single" w:sz="4" w:space="0" w:color="auto"/>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2008-2012</w:t>
            </w:r>
          </w:p>
        </w:tc>
        <w:tc>
          <w:tcPr>
            <w:tcW w:w="1102" w:type="dxa"/>
            <w:tcBorders>
              <w:top w:val="single" w:sz="4" w:space="0" w:color="auto"/>
              <w:left w:val="single" w:sz="4" w:space="0" w:color="auto"/>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67,120</w:t>
            </w:r>
          </w:p>
        </w:tc>
        <w:tc>
          <w:tcPr>
            <w:tcW w:w="1101"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30,541</w:t>
            </w:r>
          </w:p>
        </w:tc>
        <w:tc>
          <w:tcPr>
            <w:tcW w:w="1102"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36,579</w:t>
            </w:r>
          </w:p>
        </w:tc>
        <w:tc>
          <w:tcPr>
            <w:tcW w:w="1102"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9,473</w:t>
            </w:r>
          </w:p>
        </w:tc>
        <w:tc>
          <w:tcPr>
            <w:tcW w:w="1101"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57,215</w:t>
            </w:r>
          </w:p>
        </w:tc>
        <w:tc>
          <w:tcPr>
            <w:tcW w:w="1102"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4,465</w:t>
            </w:r>
          </w:p>
        </w:tc>
        <w:tc>
          <w:tcPr>
            <w:tcW w:w="1101"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5,008</w:t>
            </w:r>
          </w:p>
        </w:tc>
        <w:tc>
          <w:tcPr>
            <w:tcW w:w="1102"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25,846</w:t>
            </w:r>
          </w:p>
        </w:tc>
        <w:tc>
          <w:tcPr>
            <w:tcW w:w="1102" w:type="dxa"/>
            <w:tcBorders>
              <w:top w:val="single" w:sz="4" w:space="0" w:color="auto"/>
              <w:left w:val="nil"/>
              <w:bottom w:val="single" w:sz="4" w:space="0" w:color="auto"/>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31,369</w:t>
            </w:r>
          </w:p>
        </w:tc>
      </w:tr>
      <w:tr w:rsidR="00152F80" w:rsidRPr="00152F80" w:rsidTr="00E1718D">
        <w:trPr>
          <w:trHeight w:val="267"/>
        </w:trPr>
        <w:tc>
          <w:tcPr>
            <w:tcW w:w="1101" w:type="dxa"/>
            <w:tcBorders>
              <w:top w:val="single" w:sz="4" w:space="0" w:color="auto"/>
              <w:bottom w:val="single" w:sz="4" w:space="0" w:color="auto"/>
              <w:right w:val="single" w:sz="4" w:space="0" w:color="auto"/>
            </w:tcBorders>
            <w:noWrap/>
            <w:vAlign w:val="center"/>
            <w:hideMark/>
          </w:tcPr>
          <w:p w:rsidR="00152F80" w:rsidRPr="003013C0" w:rsidRDefault="00152F80" w:rsidP="00152F80">
            <w:pPr>
              <w:jc w:val="center"/>
              <w:rPr>
                <w:rFonts w:cstheme="minorHAnsi"/>
                <w:b/>
                <w:sz w:val="16"/>
                <w:szCs w:val="18"/>
              </w:rPr>
            </w:pPr>
            <w:r w:rsidRPr="003013C0">
              <w:rPr>
                <w:rFonts w:cstheme="minorHAnsi"/>
                <w:b/>
                <w:sz w:val="16"/>
                <w:szCs w:val="18"/>
              </w:rPr>
              <w:t>YPLL</w:t>
            </w:r>
          </w:p>
        </w:tc>
        <w:tc>
          <w:tcPr>
            <w:tcW w:w="1102" w:type="dxa"/>
            <w:tcBorders>
              <w:top w:val="single" w:sz="4" w:space="0" w:color="auto"/>
              <w:left w:val="single" w:sz="4" w:space="0" w:color="auto"/>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562,818</w:t>
            </w:r>
          </w:p>
        </w:tc>
        <w:tc>
          <w:tcPr>
            <w:tcW w:w="1101"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254,652</w:t>
            </w:r>
          </w:p>
        </w:tc>
        <w:tc>
          <w:tcPr>
            <w:tcW w:w="1102"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308,139</w:t>
            </w:r>
          </w:p>
        </w:tc>
        <w:tc>
          <w:tcPr>
            <w:tcW w:w="1102"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100,524</w:t>
            </w:r>
          </w:p>
        </w:tc>
        <w:tc>
          <w:tcPr>
            <w:tcW w:w="1101"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457,100</w:t>
            </w:r>
          </w:p>
        </w:tc>
        <w:tc>
          <w:tcPr>
            <w:tcW w:w="1102"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47,130</w:t>
            </w:r>
          </w:p>
        </w:tc>
        <w:tc>
          <w:tcPr>
            <w:tcW w:w="1101"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53,379</w:t>
            </w:r>
          </w:p>
        </w:tc>
        <w:tc>
          <w:tcPr>
            <w:tcW w:w="1102" w:type="dxa"/>
            <w:tcBorders>
              <w:top w:val="single" w:sz="4" w:space="0" w:color="auto"/>
              <w:left w:val="nil"/>
              <w:bottom w:val="single" w:sz="4" w:space="0" w:color="auto"/>
              <w:right w:val="nil"/>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204,584</w:t>
            </w:r>
          </w:p>
        </w:tc>
        <w:tc>
          <w:tcPr>
            <w:tcW w:w="1102" w:type="dxa"/>
            <w:tcBorders>
              <w:top w:val="single" w:sz="4" w:space="0" w:color="auto"/>
              <w:left w:val="nil"/>
              <w:bottom w:val="single" w:sz="4" w:space="0" w:color="auto"/>
            </w:tcBorders>
            <w:noWrap/>
            <w:vAlign w:val="center"/>
            <w:hideMark/>
          </w:tcPr>
          <w:p w:rsidR="00152F80" w:rsidRPr="00152F80" w:rsidRDefault="00152F80" w:rsidP="00152F80">
            <w:pPr>
              <w:jc w:val="center"/>
              <w:rPr>
                <w:rFonts w:cstheme="minorHAnsi"/>
                <w:sz w:val="16"/>
                <w:szCs w:val="16"/>
              </w:rPr>
            </w:pPr>
            <w:r w:rsidRPr="00152F80">
              <w:rPr>
                <w:rFonts w:cstheme="minorHAnsi"/>
                <w:sz w:val="16"/>
                <w:szCs w:val="16"/>
              </w:rPr>
              <w:t>252,504</w:t>
            </w:r>
          </w:p>
        </w:tc>
      </w:tr>
      <w:tr w:rsidR="00FC0B21" w:rsidRPr="00152F80" w:rsidTr="00E1718D">
        <w:trPr>
          <w:trHeight w:val="267"/>
        </w:trPr>
        <w:tc>
          <w:tcPr>
            <w:tcW w:w="1101" w:type="dxa"/>
            <w:tcBorders>
              <w:top w:val="single" w:sz="4" w:space="0" w:color="auto"/>
              <w:bottom w:val="single" w:sz="4" w:space="0" w:color="auto"/>
              <w:right w:val="single" w:sz="4" w:space="0" w:color="auto"/>
            </w:tcBorders>
            <w:noWrap/>
            <w:vAlign w:val="center"/>
            <w:hideMark/>
          </w:tcPr>
          <w:p w:rsidR="00FC0B21" w:rsidRPr="003013C0" w:rsidRDefault="00FC0B21" w:rsidP="00152F80">
            <w:pPr>
              <w:jc w:val="center"/>
              <w:rPr>
                <w:rFonts w:cstheme="minorHAnsi"/>
                <w:b/>
                <w:sz w:val="16"/>
                <w:szCs w:val="18"/>
              </w:rPr>
            </w:pPr>
            <w:r w:rsidRPr="003013C0">
              <w:rPr>
                <w:rFonts w:cstheme="minorHAnsi"/>
                <w:b/>
                <w:sz w:val="16"/>
                <w:szCs w:val="18"/>
              </w:rPr>
              <w:t>AYLL</w:t>
            </w:r>
          </w:p>
        </w:tc>
        <w:tc>
          <w:tcPr>
            <w:tcW w:w="1102" w:type="dxa"/>
            <w:tcBorders>
              <w:top w:val="single" w:sz="4" w:space="0" w:color="auto"/>
              <w:left w:val="single" w:sz="4" w:space="0" w:color="auto"/>
              <w:bottom w:val="single" w:sz="4" w:space="0" w:color="auto"/>
              <w:right w:val="nil"/>
            </w:tcBorders>
            <w:noWrap/>
            <w:vAlign w:val="center"/>
            <w:hideMark/>
          </w:tcPr>
          <w:p w:rsidR="00FC0B21" w:rsidRPr="00FC0B21" w:rsidRDefault="00FC0B21">
            <w:pPr>
              <w:jc w:val="center"/>
              <w:rPr>
                <w:rFonts w:ascii="Calibri" w:hAnsi="Calibri" w:cs="Calibri"/>
                <w:color w:val="000000"/>
                <w:sz w:val="16"/>
                <w:szCs w:val="16"/>
              </w:rPr>
            </w:pPr>
            <w:r w:rsidRPr="00FC0B21">
              <w:rPr>
                <w:rFonts w:ascii="Calibri" w:hAnsi="Calibri" w:cs="Calibri"/>
                <w:color w:val="000000"/>
                <w:sz w:val="16"/>
                <w:szCs w:val="16"/>
              </w:rPr>
              <w:t>8.4</w:t>
            </w:r>
          </w:p>
        </w:tc>
        <w:tc>
          <w:tcPr>
            <w:tcW w:w="1101" w:type="dxa"/>
            <w:tcBorders>
              <w:top w:val="single" w:sz="4" w:space="0" w:color="auto"/>
              <w:left w:val="nil"/>
              <w:bottom w:val="single" w:sz="4" w:space="0" w:color="auto"/>
              <w:right w:val="nil"/>
            </w:tcBorders>
            <w:noWrap/>
            <w:vAlign w:val="center"/>
            <w:hideMark/>
          </w:tcPr>
          <w:p w:rsidR="00FC0B21" w:rsidRPr="00152F80" w:rsidRDefault="00FC0B21" w:rsidP="00152F80">
            <w:pPr>
              <w:jc w:val="center"/>
              <w:rPr>
                <w:rFonts w:cstheme="minorHAnsi"/>
                <w:sz w:val="16"/>
                <w:szCs w:val="16"/>
              </w:rPr>
            </w:pPr>
            <w:r>
              <w:rPr>
                <w:rFonts w:cstheme="minorHAnsi"/>
                <w:sz w:val="16"/>
                <w:szCs w:val="16"/>
              </w:rPr>
              <w:t>8.3</w:t>
            </w:r>
          </w:p>
        </w:tc>
        <w:tc>
          <w:tcPr>
            <w:tcW w:w="1102" w:type="dxa"/>
            <w:tcBorders>
              <w:top w:val="single" w:sz="4" w:space="0" w:color="auto"/>
              <w:left w:val="nil"/>
              <w:bottom w:val="single" w:sz="4" w:space="0" w:color="auto"/>
              <w:right w:val="nil"/>
            </w:tcBorders>
            <w:noWrap/>
            <w:vAlign w:val="center"/>
            <w:hideMark/>
          </w:tcPr>
          <w:p w:rsidR="00FC0B21" w:rsidRPr="00152F80" w:rsidRDefault="00FC0B21" w:rsidP="00FC0B21">
            <w:pPr>
              <w:jc w:val="center"/>
              <w:rPr>
                <w:rFonts w:cstheme="minorHAnsi"/>
                <w:sz w:val="16"/>
                <w:szCs w:val="16"/>
              </w:rPr>
            </w:pPr>
            <w:r w:rsidRPr="00152F80">
              <w:rPr>
                <w:rFonts w:cstheme="minorHAnsi"/>
                <w:sz w:val="16"/>
                <w:szCs w:val="16"/>
              </w:rPr>
              <w:t>8.4</w:t>
            </w:r>
          </w:p>
        </w:tc>
        <w:tc>
          <w:tcPr>
            <w:tcW w:w="1102" w:type="dxa"/>
            <w:tcBorders>
              <w:top w:val="single" w:sz="4" w:space="0" w:color="auto"/>
              <w:left w:val="nil"/>
              <w:bottom w:val="single" w:sz="4" w:space="0" w:color="auto"/>
              <w:right w:val="nil"/>
            </w:tcBorders>
            <w:noWrap/>
            <w:vAlign w:val="center"/>
            <w:hideMark/>
          </w:tcPr>
          <w:p w:rsidR="00FC0B21" w:rsidRPr="00152F80" w:rsidRDefault="00FC0B21" w:rsidP="00FC0B21">
            <w:pPr>
              <w:jc w:val="center"/>
              <w:rPr>
                <w:rFonts w:cstheme="minorHAnsi"/>
                <w:sz w:val="16"/>
                <w:szCs w:val="16"/>
              </w:rPr>
            </w:pPr>
            <w:r w:rsidRPr="00152F80">
              <w:rPr>
                <w:rFonts w:cstheme="minorHAnsi"/>
                <w:sz w:val="16"/>
                <w:szCs w:val="16"/>
              </w:rPr>
              <w:t>10.6</w:t>
            </w:r>
          </w:p>
        </w:tc>
        <w:tc>
          <w:tcPr>
            <w:tcW w:w="1101" w:type="dxa"/>
            <w:tcBorders>
              <w:top w:val="single" w:sz="4" w:space="0" w:color="auto"/>
              <w:left w:val="nil"/>
              <w:bottom w:val="single" w:sz="4" w:space="0" w:color="auto"/>
              <w:right w:val="nil"/>
            </w:tcBorders>
            <w:noWrap/>
            <w:vAlign w:val="center"/>
            <w:hideMark/>
          </w:tcPr>
          <w:p w:rsidR="00FC0B21" w:rsidRPr="00152F80" w:rsidRDefault="00FC0B21" w:rsidP="00FC0B21">
            <w:pPr>
              <w:jc w:val="center"/>
              <w:rPr>
                <w:rFonts w:cstheme="minorHAnsi"/>
                <w:sz w:val="16"/>
                <w:szCs w:val="16"/>
              </w:rPr>
            </w:pPr>
            <w:r>
              <w:rPr>
                <w:rFonts w:cstheme="minorHAnsi"/>
                <w:sz w:val="16"/>
                <w:szCs w:val="16"/>
              </w:rPr>
              <w:t>8.0</w:t>
            </w:r>
          </w:p>
        </w:tc>
        <w:tc>
          <w:tcPr>
            <w:tcW w:w="1102" w:type="dxa"/>
            <w:tcBorders>
              <w:top w:val="single" w:sz="4" w:space="0" w:color="auto"/>
              <w:left w:val="nil"/>
              <w:bottom w:val="single" w:sz="4" w:space="0" w:color="auto"/>
              <w:right w:val="nil"/>
            </w:tcBorders>
            <w:noWrap/>
            <w:vAlign w:val="center"/>
            <w:hideMark/>
          </w:tcPr>
          <w:p w:rsidR="00FC0B21" w:rsidRPr="00152F80" w:rsidRDefault="00FC0B21" w:rsidP="00FC0B21">
            <w:pPr>
              <w:jc w:val="center"/>
              <w:rPr>
                <w:rFonts w:cstheme="minorHAnsi"/>
                <w:sz w:val="16"/>
                <w:szCs w:val="16"/>
              </w:rPr>
            </w:pPr>
            <w:r w:rsidRPr="00152F80">
              <w:rPr>
                <w:rFonts w:cstheme="minorHAnsi"/>
                <w:sz w:val="16"/>
                <w:szCs w:val="16"/>
              </w:rPr>
              <w:t>10.</w:t>
            </w:r>
            <w:r>
              <w:rPr>
                <w:rFonts w:cstheme="minorHAnsi"/>
                <w:sz w:val="16"/>
                <w:szCs w:val="16"/>
              </w:rPr>
              <w:t>6</w:t>
            </w:r>
          </w:p>
        </w:tc>
        <w:tc>
          <w:tcPr>
            <w:tcW w:w="1101" w:type="dxa"/>
            <w:tcBorders>
              <w:top w:val="single" w:sz="4" w:space="0" w:color="auto"/>
              <w:left w:val="nil"/>
              <w:bottom w:val="single" w:sz="4" w:space="0" w:color="auto"/>
              <w:right w:val="nil"/>
            </w:tcBorders>
            <w:noWrap/>
            <w:vAlign w:val="center"/>
            <w:hideMark/>
          </w:tcPr>
          <w:p w:rsidR="00FC0B21" w:rsidRPr="00152F80" w:rsidRDefault="00FC0B21" w:rsidP="00FC0B21">
            <w:pPr>
              <w:jc w:val="center"/>
              <w:rPr>
                <w:rFonts w:cstheme="minorHAnsi"/>
                <w:sz w:val="16"/>
                <w:szCs w:val="16"/>
              </w:rPr>
            </w:pPr>
            <w:r w:rsidRPr="00152F80">
              <w:rPr>
                <w:rFonts w:cstheme="minorHAnsi"/>
                <w:sz w:val="16"/>
                <w:szCs w:val="16"/>
              </w:rPr>
              <w:t>10.</w:t>
            </w:r>
            <w:r>
              <w:rPr>
                <w:rFonts w:cstheme="minorHAnsi"/>
                <w:sz w:val="16"/>
                <w:szCs w:val="16"/>
              </w:rPr>
              <w:t>7</w:t>
            </w:r>
          </w:p>
        </w:tc>
        <w:tc>
          <w:tcPr>
            <w:tcW w:w="1102" w:type="dxa"/>
            <w:tcBorders>
              <w:top w:val="single" w:sz="4" w:space="0" w:color="auto"/>
              <w:left w:val="nil"/>
              <w:bottom w:val="single" w:sz="4" w:space="0" w:color="auto"/>
              <w:right w:val="nil"/>
            </w:tcBorders>
            <w:noWrap/>
            <w:vAlign w:val="center"/>
            <w:hideMark/>
          </w:tcPr>
          <w:p w:rsidR="00FC0B21" w:rsidRPr="00152F80" w:rsidRDefault="00FC0B21" w:rsidP="00FC0B21">
            <w:pPr>
              <w:jc w:val="center"/>
              <w:rPr>
                <w:rFonts w:cstheme="minorHAnsi"/>
                <w:sz w:val="16"/>
                <w:szCs w:val="16"/>
              </w:rPr>
            </w:pPr>
            <w:r w:rsidRPr="00152F80">
              <w:rPr>
                <w:rFonts w:cstheme="minorHAnsi"/>
                <w:sz w:val="16"/>
                <w:szCs w:val="16"/>
              </w:rPr>
              <w:t>7.9</w:t>
            </w:r>
          </w:p>
        </w:tc>
        <w:tc>
          <w:tcPr>
            <w:tcW w:w="1102" w:type="dxa"/>
            <w:tcBorders>
              <w:top w:val="single" w:sz="4" w:space="0" w:color="auto"/>
              <w:left w:val="nil"/>
              <w:bottom w:val="single" w:sz="4" w:space="0" w:color="auto"/>
            </w:tcBorders>
            <w:noWrap/>
            <w:vAlign w:val="center"/>
            <w:hideMark/>
          </w:tcPr>
          <w:p w:rsidR="00FC0B21" w:rsidRPr="00152F80" w:rsidRDefault="00FC0B21" w:rsidP="00FC0B21">
            <w:pPr>
              <w:jc w:val="center"/>
              <w:rPr>
                <w:rFonts w:cstheme="minorHAnsi"/>
                <w:sz w:val="16"/>
                <w:szCs w:val="16"/>
              </w:rPr>
            </w:pPr>
            <w:r w:rsidRPr="00152F80">
              <w:rPr>
                <w:rFonts w:cstheme="minorHAnsi"/>
                <w:sz w:val="16"/>
                <w:szCs w:val="16"/>
              </w:rPr>
              <w:t>8.0</w:t>
            </w:r>
          </w:p>
        </w:tc>
      </w:tr>
    </w:tbl>
    <w:bookmarkStart w:id="609" w:name="_Table_4._Number"/>
    <w:bookmarkEnd w:id="609"/>
    <w:p w:rsidR="00681C68" w:rsidRDefault="00681C68" w:rsidP="00681C68">
      <w:pPr>
        <w:jc w:val="right"/>
      </w:pPr>
      <w:r>
        <w:fldChar w:fldCharType="begin"/>
      </w:r>
      <w:r>
        <w:instrText xml:space="preserve"> HYPERLINK  \l "_Data_Sources_1" </w:instrText>
      </w:r>
      <w:r>
        <w:fldChar w:fldCharType="separate"/>
      </w:r>
      <w:r w:rsidRPr="00681C68">
        <w:rPr>
          <w:rStyle w:val="Hyperlink"/>
        </w:rPr>
        <w:t>Data Source</w:t>
      </w:r>
      <w:r>
        <w:fldChar w:fldCharType="end"/>
      </w:r>
    </w:p>
    <w:p w:rsidR="00C95EFA" w:rsidRPr="00976CBD" w:rsidRDefault="00581F19" w:rsidP="00E1718D">
      <w:pPr>
        <w:pStyle w:val="Heading2"/>
        <w:spacing w:after="0"/>
      </w:pPr>
      <w:bookmarkStart w:id="610" w:name="_Toc421608592"/>
      <w:bookmarkStart w:id="611" w:name="_Toc421609410"/>
      <w:bookmarkStart w:id="612" w:name="_Toc421609744"/>
      <w:bookmarkStart w:id="613" w:name="_Toc421611270"/>
      <w:bookmarkStart w:id="614" w:name="_Toc439918885"/>
      <w:proofErr w:type="gramStart"/>
      <w:r w:rsidRPr="00976CBD">
        <w:t xml:space="preserve">Table </w:t>
      </w:r>
      <w:r w:rsidR="007E49D7">
        <w:t>2</w:t>
      </w:r>
      <w:r w:rsidR="00F67AE2" w:rsidRPr="00976CBD">
        <w:t>.</w:t>
      </w:r>
      <w:proofErr w:type="gramEnd"/>
      <w:r w:rsidR="00C95EFA" w:rsidRPr="00976CBD">
        <w:t xml:space="preserve"> </w:t>
      </w:r>
      <w:r w:rsidR="008B0792" w:rsidRPr="00976CBD">
        <w:t xml:space="preserve">Number of Deaths and Years of Potential Life Lost, by </w:t>
      </w:r>
      <w:r w:rsidR="00681A1F" w:rsidRPr="00976CBD">
        <w:t xml:space="preserve">Common </w:t>
      </w:r>
      <w:r w:rsidR="008B0792" w:rsidRPr="00976CBD">
        <w:t>Cancer Site, Tennessee, 2008-2012</w:t>
      </w:r>
      <w:bookmarkEnd w:id="610"/>
      <w:bookmarkEnd w:id="611"/>
      <w:bookmarkEnd w:id="612"/>
      <w:bookmarkEnd w:id="613"/>
      <w:bookmarkEnd w:id="614"/>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225"/>
        <w:gridCol w:w="1225"/>
        <w:gridCol w:w="1225"/>
        <w:gridCol w:w="1225"/>
        <w:gridCol w:w="1225"/>
        <w:gridCol w:w="1225"/>
        <w:gridCol w:w="1225"/>
        <w:gridCol w:w="1225"/>
        <w:gridCol w:w="1216"/>
      </w:tblGrid>
      <w:tr w:rsidR="00077B37" w:rsidRPr="00077B37" w:rsidTr="004265B0">
        <w:trPr>
          <w:trHeight w:val="467"/>
        </w:trPr>
        <w:tc>
          <w:tcPr>
            <w:tcW w:w="5000" w:type="pct"/>
            <w:gridSpan w:val="9"/>
            <w:tcBorders>
              <w:top w:val="single" w:sz="4" w:space="0" w:color="000000" w:themeColor="text1"/>
              <w:bottom w:val="single" w:sz="4" w:space="0" w:color="000000" w:themeColor="text1"/>
            </w:tcBorders>
            <w:shd w:val="clear" w:color="auto" w:fill="E3DED1" w:themeFill="background2"/>
            <w:noWrap/>
            <w:vAlign w:val="center"/>
            <w:hideMark/>
          </w:tcPr>
          <w:p w:rsidR="00077B37" w:rsidRPr="00077B37" w:rsidRDefault="00077B37" w:rsidP="00077B37">
            <w:pPr>
              <w:spacing w:before="0" w:after="0" w:line="240" w:lineRule="auto"/>
              <w:jc w:val="center"/>
              <w:rPr>
                <w:rFonts w:ascii="Calibri" w:eastAsia="Times New Roman" w:hAnsi="Calibri" w:cs="Calibri"/>
                <w:b/>
                <w:color w:val="000000"/>
                <w:sz w:val="18"/>
                <w:szCs w:val="18"/>
                <w:lang w:bidi="ar-SA"/>
              </w:rPr>
            </w:pPr>
            <w:r w:rsidRPr="00077B37">
              <w:rPr>
                <w:rFonts w:ascii="Calibri" w:eastAsia="Times New Roman" w:hAnsi="Calibri" w:cs="Calibri"/>
                <w:b/>
                <w:color w:val="000000"/>
                <w:sz w:val="18"/>
                <w:szCs w:val="18"/>
                <w:lang w:bidi="ar-SA"/>
              </w:rPr>
              <w:t>Number of Deaths &amp; Years of Potential Life Lost to Cancer, by Most Common Sites</w:t>
            </w:r>
          </w:p>
        </w:tc>
      </w:tr>
      <w:tr w:rsidR="00077B37" w:rsidRPr="00077B37" w:rsidTr="006627D3">
        <w:trPr>
          <w:trHeight w:val="296"/>
        </w:trPr>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Year</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Breast</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Colorectal</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Leukemia</w:t>
            </w:r>
          </w:p>
        </w:tc>
        <w:tc>
          <w:tcPr>
            <w:tcW w:w="556" w:type="pct"/>
            <w:tcBorders>
              <w:top w:val="single" w:sz="4" w:space="0" w:color="000000" w:themeColor="text1"/>
              <w:bottom w:val="single" w:sz="4" w:space="0" w:color="000000" w:themeColor="text1"/>
            </w:tcBorders>
            <w:shd w:val="clear" w:color="auto" w:fill="auto"/>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Liver &amp; Intrahepatic</w:t>
            </w:r>
          </w:p>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 xml:space="preserve"> Bile Duct</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Lung</w:t>
            </w:r>
          </w:p>
        </w:tc>
        <w:tc>
          <w:tcPr>
            <w:tcW w:w="556" w:type="pct"/>
            <w:tcBorders>
              <w:top w:val="single" w:sz="4" w:space="0" w:color="000000" w:themeColor="text1"/>
              <w:bottom w:val="single" w:sz="4" w:space="0" w:color="000000" w:themeColor="text1"/>
            </w:tcBorders>
            <w:shd w:val="clear" w:color="auto" w:fill="auto"/>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Non-Hodgkin’s Lymphoma</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Pancreas</w:t>
            </w:r>
          </w:p>
        </w:tc>
        <w:tc>
          <w:tcPr>
            <w:tcW w:w="552" w:type="pct"/>
            <w:tcBorders>
              <w:top w:val="single" w:sz="4" w:space="0" w:color="000000" w:themeColor="text1"/>
              <w:bottom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8"/>
                <w:lang w:bidi="ar-SA"/>
              </w:rPr>
            </w:pPr>
            <w:r w:rsidRPr="003013C0">
              <w:rPr>
                <w:rFonts w:ascii="Calibri" w:eastAsia="Times New Roman" w:hAnsi="Calibri" w:cs="Calibri"/>
                <w:b/>
                <w:color w:val="000000"/>
                <w:sz w:val="16"/>
                <w:szCs w:val="18"/>
                <w:lang w:bidi="ar-SA"/>
              </w:rPr>
              <w:t>Prostate</w:t>
            </w:r>
          </w:p>
        </w:tc>
      </w:tr>
      <w:tr w:rsidR="00077B37" w:rsidRPr="00077B37" w:rsidTr="006627D3">
        <w:trPr>
          <w:trHeight w:val="265"/>
        </w:trPr>
        <w:tc>
          <w:tcPr>
            <w:tcW w:w="556" w:type="pct"/>
            <w:tcBorders>
              <w:top w:val="single" w:sz="4" w:space="0" w:color="000000" w:themeColor="text1"/>
              <w:bottom w:val="nil"/>
              <w:right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6"/>
                <w:lang w:bidi="ar-SA"/>
              </w:rPr>
            </w:pPr>
            <w:r w:rsidRPr="003013C0">
              <w:rPr>
                <w:rFonts w:ascii="Calibri" w:eastAsia="Times New Roman" w:hAnsi="Calibri" w:cs="Calibri"/>
                <w:b/>
                <w:color w:val="000000"/>
                <w:sz w:val="16"/>
                <w:szCs w:val="16"/>
                <w:lang w:bidi="ar-SA"/>
              </w:rPr>
              <w:t>2008</w:t>
            </w:r>
          </w:p>
        </w:tc>
        <w:tc>
          <w:tcPr>
            <w:tcW w:w="556" w:type="pct"/>
            <w:tcBorders>
              <w:top w:val="single" w:sz="4" w:space="0" w:color="000000" w:themeColor="text1"/>
              <w:left w:val="single" w:sz="4" w:space="0" w:color="000000" w:themeColor="text1"/>
            </w:tcBorders>
            <w:shd w:val="clear" w:color="auto" w:fill="auto"/>
            <w:noWrap/>
            <w:vAlign w:val="center"/>
            <w:hideMark/>
          </w:tcPr>
          <w:p w:rsidR="00077B37" w:rsidRPr="00077B37" w:rsidRDefault="00077B37" w:rsidP="00282EE2">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8</w:t>
            </w:r>
            <w:r w:rsidR="00282EE2">
              <w:rPr>
                <w:rFonts w:ascii="Calibri" w:eastAsia="Times New Roman" w:hAnsi="Calibri" w:cs="Calibri"/>
                <w:color w:val="000000"/>
                <w:sz w:val="16"/>
                <w:szCs w:val="16"/>
                <w:lang w:bidi="ar-SA"/>
              </w:rPr>
              <w:t>47</w:t>
            </w:r>
          </w:p>
        </w:tc>
        <w:tc>
          <w:tcPr>
            <w:tcW w:w="556" w:type="pct"/>
            <w:tcBorders>
              <w:top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1,225</w:t>
            </w:r>
          </w:p>
        </w:tc>
        <w:tc>
          <w:tcPr>
            <w:tcW w:w="556" w:type="pct"/>
            <w:tcBorders>
              <w:top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491</w:t>
            </w:r>
          </w:p>
        </w:tc>
        <w:tc>
          <w:tcPr>
            <w:tcW w:w="556" w:type="pct"/>
            <w:tcBorders>
              <w:top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362</w:t>
            </w:r>
          </w:p>
        </w:tc>
        <w:tc>
          <w:tcPr>
            <w:tcW w:w="556" w:type="pct"/>
            <w:tcBorders>
              <w:top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4,281</w:t>
            </w:r>
          </w:p>
        </w:tc>
        <w:tc>
          <w:tcPr>
            <w:tcW w:w="556" w:type="pct"/>
            <w:tcBorders>
              <w:top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434</w:t>
            </w:r>
          </w:p>
        </w:tc>
        <w:tc>
          <w:tcPr>
            <w:tcW w:w="556" w:type="pct"/>
            <w:tcBorders>
              <w:top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759</w:t>
            </w:r>
          </w:p>
        </w:tc>
        <w:tc>
          <w:tcPr>
            <w:tcW w:w="552" w:type="pct"/>
            <w:tcBorders>
              <w:top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571</w:t>
            </w:r>
          </w:p>
        </w:tc>
      </w:tr>
      <w:tr w:rsidR="00077B37" w:rsidRPr="00077B37" w:rsidTr="006627D3">
        <w:trPr>
          <w:trHeight w:val="265"/>
        </w:trPr>
        <w:tc>
          <w:tcPr>
            <w:tcW w:w="556" w:type="pct"/>
            <w:tcBorders>
              <w:top w:val="nil"/>
              <w:bottom w:val="nil"/>
              <w:right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6"/>
                <w:lang w:bidi="ar-SA"/>
              </w:rPr>
            </w:pPr>
            <w:r w:rsidRPr="003013C0">
              <w:rPr>
                <w:rFonts w:ascii="Calibri" w:eastAsia="Times New Roman" w:hAnsi="Calibri" w:cs="Calibri"/>
                <w:b/>
                <w:color w:val="000000"/>
                <w:sz w:val="16"/>
                <w:szCs w:val="16"/>
                <w:lang w:bidi="ar-SA"/>
              </w:rPr>
              <w:t>2009</w:t>
            </w:r>
          </w:p>
        </w:tc>
        <w:tc>
          <w:tcPr>
            <w:tcW w:w="556" w:type="pct"/>
            <w:tcBorders>
              <w:left w:val="single" w:sz="4" w:space="0" w:color="000000" w:themeColor="text1"/>
            </w:tcBorders>
            <w:shd w:val="clear" w:color="auto" w:fill="auto"/>
            <w:noWrap/>
            <w:vAlign w:val="center"/>
            <w:hideMark/>
          </w:tcPr>
          <w:p w:rsidR="00077B37" w:rsidRPr="00077B37" w:rsidRDefault="00077B37" w:rsidP="00282EE2">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8</w:t>
            </w:r>
            <w:r w:rsidR="00282EE2">
              <w:rPr>
                <w:rFonts w:ascii="Calibri" w:eastAsia="Times New Roman" w:hAnsi="Calibri" w:cs="Calibri"/>
                <w:color w:val="000000"/>
                <w:sz w:val="16"/>
                <w:szCs w:val="16"/>
                <w:lang w:bidi="ar-SA"/>
              </w:rPr>
              <w:t>82</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1,189</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460</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440</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4,364</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479</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750</w:t>
            </w:r>
          </w:p>
        </w:tc>
        <w:tc>
          <w:tcPr>
            <w:tcW w:w="552"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581</w:t>
            </w:r>
          </w:p>
        </w:tc>
      </w:tr>
      <w:tr w:rsidR="00077B37" w:rsidRPr="00077B37" w:rsidTr="006627D3">
        <w:trPr>
          <w:trHeight w:val="265"/>
        </w:trPr>
        <w:tc>
          <w:tcPr>
            <w:tcW w:w="556" w:type="pct"/>
            <w:tcBorders>
              <w:top w:val="nil"/>
              <w:bottom w:val="nil"/>
              <w:right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6"/>
                <w:lang w:bidi="ar-SA"/>
              </w:rPr>
            </w:pPr>
            <w:r w:rsidRPr="003013C0">
              <w:rPr>
                <w:rFonts w:ascii="Calibri" w:eastAsia="Times New Roman" w:hAnsi="Calibri" w:cs="Calibri"/>
                <w:b/>
                <w:color w:val="000000"/>
                <w:sz w:val="16"/>
                <w:szCs w:val="16"/>
                <w:lang w:bidi="ar-SA"/>
              </w:rPr>
              <w:t>2010</w:t>
            </w:r>
          </w:p>
        </w:tc>
        <w:tc>
          <w:tcPr>
            <w:tcW w:w="556" w:type="pct"/>
            <w:tcBorders>
              <w:left w:val="single" w:sz="4" w:space="0" w:color="000000" w:themeColor="text1"/>
            </w:tcBorders>
            <w:shd w:val="clear" w:color="auto" w:fill="auto"/>
            <w:noWrap/>
            <w:vAlign w:val="center"/>
            <w:hideMark/>
          </w:tcPr>
          <w:p w:rsidR="00077B37" w:rsidRPr="00077B37" w:rsidRDefault="00077B37" w:rsidP="00282EE2">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87</w:t>
            </w:r>
            <w:r w:rsidR="00282EE2">
              <w:rPr>
                <w:rFonts w:ascii="Calibri" w:eastAsia="Times New Roman" w:hAnsi="Calibri" w:cs="Calibri"/>
                <w:color w:val="000000"/>
                <w:sz w:val="16"/>
                <w:szCs w:val="16"/>
                <w:lang w:bidi="ar-SA"/>
              </w:rPr>
              <w:t>0</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1,201</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529</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403</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4,400</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458</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779</w:t>
            </w:r>
          </w:p>
        </w:tc>
        <w:tc>
          <w:tcPr>
            <w:tcW w:w="552"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600</w:t>
            </w:r>
          </w:p>
        </w:tc>
      </w:tr>
      <w:tr w:rsidR="00077B37" w:rsidRPr="00077B37" w:rsidTr="006627D3">
        <w:trPr>
          <w:trHeight w:val="265"/>
        </w:trPr>
        <w:tc>
          <w:tcPr>
            <w:tcW w:w="556" w:type="pct"/>
            <w:tcBorders>
              <w:top w:val="nil"/>
              <w:bottom w:val="nil"/>
              <w:right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6"/>
                <w:lang w:bidi="ar-SA"/>
              </w:rPr>
            </w:pPr>
            <w:r w:rsidRPr="003013C0">
              <w:rPr>
                <w:rFonts w:ascii="Calibri" w:eastAsia="Times New Roman" w:hAnsi="Calibri" w:cs="Calibri"/>
                <w:b/>
                <w:color w:val="000000"/>
                <w:sz w:val="16"/>
                <w:szCs w:val="16"/>
                <w:lang w:bidi="ar-SA"/>
              </w:rPr>
              <w:t>2011</w:t>
            </w:r>
          </w:p>
        </w:tc>
        <w:tc>
          <w:tcPr>
            <w:tcW w:w="556" w:type="pct"/>
            <w:tcBorders>
              <w:left w:val="single" w:sz="4" w:space="0" w:color="000000" w:themeColor="text1"/>
            </w:tcBorders>
            <w:shd w:val="clear" w:color="auto" w:fill="auto"/>
            <w:noWrap/>
            <w:vAlign w:val="center"/>
            <w:hideMark/>
          </w:tcPr>
          <w:p w:rsidR="00077B37" w:rsidRPr="00077B37" w:rsidRDefault="00077B37" w:rsidP="00282EE2">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86</w:t>
            </w:r>
            <w:r w:rsidR="00282EE2">
              <w:rPr>
                <w:rFonts w:ascii="Calibri" w:eastAsia="Times New Roman" w:hAnsi="Calibri" w:cs="Calibri"/>
                <w:color w:val="000000"/>
                <w:sz w:val="16"/>
                <w:szCs w:val="16"/>
                <w:lang w:bidi="ar-SA"/>
              </w:rPr>
              <w:t>2</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1,242</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502</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480</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4,289</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431</w:t>
            </w:r>
          </w:p>
        </w:tc>
        <w:tc>
          <w:tcPr>
            <w:tcW w:w="556"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783</w:t>
            </w:r>
          </w:p>
        </w:tc>
        <w:tc>
          <w:tcPr>
            <w:tcW w:w="552" w:type="pct"/>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574</w:t>
            </w:r>
          </w:p>
        </w:tc>
      </w:tr>
      <w:tr w:rsidR="00077B37" w:rsidRPr="00077B37" w:rsidTr="006627D3">
        <w:trPr>
          <w:trHeight w:val="265"/>
        </w:trPr>
        <w:tc>
          <w:tcPr>
            <w:tcW w:w="556" w:type="pct"/>
            <w:tcBorders>
              <w:top w:val="nil"/>
              <w:bottom w:val="single" w:sz="4" w:space="0" w:color="000000" w:themeColor="text1"/>
              <w:right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6"/>
                <w:lang w:bidi="ar-SA"/>
              </w:rPr>
            </w:pPr>
            <w:r w:rsidRPr="003013C0">
              <w:rPr>
                <w:rFonts w:ascii="Calibri" w:eastAsia="Times New Roman" w:hAnsi="Calibri" w:cs="Calibri"/>
                <w:b/>
                <w:color w:val="000000"/>
                <w:sz w:val="16"/>
                <w:szCs w:val="16"/>
                <w:lang w:bidi="ar-SA"/>
              </w:rPr>
              <w:t>2012</w:t>
            </w:r>
          </w:p>
        </w:tc>
        <w:tc>
          <w:tcPr>
            <w:tcW w:w="556" w:type="pct"/>
            <w:tcBorders>
              <w:left w:val="single" w:sz="4" w:space="0" w:color="000000" w:themeColor="text1"/>
              <w:bottom w:val="single" w:sz="4" w:space="0" w:color="000000" w:themeColor="text1"/>
            </w:tcBorders>
            <w:shd w:val="clear" w:color="auto" w:fill="auto"/>
            <w:noWrap/>
            <w:vAlign w:val="center"/>
            <w:hideMark/>
          </w:tcPr>
          <w:p w:rsidR="00077B37" w:rsidRPr="00077B37" w:rsidRDefault="00077B37" w:rsidP="00282EE2">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9</w:t>
            </w:r>
            <w:r w:rsidR="00282EE2">
              <w:rPr>
                <w:rFonts w:ascii="Calibri" w:eastAsia="Times New Roman" w:hAnsi="Calibri" w:cs="Calibri"/>
                <w:color w:val="000000"/>
                <w:sz w:val="16"/>
                <w:szCs w:val="16"/>
                <w:lang w:bidi="ar-SA"/>
              </w:rPr>
              <w:t>05</w:t>
            </w:r>
          </w:p>
        </w:tc>
        <w:tc>
          <w:tcPr>
            <w:tcW w:w="556" w:type="pct"/>
            <w:tcBorders>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1,181</w:t>
            </w:r>
          </w:p>
        </w:tc>
        <w:tc>
          <w:tcPr>
            <w:tcW w:w="556" w:type="pct"/>
            <w:tcBorders>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541</w:t>
            </w:r>
          </w:p>
        </w:tc>
        <w:tc>
          <w:tcPr>
            <w:tcW w:w="556" w:type="pct"/>
            <w:tcBorders>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528</w:t>
            </w:r>
          </w:p>
        </w:tc>
        <w:tc>
          <w:tcPr>
            <w:tcW w:w="556" w:type="pct"/>
            <w:tcBorders>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4,327</w:t>
            </w:r>
          </w:p>
        </w:tc>
        <w:tc>
          <w:tcPr>
            <w:tcW w:w="556" w:type="pct"/>
            <w:tcBorders>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430</w:t>
            </w:r>
          </w:p>
        </w:tc>
        <w:tc>
          <w:tcPr>
            <w:tcW w:w="556" w:type="pct"/>
            <w:tcBorders>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786</w:t>
            </w:r>
          </w:p>
        </w:tc>
        <w:tc>
          <w:tcPr>
            <w:tcW w:w="552" w:type="pct"/>
            <w:tcBorders>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545</w:t>
            </w:r>
          </w:p>
        </w:tc>
      </w:tr>
      <w:tr w:rsidR="00077B37" w:rsidRPr="00077B37" w:rsidTr="00E1718D">
        <w:trPr>
          <w:trHeight w:val="265"/>
        </w:trPr>
        <w:tc>
          <w:tcPr>
            <w:tcW w:w="556"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6"/>
                <w:lang w:bidi="ar-SA"/>
              </w:rPr>
            </w:pPr>
            <w:r w:rsidRPr="003013C0">
              <w:rPr>
                <w:rFonts w:ascii="Calibri" w:eastAsia="Times New Roman" w:hAnsi="Calibri" w:cs="Calibri"/>
                <w:b/>
                <w:color w:val="000000"/>
                <w:sz w:val="16"/>
                <w:szCs w:val="16"/>
                <w:lang w:bidi="ar-SA"/>
              </w:rPr>
              <w:t>2008-2012</w:t>
            </w:r>
          </w:p>
        </w:tc>
        <w:tc>
          <w:tcPr>
            <w:tcW w:w="556" w:type="pct"/>
            <w:tcBorders>
              <w:top w:val="single" w:sz="4" w:space="0" w:color="000000" w:themeColor="text1"/>
              <w:left w:val="single" w:sz="4" w:space="0" w:color="000000" w:themeColor="text1"/>
              <w:bottom w:val="single" w:sz="4" w:space="0" w:color="000000" w:themeColor="text1"/>
            </w:tcBorders>
            <w:shd w:val="clear" w:color="auto" w:fill="auto"/>
            <w:noWrap/>
            <w:vAlign w:val="center"/>
            <w:hideMark/>
          </w:tcPr>
          <w:p w:rsidR="00077B37" w:rsidRPr="00077B37" w:rsidRDefault="00C54676" w:rsidP="00077B37">
            <w:pPr>
              <w:spacing w:before="0" w:after="0" w:line="240" w:lineRule="auto"/>
              <w:jc w:val="center"/>
              <w:rPr>
                <w:rFonts w:ascii="Calibri" w:eastAsia="Times New Roman" w:hAnsi="Calibri" w:cs="Calibri"/>
                <w:color w:val="000000"/>
                <w:sz w:val="16"/>
                <w:szCs w:val="16"/>
                <w:lang w:bidi="ar-SA"/>
              </w:rPr>
            </w:pPr>
            <w:r>
              <w:rPr>
                <w:rFonts w:ascii="Calibri" w:eastAsia="Times New Roman" w:hAnsi="Calibri" w:cs="Calibri"/>
                <w:color w:val="000000"/>
                <w:sz w:val="16"/>
                <w:szCs w:val="16"/>
                <w:lang w:bidi="ar-SA"/>
              </w:rPr>
              <w:t>4,366</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6,038</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2,523</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2,213</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21,661</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2,232</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3,857</w:t>
            </w:r>
          </w:p>
        </w:tc>
        <w:tc>
          <w:tcPr>
            <w:tcW w:w="552"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2,871</w:t>
            </w:r>
          </w:p>
        </w:tc>
      </w:tr>
      <w:tr w:rsidR="00077B37" w:rsidRPr="00077B37" w:rsidTr="00E1718D">
        <w:trPr>
          <w:trHeight w:val="265"/>
        </w:trPr>
        <w:tc>
          <w:tcPr>
            <w:tcW w:w="556"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6"/>
                <w:lang w:bidi="ar-SA"/>
              </w:rPr>
            </w:pPr>
            <w:r w:rsidRPr="003013C0">
              <w:rPr>
                <w:rFonts w:ascii="Calibri" w:eastAsia="Times New Roman" w:hAnsi="Calibri" w:cs="Calibri"/>
                <w:b/>
                <w:color w:val="000000"/>
                <w:sz w:val="16"/>
                <w:szCs w:val="16"/>
                <w:lang w:bidi="ar-SA"/>
              </w:rPr>
              <w:t>YPLL</w:t>
            </w:r>
          </w:p>
        </w:tc>
        <w:tc>
          <w:tcPr>
            <w:tcW w:w="556" w:type="pct"/>
            <w:tcBorders>
              <w:top w:val="single" w:sz="4" w:space="0" w:color="000000" w:themeColor="text1"/>
              <w:left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47,070</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45,360</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21,413</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23,462</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168,545</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14,707</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29,414</w:t>
            </w:r>
          </w:p>
        </w:tc>
        <w:tc>
          <w:tcPr>
            <w:tcW w:w="552"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077B37">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8,933</w:t>
            </w:r>
          </w:p>
        </w:tc>
      </w:tr>
      <w:tr w:rsidR="00077B37" w:rsidRPr="00077B37" w:rsidTr="00E1718D">
        <w:trPr>
          <w:trHeight w:val="265"/>
        </w:trPr>
        <w:tc>
          <w:tcPr>
            <w:tcW w:w="556"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rsidR="00077B37" w:rsidRPr="003013C0" w:rsidRDefault="00077B37" w:rsidP="00077B37">
            <w:pPr>
              <w:spacing w:before="0" w:after="0" w:line="240" w:lineRule="auto"/>
              <w:jc w:val="center"/>
              <w:rPr>
                <w:rFonts w:ascii="Calibri" w:eastAsia="Times New Roman" w:hAnsi="Calibri" w:cs="Calibri"/>
                <w:b/>
                <w:color w:val="000000"/>
                <w:sz w:val="16"/>
                <w:szCs w:val="16"/>
                <w:lang w:bidi="ar-SA"/>
              </w:rPr>
            </w:pPr>
            <w:r w:rsidRPr="003013C0">
              <w:rPr>
                <w:rFonts w:ascii="Calibri" w:eastAsia="Times New Roman" w:hAnsi="Calibri" w:cs="Calibri"/>
                <w:b/>
                <w:color w:val="000000"/>
                <w:sz w:val="16"/>
                <w:szCs w:val="16"/>
                <w:lang w:bidi="ar-SA"/>
              </w:rPr>
              <w:t>APYLL</w:t>
            </w:r>
          </w:p>
        </w:tc>
        <w:tc>
          <w:tcPr>
            <w:tcW w:w="556" w:type="pct"/>
            <w:tcBorders>
              <w:top w:val="single" w:sz="4" w:space="0" w:color="000000" w:themeColor="text1"/>
              <w:left w:val="single" w:sz="4" w:space="0" w:color="000000" w:themeColor="text1"/>
              <w:bottom w:val="single" w:sz="4" w:space="0" w:color="000000" w:themeColor="text1"/>
            </w:tcBorders>
            <w:shd w:val="clear" w:color="auto" w:fill="auto"/>
            <w:noWrap/>
            <w:vAlign w:val="center"/>
            <w:hideMark/>
          </w:tcPr>
          <w:p w:rsidR="00077B37" w:rsidRPr="00077B37" w:rsidRDefault="00077B37" w:rsidP="00FC0B21">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10.</w:t>
            </w:r>
            <w:r w:rsidR="00C54676">
              <w:rPr>
                <w:rFonts w:ascii="Calibri" w:eastAsia="Times New Roman" w:hAnsi="Calibri" w:cs="Calibri"/>
                <w:color w:val="000000"/>
                <w:sz w:val="16"/>
                <w:szCs w:val="16"/>
                <w:lang w:bidi="ar-SA"/>
              </w:rPr>
              <w:t>8</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FC0B21">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7.5</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FC0B21">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8.</w:t>
            </w:r>
            <w:r w:rsidR="00FC0B21">
              <w:rPr>
                <w:rFonts w:ascii="Calibri" w:eastAsia="Times New Roman" w:hAnsi="Calibri" w:cs="Calibri"/>
                <w:color w:val="000000"/>
                <w:sz w:val="16"/>
                <w:szCs w:val="16"/>
                <w:lang w:bidi="ar-SA"/>
              </w:rPr>
              <w:t>5</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FC0B21">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10.6</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FC0B21">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7.</w:t>
            </w:r>
            <w:r w:rsidR="00FC0B21">
              <w:rPr>
                <w:rFonts w:ascii="Calibri" w:eastAsia="Times New Roman" w:hAnsi="Calibri" w:cs="Calibri"/>
                <w:color w:val="000000"/>
                <w:sz w:val="16"/>
                <w:szCs w:val="16"/>
                <w:lang w:bidi="ar-SA"/>
              </w:rPr>
              <w:t>8</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FC0B21">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6.</w:t>
            </w:r>
            <w:r w:rsidR="00FC0B21">
              <w:rPr>
                <w:rFonts w:ascii="Calibri" w:eastAsia="Times New Roman" w:hAnsi="Calibri" w:cs="Calibri"/>
                <w:color w:val="000000"/>
                <w:sz w:val="16"/>
                <w:szCs w:val="16"/>
                <w:lang w:bidi="ar-SA"/>
              </w:rPr>
              <w:t>6</w:t>
            </w:r>
          </w:p>
        </w:tc>
        <w:tc>
          <w:tcPr>
            <w:tcW w:w="556"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FC0B21">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7.6</w:t>
            </w:r>
          </w:p>
        </w:tc>
        <w:tc>
          <w:tcPr>
            <w:tcW w:w="552" w:type="pct"/>
            <w:tcBorders>
              <w:top w:val="single" w:sz="4" w:space="0" w:color="000000" w:themeColor="text1"/>
              <w:bottom w:val="single" w:sz="4" w:space="0" w:color="000000" w:themeColor="text1"/>
            </w:tcBorders>
            <w:shd w:val="clear" w:color="auto" w:fill="auto"/>
            <w:noWrap/>
            <w:vAlign w:val="center"/>
            <w:hideMark/>
          </w:tcPr>
          <w:p w:rsidR="00077B37" w:rsidRPr="00077B37" w:rsidRDefault="00077B37" w:rsidP="00FC0B21">
            <w:pPr>
              <w:spacing w:before="0" w:after="0" w:line="240" w:lineRule="auto"/>
              <w:jc w:val="center"/>
              <w:rPr>
                <w:rFonts w:ascii="Calibri" w:eastAsia="Times New Roman" w:hAnsi="Calibri" w:cs="Calibri"/>
                <w:color w:val="000000"/>
                <w:sz w:val="16"/>
                <w:szCs w:val="16"/>
                <w:lang w:bidi="ar-SA"/>
              </w:rPr>
            </w:pPr>
            <w:r w:rsidRPr="00077B37">
              <w:rPr>
                <w:rFonts w:ascii="Calibri" w:eastAsia="Times New Roman" w:hAnsi="Calibri" w:cs="Calibri"/>
                <w:color w:val="000000"/>
                <w:sz w:val="16"/>
                <w:szCs w:val="16"/>
                <w:lang w:bidi="ar-SA"/>
              </w:rPr>
              <w:t>3.1</w:t>
            </w:r>
          </w:p>
        </w:tc>
      </w:tr>
    </w:tbl>
    <w:bookmarkStart w:id="615" w:name="_Table_5._Number"/>
    <w:bookmarkEnd w:id="615"/>
    <w:p w:rsidR="00681C68" w:rsidRDefault="00681C68" w:rsidP="00681C68">
      <w:pPr>
        <w:jc w:val="right"/>
      </w:pPr>
      <w:r>
        <w:fldChar w:fldCharType="begin"/>
      </w:r>
      <w:r>
        <w:instrText xml:space="preserve"> HYPERLINK  \l "_Data_Sources_1" </w:instrText>
      </w:r>
      <w:r>
        <w:fldChar w:fldCharType="separate"/>
      </w:r>
      <w:r w:rsidRPr="00681C68">
        <w:rPr>
          <w:rStyle w:val="Hyperlink"/>
        </w:rPr>
        <w:t>Data Source</w:t>
      </w:r>
      <w:r>
        <w:fldChar w:fldCharType="end"/>
      </w:r>
    </w:p>
    <w:p w:rsidR="00681A1F" w:rsidRPr="00976CBD" w:rsidRDefault="002634C3" w:rsidP="00E1718D">
      <w:pPr>
        <w:pStyle w:val="Heading2"/>
        <w:spacing w:after="0"/>
      </w:pPr>
      <w:bookmarkStart w:id="616" w:name="_Table_6._Number"/>
      <w:bookmarkStart w:id="617" w:name="_Toc421608593"/>
      <w:bookmarkStart w:id="618" w:name="_Toc421609411"/>
      <w:bookmarkStart w:id="619" w:name="_Toc421609745"/>
      <w:bookmarkStart w:id="620" w:name="_Toc421611271"/>
      <w:bookmarkStart w:id="621" w:name="_Toc439918886"/>
      <w:bookmarkEnd w:id="616"/>
      <w:proofErr w:type="gramStart"/>
      <w:r w:rsidRPr="00976CBD">
        <w:t xml:space="preserve">Table </w:t>
      </w:r>
      <w:r w:rsidR="00BF0515">
        <w:t>3</w:t>
      </w:r>
      <w:r w:rsidR="00681A1F" w:rsidRPr="00976CBD">
        <w:t>.</w:t>
      </w:r>
      <w:proofErr w:type="gramEnd"/>
      <w:r w:rsidR="00681A1F" w:rsidRPr="00976CBD">
        <w:t xml:space="preserve"> Number of Deaths and Years of Potential Life Lost, by Other Common Cancer Site, Tennessee, 2008-2012</w:t>
      </w:r>
      <w:bookmarkEnd w:id="617"/>
      <w:bookmarkEnd w:id="618"/>
      <w:bookmarkEnd w:id="619"/>
      <w:bookmarkEnd w:id="620"/>
      <w:bookmarkEnd w:id="621"/>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1225"/>
        <w:gridCol w:w="1225"/>
        <w:gridCol w:w="1225"/>
        <w:gridCol w:w="1225"/>
        <w:gridCol w:w="1225"/>
        <w:gridCol w:w="1225"/>
        <w:gridCol w:w="1225"/>
        <w:gridCol w:w="1225"/>
        <w:gridCol w:w="1216"/>
      </w:tblGrid>
      <w:tr w:rsidR="00FC0B21" w:rsidRPr="00FC0B21" w:rsidTr="003013C0">
        <w:trPr>
          <w:trHeight w:val="467"/>
        </w:trPr>
        <w:tc>
          <w:tcPr>
            <w:tcW w:w="5000" w:type="pct"/>
            <w:gridSpan w:val="9"/>
            <w:tcBorders>
              <w:bottom w:val="single" w:sz="4" w:space="0" w:color="auto"/>
            </w:tcBorders>
            <w:shd w:val="clear" w:color="auto" w:fill="E3DED1" w:themeFill="background2"/>
            <w:noWrap/>
            <w:vAlign w:val="center"/>
            <w:hideMark/>
          </w:tcPr>
          <w:p w:rsidR="00FC0B21" w:rsidRPr="00FC0B21" w:rsidRDefault="00FC0B21" w:rsidP="00E1718D">
            <w:pPr>
              <w:jc w:val="center"/>
              <w:rPr>
                <w:b/>
                <w:sz w:val="18"/>
                <w:szCs w:val="16"/>
              </w:rPr>
            </w:pPr>
            <w:r w:rsidRPr="00FC0B21">
              <w:rPr>
                <w:b/>
                <w:sz w:val="18"/>
                <w:szCs w:val="16"/>
              </w:rPr>
              <w:t>Number of Deaths &amp; Years of Potential Life Lost to Cancer, by Other Common Sites</w:t>
            </w:r>
          </w:p>
        </w:tc>
      </w:tr>
      <w:tr w:rsidR="00FC0B21" w:rsidRPr="00FC0B21" w:rsidTr="006627D3">
        <w:trPr>
          <w:trHeight w:val="458"/>
        </w:trPr>
        <w:tc>
          <w:tcPr>
            <w:tcW w:w="556" w:type="pct"/>
            <w:tcBorders>
              <w:top w:val="single" w:sz="4" w:space="0" w:color="auto"/>
              <w:bottom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Year</w:t>
            </w:r>
          </w:p>
        </w:tc>
        <w:tc>
          <w:tcPr>
            <w:tcW w:w="556" w:type="pct"/>
            <w:tcBorders>
              <w:top w:val="single" w:sz="4" w:space="0" w:color="auto"/>
              <w:bottom w:val="single" w:sz="4" w:space="0" w:color="auto"/>
            </w:tcBorders>
            <w:vAlign w:val="center"/>
            <w:hideMark/>
          </w:tcPr>
          <w:p w:rsidR="00FC0B21" w:rsidRPr="003013C0" w:rsidRDefault="00FC0B21" w:rsidP="00E1718D">
            <w:pPr>
              <w:jc w:val="center"/>
              <w:rPr>
                <w:b/>
                <w:sz w:val="16"/>
                <w:szCs w:val="16"/>
              </w:rPr>
            </w:pPr>
            <w:r w:rsidRPr="003013C0">
              <w:rPr>
                <w:b/>
                <w:sz w:val="16"/>
                <w:szCs w:val="16"/>
              </w:rPr>
              <w:t>Brain &amp; Other CNS</w:t>
            </w:r>
          </w:p>
        </w:tc>
        <w:tc>
          <w:tcPr>
            <w:tcW w:w="556" w:type="pct"/>
            <w:tcBorders>
              <w:top w:val="single" w:sz="4" w:space="0" w:color="auto"/>
              <w:bottom w:val="single" w:sz="4" w:space="0" w:color="auto"/>
            </w:tcBorders>
            <w:vAlign w:val="center"/>
            <w:hideMark/>
          </w:tcPr>
          <w:p w:rsidR="00FC0B21" w:rsidRPr="003013C0" w:rsidRDefault="00FC0B21" w:rsidP="00E1718D">
            <w:pPr>
              <w:jc w:val="center"/>
              <w:rPr>
                <w:b/>
                <w:sz w:val="16"/>
                <w:szCs w:val="16"/>
              </w:rPr>
            </w:pPr>
            <w:r w:rsidRPr="003013C0">
              <w:rPr>
                <w:b/>
                <w:sz w:val="16"/>
                <w:szCs w:val="16"/>
              </w:rPr>
              <w:t>Corpus and Uterus</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Esophagus</w:t>
            </w:r>
          </w:p>
        </w:tc>
        <w:tc>
          <w:tcPr>
            <w:tcW w:w="556" w:type="pct"/>
            <w:tcBorders>
              <w:top w:val="single" w:sz="4" w:space="0" w:color="auto"/>
              <w:bottom w:val="single" w:sz="4" w:space="0" w:color="auto"/>
            </w:tcBorders>
            <w:vAlign w:val="center"/>
            <w:hideMark/>
          </w:tcPr>
          <w:p w:rsidR="00FC0B21" w:rsidRPr="003013C0" w:rsidRDefault="00FC0B21" w:rsidP="00E1718D">
            <w:pPr>
              <w:jc w:val="center"/>
              <w:rPr>
                <w:b/>
                <w:sz w:val="16"/>
                <w:szCs w:val="16"/>
              </w:rPr>
            </w:pPr>
            <w:r w:rsidRPr="003013C0">
              <w:rPr>
                <w:b/>
                <w:sz w:val="16"/>
                <w:szCs w:val="16"/>
              </w:rPr>
              <w:t>Kidney &amp; Renal Pelvis</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Ovary</w:t>
            </w:r>
          </w:p>
        </w:tc>
        <w:tc>
          <w:tcPr>
            <w:tcW w:w="556" w:type="pct"/>
            <w:tcBorders>
              <w:top w:val="single" w:sz="4" w:space="0" w:color="auto"/>
              <w:bottom w:val="single" w:sz="4" w:space="0" w:color="auto"/>
            </w:tcBorders>
            <w:vAlign w:val="center"/>
            <w:hideMark/>
          </w:tcPr>
          <w:p w:rsidR="00FC0B21" w:rsidRPr="003013C0" w:rsidRDefault="00FC0B21" w:rsidP="00E1718D">
            <w:pPr>
              <w:jc w:val="center"/>
              <w:rPr>
                <w:b/>
                <w:sz w:val="16"/>
                <w:szCs w:val="16"/>
              </w:rPr>
            </w:pPr>
            <w:r w:rsidRPr="003013C0">
              <w:rPr>
                <w:b/>
                <w:sz w:val="16"/>
                <w:szCs w:val="16"/>
              </w:rPr>
              <w:t>Stomach</w:t>
            </w:r>
          </w:p>
        </w:tc>
        <w:tc>
          <w:tcPr>
            <w:tcW w:w="556" w:type="pct"/>
            <w:tcBorders>
              <w:top w:val="single" w:sz="4" w:space="0" w:color="auto"/>
              <w:bottom w:val="single" w:sz="4" w:space="0" w:color="auto"/>
            </w:tcBorders>
            <w:vAlign w:val="center"/>
            <w:hideMark/>
          </w:tcPr>
          <w:p w:rsidR="00FC0B21" w:rsidRPr="003013C0" w:rsidRDefault="00FC0B21" w:rsidP="00E1718D">
            <w:pPr>
              <w:jc w:val="center"/>
              <w:rPr>
                <w:b/>
                <w:sz w:val="16"/>
                <w:szCs w:val="16"/>
              </w:rPr>
            </w:pPr>
            <w:r w:rsidRPr="003013C0">
              <w:rPr>
                <w:b/>
                <w:sz w:val="16"/>
                <w:szCs w:val="16"/>
              </w:rPr>
              <w:t>Endocrine System including Thyroid</w:t>
            </w:r>
          </w:p>
        </w:tc>
        <w:tc>
          <w:tcPr>
            <w:tcW w:w="552" w:type="pct"/>
            <w:tcBorders>
              <w:top w:val="single" w:sz="4" w:space="0" w:color="auto"/>
              <w:bottom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Urinary Bladder</w:t>
            </w:r>
          </w:p>
        </w:tc>
      </w:tr>
      <w:tr w:rsidR="00FC0B21" w:rsidRPr="00FC0B21" w:rsidTr="006627D3">
        <w:trPr>
          <w:trHeight w:val="248"/>
        </w:trPr>
        <w:tc>
          <w:tcPr>
            <w:tcW w:w="556" w:type="pct"/>
            <w:tcBorders>
              <w:top w:val="single" w:sz="4" w:space="0" w:color="auto"/>
              <w:right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2008</w:t>
            </w:r>
          </w:p>
        </w:tc>
        <w:tc>
          <w:tcPr>
            <w:tcW w:w="556" w:type="pct"/>
            <w:tcBorders>
              <w:top w:val="single" w:sz="4" w:space="0" w:color="auto"/>
              <w:left w:val="single" w:sz="4" w:space="0" w:color="auto"/>
            </w:tcBorders>
            <w:noWrap/>
            <w:vAlign w:val="center"/>
            <w:hideMark/>
          </w:tcPr>
          <w:p w:rsidR="00FC0B21" w:rsidRPr="003013C0" w:rsidRDefault="00FC0B21" w:rsidP="00E1718D">
            <w:pPr>
              <w:jc w:val="center"/>
              <w:rPr>
                <w:sz w:val="16"/>
                <w:szCs w:val="16"/>
              </w:rPr>
            </w:pPr>
            <w:r w:rsidRPr="003013C0">
              <w:rPr>
                <w:sz w:val="16"/>
                <w:szCs w:val="16"/>
              </w:rPr>
              <w:t>316</w:t>
            </w:r>
          </w:p>
        </w:tc>
        <w:tc>
          <w:tcPr>
            <w:tcW w:w="556" w:type="pct"/>
            <w:tcBorders>
              <w:top w:val="single" w:sz="4" w:space="0" w:color="auto"/>
            </w:tcBorders>
            <w:noWrap/>
            <w:vAlign w:val="center"/>
            <w:hideMark/>
          </w:tcPr>
          <w:p w:rsidR="00FC0B21" w:rsidRPr="003013C0" w:rsidRDefault="00FC0B21" w:rsidP="00E1718D">
            <w:pPr>
              <w:jc w:val="center"/>
              <w:rPr>
                <w:sz w:val="16"/>
                <w:szCs w:val="16"/>
              </w:rPr>
            </w:pPr>
            <w:r w:rsidRPr="003013C0">
              <w:rPr>
                <w:sz w:val="16"/>
                <w:szCs w:val="16"/>
              </w:rPr>
              <w:t>145</w:t>
            </w:r>
          </w:p>
        </w:tc>
        <w:tc>
          <w:tcPr>
            <w:tcW w:w="556" w:type="pct"/>
            <w:tcBorders>
              <w:top w:val="single" w:sz="4" w:space="0" w:color="auto"/>
            </w:tcBorders>
            <w:noWrap/>
            <w:vAlign w:val="center"/>
            <w:hideMark/>
          </w:tcPr>
          <w:p w:rsidR="00FC0B21" w:rsidRPr="003013C0" w:rsidRDefault="00FC0B21" w:rsidP="00E1718D">
            <w:pPr>
              <w:jc w:val="center"/>
              <w:rPr>
                <w:sz w:val="16"/>
                <w:szCs w:val="16"/>
              </w:rPr>
            </w:pPr>
            <w:r w:rsidRPr="003013C0">
              <w:rPr>
                <w:sz w:val="16"/>
                <w:szCs w:val="16"/>
              </w:rPr>
              <w:t>298</w:t>
            </w:r>
          </w:p>
        </w:tc>
        <w:tc>
          <w:tcPr>
            <w:tcW w:w="556" w:type="pct"/>
            <w:tcBorders>
              <w:top w:val="single" w:sz="4" w:space="0" w:color="auto"/>
            </w:tcBorders>
            <w:noWrap/>
            <w:vAlign w:val="center"/>
            <w:hideMark/>
          </w:tcPr>
          <w:p w:rsidR="00FC0B21" w:rsidRPr="003013C0" w:rsidRDefault="00FC0B21" w:rsidP="00E1718D">
            <w:pPr>
              <w:jc w:val="center"/>
              <w:rPr>
                <w:sz w:val="16"/>
                <w:szCs w:val="16"/>
              </w:rPr>
            </w:pPr>
            <w:r w:rsidRPr="003013C0">
              <w:rPr>
                <w:sz w:val="16"/>
                <w:szCs w:val="16"/>
              </w:rPr>
              <w:t>283</w:t>
            </w:r>
          </w:p>
        </w:tc>
        <w:tc>
          <w:tcPr>
            <w:tcW w:w="556" w:type="pct"/>
            <w:tcBorders>
              <w:top w:val="single" w:sz="4" w:space="0" w:color="auto"/>
            </w:tcBorders>
            <w:noWrap/>
            <w:vAlign w:val="center"/>
            <w:hideMark/>
          </w:tcPr>
          <w:p w:rsidR="00FC0B21" w:rsidRPr="003013C0" w:rsidRDefault="00FC0B21" w:rsidP="00E1718D">
            <w:pPr>
              <w:jc w:val="center"/>
              <w:rPr>
                <w:sz w:val="16"/>
                <w:szCs w:val="16"/>
              </w:rPr>
            </w:pPr>
            <w:r w:rsidRPr="003013C0">
              <w:rPr>
                <w:sz w:val="16"/>
                <w:szCs w:val="16"/>
              </w:rPr>
              <w:t>279</w:t>
            </w:r>
          </w:p>
        </w:tc>
        <w:tc>
          <w:tcPr>
            <w:tcW w:w="556" w:type="pct"/>
            <w:tcBorders>
              <w:top w:val="single" w:sz="4" w:space="0" w:color="auto"/>
            </w:tcBorders>
            <w:noWrap/>
            <w:vAlign w:val="center"/>
            <w:hideMark/>
          </w:tcPr>
          <w:p w:rsidR="00FC0B21" w:rsidRPr="003013C0" w:rsidRDefault="00FC0B21" w:rsidP="00E1718D">
            <w:pPr>
              <w:jc w:val="center"/>
              <w:rPr>
                <w:sz w:val="16"/>
                <w:szCs w:val="16"/>
              </w:rPr>
            </w:pPr>
            <w:r w:rsidRPr="003013C0">
              <w:rPr>
                <w:sz w:val="16"/>
                <w:szCs w:val="16"/>
              </w:rPr>
              <w:t>234</w:t>
            </w:r>
          </w:p>
        </w:tc>
        <w:tc>
          <w:tcPr>
            <w:tcW w:w="556" w:type="pct"/>
            <w:tcBorders>
              <w:top w:val="single" w:sz="4" w:space="0" w:color="auto"/>
            </w:tcBorders>
            <w:noWrap/>
            <w:vAlign w:val="center"/>
            <w:hideMark/>
          </w:tcPr>
          <w:p w:rsidR="00FC0B21" w:rsidRPr="003013C0" w:rsidRDefault="00FC0B21" w:rsidP="00E1718D">
            <w:pPr>
              <w:jc w:val="center"/>
              <w:rPr>
                <w:sz w:val="16"/>
                <w:szCs w:val="16"/>
              </w:rPr>
            </w:pPr>
            <w:r w:rsidRPr="003013C0">
              <w:rPr>
                <w:sz w:val="16"/>
                <w:szCs w:val="16"/>
              </w:rPr>
              <w:t>61</w:t>
            </w:r>
          </w:p>
        </w:tc>
        <w:tc>
          <w:tcPr>
            <w:tcW w:w="552" w:type="pct"/>
            <w:tcBorders>
              <w:top w:val="single" w:sz="4" w:space="0" w:color="auto"/>
            </w:tcBorders>
            <w:noWrap/>
            <w:vAlign w:val="center"/>
            <w:hideMark/>
          </w:tcPr>
          <w:p w:rsidR="00FC0B21" w:rsidRPr="003013C0" w:rsidRDefault="00FC0B21" w:rsidP="00E1718D">
            <w:pPr>
              <w:jc w:val="center"/>
              <w:rPr>
                <w:sz w:val="16"/>
                <w:szCs w:val="16"/>
              </w:rPr>
            </w:pPr>
            <w:r w:rsidRPr="003013C0">
              <w:rPr>
                <w:sz w:val="16"/>
                <w:szCs w:val="16"/>
              </w:rPr>
              <w:t>278</w:t>
            </w:r>
          </w:p>
        </w:tc>
      </w:tr>
      <w:tr w:rsidR="00FC0B21" w:rsidRPr="00FC0B21" w:rsidTr="006627D3">
        <w:trPr>
          <w:trHeight w:val="248"/>
        </w:trPr>
        <w:tc>
          <w:tcPr>
            <w:tcW w:w="556" w:type="pct"/>
            <w:tcBorders>
              <w:right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2009</w:t>
            </w:r>
          </w:p>
        </w:tc>
        <w:tc>
          <w:tcPr>
            <w:tcW w:w="556" w:type="pct"/>
            <w:tcBorders>
              <w:left w:val="single" w:sz="4" w:space="0" w:color="auto"/>
            </w:tcBorders>
            <w:noWrap/>
            <w:vAlign w:val="center"/>
            <w:hideMark/>
          </w:tcPr>
          <w:p w:rsidR="00FC0B21" w:rsidRPr="003013C0" w:rsidRDefault="00FC0B21" w:rsidP="00E1718D">
            <w:pPr>
              <w:jc w:val="center"/>
              <w:rPr>
                <w:sz w:val="16"/>
                <w:szCs w:val="16"/>
              </w:rPr>
            </w:pPr>
            <w:r w:rsidRPr="003013C0">
              <w:rPr>
                <w:sz w:val="16"/>
                <w:szCs w:val="16"/>
              </w:rPr>
              <w:t>370</w:t>
            </w:r>
          </w:p>
        </w:tc>
        <w:tc>
          <w:tcPr>
            <w:tcW w:w="556" w:type="pct"/>
            <w:noWrap/>
            <w:vAlign w:val="center"/>
            <w:hideMark/>
          </w:tcPr>
          <w:p w:rsidR="00FC0B21" w:rsidRPr="003013C0" w:rsidRDefault="00FC0B21" w:rsidP="00E1718D">
            <w:pPr>
              <w:jc w:val="center"/>
              <w:rPr>
                <w:sz w:val="16"/>
                <w:szCs w:val="16"/>
              </w:rPr>
            </w:pPr>
            <w:r w:rsidRPr="003013C0">
              <w:rPr>
                <w:sz w:val="16"/>
                <w:szCs w:val="16"/>
              </w:rPr>
              <w:t>136</w:t>
            </w:r>
          </w:p>
        </w:tc>
        <w:tc>
          <w:tcPr>
            <w:tcW w:w="556" w:type="pct"/>
            <w:noWrap/>
            <w:vAlign w:val="center"/>
            <w:hideMark/>
          </w:tcPr>
          <w:p w:rsidR="00FC0B21" w:rsidRPr="003013C0" w:rsidRDefault="00FC0B21" w:rsidP="00E1718D">
            <w:pPr>
              <w:jc w:val="center"/>
              <w:rPr>
                <w:sz w:val="16"/>
                <w:szCs w:val="16"/>
              </w:rPr>
            </w:pPr>
            <w:r w:rsidRPr="003013C0">
              <w:rPr>
                <w:sz w:val="16"/>
                <w:szCs w:val="16"/>
              </w:rPr>
              <w:t>302</w:t>
            </w:r>
          </w:p>
        </w:tc>
        <w:tc>
          <w:tcPr>
            <w:tcW w:w="556" w:type="pct"/>
            <w:noWrap/>
            <w:vAlign w:val="center"/>
            <w:hideMark/>
          </w:tcPr>
          <w:p w:rsidR="00FC0B21" w:rsidRPr="003013C0" w:rsidRDefault="00FC0B21" w:rsidP="00E1718D">
            <w:pPr>
              <w:jc w:val="center"/>
              <w:rPr>
                <w:sz w:val="16"/>
                <w:szCs w:val="16"/>
              </w:rPr>
            </w:pPr>
            <w:r w:rsidRPr="003013C0">
              <w:rPr>
                <w:sz w:val="16"/>
                <w:szCs w:val="16"/>
              </w:rPr>
              <w:t>289</w:t>
            </w:r>
          </w:p>
        </w:tc>
        <w:tc>
          <w:tcPr>
            <w:tcW w:w="556" w:type="pct"/>
            <w:noWrap/>
            <w:vAlign w:val="center"/>
            <w:hideMark/>
          </w:tcPr>
          <w:p w:rsidR="00FC0B21" w:rsidRPr="003013C0" w:rsidRDefault="00FC0B21" w:rsidP="00E1718D">
            <w:pPr>
              <w:jc w:val="center"/>
              <w:rPr>
                <w:sz w:val="16"/>
                <w:szCs w:val="16"/>
              </w:rPr>
            </w:pPr>
            <w:r w:rsidRPr="003013C0">
              <w:rPr>
                <w:sz w:val="16"/>
                <w:szCs w:val="16"/>
              </w:rPr>
              <w:t>279</w:t>
            </w:r>
          </w:p>
        </w:tc>
        <w:tc>
          <w:tcPr>
            <w:tcW w:w="556" w:type="pct"/>
            <w:noWrap/>
            <w:vAlign w:val="center"/>
            <w:hideMark/>
          </w:tcPr>
          <w:p w:rsidR="00FC0B21" w:rsidRPr="003013C0" w:rsidRDefault="00FC0B21" w:rsidP="00E1718D">
            <w:pPr>
              <w:jc w:val="center"/>
              <w:rPr>
                <w:sz w:val="16"/>
                <w:szCs w:val="16"/>
              </w:rPr>
            </w:pPr>
            <w:r w:rsidRPr="003013C0">
              <w:rPr>
                <w:sz w:val="16"/>
                <w:szCs w:val="16"/>
              </w:rPr>
              <w:t>239</w:t>
            </w:r>
          </w:p>
        </w:tc>
        <w:tc>
          <w:tcPr>
            <w:tcW w:w="556" w:type="pct"/>
            <w:noWrap/>
            <w:vAlign w:val="center"/>
            <w:hideMark/>
          </w:tcPr>
          <w:p w:rsidR="00FC0B21" w:rsidRPr="003013C0" w:rsidRDefault="00FC0B21" w:rsidP="00E1718D">
            <w:pPr>
              <w:jc w:val="center"/>
              <w:rPr>
                <w:sz w:val="16"/>
                <w:szCs w:val="16"/>
              </w:rPr>
            </w:pPr>
            <w:r w:rsidRPr="003013C0">
              <w:rPr>
                <w:sz w:val="16"/>
                <w:szCs w:val="16"/>
              </w:rPr>
              <w:t>52</w:t>
            </w:r>
          </w:p>
        </w:tc>
        <w:tc>
          <w:tcPr>
            <w:tcW w:w="552" w:type="pct"/>
            <w:noWrap/>
            <w:vAlign w:val="center"/>
            <w:hideMark/>
          </w:tcPr>
          <w:p w:rsidR="00FC0B21" w:rsidRPr="003013C0" w:rsidRDefault="00FC0B21" w:rsidP="00E1718D">
            <w:pPr>
              <w:jc w:val="center"/>
              <w:rPr>
                <w:sz w:val="16"/>
                <w:szCs w:val="16"/>
              </w:rPr>
            </w:pPr>
            <w:r w:rsidRPr="003013C0">
              <w:rPr>
                <w:sz w:val="16"/>
                <w:szCs w:val="16"/>
              </w:rPr>
              <w:t>273</w:t>
            </w:r>
          </w:p>
        </w:tc>
      </w:tr>
      <w:tr w:rsidR="00FC0B21" w:rsidRPr="00FC0B21" w:rsidTr="006627D3">
        <w:trPr>
          <w:trHeight w:val="248"/>
        </w:trPr>
        <w:tc>
          <w:tcPr>
            <w:tcW w:w="556" w:type="pct"/>
            <w:tcBorders>
              <w:right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2010</w:t>
            </w:r>
          </w:p>
        </w:tc>
        <w:tc>
          <w:tcPr>
            <w:tcW w:w="556" w:type="pct"/>
            <w:tcBorders>
              <w:left w:val="single" w:sz="4" w:space="0" w:color="auto"/>
            </w:tcBorders>
            <w:noWrap/>
            <w:vAlign w:val="center"/>
            <w:hideMark/>
          </w:tcPr>
          <w:p w:rsidR="00FC0B21" w:rsidRPr="003013C0" w:rsidRDefault="00FC0B21" w:rsidP="00E1718D">
            <w:pPr>
              <w:jc w:val="center"/>
              <w:rPr>
                <w:sz w:val="16"/>
                <w:szCs w:val="16"/>
              </w:rPr>
            </w:pPr>
            <w:r w:rsidRPr="003013C0">
              <w:rPr>
                <w:sz w:val="16"/>
                <w:szCs w:val="16"/>
              </w:rPr>
              <w:t>314</w:t>
            </w:r>
          </w:p>
        </w:tc>
        <w:tc>
          <w:tcPr>
            <w:tcW w:w="556" w:type="pct"/>
            <w:noWrap/>
            <w:vAlign w:val="center"/>
            <w:hideMark/>
          </w:tcPr>
          <w:p w:rsidR="00FC0B21" w:rsidRPr="003013C0" w:rsidRDefault="00FC0B21" w:rsidP="00E1718D">
            <w:pPr>
              <w:jc w:val="center"/>
              <w:rPr>
                <w:sz w:val="16"/>
                <w:szCs w:val="16"/>
              </w:rPr>
            </w:pPr>
            <w:r w:rsidRPr="003013C0">
              <w:rPr>
                <w:sz w:val="16"/>
                <w:szCs w:val="16"/>
              </w:rPr>
              <w:t>130</w:t>
            </w:r>
          </w:p>
        </w:tc>
        <w:tc>
          <w:tcPr>
            <w:tcW w:w="556" w:type="pct"/>
            <w:noWrap/>
            <w:vAlign w:val="center"/>
            <w:hideMark/>
          </w:tcPr>
          <w:p w:rsidR="00FC0B21" w:rsidRPr="003013C0" w:rsidRDefault="00FC0B21" w:rsidP="00E1718D">
            <w:pPr>
              <w:jc w:val="center"/>
              <w:rPr>
                <w:sz w:val="16"/>
                <w:szCs w:val="16"/>
              </w:rPr>
            </w:pPr>
            <w:r w:rsidRPr="003013C0">
              <w:rPr>
                <w:sz w:val="16"/>
                <w:szCs w:val="16"/>
              </w:rPr>
              <w:t>285</w:t>
            </w:r>
          </w:p>
        </w:tc>
        <w:tc>
          <w:tcPr>
            <w:tcW w:w="556" w:type="pct"/>
            <w:noWrap/>
            <w:vAlign w:val="center"/>
            <w:hideMark/>
          </w:tcPr>
          <w:p w:rsidR="00FC0B21" w:rsidRPr="003013C0" w:rsidRDefault="00FC0B21" w:rsidP="00E1718D">
            <w:pPr>
              <w:jc w:val="center"/>
              <w:rPr>
                <w:sz w:val="16"/>
                <w:szCs w:val="16"/>
              </w:rPr>
            </w:pPr>
            <w:r w:rsidRPr="003013C0">
              <w:rPr>
                <w:sz w:val="16"/>
                <w:szCs w:val="16"/>
              </w:rPr>
              <w:t>286</w:t>
            </w:r>
          </w:p>
        </w:tc>
        <w:tc>
          <w:tcPr>
            <w:tcW w:w="556" w:type="pct"/>
            <w:noWrap/>
            <w:vAlign w:val="center"/>
            <w:hideMark/>
          </w:tcPr>
          <w:p w:rsidR="00FC0B21" w:rsidRPr="003013C0" w:rsidRDefault="00FC0B21" w:rsidP="00E1718D">
            <w:pPr>
              <w:jc w:val="center"/>
              <w:rPr>
                <w:sz w:val="16"/>
                <w:szCs w:val="16"/>
              </w:rPr>
            </w:pPr>
            <w:r w:rsidRPr="003013C0">
              <w:rPr>
                <w:sz w:val="16"/>
                <w:szCs w:val="16"/>
              </w:rPr>
              <w:t>304</w:t>
            </w:r>
          </w:p>
        </w:tc>
        <w:tc>
          <w:tcPr>
            <w:tcW w:w="556" w:type="pct"/>
            <w:noWrap/>
            <w:vAlign w:val="center"/>
            <w:hideMark/>
          </w:tcPr>
          <w:p w:rsidR="00FC0B21" w:rsidRPr="003013C0" w:rsidRDefault="00FC0B21" w:rsidP="00E1718D">
            <w:pPr>
              <w:jc w:val="center"/>
              <w:rPr>
                <w:sz w:val="16"/>
                <w:szCs w:val="16"/>
              </w:rPr>
            </w:pPr>
            <w:r w:rsidRPr="003013C0">
              <w:rPr>
                <w:sz w:val="16"/>
                <w:szCs w:val="16"/>
              </w:rPr>
              <w:t>214</w:t>
            </w:r>
          </w:p>
        </w:tc>
        <w:tc>
          <w:tcPr>
            <w:tcW w:w="556" w:type="pct"/>
            <w:noWrap/>
            <w:vAlign w:val="center"/>
            <w:hideMark/>
          </w:tcPr>
          <w:p w:rsidR="00FC0B21" w:rsidRPr="003013C0" w:rsidRDefault="00FC0B21" w:rsidP="00E1718D">
            <w:pPr>
              <w:jc w:val="center"/>
              <w:rPr>
                <w:sz w:val="16"/>
                <w:szCs w:val="16"/>
              </w:rPr>
            </w:pPr>
            <w:r w:rsidRPr="003013C0">
              <w:rPr>
                <w:sz w:val="16"/>
                <w:szCs w:val="16"/>
              </w:rPr>
              <w:t>63</w:t>
            </w:r>
          </w:p>
        </w:tc>
        <w:tc>
          <w:tcPr>
            <w:tcW w:w="552" w:type="pct"/>
            <w:noWrap/>
            <w:vAlign w:val="center"/>
            <w:hideMark/>
          </w:tcPr>
          <w:p w:rsidR="00FC0B21" w:rsidRPr="003013C0" w:rsidRDefault="00FC0B21" w:rsidP="00E1718D">
            <w:pPr>
              <w:jc w:val="center"/>
              <w:rPr>
                <w:sz w:val="16"/>
                <w:szCs w:val="16"/>
              </w:rPr>
            </w:pPr>
            <w:r w:rsidRPr="003013C0">
              <w:rPr>
                <w:sz w:val="16"/>
                <w:szCs w:val="16"/>
              </w:rPr>
              <w:t>288</w:t>
            </w:r>
          </w:p>
        </w:tc>
      </w:tr>
      <w:tr w:rsidR="00FC0B21" w:rsidRPr="00FC0B21" w:rsidTr="006627D3">
        <w:trPr>
          <w:trHeight w:val="248"/>
        </w:trPr>
        <w:tc>
          <w:tcPr>
            <w:tcW w:w="556" w:type="pct"/>
            <w:tcBorders>
              <w:right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2011</w:t>
            </w:r>
          </w:p>
        </w:tc>
        <w:tc>
          <w:tcPr>
            <w:tcW w:w="556" w:type="pct"/>
            <w:tcBorders>
              <w:left w:val="single" w:sz="4" w:space="0" w:color="auto"/>
            </w:tcBorders>
            <w:noWrap/>
            <w:vAlign w:val="center"/>
            <w:hideMark/>
          </w:tcPr>
          <w:p w:rsidR="00FC0B21" w:rsidRPr="003013C0" w:rsidRDefault="00FC0B21" w:rsidP="00E1718D">
            <w:pPr>
              <w:jc w:val="center"/>
              <w:rPr>
                <w:sz w:val="16"/>
                <w:szCs w:val="16"/>
              </w:rPr>
            </w:pPr>
            <w:r w:rsidRPr="003013C0">
              <w:rPr>
                <w:sz w:val="16"/>
                <w:szCs w:val="16"/>
              </w:rPr>
              <w:t>320</w:t>
            </w:r>
          </w:p>
        </w:tc>
        <w:tc>
          <w:tcPr>
            <w:tcW w:w="556" w:type="pct"/>
            <w:noWrap/>
            <w:vAlign w:val="center"/>
            <w:hideMark/>
          </w:tcPr>
          <w:p w:rsidR="00FC0B21" w:rsidRPr="003013C0" w:rsidRDefault="00FC0B21" w:rsidP="00E1718D">
            <w:pPr>
              <w:jc w:val="center"/>
              <w:rPr>
                <w:sz w:val="16"/>
                <w:szCs w:val="16"/>
              </w:rPr>
            </w:pPr>
            <w:r w:rsidRPr="003013C0">
              <w:rPr>
                <w:sz w:val="16"/>
                <w:szCs w:val="16"/>
              </w:rPr>
              <w:t>159</w:t>
            </w:r>
          </w:p>
        </w:tc>
        <w:tc>
          <w:tcPr>
            <w:tcW w:w="556" w:type="pct"/>
            <w:noWrap/>
            <w:vAlign w:val="center"/>
            <w:hideMark/>
          </w:tcPr>
          <w:p w:rsidR="00FC0B21" w:rsidRPr="003013C0" w:rsidRDefault="00FC0B21" w:rsidP="00E1718D">
            <w:pPr>
              <w:jc w:val="center"/>
              <w:rPr>
                <w:sz w:val="16"/>
                <w:szCs w:val="16"/>
              </w:rPr>
            </w:pPr>
            <w:r w:rsidRPr="003013C0">
              <w:rPr>
                <w:sz w:val="16"/>
                <w:szCs w:val="16"/>
              </w:rPr>
              <w:t>313</w:t>
            </w:r>
          </w:p>
        </w:tc>
        <w:tc>
          <w:tcPr>
            <w:tcW w:w="556" w:type="pct"/>
            <w:noWrap/>
            <w:vAlign w:val="center"/>
            <w:hideMark/>
          </w:tcPr>
          <w:p w:rsidR="00FC0B21" w:rsidRPr="003013C0" w:rsidRDefault="00FC0B21" w:rsidP="00E1718D">
            <w:pPr>
              <w:jc w:val="center"/>
              <w:rPr>
                <w:sz w:val="16"/>
                <w:szCs w:val="16"/>
              </w:rPr>
            </w:pPr>
            <w:r w:rsidRPr="003013C0">
              <w:rPr>
                <w:sz w:val="16"/>
                <w:szCs w:val="16"/>
              </w:rPr>
              <w:t>314</w:t>
            </w:r>
          </w:p>
        </w:tc>
        <w:tc>
          <w:tcPr>
            <w:tcW w:w="556" w:type="pct"/>
            <w:noWrap/>
            <w:vAlign w:val="center"/>
            <w:hideMark/>
          </w:tcPr>
          <w:p w:rsidR="00FC0B21" w:rsidRPr="003013C0" w:rsidRDefault="00FC0B21" w:rsidP="00E1718D">
            <w:pPr>
              <w:jc w:val="center"/>
              <w:rPr>
                <w:sz w:val="16"/>
                <w:szCs w:val="16"/>
              </w:rPr>
            </w:pPr>
            <w:r w:rsidRPr="003013C0">
              <w:rPr>
                <w:sz w:val="16"/>
                <w:szCs w:val="16"/>
              </w:rPr>
              <w:t>321</w:t>
            </w:r>
          </w:p>
        </w:tc>
        <w:tc>
          <w:tcPr>
            <w:tcW w:w="556" w:type="pct"/>
            <w:noWrap/>
            <w:vAlign w:val="center"/>
            <w:hideMark/>
          </w:tcPr>
          <w:p w:rsidR="00FC0B21" w:rsidRPr="003013C0" w:rsidRDefault="00FC0B21" w:rsidP="00E1718D">
            <w:pPr>
              <w:jc w:val="center"/>
              <w:rPr>
                <w:sz w:val="16"/>
                <w:szCs w:val="16"/>
              </w:rPr>
            </w:pPr>
            <w:r w:rsidRPr="003013C0">
              <w:rPr>
                <w:sz w:val="16"/>
                <w:szCs w:val="16"/>
              </w:rPr>
              <w:t>211</w:t>
            </w:r>
          </w:p>
        </w:tc>
        <w:tc>
          <w:tcPr>
            <w:tcW w:w="556" w:type="pct"/>
            <w:noWrap/>
            <w:vAlign w:val="center"/>
            <w:hideMark/>
          </w:tcPr>
          <w:p w:rsidR="00FC0B21" w:rsidRPr="003013C0" w:rsidRDefault="00FC0B21" w:rsidP="00E1718D">
            <w:pPr>
              <w:jc w:val="center"/>
              <w:rPr>
                <w:sz w:val="16"/>
                <w:szCs w:val="16"/>
              </w:rPr>
            </w:pPr>
            <w:r w:rsidRPr="003013C0">
              <w:rPr>
                <w:sz w:val="16"/>
                <w:szCs w:val="16"/>
              </w:rPr>
              <w:t>46</w:t>
            </w:r>
          </w:p>
        </w:tc>
        <w:tc>
          <w:tcPr>
            <w:tcW w:w="552" w:type="pct"/>
            <w:noWrap/>
            <w:vAlign w:val="center"/>
            <w:hideMark/>
          </w:tcPr>
          <w:p w:rsidR="00FC0B21" w:rsidRPr="003013C0" w:rsidRDefault="00FC0B21" w:rsidP="00E1718D">
            <w:pPr>
              <w:jc w:val="center"/>
              <w:rPr>
                <w:sz w:val="16"/>
                <w:szCs w:val="16"/>
              </w:rPr>
            </w:pPr>
            <w:r w:rsidRPr="003013C0">
              <w:rPr>
                <w:sz w:val="16"/>
                <w:szCs w:val="16"/>
              </w:rPr>
              <w:t>267</w:t>
            </w:r>
          </w:p>
        </w:tc>
      </w:tr>
      <w:tr w:rsidR="00FC0B21" w:rsidRPr="00FC0B21" w:rsidTr="006627D3">
        <w:trPr>
          <w:trHeight w:val="248"/>
        </w:trPr>
        <w:tc>
          <w:tcPr>
            <w:tcW w:w="556" w:type="pct"/>
            <w:tcBorders>
              <w:bottom w:val="single" w:sz="4" w:space="0" w:color="auto"/>
              <w:right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2012</w:t>
            </w:r>
          </w:p>
        </w:tc>
        <w:tc>
          <w:tcPr>
            <w:tcW w:w="556" w:type="pct"/>
            <w:tcBorders>
              <w:left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331</w:t>
            </w:r>
          </w:p>
        </w:tc>
        <w:tc>
          <w:tcPr>
            <w:tcW w:w="556" w:type="pct"/>
            <w:tcBorders>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166</w:t>
            </w:r>
          </w:p>
        </w:tc>
        <w:tc>
          <w:tcPr>
            <w:tcW w:w="556" w:type="pct"/>
            <w:tcBorders>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307</w:t>
            </w:r>
          </w:p>
        </w:tc>
        <w:tc>
          <w:tcPr>
            <w:tcW w:w="556" w:type="pct"/>
            <w:tcBorders>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289</w:t>
            </w:r>
          </w:p>
        </w:tc>
        <w:tc>
          <w:tcPr>
            <w:tcW w:w="556" w:type="pct"/>
            <w:tcBorders>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316</w:t>
            </w:r>
          </w:p>
        </w:tc>
        <w:tc>
          <w:tcPr>
            <w:tcW w:w="556" w:type="pct"/>
            <w:tcBorders>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247</w:t>
            </w:r>
          </w:p>
        </w:tc>
        <w:tc>
          <w:tcPr>
            <w:tcW w:w="556" w:type="pct"/>
            <w:tcBorders>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49</w:t>
            </w:r>
          </w:p>
        </w:tc>
        <w:tc>
          <w:tcPr>
            <w:tcW w:w="552" w:type="pct"/>
            <w:tcBorders>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306</w:t>
            </w:r>
          </w:p>
        </w:tc>
      </w:tr>
      <w:tr w:rsidR="00FC0B21" w:rsidRPr="00FC0B21" w:rsidTr="006627D3">
        <w:trPr>
          <w:trHeight w:val="248"/>
        </w:trPr>
        <w:tc>
          <w:tcPr>
            <w:tcW w:w="556" w:type="pct"/>
            <w:tcBorders>
              <w:top w:val="single" w:sz="4" w:space="0" w:color="auto"/>
              <w:bottom w:val="single" w:sz="4" w:space="0" w:color="auto"/>
              <w:right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2008-2012</w:t>
            </w:r>
          </w:p>
        </w:tc>
        <w:tc>
          <w:tcPr>
            <w:tcW w:w="556" w:type="pct"/>
            <w:tcBorders>
              <w:top w:val="single" w:sz="4" w:space="0" w:color="auto"/>
              <w:left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1,651</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736</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1,505</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1,461</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1,499</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1,145</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271</w:t>
            </w:r>
          </w:p>
        </w:tc>
        <w:tc>
          <w:tcPr>
            <w:tcW w:w="552"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1,412</w:t>
            </w:r>
          </w:p>
        </w:tc>
      </w:tr>
      <w:tr w:rsidR="00FC0B21" w:rsidRPr="00FC0B21" w:rsidTr="00E1718D">
        <w:trPr>
          <w:trHeight w:val="248"/>
        </w:trPr>
        <w:tc>
          <w:tcPr>
            <w:tcW w:w="556" w:type="pct"/>
            <w:tcBorders>
              <w:top w:val="single" w:sz="4" w:space="0" w:color="auto"/>
              <w:bottom w:val="single" w:sz="4" w:space="0" w:color="auto"/>
              <w:right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YPLL</w:t>
            </w:r>
          </w:p>
        </w:tc>
        <w:tc>
          <w:tcPr>
            <w:tcW w:w="556" w:type="pct"/>
            <w:tcBorders>
              <w:top w:val="single" w:sz="4" w:space="0" w:color="auto"/>
              <w:left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24,079</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6,057</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14,927</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12,370</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12,627</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9,763</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3,948</w:t>
            </w:r>
          </w:p>
        </w:tc>
        <w:tc>
          <w:tcPr>
            <w:tcW w:w="552"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6,541</w:t>
            </w:r>
          </w:p>
        </w:tc>
      </w:tr>
      <w:tr w:rsidR="00FC0B21" w:rsidRPr="00FC0B21" w:rsidTr="00E1718D">
        <w:trPr>
          <w:trHeight w:val="248"/>
        </w:trPr>
        <w:tc>
          <w:tcPr>
            <w:tcW w:w="556" w:type="pct"/>
            <w:tcBorders>
              <w:top w:val="single" w:sz="4" w:space="0" w:color="auto"/>
              <w:bottom w:val="single" w:sz="4" w:space="0" w:color="auto"/>
              <w:right w:val="single" w:sz="4" w:space="0" w:color="auto"/>
            </w:tcBorders>
            <w:noWrap/>
            <w:vAlign w:val="center"/>
            <w:hideMark/>
          </w:tcPr>
          <w:p w:rsidR="00FC0B21" w:rsidRPr="003013C0" w:rsidRDefault="00FC0B21" w:rsidP="00E1718D">
            <w:pPr>
              <w:jc w:val="center"/>
              <w:rPr>
                <w:b/>
                <w:sz w:val="16"/>
                <w:szCs w:val="16"/>
              </w:rPr>
            </w:pPr>
            <w:r w:rsidRPr="003013C0">
              <w:rPr>
                <w:b/>
                <w:sz w:val="16"/>
                <w:szCs w:val="16"/>
              </w:rPr>
              <w:t>APYLL</w:t>
            </w:r>
          </w:p>
        </w:tc>
        <w:tc>
          <w:tcPr>
            <w:tcW w:w="556" w:type="pct"/>
            <w:tcBorders>
              <w:top w:val="single" w:sz="4" w:space="0" w:color="auto"/>
              <w:left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14.6</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8.2</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9.9</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8.5</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8.4</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8.5</w:t>
            </w:r>
          </w:p>
        </w:tc>
        <w:tc>
          <w:tcPr>
            <w:tcW w:w="556"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14.6</w:t>
            </w:r>
          </w:p>
        </w:tc>
        <w:tc>
          <w:tcPr>
            <w:tcW w:w="552" w:type="pct"/>
            <w:tcBorders>
              <w:top w:val="single" w:sz="4" w:space="0" w:color="auto"/>
              <w:bottom w:val="single" w:sz="4" w:space="0" w:color="auto"/>
            </w:tcBorders>
            <w:noWrap/>
            <w:vAlign w:val="center"/>
            <w:hideMark/>
          </w:tcPr>
          <w:p w:rsidR="00FC0B21" w:rsidRPr="003013C0" w:rsidRDefault="00FC0B21" w:rsidP="00E1718D">
            <w:pPr>
              <w:jc w:val="center"/>
              <w:rPr>
                <w:sz w:val="16"/>
                <w:szCs w:val="16"/>
              </w:rPr>
            </w:pPr>
            <w:r w:rsidRPr="003013C0">
              <w:rPr>
                <w:sz w:val="16"/>
                <w:szCs w:val="16"/>
              </w:rPr>
              <w:t>4.6</w:t>
            </w:r>
          </w:p>
        </w:tc>
      </w:tr>
    </w:tbl>
    <w:p w:rsidR="00CF610C" w:rsidRDefault="00964E4C" w:rsidP="00CF610C">
      <w:pPr>
        <w:spacing w:line="240" w:lineRule="auto"/>
        <w:jc w:val="right"/>
        <w:rPr>
          <w:rStyle w:val="Hyperlink"/>
        </w:rPr>
      </w:pPr>
      <w:hyperlink w:anchor="_Data_Sources_1" w:history="1">
        <w:r w:rsidR="00681C68" w:rsidRPr="00681C68">
          <w:rPr>
            <w:rStyle w:val="Hyperlink"/>
          </w:rPr>
          <w:t>Data Source</w:t>
        </w:r>
      </w:hyperlink>
    </w:p>
    <w:p w:rsidR="00CF610C" w:rsidRDefault="00CF610C" w:rsidP="00CF610C">
      <w:pPr>
        <w:spacing w:line="240" w:lineRule="auto"/>
        <w:jc w:val="right"/>
        <w:rPr>
          <w:rStyle w:val="Hyperlink"/>
        </w:rPr>
      </w:pPr>
    </w:p>
    <w:p w:rsidR="00EC3E95" w:rsidRDefault="00EC3E95" w:rsidP="00EC3E95">
      <w:pPr>
        <w:pStyle w:val="Heading1"/>
      </w:pPr>
      <w:bookmarkStart w:id="622" w:name="_Data_Sources_and"/>
      <w:bookmarkStart w:id="623" w:name="_Data_Sources"/>
      <w:bookmarkStart w:id="624" w:name="_Toc439918887"/>
      <w:bookmarkStart w:id="625" w:name="_Toc421608594"/>
      <w:bookmarkStart w:id="626" w:name="_Toc421609412"/>
      <w:bookmarkStart w:id="627" w:name="_Toc421609746"/>
      <w:bookmarkStart w:id="628" w:name="_Toc421611272"/>
      <w:bookmarkEnd w:id="622"/>
      <w:bookmarkEnd w:id="623"/>
      <w:r>
        <w:lastRenderedPageBreak/>
        <w:t>Technical Notes</w:t>
      </w:r>
      <w:bookmarkEnd w:id="624"/>
      <w:r>
        <w:t xml:space="preserve"> </w:t>
      </w:r>
    </w:p>
    <w:p w:rsidR="00EC3E95" w:rsidRPr="009767C5" w:rsidRDefault="00EC3E95" w:rsidP="00EC3E95">
      <w:pPr>
        <w:pStyle w:val="Heading2"/>
      </w:pPr>
      <w:bookmarkStart w:id="629" w:name="_Toc439918888"/>
      <w:r w:rsidRPr="009767C5">
        <w:t>Statistical Methods</w:t>
      </w:r>
      <w:bookmarkEnd w:id="629"/>
      <w:r w:rsidRPr="009767C5">
        <w:t xml:space="preserve"> </w:t>
      </w:r>
    </w:p>
    <w:p w:rsidR="00EC3E95" w:rsidRPr="007B0E3B" w:rsidRDefault="00EC3E95" w:rsidP="00EC3E95">
      <w:pPr>
        <w:rPr>
          <w:sz w:val="24"/>
          <w:szCs w:val="24"/>
        </w:rPr>
      </w:pPr>
      <w:r w:rsidRPr="007B0E3B">
        <w:rPr>
          <w:sz w:val="24"/>
          <w:szCs w:val="24"/>
        </w:rPr>
        <w:t>SAS 9.3 was used to prepare the incidence and mortality data and SEER*Stat 8.1.5 was used for counting numbers of new cases and deaths due to cancer and calculating age-adjusted rates and confidence intervals.</w:t>
      </w:r>
    </w:p>
    <w:p w:rsidR="00C57606" w:rsidRPr="007B0E3B" w:rsidRDefault="00EC3E95" w:rsidP="00C57606">
      <w:pPr>
        <w:spacing w:before="0"/>
        <w:rPr>
          <w:sz w:val="24"/>
          <w:szCs w:val="24"/>
        </w:rPr>
      </w:pPr>
      <w:r w:rsidRPr="007B0E3B">
        <w:rPr>
          <w:sz w:val="24"/>
          <w:szCs w:val="24"/>
        </w:rPr>
        <w:t>Confidence intervals were used to test if the difference in incidence or mortality rates between two groups or two years, e.g. blacks vs. whites or 2008 vs. 2012, w</w:t>
      </w:r>
      <w:r w:rsidR="00D04FE0">
        <w:rPr>
          <w:sz w:val="24"/>
          <w:szCs w:val="24"/>
        </w:rPr>
        <w:t>as</w:t>
      </w:r>
      <w:r w:rsidRPr="007B0E3B">
        <w:rPr>
          <w:sz w:val="24"/>
          <w:szCs w:val="24"/>
        </w:rPr>
        <w:t xml:space="preserve"> statistically significant. If the 95% confidence intervals did not overlap, the difference was determined to be statistically significant</w:t>
      </w:r>
      <w:r w:rsidR="00C57606">
        <w:rPr>
          <w:sz w:val="24"/>
          <w:szCs w:val="24"/>
        </w:rPr>
        <w:t>. Therefore, this is a conservative test of significance and there is a greater probability of finding non-significant differences than traditional tests of significance.</w:t>
      </w:r>
    </w:p>
    <w:p w:rsidR="00EC3E95" w:rsidRPr="007B0E3B" w:rsidRDefault="00EC3E95" w:rsidP="00EC3E95">
      <w:pPr>
        <w:spacing w:before="0"/>
        <w:rPr>
          <w:sz w:val="24"/>
          <w:szCs w:val="24"/>
        </w:rPr>
      </w:pPr>
      <w:r w:rsidRPr="007B0E3B">
        <w:rPr>
          <w:sz w:val="24"/>
          <w:szCs w:val="24"/>
        </w:rPr>
        <w:t>Pearson’s chi-squared test was used to test the differences in cancer stages, i.e. late stages (regional and distant combined) versus early stages (in situ and localized combined) between blacks and whites.</w:t>
      </w:r>
      <w:r w:rsidR="00D04FE0">
        <w:rPr>
          <w:sz w:val="24"/>
          <w:szCs w:val="24"/>
        </w:rPr>
        <w:t xml:space="preserve"> </w:t>
      </w:r>
    </w:p>
    <w:p w:rsidR="00EC3E95" w:rsidRPr="007B0E3B" w:rsidRDefault="00EC3E95" w:rsidP="005E61B4">
      <w:pPr>
        <w:rPr>
          <w:sz w:val="24"/>
          <w:szCs w:val="24"/>
        </w:rPr>
      </w:pPr>
      <w:r w:rsidRPr="007B0E3B">
        <w:rPr>
          <w:sz w:val="24"/>
          <w:szCs w:val="24"/>
        </w:rPr>
        <w:t xml:space="preserve">When interpreting cancer incidence and mortality data it is important to keep in mind multiple factors can impact cancer rates. Consumers of this data must use caution when interpreting the data in this report and consider that the data published in this report is dynamic. It is possible even after the standard reporting delay, some new cases may be reported, which could influence cancer rates. Caution should also be used when interpreting rates based on only a small number of cases. In order to protect patient confidentiality and ensure the integrity of the data, data based on counts smaller than 10 have been suppressed. Additionally, the confidence intervals associated with some cancers are very large, and caution should be used when interpreting the data. </w:t>
      </w:r>
    </w:p>
    <w:p w:rsidR="00EC3E95" w:rsidRPr="00955C53" w:rsidRDefault="00EC3E95" w:rsidP="00EC3E95">
      <w:pPr>
        <w:pStyle w:val="Heading2"/>
      </w:pPr>
      <w:bookmarkStart w:id="630" w:name="_Toc439918889"/>
      <w:r w:rsidRPr="00955C53">
        <w:t>Software Used for Calculation</w:t>
      </w:r>
      <w:bookmarkEnd w:id="630"/>
    </w:p>
    <w:p w:rsidR="00EC3E95" w:rsidRPr="007B0E3B" w:rsidRDefault="00EC3E95" w:rsidP="004832AF">
      <w:pPr>
        <w:pStyle w:val="NoSpacing"/>
        <w:spacing w:before="240" w:after="240" w:line="276" w:lineRule="auto"/>
        <w:rPr>
          <w:rFonts w:asciiTheme="majorHAnsi" w:hAnsiTheme="majorHAnsi"/>
          <w:b/>
          <w:sz w:val="24"/>
          <w:szCs w:val="24"/>
        </w:rPr>
      </w:pPr>
      <w:r w:rsidRPr="007B0E3B">
        <w:rPr>
          <w:rFonts w:asciiTheme="majorHAnsi" w:hAnsiTheme="majorHAnsi"/>
          <w:b/>
          <w:sz w:val="24"/>
          <w:szCs w:val="24"/>
        </w:rPr>
        <w:t>Age-Adjusted Rates and Confidence Intervals:</w:t>
      </w:r>
    </w:p>
    <w:p w:rsidR="00EC3E95" w:rsidRPr="007B0E3B" w:rsidRDefault="00EC3E95" w:rsidP="00EC3E95">
      <w:pPr>
        <w:pStyle w:val="NoSpacing"/>
        <w:spacing w:line="276" w:lineRule="auto"/>
        <w:rPr>
          <w:sz w:val="24"/>
          <w:szCs w:val="24"/>
        </w:rPr>
      </w:pPr>
      <w:r w:rsidRPr="007B0E3B">
        <w:rPr>
          <w:sz w:val="24"/>
          <w:szCs w:val="24"/>
        </w:rPr>
        <w:t xml:space="preserve">Surveillance Research Program, National Cancer Institute (2013). </w:t>
      </w:r>
      <w:proofErr w:type="gramStart"/>
      <w:r w:rsidRPr="007B0E3B">
        <w:rPr>
          <w:sz w:val="24"/>
          <w:szCs w:val="24"/>
        </w:rPr>
        <w:t>SEER*Stat (version 8.1.5) [Computer Software].</w:t>
      </w:r>
      <w:proofErr w:type="gramEnd"/>
      <w:r w:rsidRPr="007B0E3B">
        <w:rPr>
          <w:sz w:val="24"/>
          <w:szCs w:val="24"/>
        </w:rPr>
        <w:t xml:space="preserve"> Calverton, MD. (</w:t>
      </w:r>
      <w:hyperlink r:id="rId200" w:history="1">
        <w:r w:rsidRPr="007B0E3B">
          <w:rPr>
            <w:rStyle w:val="Hyperlink"/>
            <w:sz w:val="24"/>
            <w:szCs w:val="24"/>
          </w:rPr>
          <w:t>http://seer.cancer.gov/seerstat</w:t>
        </w:r>
      </w:hyperlink>
      <w:r w:rsidRPr="007B0E3B">
        <w:rPr>
          <w:sz w:val="24"/>
          <w:szCs w:val="24"/>
        </w:rPr>
        <w:t xml:space="preserve">) </w:t>
      </w:r>
    </w:p>
    <w:p w:rsidR="00EC3E95" w:rsidRPr="007B0E3B" w:rsidRDefault="00EC3E95" w:rsidP="004832AF">
      <w:pPr>
        <w:pStyle w:val="NoSpacing"/>
        <w:spacing w:before="240" w:after="240" w:line="276" w:lineRule="auto"/>
        <w:rPr>
          <w:rFonts w:asciiTheme="majorHAnsi" w:hAnsiTheme="majorHAnsi"/>
          <w:b/>
          <w:sz w:val="24"/>
          <w:szCs w:val="24"/>
        </w:rPr>
      </w:pPr>
      <w:r w:rsidRPr="007B0E3B">
        <w:rPr>
          <w:rFonts w:asciiTheme="majorHAnsi" w:hAnsiTheme="majorHAnsi"/>
          <w:b/>
          <w:sz w:val="24"/>
          <w:szCs w:val="24"/>
        </w:rPr>
        <w:t>Probability of Developing or Dying of Cancer:</w:t>
      </w:r>
    </w:p>
    <w:p w:rsidR="00EC3E95" w:rsidRPr="007B0E3B" w:rsidRDefault="00EC3E95" w:rsidP="00EC3E95">
      <w:pPr>
        <w:pStyle w:val="NoSpacing"/>
        <w:spacing w:line="276" w:lineRule="auto"/>
        <w:rPr>
          <w:sz w:val="24"/>
          <w:szCs w:val="24"/>
        </w:rPr>
      </w:pPr>
      <w:r w:rsidRPr="007B0E3B">
        <w:rPr>
          <w:sz w:val="24"/>
          <w:szCs w:val="24"/>
        </w:rPr>
        <w:t xml:space="preserve">DevCan: Probability of Developing or Dying of Cancer Software, Version 6.7.2. </w:t>
      </w:r>
      <w:proofErr w:type="gramStart"/>
      <w:r w:rsidRPr="007B0E3B">
        <w:rPr>
          <w:sz w:val="24"/>
          <w:szCs w:val="24"/>
        </w:rPr>
        <w:t>Statistical Research and Applications Branch, National Cancer Institute, 2014.</w:t>
      </w:r>
      <w:proofErr w:type="gramEnd"/>
      <w:r w:rsidRPr="007B0E3B">
        <w:rPr>
          <w:sz w:val="24"/>
          <w:szCs w:val="24"/>
        </w:rPr>
        <w:t xml:space="preserve"> (</w:t>
      </w:r>
      <w:hyperlink r:id="rId201" w:history="1">
        <w:r w:rsidRPr="007B0E3B">
          <w:rPr>
            <w:rStyle w:val="Hyperlink"/>
            <w:sz w:val="24"/>
            <w:szCs w:val="24"/>
          </w:rPr>
          <w:t>http://surveillance.cancer.gov./devcan</w:t>
        </w:r>
      </w:hyperlink>
      <w:r w:rsidRPr="007B0E3B">
        <w:rPr>
          <w:sz w:val="24"/>
          <w:szCs w:val="24"/>
        </w:rPr>
        <w:t xml:space="preserve">) </w:t>
      </w:r>
    </w:p>
    <w:p w:rsidR="00EC3E95" w:rsidRPr="007B0E3B" w:rsidRDefault="00EC3E95" w:rsidP="004832AF">
      <w:pPr>
        <w:pStyle w:val="NoSpacing"/>
        <w:spacing w:before="240" w:after="240" w:line="276" w:lineRule="auto"/>
        <w:rPr>
          <w:rFonts w:asciiTheme="majorHAnsi" w:hAnsiTheme="majorHAnsi"/>
          <w:b/>
          <w:sz w:val="24"/>
          <w:szCs w:val="24"/>
        </w:rPr>
      </w:pPr>
      <w:r w:rsidRPr="007B0E3B">
        <w:rPr>
          <w:rFonts w:asciiTheme="majorHAnsi" w:hAnsiTheme="majorHAnsi"/>
          <w:b/>
          <w:sz w:val="24"/>
          <w:szCs w:val="24"/>
        </w:rPr>
        <w:t>Years of Potential Life Lost Calculation:</w:t>
      </w:r>
    </w:p>
    <w:p w:rsidR="00EC3E95" w:rsidRPr="007B0E3B" w:rsidRDefault="00EC3E95" w:rsidP="00EC3E95">
      <w:pPr>
        <w:pStyle w:val="NoSpacing"/>
        <w:spacing w:line="276" w:lineRule="auto"/>
        <w:rPr>
          <w:rFonts w:cs="Arial"/>
          <w:color w:val="222222"/>
          <w:sz w:val="24"/>
          <w:szCs w:val="24"/>
        </w:rPr>
      </w:pPr>
      <w:r w:rsidRPr="007B0E3B">
        <w:rPr>
          <w:sz w:val="24"/>
          <w:szCs w:val="24"/>
        </w:rPr>
        <w:t xml:space="preserve">SAS Institute Inc. (2011). </w:t>
      </w:r>
      <w:r w:rsidRPr="007B0E3B">
        <w:rPr>
          <w:rFonts w:cs="Arial"/>
          <w:color w:val="222222"/>
          <w:sz w:val="24"/>
          <w:szCs w:val="24"/>
          <w:shd w:val="clear" w:color="auto" w:fill="FFFFFF"/>
        </w:rPr>
        <w:t>Base SAS® 9.3. Cary, NC: SAS Institute</w:t>
      </w:r>
      <w:r w:rsidRPr="007B0E3B">
        <w:rPr>
          <w:rStyle w:val="apple-converted-space"/>
          <w:rFonts w:cs="Arial"/>
          <w:color w:val="222222"/>
          <w:sz w:val="24"/>
          <w:szCs w:val="24"/>
          <w:shd w:val="clear" w:color="auto" w:fill="FFFFFF"/>
        </w:rPr>
        <w:t> </w:t>
      </w:r>
      <w:r w:rsidRPr="007B0E3B">
        <w:rPr>
          <w:rFonts w:cs="Arial"/>
          <w:color w:val="222222"/>
          <w:sz w:val="24"/>
          <w:szCs w:val="24"/>
        </w:rPr>
        <w:t>Inc.</w:t>
      </w:r>
      <w:r w:rsidRPr="007B0E3B">
        <w:rPr>
          <w:rFonts w:cs="Arial"/>
          <w:color w:val="222222"/>
          <w:sz w:val="24"/>
          <w:szCs w:val="24"/>
        </w:rPr>
        <w:tab/>
      </w:r>
    </w:p>
    <w:p w:rsidR="00EC3E95" w:rsidRDefault="00EC3E95" w:rsidP="00EC3E95">
      <w:pPr>
        <w:pStyle w:val="NoSpacing"/>
        <w:spacing w:line="276" w:lineRule="auto"/>
        <w:rPr>
          <w:rFonts w:cs="Arial"/>
          <w:color w:val="222222"/>
          <w:sz w:val="22"/>
          <w:szCs w:val="22"/>
        </w:rPr>
      </w:pPr>
    </w:p>
    <w:p w:rsidR="00EC3E95" w:rsidRDefault="00EC3E95" w:rsidP="00EC3E95">
      <w:pPr>
        <w:rPr>
          <w:rFonts w:cs="Arial"/>
          <w:color w:val="222222"/>
          <w:sz w:val="22"/>
          <w:szCs w:val="22"/>
        </w:rPr>
      </w:pPr>
      <w:r>
        <w:rPr>
          <w:rFonts w:cs="Arial"/>
          <w:color w:val="222222"/>
          <w:sz w:val="22"/>
          <w:szCs w:val="22"/>
        </w:rPr>
        <w:br w:type="page"/>
      </w:r>
    </w:p>
    <w:p w:rsidR="00EC3E95" w:rsidRDefault="00EC3E95" w:rsidP="00EC3E95">
      <w:pPr>
        <w:pStyle w:val="Heading2"/>
      </w:pPr>
      <w:bookmarkStart w:id="631" w:name="_Toc439918890"/>
      <w:r>
        <w:lastRenderedPageBreak/>
        <w:t>Explanation of Terms</w:t>
      </w:r>
      <w:bookmarkEnd w:id="631"/>
    </w:p>
    <w:p w:rsidR="00EC3E95" w:rsidRPr="007B0E3B" w:rsidRDefault="00EC3E95" w:rsidP="00EC3E95">
      <w:pPr>
        <w:spacing w:line="240" w:lineRule="auto"/>
        <w:rPr>
          <w:rFonts w:asciiTheme="majorHAnsi" w:hAnsiTheme="majorHAnsi"/>
          <w:b/>
          <w:i/>
          <w:sz w:val="24"/>
          <w:szCs w:val="24"/>
        </w:rPr>
      </w:pPr>
      <w:r w:rsidRPr="007B0E3B">
        <w:rPr>
          <w:rFonts w:asciiTheme="majorHAnsi" w:hAnsiTheme="majorHAnsi"/>
          <w:b/>
          <w:i/>
          <w:sz w:val="24"/>
          <w:szCs w:val="24"/>
        </w:rPr>
        <w:t>Age-adjusted Rate</w:t>
      </w:r>
    </w:p>
    <w:p w:rsidR="00EC3E95" w:rsidRPr="007B0E3B" w:rsidRDefault="00EC3E95" w:rsidP="00EC3E95">
      <w:pPr>
        <w:rPr>
          <w:sz w:val="24"/>
          <w:szCs w:val="24"/>
        </w:rPr>
      </w:pPr>
      <w:r w:rsidRPr="007B0E3B">
        <w:rPr>
          <w:sz w:val="24"/>
          <w:szCs w:val="24"/>
        </w:rPr>
        <w:t xml:space="preserve">An age-adjusted incidence or mortality rate is a weighted average of the age-specific incidence or mortality rates, where the weights are the counts of persons in the corresponding age groups of a standard million population. Aging is an important risk factor for the development of cancer. Hence, if one population has a significantly greater proportion of older people than another population, one would expect a larger number of cancers in the older population. Therefore, rates need to be age-adjusted to remove the confounding effect of age before comparisons are made between populations with different age distributions. In this report, incidence and mortality rates are age-adjusted to the 2000 United States Standard Population with 19 age groups. </w:t>
      </w:r>
    </w:p>
    <w:p w:rsidR="00EC3E95" w:rsidRPr="007B0E3B" w:rsidRDefault="00EC3E95" w:rsidP="00EC3E95">
      <w:pPr>
        <w:rPr>
          <w:rFonts w:asciiTheme="majorHAnsi" w:hAnsiTheme="majorHAnsi"/>
          <w:b/>
          <w:i/>
          <w:sz w:val="24"/>
          <w:szCs w:val="24"/>
        </w:rPr>
      </w:pPr>
      <w:r w:rsidRPr="007B0E3B">
        <w:rPr>
          <w:rFonts w:asciiTheme="majorHAnsi" w:hAnsiTheme="majorHAnsi"/>
          <w:b/>
          <w:i/>
          <w:sz w:val="24"/>
          <w:szCs w:val="24"/>
        </w:rPr>
        <w:t>Average years of potential life lost</w:t>
      </w:r>
    </w:p>
    <w:p w:rsidR="00EC3E95" w:rsidRPr="007B0E3B" w:rsidRDefault="00EC3E95" w:rsidP="00EC3E95">
      <w:pPr>
        <w:rPr>
          <w:sz w:val="24"/>
          <w:szCs w:val="24"/>
        </w:rPr>
      </w:pPr>
      <w:r w:rsidRPr="007B0E3B">
        <w:rPr>
          <w:sz w:val="24"/>
          <w:szCs w:val="24"/>
        </w:rPr>
        <w:t>Average years of life lost is simply an average derived by dividing Years of Potential Life Lost (YPLL) by the actual number of deaths for each cancer site, over the defined time period. This parameter is interesting because it provides a measure of the burden of cancer to the individual patient, rather than the population as a whole. Effectively it shows, on average, how much a patient’s life is likely to be shortened by their cancer.</w:t>
      </w:r>
    </w:p>
    <w:p w:rsidR="00EC3E95" w:rsidRPr="007B0E3B" w:rsidRDefault="00EC3E95" w:rsidP="00EC3E95">
      <w:pPr>
        <w:rPr>
          <w:sz w:val="22"/>
          <w:szCs w:val="24"/>
        </w:rPr>
      </w:pPr>
      <m:oMathPara>
        <m:oMath>
          <m:r>
            <m:rPr>
              <m:sty m:val="b"/>
            </m:rPr>
            <w:rPr>
              <w:rFonts w:ascii="Cambria Math" w:hAnsi="Cambria Math"/>
              <w:sz w:val="22"/>
              <w:szCs w:val="24"/>
            </w:rPr>
            <m:t>Average Years of Potential Life Lost=</m:t>
          </m:r>
          <m:f>
            <m:fPr>
              <m:ctrlPr>
                <w:rPr>
                  <w:rFonts w:ascii="Cambria Math" w:hAnsi="Cambria Math"/>
                  <w:b/>
                  <w:sz w:val="22"/>
                  <w:szCs w:val="24"/>
                </w:rPr>
              </m:ctrlPr>
            </m:fPr>
            <m:num>
              <m:r>
                <m:rPr>
                  <m:sty m:val="b"/>
                </m:rPr>
                <w:rPr>
                  <w:rFonts w:ascii="Cambria Math" w:hAnsi="Cambria Math"/>
                  <w:sz w:val="22"/>
                  <w:szCs w:val="24"/>
                </w:rPr>
                <m:t>Years of Potential Life Lost during period</m:t>
              </m:r>
            </m:num>
            <m:den>
              <m:r>
                <m:rPr>
                  <m:sty m:val="b"/>
                </m:rPr>
                <w:rPr>
                  <w:rFonts w:ascii="Cambria Math" w:hAnsi="Cambria Math"/>
                  <w:sz w:val="22"/>
                  <w:szCs w:val="24"/>
                </w:rPr>
                <m:t>Actual Number of Deaths during period</m:t>
              </m:r>
            </m:den>
          </m:f>
        </m:oMath>
      </m:oMathPara>
    </w:p>
    <w:p w:rsidR="00EC3E95" w:rsidRPr="007B0E3B" w:rsidRDefault="00EC3E95" w:rsidP="00EC3E95">
      <w:pPr>
        <w:rPr>
          <w:i/>
          <w:sz w:val="24"/>
          <w:szCs w:val="24"/>
        </w:rPr>
      </w:pPr>
      <w:r w:rsidRPr="007B0E3B">
        <w:rPr>
          <w:rFonts w:asciiTheme="majorHAnsi" w:hAnsiTheme="majorHAnsi"/>
          <w:b/>
          <w:i/>
          <w:sz w:val="24"/>
          <w:szCs w:val="24"/>
        </w:rPr>
        <w:t>Cancer Coding</w:t>
      </w:r>
      <w:r w:rsidRPr="007B0E3B">
        <w:rPr>
          <w:i/>
          <w:sz w:val="24"/>
          <w:szCs w:val="24"/>
        </w:rPr>
        <w:t xml:space="preserve"> </w:t>
      </w:r>
    </w:p>
    <w:p w:rsidR="00EC3E95" w:rsidRPr="007B0E3B" w:rsidRDefault="00EC3E95" w:rsidP="00EC3E95">
      <w:pPr>
        <w:rPr>
          <w:sz w:val="24"/>
          <w:szCs w:val="24"/>
        </w:rPr>
      </w:pPr>
      <w:r w:rsidRPr="007B0E3B">
        <w:rPr>
          <w:sz w:val="24"/>
          <w:szCs w:val="24"/>
        </w:rPr>
        <w:t>The Tennessee Cancer Registry uses the International Classification of Diseases for Oncology, 3</w:t>
      </w:r>
      <w:r w:rsidRPr="007B0E3B">
        <w:rPr>
          <w:sz w:val="24"/>
          <w:szCs w:val="24"/>
          <w:vertAlign w:val="superscript"/>
        </w:rPr>
        <w:t>rd</w:t>
      </w:r>
      <w:r w:rsidRPr="007B0E3B">
        <w:rPr>
          <w:sz w:val="24"/>
          <w:szCs w:val="24"/>
        </w:rPr>
        <w:t xml:space="preserve"> Edition (ICD-O-3) to code site (topography), histology (morphology), and behavior (e.g. whether malignant or not) of incident cases. Cases are categorized according to the 2003 revised recodes of the Surveillance, Epidemiology and End Results (SEER) program of the National Cancer Institute (NCI). These recodes define standard groupings of primary cancer sites. Following CDC’s National Program of Cancer Registries (NPCR) and SEER cancer registries’ guidelines, the TCR considers as reportable all incident cases with a behavior code of 2 (in situ, noninvasive) or 3 (invasive, primary site only) in ICD–O–3 terminology with the exception of in situ cancer of the cervix. Benign brain tumors are also reportable but not included in this report. When reporting childhood cancers, the International Classification of Childhood Cancer, 3</w:t>
      </w:r>
      <w:r w:rsidRPr="007B0E3B">
        <w:rPr>
          <w:sz w:val="24"/>
          <w:szCs w:val="24"/>
          <w:vertAlign w:val="superscript"/>
        </w:rPr>
        <w:t>rd</w:t>
      </w:r>
      <w:r w:rsidRPr="007B0E3B">
        <w:rPr>
          <w:sz w:val="24"/>
          <w:szCs w:val="24"/>
        </w:rPr>
        <w:t xml:space="preserve"> Edition (ICCC-3) is used. For cancer mortality data, the International Classification of Diseases, 10</w:t>
      </w:r>
      <w:r w:rsidRPr="007B0E3B">
        <w:rPr>
          <w:sz w:val="24"/>
          <w:szCs w:val="24"/>
          <w:vertAlign w:val="superscript"/>
        </w:rPr>
        <w:t>th</w:t>
      </w:r>
      <w:r w:rsidRPr="007B0E3B">
        <w:rPr>
          <w:sz w:val="24"/>
          <w:szCs w:val="24"/>
        </w:rPr>
        <w:t xml:space="preserve"> Revision (ICD-10), is used. </w:t>
      </w:r>
    </w:p>
    <w:p w:rsidR="00EC3E95" w:rsidRPr="007B0E3B" w:rsidRDefault="00EC3E95" w:rsidP="00EC3E95">
      <w:pPr>
        <w:rPr>
          <w:rFonts w:asciiTheme="majorHAnsi" w:hAnsiTheme="majorHAnsi"/>
          <w:b/>
          <w:i/>
          <w:sz w:val="24"/>
          <w:szCs w:val="24"/>
        </w:rPr>
      </w:pPr>
      <w:r w:rsidRPr="007B0E3B">
        <w:rPr>
          <w:rFonts w:asciiTheme="majorHAnsi" w:hAnsiTheme="majorHAnsi"/>
          <w:b/>
          <w:i/>
          <w:sz w:val="24"/>
          <w:szCs w:val="24"/>
        </w:rPr>
        <w:t>Cancer Staging</w:t>
      </w:r>
    </w:p>
    <w:p w:rsidR="00EC3E95" w:rsidRPr="007B0E3B" w:rsidRDefault="00EC3E95" w:rsidP="00B16FE2">
      <w:pPr>
        <w:spacing w:after="0"/>
        <w:rPr>
          <w:sz w:val="24"/>
          <w:szCs w:val="24"/>
        </w:rPr>
      </w:pPr>
      <w:r w:rsidRPr="007B0E3B">
        <w:rPr>
          <w:sz w:val="24"/>
          <w:szCs w:val="24"/>
        </w:rPr>
        <w:t>Stage provides a measure of disease progression, detailing the degree to which the cancer has advanced. The SEER summary stage method is used in this report, which describes cancers in five stages:</w:t>
      </w:r>
    </w:p>
    <w:p w:rsidR="00EC3E95" w:rsidRPr="007B0E3B" w:rsidRDefault="00EC3E95" w:rsidP="00EC3E95">
      <w:pPr>
        <w:numPr>
          <w:ilvl w:val="0"/>
          <w:numId w:val="2"/>
        </w:numPr>
        <w:spacing w:before="0" w:after="0" w:line="240" w:lineRule="auto"/>
        <w:rPr>
          <w:sz w:val="24"/>
          <w:szCs w:val="24"/>
        </w:rPr>
      </w:pPr>
      <w:r w:rsidRPr="006D749D">
        <w:rPr>
          <w:i/>
          <w:sz w:val="24"/>
          <w:szCs w:val="24"/>
        </w:rPr>
        <w:t>In situ</w:t>
      </w:r>
      <w:r w:rsidR="00B16FE2">
        <w:rPr>
          <w:sz w:val="24"/>
          <w:szCs w:val="24"/>
        </w:rPr>
        <w:t>*</w:t>
      </w:r>
      <w:r w:rsidRPr="007B0E3B">
        <w:rPr>
          <w:sz w:val="24"/>
          <w:szCs w:val="24"/>
        </w:rPr>
        <w:t>: Abnormal cells are present only in the layer of cells in which they originated.</w:t>
      </w:r>
    </w:p>
    <w:p w:rsidR="00EC3E95" w:rsidRPr="007B0E3B" w:rsidRDefault="00EC3E95" w:rsidP="00EC3E95">
      <w:pPr>
        <w:numPr>
          <w:ilvl w:val="0"/>
          <w:numId w:val="2"/>
        </w:numPr>
        <w:spacing w:before="0" w:after="0" w:line="240" w:lineRule="auto"/>
        <w:rPr>
          <w:sz w:val="24"/>
          <w:szCs w:val="24"/>
        </w:rPr>
      </w:pPr>
      <w:r w:rsidRPr="006D749D">
        <w:rPr>
          <w:i/>
          <w:sz w:val="24"/>
          <w:szCs w:val="24"/>
        </w:rPr>
        <w:t>Localized</w:t>
      </w:r>
      <w:r w:rsidRPr="007B0E3B">
        <w:rPr>
          <w:sz w:val="24"/>
          <w:szCs w:val="24"/>
        </w:rPr>
        <w:t>: Cancer is limited to the organ in which it began, without evidence of spread.</w:t>
      </w:r>
    </w:p>
    <w:p w:rsidR="00EC3E95" w:rsidRPr="007B0E3B" w:rsidRDefault="00EC3E95" w:rsidP="00EC3E95">
      <w:pPr>
        <w:numPr>
          <w:ilvl w:val="0"/>
          <w:numId w:val="2"/>
        </w:numPr>
        <w:spacing w:before="0" w:after="0" w:line="240" w:lineRule="auto"/>
        <w:rPr>
          <w:sz w:val="24"/>
          <w:szCs w:val="24"/>
        </w:rPr>
      </w:pPr>
      <w:r w:rsidRPr="006D749D">
        <w:rPr>
          <w:i/>
          <w:sz w:val="24"/>
          <w:szCs w:val="24"/>
        </w:rPr>
        <w:t>Regional</w:t>
      </w:r>
      <w:r w:rsidRPr="007B0E3B">
        <w:rPr>
          <w:sz w:val="24"/>
          <w:szCs w:val="24"/>
        </w:rPr>
        <w:t>: Cancer has spread beyond the primary site to nearby lymph nodes or organs and tissues.</w:t>
      </w:r>
    </w:p>
    <w:p w:rsidR="00EC3E95" w:rsidRPr="007B0E3B" w:rsidRDefault="00EC3E95" w:rsidP="00EC3E95">
      <w:pPr>
        <w:numPr>
          <w:ilvl w:val="0"/>
          <w:numId w:val="2"/>
        </w:numPr>
        <w:spacing w:before="0" w:after="0" w:line="240" w:lineRule="auto"/>
        <w:rPr>
          <w:sz w:val="24"/>
          <w:szCs w:val="24"/>
        </w:rPr>
      </w:pPr>
      <w:r w:rsidRPr="006D749D">
        <w:rPr>
          <w:i/>
          <w:sz w:val="24"/>
          <w:szCs w:val="24"/>
        </w:rPr>
        <w:t>Distant</w:t>
      </w:r>
      <w:r w:rsidRPr="007B0E3B">
        <w:rPr>
          <w:sz w:val="24"/>
          <w:szCs w:val="24"/>
        </w:rPr>
        <w:t>: Cancer has spread from the primary site to distant organs or distant lymph nodes.</w:t>
      </w:r>
    </w:p>
    <w:p w:rsidR="00EC3E95" w:rsidRPr="007B0E3B" w:rsidRDefault="00EC3E95" w:rsidP="00EC3E95">
      <w:pPr>
        <w:numPr>
          <w:ilvl w:val="0"/>
          <w:numId w:val="2"/>
        </w:numPr>
        <w:spacing w:before="0" w:after="0" w:line="240" w:lineRule="auto"/>
        <w:rPr>
          <w:sz w:val="24"/>
          <w:szCs w:val="24"/>
        </w:rPr>
      </w:pPr>
      <w:r w:rsidRPr="006D749D">
        <w:rPr>
          <w:i/>
          <w:sz w:val="24"/>
          <w:szCs w:val="24"/>
        </w:rPr>
        <w:t>Unknown</w:t>
      </w:r>
      <w:r w:rsidRPr="007B0E3B">
        <w:rPr>
          <w:sz w:val="24"/>
          <w:szCs w:val="24"/>
        </w:rPr>
        <w:t>: There is not enough information to determine the stage.</w:t>
      </w:r>
    </w:p>
    <w:p w:rsidR="00EC3E95" w:rsidRPr="007B0E3B" w:rsidRDefault="00B16FE2" w:rsidP="00EC3E95">
      <w:pPr>
        <w:spacing w:after="0"/>
        <w:rPr>
          <w:sz w:val="24"/>
          <w:szCs w:val="24"/>
        </w:rPr>
      </w:pPr>
      <w:r>
        <w:rPr>
          <w:sz w:val="24"/>
          <w:szCs w:val="24"/>
        </w:rPr>
        <w:lastRenderedPageBreak/>
        <w:t>*</w:t>
      </w:r>
      <w:r w:rsidR="00EC3E95" w:rsidRPr="007B0E3B">
        <w:rPr>
          <w:sz w:val="24"/>
          <w:szCs w:val="24"/>
        </w:rPr>
        <w:t>Although in situ cancers are included in analyses of stage at diagnosis, these cancers (with the exception of in situ bladder cancer) are not included in incidence counts and rates.</w:t>
      </w:r>
    </w:p>
    <w:p w:rsidR="00EC3E95" w:rsidRPr="007B0E3B" w:rsidRDefault="00EC3E95" w:rsidP="00EC3E95">
      <w:pPr>
        <w:rPr>
          <w:i/>
          <w:sz w:val="24"/>
          <w:szCs w:val="24"/>
        </w:rPr>
      </w:pPr>
      <w:r w:rsidRPr="007B0E3B">
        <w:rPr>
          <w:rFonts w:asciiTheme="majorHAnsi" w:hAnsiTheme="majorHAnsi"/>
          <w:b/>
          <w:i/>
          <w:sz w:val="24"/>
          <w:szCs w:val="24"/>
        </w:rPr>
        <w:t>Confidence Interval</w:t>
      </w:r>
      <w:r w:rsidRPr="007B0E3B">
        <w:rPr>
          <w:i/>
          <w:sz w:val="24"/>
          <w:szCs w:val="24"/>
        </w:rPr>
        <w:t xml:space="preserve"> </w:t>
      </w:r>
    </w:p>
    <w:p w:rsidR="00EC3E95" w:rsidRPr="007B0E3B" w:rsidRDefault="00EC3E95" w:rsidP="00EC3E95">
      <w:pPr>
        <w:rPr>
          <w:sz w:val="24"/>
          <w:szCs w:val="24"/>
        </w:rPr>
      </w:pPr>
      <w:r w:rsidRPr="007B0E3B">
        <w:rPr>
          <w:sz w:val="24"/>
          <w:szCs w:val="24"/>
        </w:rPr>
        <w:t>A confidence interval is a range of values that has a specified probability of containing the true rate of interest in the population. The width of a confidence interval reflects the amount of variability in the estimated rate. In this report, 95% confidence intervals were calculated using a gamma distribution method developed by Fay and Feuer and modified by Tiwari, Clegg, and Zou.</w:t>
      </w:r>
    </w:p>
    <w:p w:rsidR="00EC3E95" w:rsidRPr="007B0E3B" w:rsidRDefault="00EC3E95" w:rsidP="00EC3E95">
      <w:pPr>
        <w:pStyle w:val="NoSpacing"/>
        <w:spacing w:before="240" w:line="276" w:lineRule="auto"/>
        <w:rPr>
          <w:i/>
          <w:sz w:val="24"/>
          <w:szCs w:val="24"/>
        </w:rPr>
      </w:pPr>
      <w:r w:rsidRPr="007B0E3B">
        <w:rPr>
          <w:rFonts w:asciiTheme="majorHAnsi" w:hAnsiTheme="majorHAnsi"/>
          <w:b/>
          <w:i/>
          <w:sz w:val="24"/>
          <w:szCs w:val="24"/>
        </w:rPr>
        <w:t>Incidence</w:t>
      </w:r>
      <w:r w:rsidRPr="007B0E3B">
        <w:rPr>
          <w:i/>
          <w:sz w:val="24"/>
          <w:szCs w:val="24"/>
        </w:rPr>
        <w:t xml:space="preserve"> </w:t>
      </w:r>
    </w:p>
    <w:p w:rsidR="00EC3E95" w:rsidRPr="007B0E3B" w:rsidRDefault="00EC3E95" w:rsidP="00EC3E95">
      <w:pPr>
        <w:pStyle w:val="NoSpacing"/>
        <w:spacing w:before="240" w:line="276" w:lineRule="auto"/>
        <w:rPr>
          <w:sz w:val="24"/>
          <w:szCs w:val="24"/>
        </w:rPr>
      </w:pPr>
      <w:r w:rsidRPr="007B0E3B">
        <w:rPr>
          <w:sz w:val="24"/>
          <w:szCs w:val="24"/>
        </w:rPr>
        <w:t xml:space="preserve">Incidence is defined as the number of new cancers diagnosed in the population at risk in the reference year. The population considered at risk for cancer in this report is the entire resident population of Tennessee in the reference year. </w:t>
      </w:r>
    </w:p>
    <w:p w:rsidR="00EC3E95" w:rsidRPr="007B0E3B" w:rsidRDefault="00EC3E95" w:rsidP="00EC3E95">
      <w:pPr>
        <w:pStyle w:val="NoSpacing"/>
        <w:spacing w:before="240" w:line="276" w:lineRule="auto"/>
        <w:rPr>
          <w:rFonts w:asciiTheme="majorHAnsi" w:hAnsiTheme="majorHAnsi"/>
          <w:b/>
          <w:i/>
          <w:sz w:val="24"/>
          <w:szCs w:val="24"/>
        </w:rPr>
      </w:pPr>
      <w:r w:rsidRPr="007B0E3B">
        <w:rPr>
          <w:rFonts w:asciiTheme="majorHAnsi" w:hAnsiTheme="majorHAnsi"/>
          <w:b/>
          <w:i/>
          <w:sz w:val="24"/>
          <w:szCs w:val="24"/>
        </w:rPr>
        <w:t>Incidence Rate</w:t>
      </w:r>
    </w:p>
    <w:p w:rsidR="00EC3E95" w:rsidRPr="007B0E3B" w:rsidRDefault="00EC3E95" w:rsidP="00EC3E95">
      <w:pPr>
        <w:pStyle w:val="NoSpacing"/>
        <w:spacing w:before="240" w:line="276" w:lineRule="auto"/>
        <w:rPr>
          <w:sz w:val="24"/>
          <w:szCs w:val="24"/>
        </w:rPr>
      </w:pPr>
      <w:r w:rsidRPr="007B0E3B">
        <w:rPr>
          <w:sz w:val="24"/>
          <w:szCs w:val="24"/>
        </w:rPr>
        <w:t>The cancer incidence rate is the number of new cases of cancer diagnosed in a specified population during a specified time period, usually expressed as the number of new cases per 100,000 persons at risk. That is,</w:t>
      </w:r>
    </w:p>
    <w:p w:rsidR="00EC3E95" w:rsidRPr="007B0E3B" w:rsidRDefault="00EC3E95" w:rsidP="00EC3E95">
      <w:pPr>
        <w:rPr>
          <w:b/>
          <w:sz w:val="22"/>
          <w:szCs w:val="24"/>
        </w:rPr>
      </w:pPr>
      <m:oMathPara>
        <m:oMath>
          <m:r>
            <m:rPr>
              <m:sty m:val="b"/>
            </m:rPr>
            <w:rPr>
              <w:rFonts w:ascii="Cambria Math" w:hAnsi="Cambria Math"/>
              <w:sz w:val="22"/>
              <w:szCs w:val="24"/>
            </w:rPr>
            <m:t>Incidence Rate=(</m:t>
          </m:r>
          <m:f>
            <m:fPr>
              <m:ctrlPr>
                <w:rPr>
                  <w:rFonts w:ascii="Cambria Math" w:hAnsi="Cambria Math"/>
                  <w:b/>
                  <w:sz w:val="22"/>
                  <w:szCs w:val="24"/>
                </w:rPr>
              </m:ctrlPr>
            </m:fPr>
            <m:num>
              <m:r>
                <m:rPr>
                  <m:sty m:val="b"/>
                </m:rPr>
                <w:rPr>
                  <w:rFonts w:ascii="Cambria Math" w:hAnsi="Cambria Math"/>
                  <w:sz w:val="22"/>
                  <w:szCs w:val="24"/>
                </w:rPr>
                <m:t>Number of New Cases</m:t>
              </m:r>
            </m:num>
            <m:den>
              <m:r>
                <m:rPr>
                  <m:sty m:val="b"/>
                </m:rPr>
                <w:rPr>
                  <w:rFonts w:ascii="Cambria Math" w:hAnsi="Cambria Math"/>
                  <w:sz w:val="22"/>
                  <w:szCs w:val="24"/>
                </w:rPr>
                <m:t>Population at Risk</m:t>
              </m:r>
            </m:den>
          </m:f>
          <m:r>
            <m:rPr>
              <m:sty m:val="b"/>
            </m:rPr>
            <w:rPr>
              <w:rFonts w:ascii="Cambria Math" w:hAnsi="Cambria Math"/>
              <w:sz w:val="22"/>
              <w:szCs w:val="24"/>
            </w:rPr>
            <m:t>)*100,00</m:t>
          </m:r>
          <m:r>
            <m:rPr>
              <m:sty m:val="bi"/>
            </m:rPr>
            <w:rPr>
              <w:rFonts w:ascii="Cambria Math" w:hAnsi="Cambria Math"/>
              <w:sz w:val="22"/>
              <w:szCs w:val="24"/>
            </w:rPr>
            <m:t>0</m:t>
          </m:r>
        </m:oMath>
      </m:oMathPara>
    </w:p>
    <w:p w:rsidR="00EC3E95" w:rsidRPr="007B0E3B" w:rsidRDefault="00EC3E95" w:rsidP="00EC3E95">
      <w:pPr>
        <w:rPr>
          <w:sz w:val="24"/>
          <w:szCs w:val="24"/>
        </w:rPr>
      </w:pPr>
      <w:r w:rsidRPr="007B0E3B">
        <w:rPr>
          <w:sz w:val="24"/>
          <w:szCs w:val="24"/>
        </w:rPr>
        <w:t>The numerator of the incidence rate is the number of newly diagnosed cancer cases; the denominator of the incidence rate is the size of the population at risk. The number of new cancers may include multiple primary cancers occurring in one patient. The primary site reported is the site of origin and not the metastatic site, the distant site to which the cancer has spread. In general, the incidence rate does not include recurrences. The incidence rate can be computed for a given type of cancer or for all cancers combined. Incidence rates presented in this report are for invasive cancers and both invasive and in situ bladder cancer only, unless otherwise specified. When cancer stage was considered, cases diagnosed at any stage, including the in situ stage, were included in the analyses.</w:t>
      </w:r>
    </w:p>
    <w:p w:rsidR="00EC3E95" w:rsidRPr="007B0E3B" w:rsidRDefault="00EC3E95" w:rsidP="00EC3E95">
      <w:pPr>
        <w:rPr>
          <w:rFonts w:asciiTheme="majorHAnsi" w:hAnsiTheme="majorHAnsi"/>
          <w:b/>
          <w:i/>
          <w:sz w:val="24"/>
          <w:szCs w:val="24"/>
        </w:rPr>
      </w:pPr>
      <w:r w:rsidRPr="007B0E3B">
        <w:rPr>
          <w:rFonts w:asciiTheme="majorHAnsi" w:hAnsiTheme="majorHAnsi"/>
          <w:b/>
          <w:i/>
          <w:sz w:val="24"/>
          <w:szCs w:val="24"/>
        </w:rPr>
        <w:t>Median</w:t>
      </w:r>
    </w:p>
    <w:p w:rsidR="00EC3E95" w:rsidRPr="007B0E3B" w:rsidRDefault="00EC3E95" w:rsidP="00EC3E95">
      <w:pPr>
        <w:rPr>
          <w:sz w:val="24"/>
          <w:szCs w:val="24"/>
        </w:rPr>
      </w:pPr>
      <w:r w:rsidRPr="007B0E3B">
        <w:rPr>
          <w:sz w:val="24"/>
          <w:szCs w:val="24"/>
        </w:rPr>
        <w:t>The median is the middle value of an ordered set of numbers: half the values are greater than the median and half are less than the median. The median is less sensitive than the mean to extreme values, and is a better measure of central tendency for data with skewed distributions.</w:t>
      </w:r>
    </w:p>
    <w:p w:rsidR="00EC3E95" w:rsidRDefault="00EC3E95" w:rsidP="00EC3E95">
      <w:pPr>
        <w:spacing w:before="360"/>
        <w:rPr>
          <w:rFonts w:asciiTheme="majorHAnsi" w:hAnsiTheme="majorHAnsi"/>
          <w:i/>
          <w:sz w:val="24"/>
          <w:szCs w:val="24"/>
        </w:rPr>
      </w:pPr>
      <w:r w:rsidRPr="007B0E3B">
        <w:rPr>
          <w:rFonts w:asciiTheme="majorHAnsi" w:hAnsiTheme="majorHAnsi"/>
          <w:b/>
          <w:i/>
          <w:sz w:val="24"/>
          <w:szCs w:val="24"/>
        </w:rPr>
        <w:t>Mortality</w:t>
      </w:r>
      <w:r w:rsidRPr="007B0E3B">
        <w:rPr>
          <w:rFonts w:asciiTheme="majorHAnsi" w:hAnsiTheme="majorHAnsi"/>
          <w:i/>
          <w:sz w:val="24"/>
          <w:szCs w:val="24"/>
        </w:rPr>
        <w:t xml:space="preserve"> </w:t>
      </w:r>
    </w:p>
    <w:p w:rsidR="00EC3E95" w:rsidRDefault="00EC3E95" w:rsidP="00EC3E95">
      <w:pPr>
        <w:spacing w:before="360"/>
        <w:rPr>
          <w:sz w:val="24"/>
          <w:szCs w:val="24"/>
        </w:rPr>
      </w:pPr>
      <w:r w:rsidRPr="007B0E3B">
        <w:rPr>
          <w:sz w:val="24"/>
          <w:szCs w:val="24"/>
        </w:rPr>
        <w:t>Mortality is defined as the number of deaths from cancer in the population at risk in for the reference year. A cancer death is defined as a death for which cancer is determined to be the underlying cause of death based on the death certificate.</w:t>
      </w:r>
    </w:p>
    <w:p w:rsidR="00B571DA" w:rsidRDefault="00B571DA" w:rsidP="00EC3E95">
      <w:pPr>
        <w:spacing w:before="360"/>
        <w:rPr>
          <w:rFonts w:asciiTheme="majorHAnsi" w:hAnsiTheme="majorHAnsi"/>
          <w:b/>
          <w:i/>
          <w:sz w:val="24"/>
          <w:szCs w:val="24"/>
        </w:rPr>
      </w:pPr>
    </w:p>
    <w:p w:rsidR="00EC3E95" w:rsidRPr="007B0E3B" w:rsidRDefault="00EC3E95" w:rsidP="00EC3E95">
      <w:pPr>
        <w:spacing w:before="360"/>
        <w:rPr>
          <w:i/>
          <w:sz w:val="24"/>
          <w:szCs w:val="24"/>
        </w:rPr>
      </w:pPr>
      <w:r w:rsidRPr="007B0E3B">
        <w:rPr>
          <w:rFonts w:asciiTheme="majorHAnsi" w:hAnsiTheme="majorHAnsi"/>
          <w:b/>
          <w:i/>
          <w:sz w:val="24"/>
          <w:szCs w:val="24"/>
        </w:rPr>
        <w:lastRenderedPageBreak/>
        <w:t>Mortality Rate</w:t>
      </w:r>
      <w:r w:rsidRPr="007B0E3B">
        <w:rPr>
          <w:i/>
          <w:sz w:val="24"/>
          <w:szCs w:val="24"/>
        </w:rPr>
        <w:t xml:space="preserve"> </w:t>
      </w:r>
    </w:p>
    <w:p w:rsidR="00EC3E95" w:rsidRPr="007B0E3B" w:rsidRDefault="00EC3E95" w:rsidP="00EC3E95">
      <w:pPr>
        <w:spacing w:before="360"/>
        <w:rPr>
          <w:sz w:val="24"/>
          <w:szCs w:val="24"/>
        </w:rPr>
      </w:pPr>
      <w:r w:rsidRPr="007B0E3B">
        <w:rPr>
          <w:sz w:val="24"/>
          <w:szCs w:val="24"/>
        </w:rPr>
        <w:t>The cancer mortality rate is the number of deaths with cancer as the underlying cause of death in a specified at-risk population in a given time period, usually expressed as the number of deaths due to cancer per 100,000 persons at risk. That is,</w:t>
      </w:r>
    </w:p>
    <w:p w:rsidR="00EC3E95" w:rsidRPr="007B0E3B" w:rsidRDefault="00EC3E95" w:rsidP="00EC3E95">
      <w:pPr>
        <w:spacing w:before="360"/>
        <w:rPr>
          <w:b/>
          <w:sz w:val="22"/>
          <w:szCs w:val="24"/>
        </w:rPr>
      </w:pPr>
      <m:oMathPara>
        <m:oMath>
          <m:r>
            <m:rPr>
              <m:sty m:val="b"/>
            </m:rPr>
            <w:rPr>
              <w:rFonts w:ascii="Cambria Math" w:hAnsi="Cambria Math"/>
              <w:sz w:val="22"/>
              <w:szCs w:val="24"/>
            </w:rPr>
            <m:t>Mortality Rate=</m:t>
          </m:r>
          <m:d>
            <m:dPr>
              <m:ctrlPr>
                <w:rPr>
                  <w:rFonts w:ascii="Cambria Math" w:hAnsi="Cambria Math"/>
                  <w:b/>
                  <w:sz w:val="22"/>
                  <w:szCs w:val="24"/>
                </w:rPr>
              </m:ctrlPr>
            </m:dPr>
            <m:e>
              <m:f>
                <m:fPr>
                  <m:ctrlPr>
                    <w:rPr>
                      <w:rFonts w:ascii="Cambria Math" w:hAnsi="Cambria Math"/>
                      <w:b/>
                      <w:sz w:val="22"/>
                      <w:szCs w:val="24"/>
                    </w:rPr>
                  </m:ctrlPr>
                </m:fPr>
                <m:num>
                  <m:r>
                    <m:rPr>
                      <m:sty m:val="b"/>
                    </m:rPr>
                    <w:rPr>
                      <w:rFonts w:ascii="Cambria Math" w:hAnsi="Cambria Math"/>
                      <w:sz w:val="22"/>
                      <w:szCs w:val="24"/>
                    </w:rPr>
                    <m:t>Number of Cancer Deaths</m:t>
                  </m:r>
                </m:num>
                <m:den>
                  <m:r>
                    <m:rPr>
                      <m:sty m:val="b"/>
                    </m:rPr>
                    <w:rPr>
                      <w:rFonts w:ascii="Cambria Math" w:hAnsi="Cambria Math"/>
                      <w:sz w:val="22"/>
                      <w:szCs w:val="24"/>
                    </w:rPr>
                    <m:t>Population at Risk</m:t>
                  </m:r>
                </m:den>
              </m:f>
            </m:e>
          </m:d>
          <m:r>
            <m:rPr>
              <m:sty m:val="b"/>
            </m:rPr>
            <w:rPr>
              <w:rFonts w:ascii="Cambria Math" w:hAnsi="Cambria Math"/>
              <w:sz w:val="22"/>
              <w:szCs w:val="24"/>
            </w:rPr>
            <m:t>*100,000</m:t>
          </m:r>
        </m:oMath>
      </m:oMathPara>
    </w:p>
    <w:p w:rsidR="00EC3E95" w:rsidRPr="007B0E3B" w:rsidRDefault="00EC3E95" w:rsidP="00EC3E95">
      <w:pPr>
        <w:rPr>
          <w:b/>
          <w:i/>
          <w:sz w:val="24"/>
          <w:szCs w:val="24"/>
        </w:rPr>
      </w:pPr>
      <w:r w:rsidRPr="007B0E3B">
        <w:rPr>
          <w:rFonts w:asciiTheme="majorHAnsi" w:hAnsiTheme="majorHAnsi"/>
          <w:b/>
          <w:i/>
          <w:sz w:val="24"/>
          <w:szCs w:val="24"/>
        </w:rPr>
        <w:t>Mortality-to-Incidence Ratio (M</w:t>
      </w:r>
      <w:proofErr w:type="gramStart"/>
      <w:r w:rsidRPr="007B0E3B">
        <w:rPr>
          <w:rFonts w:asciiTheme="majorHAnsi" w:hAnsiTheme="majorHAnsi"/>
          <w:b/>
          <w:i/>
          <w:sz w:val="24"/>
          <w:szCs w:val="24"/>
        </w:rPr>
        <w:t>:I</w:t>
      </w:r>
      <w:proofErr w:type="gramEnd"/>
      <w:r w:rsidRPr="007B0E3B">
        <w:rPr>
          <w:rFonts w:asciiTheme="majorHAnsi" w:hAnsiTheme="majorHAnsi"/>
          <w:b/>
          <w:i/>
          <w:sz w:val="24"/>
          <w:szCs w:val="24"/>
        </w:rPr>
        <w:t xml:space="preserve"> Ratio)</w:t>
      </w:r>
      <w:r w:rsidRPr="007B0E3B">
        <w:rPr>
          <w:b/>
          <w:i/>
          <w:sz w:val="24"/>
          <w:szCs w:val="24"/>
        </w:rPr>
        <w:t xml:space="preserve"> </w:t>
      </w:r>
    </w:p>
    <w:p w:rsidR="00EC3E95" w:rsidRPr="007B0E3B" w:rsidRDefault="00EC3E95" w:rsidP="00EC3E95">
      <w:pPr>
        <w:rPr>
          <w:sz w:val="24"/>
          <w:szCs w:val="24"/>
        </w:rPr>
      </w:pPr>
      <w:r w:rsidRPr="007B0E3B">
        <w:rPr>
          <w:sz w:val="24"/>
          <w:szCs w:val="24"/>
        </w:rPr>
        <w:t>In this report, mortality-to-incidence ratio was calculated as the ratio of age-adjusted mortality and incidence rates. In a general sense, the higher the ratio, the higher fatality for the cancer or the lower the survival. However, for some cancers with very high fatality, e.g. pancreatic cancer, the M</w:t>
      </w:r>
      <w:proofErr w:type="gramStart"/>
      <w:r w:rsidRPr="007B0E3B">
        <w:rPr>
          <w:sz w:val="24"/>
          <w:szCs w:val="24"/>
        </w:rPr>
        <w:t>:I</w:t>
      </w:r>
      <w:proofErr w:type="gramEnd"/>
      <w:r w:rsidRPr="007B0E3B">
        <w:rPr>
          <w:sz w:val="24"/>
          <w:szCs w:val="24"/>
        </w:rPr>
        <w:t xml:space="preserve"> ratio may exceed 1 because the incidence and mortality cohorts are not exactly the same. In addition, the age-adjustment process may also make this possible because the age of a patient at death is likely greater than that at diagnosis; therefore, the patient may be accounted for at one age group for incidence and at an older age group for mortality.</w:t>
      </w:r>
    </w:p>
    <w:p w:rsidR="00EC3E95" w:rsidRPr="00F10BF2" w:rsidRDefault="00EC3E95" w:rsidP="00EC3E95">
      <w:pPr>
        <w:rPr>
          <w:b/>
          <w:sz w:val="22"/>
          <w:szCs w:val="24"/>
        </w:rPr>
      </w:pPr>
      <m:oMathPara>
        <m:oMathParaPr>
          <m:jc m:val="center"/>
        </m:oMathParaPr>
        <m:oMath>
          <m:r>
            <m:rPr>
              <m:sty m:val="b"/>
            </m:rPr>
            <w:rPr>
              <w:rFonts w:ascii="Cambria Math" w:hAnsi="Cambria Math"/>
              <w:sz w:val="22"/>
              <w:szCs w:val="24"/>
            </w:rPr>
            <m:t xml:space="preserve">M:I Ratio= </m:t>
          </m:r>
          <m:f>
            <m:fPr>
              <m:ctrlPr>
                <w:rPr>
                  <w:rFonts w:ascii="Cambria Math" w:hAnsi="Cambria Math"/>
                  <w:b/>
                  <w:sz w:val="22"/>
                  <w:szCs w:val="24"/>
                </w:rPr>
              </m:ctrlPr>
            </m:fPr>
            <m:num>
              <m:r>
                <m:rPr>
                  <m:sty m:val="b"/>
                </m:rPr>
                <w:rPr>
                  <w:rFonts w:ascii="Cambria Math" w:hAnsi="Cambria Math"/>
                  <w:sz w:val="22"/>
                  <w:szCs w:val="24"/>
                </w:rPr>
                <m:t>Mortality Rate</m:t>
              </m:r>
            </m:num>
            <m:den>
              <m:r>
                <m:rPr>
                  <m:sty m:val="b"/>
                </m:rPr>
                <w:rPr>
                  <w:rFonts w:ascii="Cambria Math" w:hAnsi="Cambria Math"/>
                  <w:sz w:val="22"/>
                  <w:szCs w:val="24"/>
                </w:rPr>
                <m:t>Incidence Rate</m:t>
              </m:r>
            </m:den>
          </m:f>
        </m:oMath>
      </m:oMathPara>
    </w:p>
    <w:p w:rsidR="00EC3E95" w:rsidRPr="007B0E3B" w:rsidRDefault="00EC3E95" w:rsidP="00EC3E95">
      <w:pPr>
        <w:rPr>
          <w:b/>
          <w:i/>
          <w:sz w:val="24"/>
          <w:szCs w:val="24"/>
        </w:rPr>
      </w:pPr>
      <w:r w:rsidRPr="007B0E3B">
        <w:rPr>
          <w:rFonts w:asciiTheme="majorHAnsi" w:hAnsiTheme="majorHAnsi"/>
          <w:b/>
          <w:i/>
          <w:sz w:val="24"/>
          <w:szCs w:val="24"/>
        </w:rPr>
        <w:t>Prevalence</w:t>
      </w:r>
      <w:r w:rsidRPr="007B0E3B">
        <w:rPr>
          <w:b/>
          <w:i/>
          <w:sz w:val="24"/>
          <w:szCs w:val="24"/>
        </w:rPr>
        <w:t xml:space="preserve"> </w:t>
      </w:r>
    </w:p>
    <w:p w:rsidR="00EC3E95" w:rsidRPr="007B0E3B" w:rsidRDefault="00EC3E95" w:rsidP="00EC3E95">
      <w:pPr>
        <w:rPr>
          <w:sz w:val="24"/>
          <w:szCs w:val="24"/>
        </w:rPr>
      </w:pPr>
      <w:r w:rsidRPr="007B0E3B">
        <w:rPr>
          <w:sz w:val="24"/>
          <w:szCs w:val="24"/>
        </w:rPr>
        <w:t>Current cigarette use and cancer screening prevalence data from the Tennessee BRFSS are presented in this report</w:t>
      </w:r>
      <w:r w:rsidR="00A00618">
        <w:rPr>
          <w:sz w:val="24"/>
          <w:szCs w:val="24"/>
        </w:rPr>
        <w:t xml:space="preserve"> (See </w:t>
      </w:r>
      <w:hyperlink w:anchor="_Cancer_Screening_Prevalence," w:history="1">
        <w:r w:rsidR="001E17EF" w:rsidRPr="001E17EF">
          <w:rPr>
            <w:rStyle w:val="Hyperlink"/>
            <w:sz w:val="24"/>
            <w:szCs w:val="24"/>
          </w:rPr>
          <w:t>Cancer Screening Prevalence in Tennessee</w:t>
        </w:r>
      </w:hyperlink>
      <w:r w:rsidR="00A00618">
        <w:rPr>
          <w:sz w:val="24"/>
          <w:szCs w:val="24"/>
        </w:rPr>
        <w:t xml:space="preserve"> &amp;</w:t>
      </w:r>
      <w:r w:rsidR="001E17EF">
        <w:rPr>
          <w:sz w:val="24"/>
          <w:szCs w:val="24"/>
        </w:rPr>
        <w:t xml:space="preserve"> </w:t>
      </w:r>
      <w:hyperlink w:anchor="_Cigarette_Smoking_Prevalence" w:history="1">
        <w:r w:rsidR="001E17EF" w:rsidRPr="001E17EF">
          <w:rPr>
            <w:rStyle w:val="Hyperlink"/>
            <w:sz w:val="24"/>
            <w:szCs w:val="24"/>
          </w:rPr>
          <w:t>Cigarette Smoking Prevalence in Tennessee</w:t>
        </w:r>
      </w:hyperlink>
      <w:r w:rsidR="00A00618">
        <w:rPr>
          <w:sz w:val="24"/>
          <w:szCs w:val="24"/>
        </w:rPr>
        <w:t>)</w:t>
      </w:r>
      <w:r w:rsidRPr="007B0E3B">
        <w:rPr>
          <w:sz w:val="24"/>
          <w:szCs w:val="24"/>
        </w:rPr>
        <w:t xml:space="preserve">. Prevalence is defined as the percentage of people exhibiting the behavior out of the total number in the defined population. </w:t>
      </w:r>
    </w:p>
    <w:p w:rsidR="00EC3E95" w:rsidRPr="007B0E3B" w:rsidRDefault="00EC3E95" w:rsidP="00EC3E95">
      <w:pPr>
        <w:rPr>
          <w:rFonts w:asciiTheme="majorHAnsi" w:hAnsiTheme="majorHAnsi"/>
          <w:b/>
          <w:i/>
          <w:sz w:val="24"/>
          <w:szCs w:val="24"/>
        </w:rPr>
      </w:pPr>
      <w:r w:rsidRPr="007B0E3B">
        <w:rPr>
          <w:rFonts w:asciiTheme="majorHAnsi" w:hAnsiTheme="majorHAnsi"/>
          <w:b/>
          <w:i/>
          <w:sz w:val="24"/>
          <w:szCs w:val="24"/>
        </w:rPr>
        <w:t xml:space="preserve">Race and Ethnicity </w:t>
      </w:r>
    </w:p>
    <w:p w:rsidR="00EC3E95" w:rsidRPr="007B0E3B" w:rsidRDefault="00EC3E95" w:rsidP="00EC3E95">
      <w:pPr>
        <w:rPr>
          <w:sz w:val="24"/>
          <w:szCs w:val="24"/>
        </w:rPr>
      </w:pPr>
      <w:r w:rsidRPr="007B0E3B">
        <w:rPr>
          <w:sz w:val="24"/>
          <w:szCs w:val="24"/>
        </w:rPr>
        <w:t xml:space="preserve">Cancer incidence and mortality can vary greatly by race and ethnicity. According to the 2010 U.S. census (United States Census Bureau, 2010), non-Hispanic Whites account for 78.4 of Tennessee’s population, and non-Hispanic Blacks represent 16.7% of Tennessee’s population. Given Tennessee’s small minority population, displaying detailed information by racial/ethnic group leads to some cell counts that are too small to display publically and rates may be unstable. </w:t>
      </w:r>
    </w:p>
    <w:p w:rsidR="00EC3E95" w:rsidRPr="007B0E3B" w:rsidRDefault="00EC3E95" w:rsidP="00EC3E95">
      <w:pPr>
        <w:rPr>
          <w:i/>
          <w:sz w:val="24"/>
          <w:szCs w:val="24"/>
        </w:rPr>
      </w:pPr>
      <w:r w:rsidRPr="007B0E3B">
        <w:rPr>
          <w:rFonts w:asciiTheme="majorHAnsi" w:hAnsiTheme="majorHAnsi"/>
          <w:b/>
          <w:i/>
          <w:sz w:val="24"/>
          <w:szCs w:val="24"/>
        </w:rPr>
        <w:t>Resident County</w:t>
      </w:r>
    </w:p>
    <w:p w:rsidR="00EC3E95" w:rsidRPr="007B0E3B" w:rsidRDefault="00EC3E95" w:rsidP="00EC3E95">
      <w:pPr>
        <w:rPr>
          <w:sz w:val="24"/>
          <w:szCs w:val="24"/>
        </w:rPr>
      </w:pPr>
      <w:r w:rsidRPr="007B0E3B">
        <w:rPr>
          <w:sz w:val="24"/>
          <w:szCs w:val="24"/>
        </w:rPr>
        <w:t>The resident county is the geographical variable that illustrates the county of residence at diagnosis.</w:t>
      </w:r>
    </w:p>
    <w:p w:rsidR="00EC3E95" w:rsidRPr="007B0E3B" w:rsidRDefault="00EC3E95" w:rsidP="00EC3E95">
      <w:pPr>
        <w:rPr>
          <w:rFonts w:asciiTheme="majorHAnsi" w:hAnsiTheme="majorHAnsi"/>
          <w:b/>
          <w:i/>
          <w:sz w:val="24"/>
          <w:szCs w:val="24"/>
        </w:rPr>
      </w:pPr>
      <w:r w:rsidRPr="007B0E3B">
        <w:rPr>
          <w:rFonts w:asciiTheme="majorHAnsi" w:hAnsiTheme="majorHAnsi"/>
          <w:b/>
          <w:i/>
          <w:sz w:val="24"/>
          <w:szCs w:val="24"/>
        </w:rPr>
        <w:t>Suppression of Rates and Counts</w:t>
      </w:r>
    </w:p>
    <w:p w:rsidR="00EC3E95" w:rsidRPr="007B0E3B" w:rsidRDefault="00EC3E95" w:rsidP="00EC3E95">
      <w:pPr>
        <w:rPr>
          <w:sz w:val="24"/>
          <w:szCs w:val="24"/>
        </w:rPr>
      </w:pPr>
      <w:r w:rsidRPr="007B0E3B">
        <w:rPr>
          <w:sz w:val="24"/>
          <w:szCs w:val="24"/>
        </w:rPr>
        <w:t>Due to concerns regarding statistical reliability, statistics were suppressed when there were 1-9 reported cases. Counts or rates that were suppressed in this report are denoted by “^”.</w:t>
      </w:r>
    </w:p>
    <w:p w:rsidR="00B16FE2" w:rsidRDefault="00B16FE2" w:rsidP="00EC3E95">
      <w:pPr>
        <w:rPr>
          <w:rFonts w:asciiTheme="majorHAnsi" w:hAnsiTheme="majorHAnsi"/>
          <w:b/>
          <w:i/>
          <w:sz w:val="24"/>
          <w:szCs w:val="24"/>
        </w:rPr>
      </w:pPr>
    </w:p>
    <w:p w:rsidR="00B16FE2" w:rsidRDefault="00B16FE2" w:rsidP="00EC3E95">
      <w:pPr>
        <w:rPr>
          <w:rFonts w:asciiTheme="majorHAnsi" w:hAnsiTheme="majorHAnsi"/>
          <w:b/>
          <w:i/>
          <w:sz w:val="24"/>
          <w:szCs w:val="24"/>
        </w:rPr>
      </w:pPr>
    </w:p>
    <w:p w:rsidR="00EC3E95" w:rsidRPr="007B0E3B" w:rsidRDefault="00EC3E95" w:rsidP="00EC3E95">
      <w:pPr>
        <w:rPr>
          <w:i/>
          <w:sz w:val="24"/>
          <w:szCs w:val="24"/>
        </w:rPr>
      </w:pPr>
      <w:r w:rsidRPr="007B0E3B">
        <w:rPr>
          <w:rFonts w:asciiTheme="majorHAnsi" w:hAnsiTheme="majorHAnsi"/>
          <w:b/>
          <w:i/>
          <w:sz w:val="24"/>
          <w:szCs w:val="24"/>
        </w:rPr>
        <w:lastRenderedPageBreak/>
        <w:t>Tennessee counties and regions</w:t>
      </w:r>
      <w:r w:rsidRPr="007B0E3B">
        <w:rPr>
          <w:i/>
          <w:sz w:val="24"/>
          <w:szCs w:val="24"/>
        </w:rPr>
        <w:t xml:space="preserve"> </w:t>
      </w:r>
    </w:p>
    <w:p w:rsidR="00EC3E95" w:rsidRPr="007B0E3B" w:rsidRDefault="00EC3E95" w:rsidP="00EC3E95">
      <w:pPr>
        <w:rPr>
          <w:sz w:val="24"/>
          <w:szCs w:val="24"/>
        </w:rPr>
      </w:pPr>
      <w:r w:rsidRPr="007B0E3B">
        <w:rPr>
          <w:sz w:val="24"/>
          <w:szCs w:val="24"/>
        </w:rPr>
        <w:t>In this report, Tennessee’s 95 counties are grouped into eight regions. Metropolitan counties are grouped into the regions where they are located.</w:t>
      </w:r>
    </w:p>
    <w:p w:rsidR="00EC3E95" w:rsidRPr="007B0E3B" w:rsidRDefault="00EC3E95" w:rsidP="00EC3E95">
      <w:pPr>
        <w:rPr>
          <w:rFonts w:asciiTheme="majorHAnsi" w:hAnsiTheme="majorHAnsi"/>
          <w:b/>
          <w:i/>
          <w:sz w:val="24"/>
          <w:szCs w:val="24"/>
        </w:rPr>
      </w:pPr>
      <w:r w:rsidRPr="007B0E3B">
        <w:rPr>
          <w:rFonts w:asciiTheme="majorHAnsi" w:hAnsiTheme="majorHAnsi"/>
          <w:b/>
          <w:i/>
          <w:sz w:val="24"/>
          <w:szCs w:val="24"/>
        </w:rPr>
        <w:t>Trends</w:t>
      </w:r>
    </w:p>
    <w:p w:rsidR="00EC3E95" w:rsidRPr="007B0E3B" w:rsidRDefault="00EC3E95" w:rsidP="00EC3E95">
      <w:pPr>
        <w:rPr>
          <w:sz w:val="24"/>
          <w:szCs w:val="24"/>
        </w:rPr>
      </w:pPr>
      <w:r w:rsidRPr="007B0E3B">
        <w:rPr>
          <w:sz w:val="24"/>
          <w:szCs w:val="24"/>
        </w:rPr>
        <w:t xml:space="preserve">Trend data should be interpreted with caution. Increases and decreases in rates over time may reflect changes in diagnostic methods or case reporting rather than genuine changes in cancer occurrence. </w:t>
      </w:r>
    </w:p>
    <w:p w:rsidR="00EC3E95" w:rsidRPr="007B0E3B" w:rsidRDefault="00EC3E95" w:rsidP="00EC3E95">
      <w:pPr>
        <w:rPr>
          <w:rFonts w:asciiTheme="majorHAnsi" w:hAnsiTheme="majorHAnsi"/>
          <w:i/>
          <w:sz w:val="24"/>
          <w:szCs w:val="24"/>
        </w:rPr>
      </w:pPr>
      <w:r w:rsidRPr="007B0E3B">
        <w:rPr>
          <w:rFonts w:asciiTheme="majorHAnsi" w:hAnsiTheme="majorHAnsi"/>
          <w:b/>
          <w:i/>
          <w:sz w:val="24"/>
          <w:szCs w:val="24"/>
        </w:rPr>
        <w:t>Years of potential life lost</w:t>
      </w:r>
    </w:p>
    <w:p w:rsidR="00EC3E95" w:rsidRPr="007B0E3B" w:rsidRDefault="00EC3E95" w:rsidP="00EC3E95">
      <w:pPr>
        <w:rPr>
          <w:sz w:val="24"/>
          <w:szCs w:val="24"/>
        </w:rPr>
      </w:pPr>
      <w:r w:rsidRPr="007B0E3B">
        <w:rPr>
          <w:sz w:val="24"/>
          <w:szCs w:val="24"/>
        </w:rPr>
        <w:t>Years of potential life lost (YPLL) is another indicator often used to describe disease burden. It is an estimate of the years a person would have lived if he or she had not died prematurely. YPLL highlights the loss to society as a result of deaths in childhood, adolescence and early adulthood and is calculated as the number of years of potential life lost by each death occurring before a predetermined end point, set at age 75 years in this report.</w:t>
      </w:r>
    </w:p>
    <w:p w:rsidR="00EC3E95" w:rsidRDefault="00EC3E95" w:rsidP="00F10BF2">
      <w:pPr>
        <w:jc w:val="center"/>
        <w:rPr>
          <w:rFonts w:cs="Arial"/>
          <w:b/>
          <w:sz w:val="24"/>
          <w:szCs w:val="24"/>
        </w:rPr>
      </w:pPr>
      <m:oMathPara>
        <m:oMath>
          <m:r>
            <m:rPr>
              <m:sty m:val="b"/>
            </m:rPr>
            <w:rPr>
              <w:rFonts w:ascii="Cambria Math" w:hAnsi="Cambria Math"/>
              <w:sz w:val="24"/>
              <w:szCs w:val="24"/>
            </w:rPr>
            <m:t>Years of Potential Life Lost=Predetermined End Point Age-Age of Decedent Who Died Prior to End Point Age</m:t>
          </m:r>
        </m:oMath>
      </m:oMathPara>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EC3E95" w:rsidRDefault="00EC3E95" w:rsidP="00EC3E95">
      <w:pPr>
        <w:rPr>
          <w:rFonts w:cs="Arial"/>
          <w:b/>
          <w:sz w:val="24"/>
          <w:szCs w:val="24"/>
        </w:rPr>
      </w:pPr>
    </w:p>
    <w:p w:rsidR="00B16FE2" w:rsidRDefault="00B16FE2" w:rsidP="00EC3E95">
      <w:pPr>
        <w:rPr>
          <w:rFonts w:cs="Arial"/>
          <w:b/>
          <w:sz w:val="24"/>
          <w:szCs w:val="24"/>
        </w:rPr>
      </w:pPr>
    </w:p>
    <w:p w:rsidR="00B16FE2" w:rsidRDefault="00B16FE2" w:rsidP="00EC3E95">
      <w:pPr>
        <w:rPr>
          <w:rFonts w:cs="Arial"/>
          <w:b/>
          <w:sz w:val="24"/>
          <w:szCs w:val="24"/>
        </w:rPr>
      </w:pPr>
    </w:p>
    <w:p w:rsidR="00EC3E95" w:rsidRDefault="00EC3E95" w:rsidP="00EC3E95">
      <w:pPr>
        <w:rPr>
          <w:rFonts w:cs="Arial"/>
          <w:b/>
          <w:sz w:val="24"/>
          <w:szCs w:val="24"/>
        </w:rPr>
      </w:pPr>
    </w:p>
    <w:p w:rsidR="00EC3E95" w:rsidRPr="00EC3B14" w:rsidRDefault="00EC3E95" w:rsidP="00EC3E95">
      <w:pPr>
        <w:pStyle w:val="Heading2"/>
      </w:pPr>
      <w:bookmarkStart w:id="632" w:name="_Data_Sources_2"/>
      <w:bookmarkStart w:id="633" w:name="_Toc439918891"/>
      <w:bookmarkEnd w:id="632"/>
      <w:r w:rsidRPr="00EC3B14">
        <w:lastRenderedPageBreak/>
        <w:t xml:space="preserve">Data </w:t>
      </w:r>
      <w:r w:rsidRPr="00903E48">
        <w:t>Sources</w:t>
      </w:r>
      <w:bookmarkEnd w:id="633"/>
      <w:r w:rsidRPr="00EC3B14">
        <w:t xml:space="preserve"> </w:t>
      </w:r>
    </w:p>
    <w:p w:rsidR="00EC3E95" w:rsidRPr="00645EDD" w:rsidRDefault="00EC3E95" w:rsidP="0007460E">
      <w:pPr>
        <w:pStyle w:val="NoSpacing"/>
        <w:spacing w:before="240" w:after="240" w:line="276" w:lineRule="auto"/>
        <w:rPr>
          <w:rFonts w:asciiTheme="majorHAnsi" w:hAnsiTheme="majorHAnsi"/>
          <w:b/>
          <w:i/>
          <w:sz w:val="22"/>
          <w:szCs w:val="22"/>
        </w:rPr>
      </w:pPr>
      <w:r w:rsidRPr="00645EDD">
        <w:rPr>
          <w:rFonts w:asciiTheme="majorHAnsi" w:hAnsiTheme="majorHAnsi"/>
          <w:b/>
          <w:sz w:val="24"/>
          <w:szCs w:val="22"/>
        </w:rPr>
        <w:t xml:space="preserve">Tennessee Cancer Registry (TCR) </w:t>
      </w:r>
      <w:r w:rsidR="00D921F0">
        <w:rPr>
          <w:rFonts w:asciiTheme="majorHAnsi" w:hAnsiTheme="majorHAnsi"/>
          <w:b/>
          <w:sz w:val="24"/>
          <w:szCs w:val="22"/>
        </w:rPr>
        <w:t xml:space="preserve">Incidence </w:t>
      </w:r>
      <w:r w:rsidRPr="00645EDD">
        <w:rPr>
          <w:rFonts w:asciiTheme="majorHAnsi" w:hAnsiTheme="majorHAnsi"/>
          <w:b/>
          <w:sz w:val="24"/>
          <w:szCs w:val="22"/>
        </w:rPr>
        <w:t>Data:</w:t>
      </w:r>
    </w:p>
    <w:p w:rsidR="00EC3E95" w:rsidRPr="006D14AB" w:rsidRDefault="00D921F0" w:rsidP="00EC3E95">
      <w:pPr>
        <w:pStyle w:val="NoSpacing"/>
        <w:spacing w:line="276" w:lineRule="auto"/>
        <w:rPr>
          <w:sz w:val="24"/>
          <w:szCs w:val="24"/>
        </w:rPr>
      </w:pPr>
      <w:r>
        <w:rPr>
          <w:sz w:val="24"/>
          <w:szCs w:val="24"/>
        </w:rPr>
        <w:t>The c</w:t>
      </w:r>
      <w:r w:rsidR="00EC3E95" w:rsidRPr="006D14AB">
        <w:rPr>
          <w:sz w:val="24"/>
          <w:szCs w:val="24"/>
        </w:rPr>
        <w:t>ancer incidence data</w:t>
      </w:r>
      <w:r>
        <w:rPr>
          <w:sz w:val="24"/>
          <w:szCs w:val="24"/>
        </w:rPr>
        <w:t xml:space="preserve"> </w:t>
      </w:r>
      <w:r w:rsidR="00EC3E95" w:rsidRPr="006D14AB">
        <w:rPr>
          <w:sz w:val="24"/>
          <w:szCs w:val="24"/>
        </w:rPr>
        <w:t xml:space="preserve">contain records of primary cancer </w:t>
      </w:r>
      <w:r>
        <w:rPr>
          <w:sz w:val="24"/>
          <w:szCs w:val="24"/>
        </w:rPr>
        <w:t xml:space="preserve">cases </w:t>
      </w:r>
      <w:r w:rsidR="00EC3E95" w:rsidRPr="006D14AB">
        <w:rPr>
          <w:sz w:val="24"/>
          <w:szCs w:val="24"/>
        </w:rPr>
        <w:t xml:space="preserve">first diagnosed among Tennessee residents between January 1, 2008 and December 31, 2012, and were reported to the TCR as of </w:t>
      </w:r>
      <w:r w:rsidR="00EF50E8">
        <w:rPr>
          <w:sz w:val="24"/>
          <w:szCs w:val="24"/>
        </w:rPr>
        <w:t>May</w:t>
      </w:r>
      <w:r w:rsidR="00EC3E95" w:rsidRPr="006D14AB">
        <w:rPr>
          <w:sz w:val="24"/>
          <w:szCs w:val="24"/>
        </w:rPr>
        <w:t xml:space="preserve"> 2015. </w:t>
      </w:r>
      <w:r w:rsidR="00FD1BA4">
        <w:rPr>
          <w:sz w:val="24"/>
          <w:szCs w:val="24"/>
        </w:rPr>
        <w:t>C</w:t>
      </w:r>
      <w:r w:rsidR="00EC3E95" w:rsidRPr="006D14AB">
        <w:rPr>
          <w:sz w:val="24"/>
          <w:szCs w:val="24"/>
        </w:rPr>
        <w:t>ases with gender reported as hermaphrodite or transsexual were not included in this report. Cases with race other than white or black (1,</w:t>
      </w:r>
      <w:r w:rsidR="00500613">
        <w:rPr>
          <w:sz w:val="24"/>
          <w:szCs w:val="24"/>
        </w:rPr>
        <w:t>286</w:t>
      </w:r>
      <w:r w:rsidR="00EC3E95" w:rsidRPr="006D14AB">
        <w:rPr>
          <w:sz w:val="24"/>
          <w:szCs w:val="24"/>
        </w:rPr>
        <w:t xml:space="preserve"> cases) and unknown race (1,</w:t>
      </w:r>
      <w:r w:rsidR="00500613">
        <w:rPr>
          <w:sz w:val="24"/>
          <w:szCs w:val="24"/>
        </w:rPr>
        <w:t>396</w:t>
      </w:r>
      <w:r w:rsidR="00EC3E95" w:rsidRPr="006D14AB">
        <w:rPr>
          <w:sz w:val="24"/>
          <w:szCs w:val="24"/>
        </w:rPr>
        <w:t xml:space="preserve"> cases) were included in the “Total Population” category. Two</w:t>
      </w:r>
      <w:r>
        <w:rPr>
          <w:sz w:val="24"/>
          <w:szCs w:val="24"/>
        </w:rPr>
        <w:t xml:space="preserve"> (2)</w:t>
      </w:r>
      <w:r w:rsidR="00EC3E95" w:rsidRPr="006D14AB">
        <w:rPr>
          <w:sz w:val="24"/>
          <w:szCs w:val="24"/>
        </w:rPr>
        <w:t xml:space="preserve"> cases with unknown age of diagnosis were </w:t>
      </w:r>
      <w:r w:rsidR="00EC3E95" w:rsidRPr="00C25AFD">
        <w:rPr>
          <w:sz w:val="24"/>
          <w:szCs w:val="24"/>
        </w:rPr>
        <w:t>excluded from all analyses except the calculation of the leading causes of cancer incidence and cancer by stage.</w:t>
      </w:r>
      <w:r w:rsidR="00EC3E95" w:rsidRPr="006D14AB">
        <w:rPr>
          <w:sz w:val="24"/>
          <w:szCs w:val="24"/>
        </w:rPr>
        <w:t xml:space="preserve"> A total of 1</w:t>
      </w:r>
      <w:r w:rsidR="003C0DD1">
        <w:rPr>
          <w:sz w:val="24"/>
          <w:szCs w:val="24"/>
        </w:rPr>
        <w:t>3</w:t>
      </w:r>
      <w:r w:rsidR="000C0055">
        <w:rPr>
          <w:sz w:val="24"/>
          <w:szCs w:val="24"/>
        </w:rPr>
        <w:t>8</w:t>
      </w:r>
      <w:r w:rsidR="00EC3E95" w:rsidRPr="006D14AB">
        <w:rPr>
          <w:sz w:val="24"/>
          <w:szCs w:val="24"/>
        </w:rPr>
        <w:t xml:space="preserve"> newly diagnosed cases did not have information on county and region of diagnosis</w:t>
      </w:r>
      <w:r w:rsidR="0007460E">
        <w:rPr>
          <w:sz w:val="24"/>
          <w:szCs w:val="24"/>
        </w:rPr>
        <w:t>.</w:t>
      </w:r>
      <w:r>
        <w:rPr>
          <w:sz w:val="24"/>
          <w:szCs w:val="24"/>
        </w:rPr>
        <w:t xml:space="preserve"> </w:t>
      </w:r>
      <w:r w:rsidR="0007460E">
        <w:rPr>
          <w:sz w:val="24"/>
          <w:szCs w:val="24"/>
        </w:rPr>
        <w:t>T</w:t>
      </w:r>
      <w:r>
        <w:rPr>
          <w:sz w:val="24"/>
          <w:szCs w:val="24"/>
        </w:rPr>
        <w:t>hese cases</w:t>
      </w:r>
      <w:r w:rsidR="00EC3E95" w:rsidRPr="006D14AB">
        <w:rPr>
          <w:sz w:val="24"/>
          <w:szCs w:val="24"/>
        </w:rPr>
        <w:t xml:space="preserve"> were included in the state level statistics </w:t>
      </w:r>
      <w:r w:rsidR="00FD1BA4">
        <w:rPr>
          <w:sz w:val="24"/>
          <w:szCs w:val="24"/>
        </w:rPr>
        <w:t xml:space="preserve">but </w:t>
      </w:r>
      <w:r w:rsidR="00EC3E95" w:rsidRPr="006D14AB">
        <w:rPr>
          <w:sz w:val="24"/>
          <w:szCs w:val="24"/>
        </w:rPr>
        <w:t>excluded from county level statistics.</w:t>
      </w:r>
      <w:r w:rsidR="00C024F0">
        <w:rPr>
          <w:sz w:val="24"/>
          <w:szCs w:val="24"/>
        </w:rPr>
        <w:t xml:space="preserve"> </w:t>
      </w:r>
    </w:p>
    <w:p w:rsidR="00EC3E95" w:rsidRPr="006D14AB" w:rsidRDefault="00EC3E95" w:rsidP="0007460E">
      <w:pPr>
        <w:pStyle w:val="NoSpacing"/>
        <w:spacing w:before="240" w:after="240" w:line="276" w:lineRule="auto"/>
        <w:rPr>
          <w:rFonts w:asciiTheme="majorHAnsi" w:hAnsiTheme="majorHAnsi"/>
          <w:b/>
          <w:sz w:val="24"/>
          <w:szCs w:val="24"/>
        </w:rPr>
      </w:pPr>
      <w:r w:rsidRPr="006D14AB">
        <w:rPr>
          <w:rFonts w:asciiTheme="majorHAnsi" w:hAnsiTheme="majorHAnsi"/>
          <w:b/>
          <w:sz w:val="24"/>
          <w:szCs w:val="24"/>
        </w:rPr>
        <w:t>Cancer Mortality Data:</w:t>
      </w:r>
    </w:p>
    <w:p w:rsidR="00EC3E95" w:rsidRPr="006D14AB" w:rsidRDefault="00D651EC" w:rsidP="00EC3E95">
      <w:pPr>
        <w:pStyle w:val="NoSpacing"/>
        <w:spacing w:line="276" w:lineRule="auto"/>
        <w:rPr>
          <w:sz w:val="24"/>
          <w:szCs w:val="24"/>
        </w:rPr>
      </w:pPr>
      <w:r>
        <w:rPr>
          <w:sz w:val="24"/>
          <w:szCs w:val="24"/>
        </w:rPr>
        <w:t>The</w:t>
      </w:r>
      <w:r w:rsidR="00EC3E95" w:rsidRPr="006D14AB">
        <w:rPr>
          <w:sz w:val="24"/>
          <w:szCs w:val="24"/>
        </w:rPr>
        <w:t xml:space="preserve"> </w:t>
      </w:r>
      <w:r>
        <w:rPr>
          <w:sz w:val="24"/>
          <w:szCs w:val="24"/>
        </w:rPr>
        <w:t xml:space="preserve">cancer </w:t>
      </w:r>
      <w:r w:rsidR="00EC3E95" w:rsidRPr="006D14AB">
        <w:rPr>
          <w:sz w:val="24"/>
          <w:szCs w:val="24"/>
        </w:rPr>
        <w:t xml:space="preserve">mortality data </w:t>
      </w:r>
      <w:r>
        <w:rPr>
          <w:sz w:val="24"/>
          <w:szCs w:val="24"/>
        </w:rPr>
        <w:t>contain records of all mortalities among Tennessee residents</w:t>
      </w:r>
      <w:r w:rsidR="0007460E">
        <w:rPr>
          <w:sz w:val="24"/>
          <w:szCs w:val="24"/>
        </w:rPr>
        <w:t>. The record-level mortality data were from the Death Statistical System provided by the Office of Health Statistics, Tennessee Department of Health.</w:t>
      </w:r>
      <w:r>
        <w:rPr>
          <w:sz w:val="24"/>
          <w:szCs w:val="24"/>
        </w:rPr>
        <w:t xml:space="preserve"> </w:t>
      </w:r>
      <w:r w:rsidR="0007460E">
        <w:rPr>
          <w:sz w:val="24"/>
          <w:szCs w:val="24"/>
        </w:rPr>
        <w:t xml:space="preserve">There were </w:t>
      </w:r>
      <w:r w:rsidR="00FC564F">
        <w:rPr>
          <w:sz w:val="24"/>
          <w:szCs w:val="24"/>
        </w:rPr>
        <w:t>27</w:t>
      </w:r>
      <w:r w:rsidR="00EC3E95" w:rsidRPr="006D14AB">
        <w:rPr>
          <w:sz w:val="24"/>
          <w:szCs w:val="24"/>
        </w:rPr>
        <w:t xml:space="preserve"> </w:t>
      </w:r>
      <w:r w:rsidR="0007460E">
        <w:rPr>
          <w:sz w:val="24"/>
          <w:szCs w:val="24"/>
        </w:rPr>
        <w:t xml:space="preserve">mortality cases </w:t>
      </w:r>
      <w:r w:rsidR="00EC3E95" w:rsidRPr="006D14AB">
        <w:rPr>
          <w:sz w:val="24"/>
          <w:szCs w:val="24"/>
        </w:rPr>
        <w:t>missing gender information</w:t>
      </w:r>
      <w:r w:rsidR="00FC564F">
        <w:rPr>
          <w:sz w:val="24"/>
          <w:szCs w:val="24"/>
        </w:rPr>
        <w:t xml:space="preserve"> and 112 cases did not contain race data.</w:t>
      </w:r>
      <w:r w:rsidR="0007460E">
        <w:rPr>
          <w:sz w:val="24"/>
          <w:szCs w:val="24"/>
        </w:rPr>
        <w:t xml:space="preserve"> These cases were excluded from </w:t>
      </w:r>
      <w:r w:rsidR="00A270CD">
        <w:rPr>
          <w:sz w:val="24"/>
          <w:szCs w:val="24"/>
        </w:rPr>
        <w:t>all analyses except the calculation of the leading causes of cancer mortality</w:t>
      </w:r>
      <w:r w:rsidR="0007460E">
        <w:rPr>
          <w:sz w:val="24"/>
          <w:szCs w:val="24"/>
        </w:rPr>
        <w:t xml:space="preserve">. </w:t>
      </w:r>
      <w:r w:rsidR="00C024F0">
        <w:rPr>
          <w:sz w:val="24"/>
          <w:szCs w:val="24"/>
        </w:rPr>
        <w:t>2,282</w:t>
      </w:r>
      <w:r w:rsidR="00EC3E95" w:rsidRPr="006D14AB">
        <w:rPr>
          <w:sz w:val="24"/>
          <w:szCs w:val="24"/>
        </w:rPr>
        <w:t xml:space="preserve"> </w:t>
      </w:r>
      <w:r w:rsidR="0007460E">
        <w:rPr>
          <w:sz w:val="24"/>
          <w:szCs w:val="24"/>
        </w:rPr>
        <w:t>deaths were of race other than white or black and were included in the “Total Population” category.</w:t>
      </w:r>
    </w:p>
    <w:p w:rsidR="00EC3E95" w:rsidRPr="006D14AB" w:rsidRDefault="00EC3E95" w:rsidP="0007460E">
      <w:pPr>
        <w:pStyle w:val="NoSpacing"/>
        <w:spacing w:before="240" w:after="240" w:line="276" w:lineRule="auto"/>
        <w:rPr>
          <w:rFonts w:asciiTheme="majorHAnsi" w:hAnsiTheme="majorHAnsi"/>
          <w:b/>
          <w:sz w:val="24"/>
          <w:szCs w:val="24"/>
        </w:rPr>
      </w:pPr>
      <w:r w:rsidRPr="006D14AB">
        <w:rPr>
          <w:rFonts w:asciiTheme="majorHAnsi" w:hAnsiTheme="majorHAnsi"/>
          <w:b/>
          <w:sz w:val="24"/>
          <w:szCs w:val="24"/>
        </w:rPr>
        <w:t xml:space="preserve">Behavioral Risk Factor Surveillance System (BRFSS) Data: </w:t>
      </w:r>
    </w:p>
    <w:p w:rsidR="00EC3E95" w:rsidRPr="006D14AB" w:rsidRDefault="00EC3E95" w:rsidP="00EC3E95">
      <w:pPr>
        <w:pStyle w:val="NoSpacing"/>
        <w:spacing w:line="276" w:lineRule="auto"/>
        <w:rPr>
          <w:sz w:val="24"/>
          <w:szCs w:val="24"/>
        </w:rPr>
      </w:pPr>
      <w:r w:rsidRPr="006D14AB">
        <w:rPr>
          <w:sz w:val="24"/>
          <w:szCs w:val="24"/>
        </w:rPr>
        <w:t>BRFSS is a CDC-funded, state-administered, random-digit-dialed telephone survey of the U.S. non-institutionalized population, 18 years of age and older that collects information on health risk behaviors, preventive health practices, and health care access primarily related to chronic disease and injury. BRFSS was established in 1984 by the Centers for Disease Control and Prevention (CDC); currently data are collected monthly in all 50 states, the District of Columbia, Puerto Rico, the U.S. Virgin Islands, and Guam. Nationwide BRFSS data were the median for 50 states and Washington D.C.</w:t>
      </w:r>
    </w:p>
    <w:p w:rsidR="00EC3E95" w:rsidRPr="006D14AB" w:rsidRDefault="00EC3E95" w:rsidP="0007460E">
      <w:pPr>
        <w:pStyle w:val="NoSpacing"/>
        <w:spacing w:before="240" w:after="240" w:line="276" w:lineRule="auto"/>
        <w:rPr>
          <w:rFonts w:asciiTheme="majorHAnsi" w:hAnsiTheme="majorHAnsi"/>
          <w:b/>
          <w:sz w:val="24"/>
          <w:szCs w:val="24"/>
        </w:rPr>
      </w:pPr>
      <w:r w:rsidRPr="006D14AB">
        <w:rPr>
          <w:rFonts w:asciiTheme="majorHAnsi" w:hAnsiTheme="majorHAnsi"/>
          <w:b/>
          <w:sz w:val="24"/>
          <w:szCs w:val="24"/>
        </w:rPr>
        <w:t xml:space="preserve">State Cancer Profiles: </w:t>
      </w:r>
    </w:p>
    <w:p w:rsidR="00EC3E95" w:rsidRPr="006D14AB" w:rsidRDefault="00EC3E95" w:rsidP="00EC3E95">
      <w:pPr>
        <w:pStyle w:val="NoSpacing"/>
        <w:spacing w:line="276" w:lineRule="auto"/>
        <w:rPr>
          <w:sz w:val="24"/>
          <w:szCs w:val="24"/>
        </w:rPr>
      </w:pPr>
      <w:r w:rsidRPr="006D14AB">
        <w:rPr>
          <w:sz w:val="24"/>
          <w:szCs w:val="24"/>
        </w:rPr>
        <w:t xml:space="preserve">State Cancer Profiles is a web-based, comprehensive, and interactive data query system provided by the National Cancer Institute (NCI) and the Centers for Disease Control &amp; Prevention (CDC). Tennessee and United States cancer mortality trend data and Tennessee cancer rankings in incidence and mortality were based on age-adjusted rates of 50 states and Washington D.C. obtained online from the following website: </w:t>
      </w:r>
      <w:hyperlink r:id="rId202" w:history="1">
        <w:r w:rsidRPr="006D14AB">
          <w:rPr>
            <w:color w:val="0000FF"/>
            <w:sz w:val="24"/>
            <w:szCs w:val="24"/>
            <w:u w:val="single"/>
          </w:rPr>
          <w:t>http://statecancerprofiles.cancer.gov</w:t>
        </w:r>
      </w:hyperlink>
      <w:r w:rsidRPr="006D14AB">
        <w:rPr>
          <w:sz w:val="24"/>
          <w:szCs w:val="24"/>
        </w:rPr>
        <w:t xml:space="preserve">. </w:t>
      </w:r>
    </w:p>
    <w:p w:rsidR="00EC3E95" w:rsidRDefault="00EC3E95" w:rsidP="00EC3E95">
      <w:pPr>
        <w:pStyle w:val="NoSpacing"/>
        <w:rPr>
          <w:sz w:val="22"/>
          <w:szCs w:val="22"/>
        </w:rPr>
      </w:pPr>
    </w:p>
    <w:p w:rsidR="003B7157" w:rsidRPr="005032F6" w:rsidRDefault="00EC3E95" w:rsidP="005032F6">
      <w:pPr>
        <w:rPr>
          <w:rFonts w:cs="Arial"/>
          <w:b/>
          <w:sz w:val="24"/>
          <w:szCs w:val="24"/>
        </w:rPr>
      </w:pPr>
      <w:r>
        <w:rPr>
          <w:rFonts w:cs="Arial"/>
          <w:b/>
          <w:sz w:val="24"/>
          <w:szCs w:val="24"/>
        </w:rPr>
        <w:br w:type="page"/>
      </w:r>
    </w:p>
    <w:p w:rsidR="007A611F" w:rsidRDefault="00B82990" w:rsidP="00F37C3F">
      <w:pPr>
        <w:pStyle w:val="Heading1"/>
      </w:pPr>
      <w:bookmarkStart w:id="634" w:name="_Toc439918892"/>
      <w:r>
        <w:lastRenderedPageBreak/>
        <w:t>References</w:t>
      </w:r>
      <w:bookmarkEnd w:id="625"/>
      <w:bookmarkEnd w:id="626"/>
      <w:bookmarkEnd w:id="627"/>
      <w:bookmarkEnd w:id="628"/>
      <w:bookmarkEnd w:id="634"/>
    </w:p>
    <w:p w:rsidR="00724BE2" w:rsidRDefault="00724BE2" w:rsidP="00C51628">
      <w:pPr>
        <w:pStyle w:val="NoSpacing"/>
        <w:ind w:left="270" w:hanging="270"/>
        <w:rPr>
          <w:sz w:val="24"/>
          <w:szCs w:val="24"/>
        </w:rPr>
      </w:pPr>
    </w:p>
    <w:p w:rsidR="00C51628" w:rsidRDefault="00C51628" w:rsidP="00C51628">
      <w:pPr>
        <w:pStyle w:val="NoSpacing"/>
        <w:ind w:left="270" w:hanging="270"/>
        <w:rPr>
          <w:sz w:val="24"/>
          <w:szCs w:val="24"/>
          <w:lang w:bidi="ar-SA"/>
        </w:rPr>
      </w:pPr>
      <w:r w:rsidRPr="000C394F">
        <w:rPr>
          <w:sz w:val="24"/>
          <w:szCs w:val="24"/>
        </w:rPr>
        <w:t>Adamo M, Dickie, L, Ruhl J. (2015</w:t>
      </w:r>
      <w:r w:rsidR="007277E8">
        <w:rPr>
          <w:sz w:val="24"/>
          <w:szCs w:val="24"/>
        </w:rPr>
        <w:t>, January</w:t>
      </w:r>
      <w:r w:rsidRPr="000C394F">
        <w:rPr>
          <w:sz w:val="24"/>
          <w:szCs w:val="24"/>
        </w:rPr>
        <w:t xml:space="preserve">). </w:t>
      </w:r>
      <w:proofErr w:type="gramStart"/>
      <w:r w:rsidRPr="000C394F">
        <w:rPr>
          <w:sz w:val="24"/>
          <w:szCs w:val="24"/>
        </w:rPr>
        <w:t>SEER Program Coding and Staging Manual 2015.</w:t>
      </w:r>
      <w:proofErr w:type="gramEnd"/>
      <w:r w:rsidRPr="000C394F">
        <w:rPr>
          <w:sz w:val="24"/>
          <w:szCs w:val="24"/>
        </w:rPr>
        <w:t xml:space="preserve"> National Cancer Institute, Bethesda, MD 20850-9765.</w:t>
      </w:r>
      <w:r>
        <w:rPr>
          <w:sz w:val="24"/>
          <w:szCs w:val="24"/>
        </w:rPr>
        <w:t xml:space="preserve"> Retrieved from </w:t>
      </w:r>
      <w:hyperlink r:id="rId203" w:history="1">
        <w:r w:rsidRPr="00DA5E71">
          <w:rPr>
            <w:rStyle w:val="Hyperlink"/>
            <w:sz w:val="24"/>
            <w:szCs w:val="24"/>
          </w:rPr>
          <w:t>http://seer.cancer.gov/tools/codingmanuals/</w:t>
        </w:r>
      </w:hyperlink>
    </w:p>
    <w:p w:rsidR="003A753C" w:rsidRDefault="003A753C" w:rsidP="00470CE3">
      <w:pPr>
        <w:pStyle w:val="NoSpacing"/>
        <w:rPr>
          <w:sz w:val="24"/>
          <w:szCs w:val="24"/>
        </w:rPr>
      </w:pPr>
    </w:p>
    <w:p w:rsidR="003A753C" w:rsidRPr="003A753C" w:rsidRDefault="003A753C" w:rsidP="003A753C">
      <w:pPr>
        <w:pStyle w:val="NoSpacing"/>
        <w:ind w:left="270" w:hanging="270"/>
        <w:rPr>
          <w:sz w:val="24"/>
          <w:szCs w:val="24"/>
        </w:rPr>
      </w:pPr>
      <w:proofErr w:type="gramStart"/>
      <w:r w:rsidRPr="003A753C">
        <w:rPr>
          <w:sz w:val="24"/>
          <w:szCs w:val="24"/>
        </w:rPr>
        <w:t>American Cancer Society</w:t>
      </w:r>
      <w:r w:rsidR="00470CE3">
        <w:rPr>
          <w:sz w:val="24"/>
          <w:szCs w:val="24"/>
        </w:rPr>
        <w:t>.</w:t>
      </w:r>
      <w:proofErr w:type="gramEnd"/>
      <w:r w:rsidR="00470CE3">
        <w:rPr>
          <w:sz w:val="24"/>
          <w:szCs w:val="24"/>
        </w:rPr>
        <w:t xml:space="preserve"> </w:t>
      </w:r>
      <w:proofErr w:type="gramStart"/>
      <w:r w:rsidR="00470CE3">
        <w:rPr>
          <w:sz w:val="24"/>
          <w:szCs w:val="24"/>
        </w:rPr>
        <w:t>(2014</w:t>
      </w:r>
      <w:r w:rsidRPr="003A753C">
        <w:rPr>
          <w:sz w:val="24"/>
          <w:szCs w:val="24"/>
        </w:rPr>
        <w:t>). Lifetime Risk of Developing or Dying From Cancer.</w:t>
      </w:r>
      <w:proofErr w:type="gramEnd"/>
      <w:r w:rsidRPr="003A753C">
        <w:rPr>
          <w:sz w:val="24"/>
          <w:szCs w:val="24"/>
        </w:rPr>
        <w:t xml:space="preserve"> </w:t>
      </w:r>
    </w:p>
    <w:p w:rsidR="003A753C" w:rsidRDefault="003A753C" w:rsidP="003A753C">
      <w:pPr>
        <w:pStyle w:val="NoSpacing"/>
        <w:ind w:left="270" w:hanging="270"/>
        <w:rPr>
          <w:sz w:val="24"/>
          <w:szCs w:val="24"/>
        </w:rPr>
      </w:pPr>
      <w:r w:rsidRPr="003A753C">
        <w:rPr>
          <w:sz w:val="24"/>
          <w:szCs w:val="24"/>
        </w:rPr>
        <w:t xml:space="preserve">     Retrieved March 20, 2015, from </w:t>
      </w:r>
      <w:hyperlink r:id="rId204" w:history="1">
        <w:r w:rsidRPr="006E700E">
          <w:rPr>
            <w:rStyle w:val="Hyperlink"/>
            <w:sz w:val="24"/>
            <w:szCs w:val="24"/>
          </w:rPr>
          <w:t>http://www.cancer.org/cancer/cancerbasics/lifetime-probability-of-developing-or-dying-from-cancer</w:t>
        </w:r>
      </w:hyperlink>
      <w:r>
        <w:rPr>
          <w:sz w:val="24"/>
          <w:szCs w:val="24"/>
        </w:rPr>
        <w:t xml:space="preserve"> </w:t>
      </w:r>
      <w:r w:rsidRPr="003A753C">
        <w:rPr>
          <w:sz w:val="24"/>
          <w:szCs w:val="24"/>
        </w:rPr>
        <w:t xml:space="preserve">  </w:t>
      </w:r>
      <w:r>
        <w:rPr>
          <w:sz w:val="24"/>
          <w:szCs w:val="24"/>
        </w:rPr>
        <w:t xml:space="preserve"> </w:t>
      </w:r>
    </w:p>
    <w:p w:rsidR="007277E8" w:rsidRDefault="007277E8" w:rsidP="003D6847">
      <w:pPr>
        <w:pStyle w:val="NoSpacing"/>
        <w:ind w:left="270" w:hanging="270"/>
        <w:rPr>
          <w:sz w:val="24"/>
          <w:szCs w:val="24"/>
        </w:rPr>
      </w:pPr>
    </w:p>
    <w:p w:rsidR="003728E9" w:rsidRPr="003728E9" w:rsidRDefault="003728E9" w:rsidP="003728E9">
      <w:pPr>
        <w:pStyle w:val="NoSpacing"/>
        <w:ind w:left="270" w:hanging="270"/>
        <w:rPr>
          <w:sz w:val="24"/>
          <w:szCs w:val="24"/>
        </w:rPr>
      </w:pPr>
      <w:proofErr w:type="gramStart"/>
      <w:r w:rsidRPr="003728E9">
        <w:rPr>
          <w:sz w:val="24"/>
          <w:szCs w:val="24"/>
        </w:rPr>
        <w:t>American Cancer Society.</w:t>
      </w:r>
      <w:proofErr w:type="gramEnd"/>
      <w:r w:rsidRPr="003728E9">
        <w:rPr>
          <w:sz w:val="24"/>
          <w:szCs w:val="24"/>
        </w:rPr>
        <w:t xml:space="preserve"> (2</w:t>
      </w:r>
      <w:r>
        <w:rPr>
          <w:sz w:val="24"/>
          <w:szCs w:val="24"/>
        </w:rPr>
        <w:t xml:space="preserve">015). </w:t>
      </w:r>
      <w:proofErr w:type="gramStart"/>
      <w:r>
        <w:rPr>
          <w:sz w:val="24"/>
          <w:szCs w:val="24"/>
        </w:rPr>
        <w:t>What</w:t>
      </w:r>
      <w:proofErr w:type="gramEnd"/>
      <w:r>
        <w:rPr>
          <w:sz w:val="24"/>
          <w:szCs w:val="24"/>
        </w:rPr>
        <w:t xml:space="preserve"> are the D</w:t>
      </w:r>
      <w:r w:rsidRPr="003728E9">
        <w:rPr>
          <w:sz w:val="24"/>
          <w:szCs w:val="24"/>
        </w:rPr>
        <w:t xml:space="preserve">ifferences </w:t>
      </w:r>
      <w:r>
        <w:rPr>
          <w:sz w:val="24"/>
          <w:szCs w:val="24"/>
        </w:rPr>
        <w:t>B</w:t>
      </w:r>
      <w:r w:rsidRPr="003728E9">
        <w:rPr>
          <w:sz w:val="24"/>
          <w:szCs w:val="24"/>
        </w:rPr>
        <w:t xml:space="preserve">etween </w:t>
      </w:r>
      <w:r>
        <w:rPr>
          <w:sz w:val="24"/>
          <w:szCs w:val="24"/>
        </w:rPr>
        <w:t>C</w:t>
      </w:r>
      <w:r w:rsidRPr="003728E9">
        <w:rPr>
          <w:sz w:val="24"/>
          <w:szCs w:val="24"/>
        </w:rPr>
        <w:t xml:space="preserve">ancers in </w:t>
      </w:r>
    </w:p>
    <w:p w:rsidR="003728E9" w:rsidRDefault="003728E9" w:rsidP="003728E9">
      <w:pPr>
        <w:pStyle w:val="NoSpacing"/>
        <w:ind w:left="270" w:hanging="270"/>
        <w:rPr>
          <w:sz w:val="24"/>
          <w:szCs w:val="24"/>
        </w:rPr>
      </w:pPr>
      <w:r>
        <w:rPr>
          <w:sz w:val="24"/>
          <w:szCs w:val="24"/>
        </w:rPr>
        <w:t xml:space="preserve">     </w:t>
      </w:r>
      <w:proofErr w:type="gramStart"/>
      <w:r>
        <w:rPr>
          <w:sz w:val="24"/>
          <w:szCs w:val="24"/>
        </w:rPr>
        <w:t>A</w:t>
      </w:r>
      <w:r w:rsidRPr="003728E9">
        <w:rPr>
          <w:sz w:val="24"/>
          <w:szCs w:val="24"/>
        </w:rPr>
        <w:t xml:space="preserve">dults and </w:t>
      </w:r>
      <w:r>
        <w:rPr>
          <w:sz w:val="24"/>
          <w:szCs w:val="24"/>
        </w:rPr>
        <w:t>C</w:t>
      </w:r>
      <w:r w:rsidRPr="003728E9">
        <w:rPr>
          <w:sz w:val="24"/>
          <w:szCs w:val="24"/>
        </w:rPr>
        <w:t>hildren?</w:t>
      </w:r>
      <w:proofErr w:type="gramEnd"/>
      <w:r w:rsidRPr="003728E9">
        <w:rPr>
          <w:sz w:val="24"/>
          <w:szCs w:val="24"/>
        </w:rPr>
        <w:t xml:space="preserve"> Retrieved April 30, 2015, from</w:t>
      </w:r>
      <w:r>
        <w:rPr>
          <w:sz w:val="24"/>
          <w:szCs w:val="24"/>
        </w:rPr>
        <w:t xml:space="preserve"> </w:t>
      </w:r>
      <w:hyperlink r:id="rId205" w:history="1">
        <w:r w:rsidRPr="00C7795E">
          <w:rPr>
            <w:rStyle w:val="Hyperlink"/>
            <w:sz w:val="24"/>
            <w:szCs w:val="24"/>
          </w:rPr>
          <w:t>http://www.cancer.org/cancer/cancerinchildren/detailedguide/cancer-in-children-differences-adults-children</w:t>
        </w:r>
      </w:hyperlink>
      <w:r>
        <w:rPr>
          <w:sz w:val="24"/>
          <w:szCs w:val="24"/>
        </w:rPr>
        <w:t xml:space="preserve">  </w:t>
      </w:r>
    </w:p>
    <w:p w:rsidR="003728E9" w:rsidRDefault="003728E9" w:rsidP="003D6847">
      <w:pPr>
        <w:pStyle w:val="NoSpacing"/>
        <w:ind w:left="270" w:hanging="270"/>
        <w:rPr>
          <w:sz w:val="24"/>
          <w:szCs w:val="24"/>
        </w:rPr>
      </w:pPr>
    </w:p>
    <w:p w:rsidR="00E8120A" w:rsidRDefault="00E8120A" w:rsidP="00E8120A">
      <w:pPr>
        <w:pStyle w:val="NoSpacing"/>
        <w:ind w:left="270" w:hanging="270"/>
        <w:rPr>
          <w:sz w:val="24"/>
          <w:szCs w:val="24"/>
        </w:rPr>
      </w:pPr>
      <w:proofErr w:type="gramStart"/>
      <w:r w:rsidRPr="00E8120A">
        <w:rPr>
          <w:sz w:val="24"/>
          <w:szCs w:val="24"/>
        </w:rPr>
        <w:t>Beaulieu, N., Bloom, D. E., Reddy Bloom, L., &amp; Stein, R. M. (2009).</w:t>
      </w:r>
      <w:proofErr w:type="gramEnd"/>
      <w:r w:rsidRPr="00E8120A">
        <w:rPr>
          <w:sz w:val="24"/>
          <w:szCs w:val="24"/>
        </w:rPr>
        <w:t xml:space="preserve"> Breakaway: The glob</w:t>
      </w:r>
      <w:r>
        <w:rPr>
          <w:sz w:val="24"/>
          <w:szCs w:val="24"/>
        </w:rPr>
        <w:t xml:space="preserve">al burden of cancer: challenges </w:t>
      </w:r>
      <w:r w:rsidRPr="00E8120A">
        <w:rPr>
          <w:sz w:val="24"/>
          <w:szCs w:val="24"/>
        </w:rPr>
        <w:t xml:space="preserve">and opportunities. </w:t>
      </w:r>
      <w:proofErr w:type="gramStart"/>
      <w:r w:rsidRPr="00E8120A">
        <w:rPr>
          <w:sz w:val="24"/>
          <w:szCs w:val="24"/>
        </w:rPr>
        <w:t>A report from the Economist Intelligence Unit.</w:t>
      </w:r>
      <w:proofErr w:type="gramEnd"/>
      <w:r w:rsidRPr="00E8120A">
        <w:rPr>
          <w:sz w:val="24"/>
          <w:szCs w:val="24"/>
        </w:rPr>
        <w:t xml:space="preserve"> </w:t>
      </w:r>
      <w:proofErr w:type="gramStart"/>
      <w:r w:rsidRPr="00E8120A">
        <w:rPr>
          <w:sz w:val="24"/>
          <w:szCs w:val="24"/>
        </w:rPr>
        <w:t>Economist Intelligence Unit.</w:t>
      </w:r>
      <w:proofErr w:type="gramEnd"/>
    </w:p>
    <w:p w:rsidR="00E8120A" w:rsidRDefault="00E8120A" w:rsidP="003D6847">
      <w:pPr>
        <w:pStyle w:val="NoSpacing"/>
        <w:ind w:left="270" w:hanging="270"/>
        <w:rPr>
          <w:sz w:val="24"/>
          <w:szCs w:val="24"/>
        </w:rPr>
      </w:pPr>
    </w:p>
    <w:p w:rsidR="003D6847" w:rsidRPr="00041680" w:rsidRDefault="003D6847" w:rsidP="003D6847">
      <w:pPr>
        <w:pStyle w:val="NoSpacing"/>
        <w:ind w:left="270" w:hanging="270"/>
        <w:rPr>
          <w:sz w:val="24"/>
          <w:szCs w:val="24"/>
        </w:rPr>
      </w:pPr>
      <w:r w:rsidRPr="00041680">
        <w:rPr>
          <w:sz w:val="24"/>
          <w:szCs w:val="24"/>
        </w:rPr>
        <w:t>Burnet, N. G., Jefferies, S. J., Benson, R. J., Hunt, D. P., &amp; Treasure, F. P. (2005). Years of life lost (YLL) from cancer is an important measure of population burden – and should be considered when allocating research funds. </w:t>
      </w:r>
      <w:r w:rsidRPr="00041680">
        <w:rPr>
          <w:i/>
          <w:iCs/>
          <w:sz w:val="24"/>
          <w:szCs w:val="24"/>
        </w:rPr>
        <w:t>British Journal of Cancer</w:t>
      </w:r>
      <w:r w:rsidRPr="00041680">
        <w:rPr>
          <w:sz w:val="24"/>
          <w:szCs w:val="24"/>
        </w:rPr>
        <w:t>, </w:t>
      </w:r>
      <w:r w:rsidRPr="00041680">
        <w:rPr>
          <w:i/>
          <w:iCs/>
          <w:sz w:val="24"/>
          <w:szCs w:val="24"/>
        </w:rPr>
        <w:t>92</w:t>
      </w:r>
      <w:r w:rsidRPr="00041680">
        <w:rPr>
          <w:sz w:val="24"/>
          <w:szCs w:val="24"/>
        </w:rPr>
        <w:t xml:space="preserve">(2), 241–245. </w:t>
      </w:r>
    </w:p>
    <w:p w:rsidR="003D6847" w:rsidRDefault="003D6847" w:rsidP="007C4CDD">
      <w:pPr>
        <w:pStyle w:val="NoSpacing"/>
        <w:rPr>
          <w:sz w:val="24"/>
          <w:szCs w:val="24"/>
        </w:rPr>
      </w:pPr>
    </w:p>
    <w:p w:rsidR="00B13CD4" w:rsidRPr="00041680" w:rsidRDefault="00B13CD4" w:rsidP="007C4CDD">
      <w:pPr>
        <w:pStyle w:val="NoSpacing"/>
        <w:rPr>
          <w:sz w:val="24"/>
          <w:szCs w:val="24"/>
        </w:rPr>
      </w:pPr>
      <w:proofErr w:type="gramStart"/>
      <w:r w:rsidRPr="00041680">
        <w:rPr>
          <w:sz w:val="24"/>
          <w:szCs w:val="24"/>
        </w:rPr>
        <w:t>Centers for Disease Control (CDC).</w:t>
      </w:r>
      <w:proofErr w:type="gramEnd"/>
      <w:r w:rsidRPr="00041680">
        <w:rPr>
          <w:sz w:val="24"/>
          <w:szCs w:val="24"/>
        </w:rPr>
        <w:t xml:space="preserve"> (1986). Premature Mortality in the United States: public health </w:t>
      </w:r>
    </w:p>
    <w:p w:rsidR="00B13CD4" w:rsidRPr="00041680" w:rsidRDefault="00B13CD4" w:rsidP="007C4CDD">
      <w:pPr>
        <w:pStyle w:val="NoSpacing"/>
        <w:rPr>
          <w:sz w:val="24"/>
          <w:szCs w:val="24"/>
        </w:rPr>
      </w:pPr>
      <w:r w:rsidRPr="00041680">
        <w:rPr>
          <w:sz w:val="24"/>
          <w:szCs w:val="24"/>
        </w:rPr>
        <w:t xml:space="preserve">     </w:t>
      </w:r>
      <w:proofErr w:type="gramStart"/>
      <w:r w:rsidRPr="00041680">
        <w:rPr>
          <w:sz w:val="24"/>
          <w:szCs w:val="24"/>
        </w:rPr>
        <w:t>issues</w:t>
      </w:r>
      <w:proofErr w:type="gramEnd"/>
      <w:r w:rsidRPr="00041680">
        <w:rPr>
          <w:sz w:val="24"/>
          <w:szCs w:val="24"/>
        </w:rPr>
        <w:t xml:space="preserve"> in the use of years of potential life lost. </w:t>
      </w:r>
      <w:r w:rsidRPr="00041680">
        <w:rPr>
          <w:i/>
          <w:iCs/>
          <w:sz w:val="24"/>
          <w:szCs w:val="24"/>
        </w:rPr>
        <w:t xml:space="preserve">Morbidity and Mortality Weekly Report </w:t>
      </w:r>
    </w:p>
    <w:p w:rsidR="00B13CD4" w:rsidRPr="00041680" w:rsidRDefault="00B13CD4" w:rsidP="007C4CDD">
      <w:pPr>
        <w:pStyle w:val="NoSpacing"/>
        <w:rPr>
          <w:sz w:val="24"/>
          <w:szCs w:val="24"/>
        </w:rPr>
      </w:pPr>
      <w:r w:rsidRPr="00041680">
        <w:rPr>
          <w:sz w:val="24"/>
          <w:szCs w:val="24"/>
        </w:rPr>
        <w:t xml:space="preserve">     </w:t>
      </w:r>
      <w:proofErr w:type="gramStart"/>
      <w:r w:rsidRPr="00041680">
        <w:rPr>
          <w:i/>
          <w:iCs/>
          <w:sz w:val="24"/>
          <w:szCs w:val="24"/>
        </w:rPr>
        <w:t>(MMWR)</w:t>
      </w:r>
      <w:r w:rsidRPr="00041680">
        <w:rPr>
          <w:sz w:val="24"/>
          <w:szCs w:val="24"/>
        </w:rPr>
        <w:t>, 1S-11S.</w:t>
      </w:r>
      <w:proofErr w:type="gramEnd"/>
      <w:r w:rsidRPr="00041680">
        <w:rPr>
          <w:sz w:val="24"/>
          <w:szCs w:val="24"/>
        </w:rPr>
        <w:t xml:space="preserve"> </w:t>
      </w:r>
    </w:p>
    <w:p w:rsidR="00463446" w:rsidRDefault="00463446" w:rsidP="007C4CDD">
      <w:pPr>
        <w:pStyle w:val="NoSpacing"/>
        <w:rPr>
          <w:sz w:val="24"/>
          <w:szCs w:val="24"/>
        </w:rPr>
      </w:pPr>
    </w:p>
    <w:p w:rsidR="00C51628" w:rsidRPr="00EA0823" w:rsidRDefault="00C51628" w:rsidP="00C51628">
      <w:pPr>
        <w:pStyle w:val="NoSpacing"/>
        <w:ind w:left="270" w:hanging="270"/>
        <w:rPr>
          <w:sz w:val="24"/>
          <w:szCs w:val="24"/>
        </w:rPr>
      </w:pPr>
      <w:proofErr w:type="gramStart"/>
      <w:r w:rsidRPr="00EA0823">
        <w:rPr>
          <w:sz w:val="24"/>
          <w:szCs w:val="24"/>
        </w:rPr>
        <w:t>Centers for Disea</w:t>
      </w:r>
      <w:r w:rsidR="0069393F">
        <w:rPr>
          <w:sz w:val="24"/>
          <w:szCs w:val="24"/>
        </w:rPr>
        <w:t>se Control (CDC).</w:t>
      </w:r>
      <w:proofErr w:type="gramEnd"/>
      <w:r w:rsidR="0069393F">
        <w:rPr>
          <w:sz w:val="24"/>
          <w:szCs w:val="24"/>
        </w:rPr>
        <w:t xml:space="preserve"> (2015</w:t>
      </w:r>
      <w:r w:rsidRPr="00EA0823">
        <w:rPr>
          <w:sz w:val="24"/>
          <w:szCs w:val="24"/>
        </w:rPr>
        <w:t xml:space="preserve">). State Cancer Profiles. Retrieved from </w:t>
      </w:r>
    </w:p>
    <w:p w:rsidR="00C51628" w:rsidRDefault="00C51628" w:rsidP="00C51628">
      <w:pPr>
        <w:pStyle w:val="NoSpacing"/>
        <w:ind w:left="270" w:hanging="270"/>
        <w:rPr>
          <w:sz w:val="24"/>
          <w:szCs w:val="24"/>
        </w:rPr>
      </w:pPr>
      <w:r w:rsidRPr="00EA0823">
        <w:rPr>
          <w:sz w:val="24"/>
          <w:szCs w:val="24"/>
        </w:rPr>
        <w:t xml:space="preserve">     </w:t>
      </w:r>
      <w:hyperlink r:id="rId206" w:history="1">
        <w:r w:rsidRPr="00DA5E71">
          <w:rPr>
            <w:rStyle w:val="Hyperlink"/>
            <w:sz w:val="24"/>
            <w:szCs w:val="24"/>
          </w:rPr>
          <w:t>http://statecancerprofiles.cancer.gov/</w:t>
        </w:r>
      </w:hyperlink>
      <w:r>
        <w:rPr>
          <w:sz w:val="24"/>
          <w:szCs w:val="24"/>
        </w:rPr>
        <w:t xml:space="preserve"> </w:t>
      </w:r>
    </w:p>
    <w:p w:rsidR="008818B2" w:rsidRDefault="008818B2" w:rsidP="00C51628">
      <w:pPr>
        <w:pStyle w:val="NoSpacing"/>
        <w:ind w:left="270" w:hanging="270"/>
        <w:rPr>
          <w:sz w:val="24"/>
          <w:szCs w:val="24"/>
        </w:rPr>
      </w:pPr>
    </w:p>
    <w:p w:rsidR="008818B2" w:rsidRDefault="008818B2" w:rsidP="00C51628">
      <w:pPr>
        <w:pStyle w:val="NoSpacing"/>
        <w:ind w:left="270" w:hanging="270"/>
        <w:rPr>
          <w:sz w:val="24"/>
          <w:szCs w:val="24"/>
        </w:rPr>
      </w:pPr>
      <w:proofErr w:type="gramStart"/>
      <w:r>
        <w:rPr>
          <w:sz w:val="24"/>
          <w:szCs w:val="24"/>
        </w:rPr>
        <w:t>Centers for Disease Control (CDC).</w:t>
      </w:r>
      <w:proofErr w:type="gramEnd"/>
      <w:r>
        <w:rPr>
          <w:sz w:val="24"/>
          <w:szCs w:val="24"/>
        </w:rPr>
        <w:t xml:space="preserve"> (2015). </w:t>
      </w:r>
      <w:r w:rsidRPr="008818B2">
        <w:rPr>
          <w:sz w:val="24"/>
          <w:szCs w:val="24"/>
        </w:rPr>
        <w:t>Behavioral Risk Factor Surveillance System</w:t>
      </w:r>
      <w:r>
        <w:rPr>
          <w:sz w:val="24"/>
          <w:szCs w:val="24"/>
        </w:rPr>
        <w:t xml:space="preserve">: Prevalence and Trends Data. Retrieved from </w:t>
      </w:r>
      <w:hyperlink r:id="rId207" w:history="1">
        <w:r w:rsidRPr="00E06993">
          <w:rPr>
            <w:rStyle w:val="Hyperlink"/>
            <w:sz w:val="24"/>
            <w:szCs w:val="24"/>
          </w:rPr>
          <w:t>http://apps.nccd.cdc.gov/brfss/page.asp?yr=2012&amp;state=TN&amp;cat</w:t>
        </w:r>
      </w:hyperlink>
      <w:r w:rsidRPr="008818B2">
        <w:rPr>
          <w:sz w:val="24"/>
          <w:szCs w:val="24"/>
        </w:rPr>
        <w:t>=</w:t>
      </w:r>
      <w:r>
        <w:rPr>
          <w:sz w:val="24"/>
          <w:szCs w:val="24"/>
        </w:rPr>
        <w:t xml:space="preserve"> </w:t>
      </w:r>
    </w:p>
    <w:p w:rsidR="00F83310" w:rsidRPr="00041680" w:rsidRDefault="00F83310" w:rsidP="007C4CDD">
      <w:pPr>
        <w:pStyle w:val="NoSpacing"/>
        <w:rPr>
          <w:sz w:val="24"/>
          <w:szCs w:val="24"/>
        </w:rPr>
      </w:pPr>
    </w:p>
    <w:p w:rsidR="002006FA" w:rsidRDefault="002006FA" w:rsidP="002006FA">
      <w:pPr>
        <w:pStyle w:val="NoSpacing"/>
        <w:ind w:left="270" w:hanging="270"/>
        <w:rPr>
          <w:sz w:val="24"/>
          <w:szCs w:val="24"/>
        </w:rPr>
      </w:pPr>
      <w:r w:rsidRPr="002006FA">
        <w:rPr>
          <w:sz w:val="24"/>
          <w:szCs w:val="24"/>
        </w:rPr>
        <w:t>Fay, M.P., Pfeiffer, R., Cronin, K.A., Le, C. and Feuer, E.J. (2003) "Age-conditional probabilities of developing cancer" Statistics in Medicine, 22(11): 1837-1848.</w:t>
      </w:r>
      <w:r>
        <w:rPr>
          <w:sz w:val="24"/>
          <w:szCs w:val="24"/>
        </w:rPr>
        <w:t xml:space="preserve"> </w:t>
      </w:r>
    </w:p>
    <w:p w:rsidR="002006FA" w:rsidRDefault="002006FA" w:rsidP="00E76344">
      <w:pPr>
        <w:pStyle w:val="NoSpacing"/>
        <w:rPr>
          <w:sz w:val="24"/>
          <w:szCs w:val="24"/>
        </w:rPr>
      </w:pPr>
    </w:p>
    <w:p w:rsidR="00E76344" w:rsidRPr="00041680" w:rsidRDefault="00E76344" w:rsidP="00E76344">
      <w:pPr>
        <w:pStyle w:val="NoSpacing"/>
        <w:rPr>
          <w:sz w:val="24"/>
          <w:szCs w:val="24"/>
        </w:rPr>
      </w:pPr>
      <w:proofErr w:type="gramStart"/>
      <w:r w:rsidRPr="00041680">
        <w:rPr>
          <w:sz w:val="24"/>
          <w:szCs w:val="24"/>
        </w:rPr>
        <w:t>Fay, M. P., &amp; Feuer, E. J. (1997).</w:t>
      </w:r>
      <w:proofErr w:type="gramEnd"/>
      <w:r w:rsidRPr="00041680">
        <w:rPr>
          <w:sz w:val="24"/>
          <w:szCs w:val="24"/>
        </w:rPr>
        <w:t xml:space="preserve"> Confidence Intervals for Directly Standardized Rates: A Method </w:t>
      </w:r>
    </w:p>
    <w:p w:rsidR="00E76344" w:rsidRPr="00041680" w:rsidRDefault="00E76344" w:rsidP="00E76344">
      <w:pPr>
        <w:pStyle w:val="NoSpacing"/>
        <w:rPr>
          <w:sz w:val="24"/>
          <w:szCs w:val="24"/>
        </w:rPr>
      </w:pPr>
      <w:r w:rsidRPr="00041680">
        <w:rPr>
          <w:sz w:val="24"/>
          <w:szCs w:val="24"/>
        </w:rPr>
        <w:t xml:space="preserve">     </w:t>
      </w:r>
      <w:proofErr w:type="gramStart"/>
      <w:r w:rsidRPr="00041680">
        <w:rPr>
          <w:sz w:val="24"/>
          <w:szCs w:val="24"/>
        </w:rPr>
        <w:t>Based on the Gamma Distribution.</w:t>
      </w:r>
      <w:proofErr w:type="gramEnd"/>
      <w:r w:rsidRPr="00041680">
        <w:rPr>
          <w:sz w:val="24"/>
          <w:szCs w:val="24"/>
        </w:rPr>
        <w:t xml:space="preserve"> </w:t>
      </w:r>
      <w:r w:rsidRPr="00041680">
        <w:rPr>
          <w:i/>
          <w:iCs/>
          <w:sz w:val="24"/>
          <w:szCs w:val="24"/>
        </w:rPr>
        <w:t>Statistics in Medicine</w:t>
      </w:r>
      <w:r w:rsidRPr="00041680">
        <w:rPr>
          <w:sz w:val="24"/>
          <w:szCs w:val="24"/>
        </w:rPr>
        <w:t xml:space="preserve">, </w:t>
      </w:r>
      <w:r w:rsidRPr="00041680">
        <w:rPr>
          <w:i/>
          <w:iCs/>
          <w:sz w:val="24"/>
          <w:szCs w:val="24"/>
        </w:rPr>
        <w:t>16</w:t>
      </w:r>
      <w:r w:rsidRPr="00041680">
        <w:rPr>
          <w:sz w:val="24"/>
          <w:szCs w:val="24"/>
        </w:rPr>
        <w:t xml:space="preserve">, 791-801. Retrieved from </w:t>
      </w:r>
    </w:p>
    <w:p w:rsidR="00E76344" w:rsidRDefault="00E76344" w:rsidP="00E76344">
      <w:pPr>
        <w:pStyle w:val="NoSpacing"/>
        <w:rPr>
          <w:sz w:val="24"/>
          <w:szCs w:val="24"/>
        </w:rPr>
      </w:pPr>
      <w:r w:rsidRPr="00041680">
        <w:rPr>
          <w:sz w:val="24"/>
          <w:szCs w:val="24"/>
        </w:rPr>
        <w:t xml:space="preserve">     </w:t>
      </w:r>
      <w:hyperlink r:id="rId208" w:history="1">
        <w:r w:rsidR="003D6847" w:rsidRPr="00DA5E71">
          <w:rPr>
            <w:rStyle w:val="Hyperlink"/>
            <w:sz w:val="24"/>
            <w:szCs w:val="24"/>
          </w:rPr>
          <w:t>http://citeseerx.ist.psu.edu/viewdoc/download?doi=10.1.1.502.2815&amp;rep=rep1&amp;type=pdf</w:t>
        </w:r>
      </w:hyperlink>
      <w:r w:rsidR="003D6847">
        <w:rPr>
          <w:sz w:val="24"/>
          <w:szCs w:val="24"/>
        </w:rPr>
        <w:t xml:space="preserve"> </w:t>
      </w:r>
      <w:r w:rsidRPr="00041680">
        <w:rPr>
          <w:sz w:val="24"/>
          <w:szCs w:val="24"/>
        </w:rPr>
        <w:t xml:space="preserve"> </w:t>
      </w:r>
    </w:p>
    <w:p w:rsidR="002006FA" w:rsidRDefault="002006FA" w:rsidP="00E76344">
      <w:pPr>
        <w:pStyle w:val="NoSpacing"/>
        <w:rPr>
          <w:sz w:val="24"/>
          <w:szCs w:val="24"/>
        </w:rPr>
      </w:pPr>
    </w:p>
    <w:p w:rsidR="002006FA" w:rsidRDefault="002006FA" w:rsidP="002006FA">
      <w:pPr>
        <w:pStyle w:val="NoSpacing"/>
        <w:ind w:left="270" w:hanging="270"/>
        <w:rPr>
          <w:sz w:val="24"/>
          <w:szCs w:val="24"/>
        </w:rPr>
      </w:pPr>
      <w:r w:rsidRPr="002006FA">
        <w:rPr>
          <w:sz w:val="24"/>
          <w:szCs w:val="24"/>
        </w:rPr>
        <w:t>Fay M.P.</w:t>
      </w:r>
      <w:r w:rsidR="00A076CC">
        <w:rPr>
          <w:sz w:val="24"/>
          <w:szCs w:val="24"/>
        </w:rPr>
        <w:t xml:space="preserve"> (2004).</w:t>
      </w:r>
      <w:r w:rsidRPr="002006FA">
        <w:rPr>
          <w:sz w:val="24"/>
          <w:szCs w:val="24"/>
        </w:rPr>
        <w:t xml:space="preserve"> </w:t>
      </w:r>
      <w:proofErr w:type="gramStart"/>
      <w:r w:rsidRPr="002006FA">
        <w:rPr>
          <w:sz w:val="24"/>
          <w:szCs w:val="24"/>
        </w:rPr>
        <w:t>"Estimating age conditional probability of developing disease from surveillance dat</w:t>
      </w:r>
      <w:r w:rsidR="00A076CC">
        <w:rPr>
          <w:sz w:val="24"/>
          <w:szCs w:val="24"/>
        </w:rPr>
        <w:t>a".</w:t>
      </w:r>
      <w:proofErr w:type="gramEnd"/>
      <w:r w:rsidR="00A076CC">
        <w:rPr>
          <w:sz w:val="24"/>
          <w:szCs w:val="24"/>
        </w:rPr>
        <w:t xml:space="preserve">  Population Health Metrics</w:t>
      </w:r>
      <w:r w:rsidRPr="002006FA">
        <w:rPr>
          <w:sz w:val="24"/>
          <w:szCs w:val="24"/>
        </w:rPr>
        <w:t xml:space="preserve"> 2:6. </w:t>
      </w:r>
      <w:r w:rsidR="00A076CC">
        <w:rPr>
          <w:sz w:val="24"/>
          <w:szCs w:val="24"/>
        </w:rPr>
        <w:t>Retrieved from</w:t>
      </w:r>
      <w:r w:rsidRPr="002006FA">
        <w:rPr>
          <w:sz w:val="24"/>
          <w:szCs w:val="24"/>
        </w:rPr>
        <w:t xml:space="preserve"> </w:t>
      </w:r>
      <w:hyperlink r:id="rId209" w:history="1">
        <w:r w:rsidRPr="000A73C4">
          <w:rPr>
            <w:rStyle w:val="Hyperlink"/>
            <w:sz w:val="24"/>
            <w:szCs w:val="24"/>
          </w:rPr>
          <w:t>http://www.pophealthmetrics.com/content/2/1/6</w:t>
        </w:r>
      </w:hyperlink>
      <w:r>
        <w:rPr>
          <w:sz w:val="24"/>
          <w:szCs w:val="24"/>
        </w:rPr>
        <w:t xml:space="preserve"> </w:t>
      </w:r>
    </w:p>
    <w:p w:rsidR="00814FD3" w:rsidRDefault="00814FD3" w:rsidP="00E76344">
      <w:pPr>
        <w:pStyle w:val="NoSpacing"/>
        <w:rPr>
          <w:sz w:val="24"/>
          <w:szCs w:val="24"/>
        </w:rPr>
      </w:pPr>
    </w:p>
    <w:p w:rsidR="003029F2" w:rsidRDefault="003029F2" w:rsidP="00814FD3">
      <w:pPr>
        <w:pStyle w:val="NoSpacing"/>
        <w:ind w:left="270" w:hanging="270"/>
        <w:rPr>
          <w:sz w:val="24"/>
          <w:szCs w:val="24"/>
        </w:rPr>
      </w:pPr>
      <w:r w:rsidRPr="003029F2">
        <w:rPr>
          <w:sz w:val="24"/>
          <w:szCs w:val="24"/>
        </w:rPr>
        <w:t xml:space="preserve">Lifetime Risk (Percent) of Being Diagnosed with Cancer by Site and Race/Ethnicity: Males, 18 SEER Areas, 2009-2011 (Table 1.16) and Females, 18 SEER Areas, 2009-2011 (Table 1.17). 2014. </w:t>
      </w:r>
      <w:r>
        <w:rPr>
          <w:sz w:val="24"/>
          <w:szCs w:val="24"/>
        </w:rPr>
        <w:t>Retrieved from</w:t>
      </w:r>
      <w:r w:rsidRPr="003029F2">
        <w:rPr>
          <w:sz w:val="24"/>
          <w:szCs w:val="24"/>
        </w:rPr>
        <w:t xml:space="preserve"> </w:t>
      </w:r>
      <w:hyperlink r:id="rId210" w:history="1">
        <w:r w:rsidRPr="000A73C4">
          <w:rPr>
            <w:rStyle w:val="Hyperlink"/>
            <w:sz w:val="24"/>
            <w:szCs w:val="24"/>
          </w:rPr>
          <w:t>http://seer.cancer.gov/csr/1975_2011/results_merged/topic_lifetime_risk_diagnosis.pdf</w:t>
        </w:r>
      </w:hyperlink>
      <w:r>
        <w:rPr>
          <w:sz w:val="24"/>
          <w:szCs w:val="24"/>
        </w:rPr>
        <w:t xml:space="preserve"> </w:t>
      </w:r>
    </w:p>
    <w:p w:rsidR="003029F2" w:rsidRDefault="003029F2" w:rsidP="00814FD3">
      <w:pPr>
        <w:pStyle w:val="NoSpacing"/>
        <w:ind w:left="270" w:hanging="270"/>
        <w:rPr>
          <w:sz w:val="24"/>
          <w:szCs w:val="24"/>
        </w:rPr>
      </w:pPr>
    </w:p>
    <w:p w:rsidR="003029F2" w:rsidRDefault="003029F2" w:rsidP="00814FD3">
      <w:pPr>
        <w:pStyle w:val="NoSpacing"/>
        <w:ind w:left="270" w:hanging="270"/>
        <w:rPr>
          <w:sz w:val="24"/>
          <w:szCs w:val="24"/>
        </w:rPr>
      </w:pPr>
      <w:r w:rsidRPr="003029F2">
        <w:rPr>
          <w:sz w:val="24"/>
          <w:szCs w:val="24"/>
        </w:rPr>
        <w:t xml:space="preserve">Lifetime Risk (Percent) of Dying from Cancer by Site and Race/Ethnicity: Males, Total US, 2009-2011 </w:t>
      </w:r>
      <w:r>
        <w:rPr>
          <w:sz w:val="24"/>
          <w:szCs w:val="24"/>
        </w:rPr>
        <w:t xml:space="preserve">         </w:t>
      </w:r>
      <w:r w:rsidRPr="003029F2">
        <w:rPr>
          <w:sz w:val="24"/>
          <w:szCs w:val="24"/>
        </w:rPr>
        <w:t>(Table</w:t>
      </w:r>
      <w:r>
        <w:rPr>
          <w:sz w:val="24"/>
          <w:szCs w:val="24"/>
        </w:rPr>
        <w:t xml:space="preserve"> </w:t>
      </w:r>
      <w:r w:rsidRPr="003029F2">
        <w:rPr>
          <w:sz w:val="24"/>
          <w:szCs w:val="24"/>
        </w:rPr>
        <w:t xml:space="preserve">1.19) and Females, Total US, 2009-2011 (Table 1.20). 2014. </w:t>
      </w:r>
      <w:r>
        <w:rPr>
          <w:sz w:val="24"/>
          <w:szCs w:val="24"/>
        </w:rPr>
        <w:t>Retrieved from</w:t>
      </w:r>
      <w:r w:rsidRPr="003029F2">
        <w:rPr>
          <w:sz w:val="24"/>
          <w:szCs w:val="24"/>
        </w:rPr>
        <w:t xml:space="preserve"> </w:t>
      </w:r>
      <w:hyperlink r:id="rId211" w:history="1">
        <w:r w:rsidRPr="000A73C4">
          <w:rPr>
            <w:rStyle w:val="Hyperlink"/>
            <w:sz w:val="24"/>
            <w:szCs w:val="24"/>
          </w:rPr>
          <w:t>http://seer.cancer.gov/csr/1975_2011/results_merged/topic_lifetime_risk_death.pdf</w:t>
        </w:r>
      </w:hyperlink>
      <w:r>
        <w:rPr>
          <w:sz w:val="24"/>
          <w:szCs w:val="24"/>
        </w:rPr>
        <w:t xml:space="preserve"> </w:t>
      </w:r>
      <w:r w:rsidRPr="003029F2">
        <w:rPr>
          <w:sz w:val="24"/>
          <w:szCs w:val="24"/>
        </w:rPr>
        <w:t xml:space="preserve"> </w:t>
      </w:r>
    </w:p>
    <w:p w:rsidR="003029F2" w:rsidRDefault="003029F2" w:rsidP="00814FD3">
      <w:pPr>
        <w:pStyle w:val="NoSpacing"/>
        <w:ind w:left="270" w:hanging="270"/>
        <w:rPr>
          <w:sz w:val="24"/>
          <w:szCs w:val="24"/>
        </w:rPr>
      </w:pPr>
    </w:p>
    <w:p w:rsidR="00E073F6" w:rsidRPr="00E073F6" w:rsidRDefault="00E073F6" w:rsidP="00E073F6">
      <w:pPr>
        <w:pStyle w:val="NoSpacing"/>
        <w:ind w:left="270" w:hanging="270"/>
        <w:rPr>
          <w:sz w:val="24"/>
          <w:szCs w:val="24"/>
        </w:rPr>
      </w:pPr>
      <w:r w:rsidRPr="00E073F6">
        <w:rPr>
          <w:sz w:val="24"/>
          <w:szCs w:val="24"/>
        </w:rPr>
        <w:t xml:space="preserve">Mariotto, A. B., Yabroff, K. R., Shao, Y., Feuer, E. J., &amp; Brown, M. L. (2011). Projections of the </w:t>
      </w:r>
    </w:p>
    <w:p w:rsidR="00E073F6" w:rsidRPr="00E073F6" w:rsidRDefault="00E073F6" w:rsidP="00E073F6">
      <w:pPr>
        <w:pStyle w:val="NoSpacing"/>
        <w:ind w:left="270" w:hanging="270"/>
        <w:rPr>
          <w:sz w:val="24"/>
          <w:szCs w:val="24"/>
        </w:rPr>
      </w:pPr>
      <w:r w:rsidRPr="00E073F6">
        <w:rPr>
          <w:sz w:val="24"/>
          <w:szCs w:val="24"/>
        </w:rPr>
        <w:t xml:space="preserve">     </w:t>
      </w:r>
      <w:proofErr w:type="gramStart"/>
      <w:r w:rsidRPr="00E073F6">
        <w:rPr>
          <w:sz w:val="24"/>
          <w:szCs w:val="24"/>
        </w:rPr>
        <w:t>Cost of Cancer Care in the United States 2010-2020.</w:t>
      </w:r>
      <w:proofErr w:type="gramEnd"/>
      <w:r w:rsidRPr="00E073F6">
        <w:rPr>
          <w:sz w:val="24"/>
          <w:szCs w:val="24"/>
        </w:rPr>
        <w:t xml:space="preserve"> Journal of the National Cancer Institute, </w:t>
      </w:r>
    </w:p>
    <w:p w:rsidR="001518B5" w:rsidRDefault="00E073F6" w:rsidP="00E073F6">
      <w:pPr>
        <w:pStyle w:val="NoSpacing"/>
        <w:ind w:left="270" w:hanging="270"/>
        <w:rPr>
          <w:sz w:val="24"/>
          <w:szCs w:val="24"/>
        </w:rPr>
      </w:pPr>
      <w:r w:rsidRPr="00E073F6">
        <w:rPr>
          <w:sz w:val="24"/>
          <w:szCs w:val="24"/>
        </w:rPr>
        <w:t xml:space="preserve">     103(2), 117-128.</w:t>
      </w:r>
    </w:p>
    <w:p w:rsidR="00E073F6" w:rsidRDefault="00E073F6" w:rsidP="00E073F6">
      <w:pPr>
        <w:pStyle w:val="NoSpacing"/>
        <w:ind w:left="270" w:hanging="270"/>
        <w:rPr>
          <w:sz w:val="24"/>
          <w:szCs w:val="24"/>
        </w:rPr>
      </w:pPr>
    </w:p>
    <w:p w:rsidR="00D6185F" w:rsidRDefault="00D6185F" w:rsidP="00F00717">
      <w:pPr>
        <w:pStyle w:val="NoSpacing"/>
        <w:ind w:left="270" w:hanging="270"/>
        <w:rPr>
          <w:sz w:val="24"/>
          <w:szCs w:val="24"/>
        </w:rPr>
      </w:pPr>
      <w:r>
        <w:rPr>
          <w:sz w:val="24"/>
          <w:szCs w:val="24"/>
        </w:rPr>
        <w:t xml:space="preserve">National Cancer Institute (NCI). </w:t>
      </w:r>
      <w:proofErr w:type="gramStart"/>
      <w:r>
        <w:rPr>
          <w:sz w:val="24"/>
          <w:szCs w:val="24"/>
        </w:rPr>
        <w:t>(2013). Cancer Prevalence and Cost of Care Projections.</w:t>
      </w:r>
      <w:proofErr w:type="gramEnd"/>
      <w:r>
        <w:rPr>
          <w:sz w:val="24"/>
          <w:szCs w:val="24"/>
        </w:rPr>
        <w:t xml:space="preserve"> Retrieved from </w:t>
      </w:r>
      <w:hyperlink r:id="rId212" w:history="1">
        <w:r w:rsidRPr="00F617C1">
          <w:rPr>
            <w:rStyle w:val="Hyperlink"/>
            <w:sz w:val="24"/>
            <w:szCs w:val="24"/>
          </w:rPr>
          <w:t>http://costprojections.cancer.gov</w:t>
        </w:r>
      </w:hyperlink>
      <w:r>
        <w:rPr>
          <w:sz w:val="24"/>
          <w:szCs w:val="24"/>
        </w:rPr>
        <w:t xml:space="preserve"> </w:t>
      </w:r>
    </w:p>
    <w:p w:rsidR="0040097B" w:rsidRDefault="0040097B" w:rsidP="00F00717">
      <w:pPr>
        <w:pStyle w:val="NoSpacing"/>
        <w:ind w:left="270" w:hanging="270"/>
        <w:rPr>
          <w:sz w:val="24"/>
          <w:szCs w:val="24"/>
        </w:rPr>
      </w:pPr>
    </w:p>
    <w:p w:rsidR="0040097B" w:rsidRPr="0040097B" w:rsidRDefault="0040097B" w:rsidP="0040097B">
      <w:pPr>
        <w:pStyle w:val="NoSpacing"/>
        <w:ind w:left="270" w:hanging="270"/>
        <w:rPr>
          <w:sz w:val="24"/>
          <w:szCs w:val="24"/>
        </w:rPr>
      </w:pPr>
      <w:r w:rsidRPr="0040097B">
        <w:rPr>
          <w:sz w:val="24"/>
          <w:szCs w:val="24"/>
        </w:rPr>
        <w:t xml:space="preserve">National Cancer Institute. </w:t>
      </w:r>
      <w:proofErr w:type="gramStart"/>
      <w:r w:rsidRPr="0040097B">
        <w:rPr>
          <w:sz w:val="24"/>
          <w:szCs w:val="24"/>
        </w:rPr>
        <w:t>(2015, July).</w:t>
      </w:r>
      <w:proofErr w:type="gramEnd"/>
      <w:r w:rsidRPr="0040097B">
        <w:rPr>
          <w:sz w:val="24"/>
          <w:szCs w:val="24"/>
        </w:rPr>
        <w:t xml:space="preserve"> </w:t>
      </w:r>
      <w:proofErr w:type="gramStart"/>
      <w:r w:rsidRPr="0040097B">
        <w:rPr>
          <w:sz w:val="24"/>
          <w:szCs w:val="24"/>
        </w:rPr>
        <w:t>State Cancer Profiles.</w:t>
      </w:r>
      <w:proofErr w:type="gramEnd"/>
      <w:r w:rsidRPr="0040097B">
        <w:rPr>
          <w:sz w:val="24"/>
          <w:szCs w:val="24"/>
        </w:rPr>
        <w:t xml:space="preserve"> Retrieved from </w:t>
      </w:r>
    </w:p>
    <w:p w:rsidR="0040097B" w:rsidRDefault="0040097B" w:rsidP="0040097B">
      <w:pPr>
        <w:pStyle w:val="NoSpacing"/>
        <w:ind w:left="270" w:hanging="270"/>
        <w:rPr>
          <w:sz w:val="24"/>
          <w:szCs w:val="24"/>
        </w:rPr>
      </w:pPr>
      <w:r w:rsidRPr="0040097B">
        <w:rPr>
          <w:sz w:val="24"/>
          <w:szCs w:val="24"/>
        </w:rPr>
        <w:t xml:space="preserve">     </w:t>
      </w:r>
      <w:hyperlink r:id="rId213" w:history="1">
        <w:r w:rsidRPr="00DE2817">
          <w:rPr>
            <w:rStyle w:val="Hyperlink"/>
            <w:sz w:val="24"/>
            <w:szCs w:val="24"/>
          </w:rPr>
          <w:t>http://statecancerprofiles.cancer.gov/index.html</w:t>
        </w:r>
      </w:hyperlink>
      <w:r>
        <w:rPr>
          <w:sz w:val="24"/>
          <w:szCs w:val="24"/>
        </w:rPr>
        <w:t xml:space="preserve"> </w:t>
      </w:r>
    </w:p>
    <w:p w:rsidR="00DC04D5" w:rsidRDefault="00DC04D5" w:rsidP="00F00717">
      <w:pPr>
        <w:pStyle w:val="NoSpacing"/>
        <w:ind w:left="270" w:hanging="270"/>
        <w:rPr>
          <w:sz w:val="24"/>
          <w:szCs w:val="24"/>
        </w:rPr>
      </w:pPr>
    </w:p>
    <w:p w:rsidR="0040097B" w:rsidRPr="00041680" w:rsidRDefault="0040097B" w:rsidP="0040097B">
      <w:pPr>
        <w:pStyle w:val="NoSpacing"/>
        <w:ind w:left="270" w:hanging="270"/>
        <w:rPr>
          <w:sz w:val="24"/>
          <w:szCs w:val="24"/>
        </w:rPr>
      </w:pPr>
      <w:r>
        <w:rPr>
          <w:sz w:val="24"/>
          <w:szCs w:val="24"/>
        </w:rPr>
        <w:t xml:space="preserve">National Cancer Institute (NCI). </w:t>
      </w:r>
      <w:proofErr w:type="gramStart"/>
      <w:r>
        <w:rPr>
          <w:sz w:val="24"/>
          <w:szCs w:val="24"/>
        </w:rPr>
        <w:t>(2015). Surveillance, Epidemiology, and End Results.</w:t>
      </w:r>
      <w:proofErr w:type="gramEnd"/>
      <w:r>
        <w:rPr>
          <w:sz w:val="24"/>
          <w:szCs w:val="24"/>
        </w:rPr>
        <w:t xml:space="preserve"> Retrieved from </w:t>
      </w:r>
      <w:hyperlink r:id="rId214" w:history="1">
        <w:r w:rsidRPr="00322739">
          <w:rPr>
            <w:rStyle w:val="Hyperlink"/>
            <w:sz w:val="24"/>
            <w:szCs w:val="24"/>
          </w:rPr>
          <w:t>http://seer.cancer.gov/index.html</w:t>
        </w:r>
      </w:hyperlink>
      <w:r>
        <w:rPr>
          <w:sz w:val="24"/>
          <w:szCs w:val="24"/>
        </w:rPr>
        <w:t xml:space="preserve"> </w:t>
      </w:r>
    </w:p>
    <w:p w:rsidR="0040097B" w:rsidRDefault="0040097B" w:rsidP="00DC04D5">
      <w:pPr>
        <w:pStyle w:val="NoSpacing"/>
        <w:ind w:left="270" w:hanging="270"/>
        <w:rPr>
          <w:sz w:val="24"/>
          <w:szCs w:val="24"/>
        </w:rPr>
      </w:pPr>
    </w:p>
    <w:p w:rsidR="00DC04D5" w:rsidRDefault="00DC04D5" w:rsidP="00DC04D5">
      <w:pPr>
        <w:pStyle w:val="NoSpacing"/>
        <w:ind w:left="270" w:hanging="270"/>
        <w:rPr>
          <w:sz w:val="24"/>
          <w:szCs w:val="24"/>
        </w:rPr>
      </w:pPr>
      <w:r w:rsidRPr="00DC04D5">
        <w:rPr>
          <w:sz w:val="24"/>
          <w:szCs w:val="24"/>
        </w:rPr>
        <w:t>National Lung Screening Trial Research Team</w:t>
      </w:r>
      <w:r>
        <w:rPr>
          <w:sz w:val="24"/>
          <w:szCs w:val="24"/>
        </w:rPr>
        <w:t xml:space="preserve"> (NLSTRT)</w:t>
      </w:r>
      <w:r w:rsidRPr="00DC04D5">
        <w:rPr>
          <w:sz w:val="24"/>
          <w:szCs w:val="24"/>
        </w:rPr>
        <w:t>. (2011). The National Lung</w:t>
      </w:r>
      <w:r>
        <w:rPr>
          <w:sz w:val="24"/>
          <w:szCs w:val="24"/>
        </w:rPr>
        <w:t xml:space="preserve"> Screening Trial: overview and </w:t>
      </w:r>
      <w:r w:rsidRPr="00DC04D5">
        <w:rPr>
          <w:sz w:val="24"/>
          <w:szCs w:val="24"/>
        </w:rPr>
        <w:t>study design. Radiology, 258(1), 243-253.</w:t>
      </w:r>
    </w:p>
    <w:p w:rsidR="00E23684" w:rsidRDefault="00E23684" w:rsidP="00DC04D5">
      <w:pPr>
        <w:pStyle w:val="NoSpacing"/>
        <w:ind w:left="270" w:hanging="270"/>
        <w:rPr>
          <w:sz w:val="24"/>
          <w:szCs w:val="24"/>
        </w:rPr>
      </w:pPr>
    </w:p>
    <w:p w:rsidR="00E23684" w:rsidRDefault="00E23684" w:rsidP="00DC04D5">
      <w:pPr>
        <w:pStyle w:val="NoSpacing"/>
        <w:ind w:left="270" w:hanging="270"/>
        <w:rPr>
          <w:sz w:val="24"/>
          <w:szCs w:val="24"/>
        </w:rPr>
      </w:pPr>
      <w:proofErr w:type="gramStart"/>
      <w:r w:rsidRPr="00E23684">
        <w:rPr>
          <w:sz w:val="24"/>
          <w:szCs w:val="24"/>
        </w:rPr>
        <w:t>Preacher, K. J. (2001, April).</w:t>
      </w:r>
      <w:proofErr w:type="gramEnd"/>
      <w:r w:rsidRPr="00E23684">
        <w:rPr>
          <w:sz w:val="24"/>
          <w:szCs w:val="24"/>
        </w:rPr>
        <w:t xml:space="preserve"> Calculation for the chi-square test: An interactive calculation tool for chi-square tests of goodness of fit and ind</w:t>
      </w:r>
      <w:r w:rsidR="00C30482">
        <w:rPr>
          <w:sz w:val="24"/>
          <w:szCs w:val="24"/>
        </w:rPr>
        <w:t xml:space="preserve">ependence [Computer software]. </w:t>
      </w:r>
      <w:proofErr w:type="gramStart"/>
      <w:r w:rsidR="00C30482">
        <w:rPr>
          <w:sz w:val="24"/>
          <w:szCs w:val="24"/>
        </w:rPr>
        <w:t>Retrieved</w:t>
      </w:r>
      <w:r w:rsidRPr="00E23684">
        <w:rPr>
          <w:sz w:val="24"/>
          <w:szCs w:val="24"/>
        </w:rPr>
        <w:t xml:space="preserve"> from</w:t>
      </w:r>
      <w:r w:rsidR="00C30482">
        <w:rPr>
          <w:sz w:val="24"/>
          <w:szCs w:val="24"/>
        </w:rPr>
        <w:t xml:space="preserve"> </w:t>
      </w:r>
      <w:hyperlink r:id="rId215" w:history="1">
        <w:r w:rsidRPr="00E23684">
          <w:rPr>
            <w:rStyle w:val="Hyperlink"/>
            <w:sz w:val="24"/>
            <w:szCs w:val="24"/>
          </w:rPr>
          <w:t>http://quantpsy.org</w:t>
        </w:r>
      </w:hyperlink>
      <w:r w:rsidRPr="00E23684">
        <w:rPr>
          <w:sz w:val="24"/>
          <w:szCs w:val="24"/>
        </w:rPr>
        <w:t>.</w:t>
      </w:r>
      <w:proofErr w:type="gramEnd"/>
    </w:p>
    <w:p w:rsidR="00D6185F" w:rsidRDefault="00D6185F" w:rsidP="00F00717">
      <w:pPr>
        <w:pStyle w:val="NoSpacing"/>
        <w:ind w:left="270" w:hanging="270"/>
        <w:rPr>
          <w:sz w:val="24"/>
          <w:szCs w:val="24"/>
        </w:rPr>
      </w:pPr>
    </w:p>
    <w:p w:rsidR="000B6697" w:rsidRDefault="00F00717" w:rsidP="00F00717">
      <w:pPr>
        <w:pStyle w:val="NoSpacing"/>
        <w:ind w:left="270" w:hanging="270"/>
        <w:rPr>
          <w:sz w:val="24"/>
          <w:szCs w:val="24"/>
        </w:rPr>
      </w:pPr>
      <w:r w:rsidRPr="00F00717">
        <w:rPr>
          <w:sz w:val="24"/>
          <w:szCs w:val="24"/>
        </w:rPr>
        <w:t>Surveillance, Epidemiology, and End Results (SEER) Program (</w:t>
      </w:r>
      <w:hyperlink r:id="rId216" w:history="1">
        <w:r w:rsidRPr="00DA5E71">
          <w:rPr>
            <w:rStyle w:val="Hyperlink"/>
            <w:sz w:val="24"/>
            <w:szCs w:val="24"/>
          </w:rPr>
          <w:t>www.seer.cancer.gov</w:t>
        </w:r>
      </w:hyperlink>
      <w:r>
        <w:rPr>
          <w:sz w:val="24"/>
          <w:szCs w:val="24"/>
        </w:rPr>
        <w:t>)</w:t>
      </w:r>
      <w:r w:rsidRPr="00F00717">
        <w:rPr>
          <w:sz w:val="24"/>
          <w:szCs w:val="24"/>
        </w:rPr>
        <w:t xml:space="preserve"> SEER*Stat Database: Incidence - SEER 18 Regs Research Data + Hurricane Katrina Impacted Louisiana Cases, Nov 2013 Sub (1973-2010 varying) - Linked To County At</w:t>
      </w:r>
      <w:r>
        <w:rPr>
          <w:sz w:val="24"/>
          <w:szCs w:val="24"/>
        </w:rPr>
        <w:t>tributes - Total U.S., 1969-2012</w:t>
      </w:r>
      <w:r w:rsidRPr="00F00717">
        <w:rPr>
          <w:sz w:val="24"/>
          <w:szCs w:val="24"/>
        </w:rPr>
        <w:t xml:space="preserve"> Counties, National Cancer Institute, DCCPS, Surveillance Research Program, Surveillance Systems Branch, released April 201</w:t>
      </w:r>
      <w:r>
        <w:rPr>
          <w:sz w:val="24"/>
          <w:szCs w:val="24"/>
        </w:rPr>
        <w:t>5</w:t>
      </w:r>
      <w:r w:rsidRPr="00F00717">
        <w:rPr>
          <w:sz w:val="24"/>
          <w:szCs w:val="24"/>
        </w:rPr>
        <w:t>, based on the November 201</w:t>
      </w:r>
      <w:r>
        <w:rPr>
          <w:sz w:val="24"/>
          <w:szCs w:val="24"/>
        </w:rPr>
        <w:t>4</w:t>
      </w:r>
      <w:r w:rsidRPr="00F00717">
        <w:rPr>
          <w:sz w:val="24"/>
          <w:szCs w:val="24"/>
        </w:rPr>
        <w:t xml:space="preserve"> submission.</w:t>
      </w:r>
    </w:p>
    <w:p w:rsidR="00F00717" w:rsidRDefault="00F00717" w:rsidP="00F00717">
      <w:pPr>
        <w:pStyle w:val="NoSpacing"/>
        <w:ind w:left="270" w:hanging="270"/>
        <w:rPr>
          <w:sz w:val="24"/>
          <w:szCs w:val="24"/>
        </w:rPr>
      </w:pPr>
    </w:p>
    <w:p w:rsidR="00F00717" w:rsidRDefault="00F00717" w:rsidP="00F00717">
      <w:pPr>
        <w:pStyle w:val="NoSpacing"/>
        <w:ind w:left="270" w:hanging="270"/>
        <w:rPr>
          <w:sz w:val="24"/>
          <w:szCs w:val="24"/>
        </w:rPr>
      </w:pPr>
      <w:r w:rsidRPr="00F00717">
        <w:rPr>
          <w:sz w:val="24"/>
          <w:szCs w:val="24"/>
        </w:rPr>
        <w:t>Surveillance, Epidemiology, and End Results (SEER) Program (</w:t>
      </w:r>
      <w:hyperlink r:id="rId217" w:history="1">
        <w:r w:rsidRPr="00DA5E71">
          <w:rPr>
            <w:rStyle w:val="Hyperlink"/>
            <w:sz w:val="24"/>
            <w:szCs w:val="24"/>
          </w:rPr>
          <w:t>www.seer.cancer.gov</w:t>
        </w:r>
      </w:hyperlink>
      <w:r>
        <w:rPr>
          <w:sz w:val="24"/>
          <w:szCs w:val="24"/>
        </w:rPr>
        <w:t xml:space="preserve">) </w:t>
      </w:r>
      <w:r w:rsidRPr="00F00717">
        <w:rPr>
          <w:sz w:val="24"/>
          <w:szCs w:val="24"/>
        </w:rPr>
        <w:t xml:space="preserve"> SEER*Stat Database: Mortality - All COD, Aggregated With State, Total U.S. (1969-201</w:t>
      </w:r>
      <w:r>
        <w:rPr>
          <w:sz w:val="24"/>
          <w:szCs w:val="24"/>
        </w:rPr>
        <w:t>2</w:t>
      </w:r>
      <w:r w:rsidRPr="00F00717">
        <w:rPr>
          <w:sz w:val="24"/>
          <w:szCs w:val="24"/>
        </w:rPr>
        <w:t>) &lt;Katrina/Rita Population Adjustment&gt;, National Cancer Institute, DCCPS, Surveillance Research Program, Surveillance Systems Branch, released April 201</w:t>
      </w:r>
      <w:r>
        <w:rPr>
          <w:sz w:val="24"/>
          <w:szCs w:val="24"/>
        </w:rPr>
        <w:t>5</w:t>
      </w:r>
      <w:r w:rsidRPr="00F00717">
        <w:rPr>
          <w:sz w:val="24"/>
          <w:szCs w:val="24"/>
        </w:rPr>
        <w:t>.  Underlying mortality data provided by NCHS (</w:t>
      </w:r>
      <w:hyperlink r:id="rId218" w:history="1">
        <w:r w:rsidRPr="00F00717">
          <w:rPr>
            <w:rStyle w:val="Hyperlink"/>
            <w:sz w:val="24"/>
            <w:szCs w:val="24"/>
          </w:rPr>
          <w:t>www.cdc.gov/nchs</w:t>
        </w:r>
      </w:hyperlink>
      <w:r w:rsidRPr="00F00717">
        <w:rPr>
          <w:sz w:val="24"/>
          <w:szCs w:val="24"/>
        </w:rPr>
        <w:t>).</w:t>
      </w:r>
    </w:p>
    <w:p w:rsidR="00F00717" w:rsidRDefault="00F00717" w:rsidP="00F00717">
      <w:pPr>
        <w:pStyle w:val="NoSpacing"/>
        <w:ind w:left="270" w:hanging="270"/>
        <w:rPr>
          <w:sz w:val="24"/>
          <w:szCs w:val="24"/>
        </w:rPr>
      </w:pPr>
    </w:p>
    <w:p w:rsidR="003D6847" w:rsidRPr="00041680" w:rsidRDefault="003D6847" w:rsidP="003D6847">
      <w:pPr>
        <w:pStyle w:val="NoSpacing"/>
        <w:rPr>
          <w:sz w:val="24"/>
          <w:szCs w:val="24"/>
        </w:rPr>
      </w:pPr>
      <w:proofErr w:type="gramStart"/>
      <w:r w:rsidRPr="00041680">
        <w:rPr>
          <w:sz w:val="24"/>
          <w:szCs w:val="24"/>
        </w:rPr>
        <w:t>Tiwari, R. C., Clegg, L. X., &amp; Zou, Z. (2006).</w:t>
      </w:r>
      <w:proofErr w:type="gramEnd"/>
      <w:r w:rsidRPr="00041680">
        <w:rPr>
          <w:sz w:val="24"/>
          <w:szCs w:val="24"/>
        </w:rPr>
        <w:t xml:space="preserve"> Efficient interval estimation for age-adjusted cancer </w:t>
      </w:r>
    </w:p>
    <w:p w:rsidR="003D6847" w:rsidRDefault="003D6847" w:rsidP="003D6847">
      <w:pPr>
        <w:pStyle w:val="NoSpacing"/>
        <w:rPr>
          <w:sz w:val="24"/>
          <w:szCs w:val="24"/>
        </w:rPr>
      </w:pPr>
      <w:r w:rsidRPr="00041680">
        <w:rPr>
          <w:sz w:val="24"/>
          <w:szCs w:val="24"/>
        </w:rPr>
        <w:t xml:space="preserve">     </w:t>
      </w:r>
      <w:proofErr w:type="gramStart"/>
      <w:r w:rsidRPr="00041680">
        <w:rPr>
          <w:sz w:val="24"/>
          <w:szCs w:val="24"/>
        </w:rPr>
        <w:t>rates</w:t>
      </w:r>
      <w:proofErr w:type="gramEnd"/>
      <w:r w:rsidRPr="00041680">
        <w:rPr>
          <w:sz w:val="24"/>
          <w:szCs w:val="24"/>
        </w:rPr>
        <w:t xml:space="preserve">. </w:t>
      </w:r>
      <w:r w:rsidRPr="003A23CF">
        <w:rPr>
          <w:i/>
          <w:sz w:val="24"/>
          <w:szCs w:val="24"/>
        </w:rPr>
        <w:t>Statistical Methods in Medical Research</w:t>
      </w:r>
      <w:r w:rsidRPr="00041680">
        <w:rPr>
          <w:sz w:val="24"/>
          <w:szCs w:val="24"/>
        </w:rPr>
        <w:t>, 15, 547-569</w:t>
      </w:r>
    </w:p>
    <w:p w:rsidR="001512F2" w:rsidRPr="00041680" w:rsidRDefault="001512F2" w:rsidP="003D6847">
      <w:pPr>
        <w:pStyle w:val="NoSpacing"/>
        <w:rPr>
          <w:sz w:val="24"/>
          <w:szCs w:val="24"/>
        </w:rPr>
      </w:pPr>
    </w:p>
    <w:p w:rsidR="0047485E" w:rsidRPr="0047485E" w:rsidRDefault="0047485E" w:rsidP="0047485E">
      <w:pPr>
        <w:pStyle w:val="NoSpacing"/>
        <w:ind w:left="270" w:hanging="270"/>
        <w:rPr>
          <w:sz w:val="24"/>
          <w:szCs w:val="24"/>
        </w:rPr>
      </w:pPr>
      <w:proofErr w:type="gramStart"/>
      <w:r w:rsidRPr="0047485E">
        <w:rPr>
          <w:sz w:val="24"/>
          <w:szCs w:val="24"/>
        </w:rPr>
        <w:t>TN Department of Health Office of Health Statistics.</w:t>
      </w:r>
      <w:proofErr w:type="gramEnd"/>
      <w:r w:rsidRPr="0047485E">
        <w:rPr>
          <w:sz w:val="24"/>
          <w:szCs w:val="24"/>
        </w:rPr>
        <w:t xml:space="preserve"> (201</w:t>
      </w:r>
      <w:r w:rsidR="00BE717B">
        <w:rPr>
          <w:sz w:val="24"/>
          <w:szCs w:val="24"/>
        </w:rPr>
        <w:t>2</w:t>
      </w:r>
      <w:r w:rsidRPr="0047485E">
        <w:rPr>
          <w:sz w:val="24"/>
          <w:szCs w:val="24"/>
        </w:rPr>
        <w:t xml:space="preserve">). Behavioral Risk Factor Surveillance </w:t>
      </w:r>
    </w:p>
    <w:p w:rsidR="0047485E" w:rsidRPr="0047485E" w:rsidRDefault="0047485E" w:rsidP="0047485E">
      <w:pPr>
        <w:pStyle w:val="NoSpacing"/>
        <w:ind w:left="270" w:hanging="270"/>
        <w:rPr>
          <w:sz w:val="24"/>
          <w:szCs w:val="24"/>
        </w:rPr>
      </w:pPr>
      <w:r w:rsidRPr="0047485E">
        <w:rPr>
          <w:sz w:val="24"/>
          <w:szCs w:val="24"/>
        </w:rPr>
        <w:t xml:space="preserve">     </w:t>
      </w:r>
      <w:proofErr w:type="gramStart"/>
      <w:r w:rsidRPr="0047485E">
        <w:rPr>
          <w:sz w:val="24"/>
          <w:szCs w:val="24"/>
        </w:rPr>
        <w:t>System (BRFSS).</w:t>
      </w:r>
      <w:proofErr w:type="gramEnd"/>
      <w:r w:rsidRPr="0047485E">
        <w:rPr>
          <w:sz w:val="24"/>
          <w:szCs w:val="24"/>
        </w:rPr>
        <w:t xml:space="preserve"> Retrieved March 17, 2015, from Tennessee Department of Health website: </w:t>
      </w:r>
      <w:hyperlink r:id="rId219" w:history="1">
        <w:r w:rsidR="00BE717B" w:rsidRPr="00A0110F">
          <w:rPr>
            <w:rStyle w:val="Hyperlink"/>
            <w:sz w:val="24"/>
            <w:szCs w:val="24"/>
          </w:rPr>
          <w:t>http://tn.gov/health/topic/statistics-brfss</w:t>
        </w:r>
      </w:hyperlink>
      <w:r w:rsidR="00BE717B">
        <w:rPr>
          <w:sz w:val="24"/>
          <w:szCs w:val="24"/>
        </w:rPr>
        <w:t xml:space="preserve"> </w:t>
      </w:r>
    </w:p>
    <w:p w:rsidR="00D606A9" w:rsidRDefault="00D606A9" w:rsidP="0047485E">
      <w:pPr>
        <w:pStyle w:val="NoSpacing"/>
        <w:ind w:left="270" w:hanging="270"/>
        <w:rPr>
          <w:rStyle w:val="Hyperlink"/>
          <w:sz w:val="24"/>
          <w:szCs w:val="24"/>
        </w:rPr>
      </w:pPr>
    </w:p>
    <w:p w:rsidR="00D606A9" w:rsidRDefault="00D606A9" w:rsidP="0047485E">
      <w:pPr>
        <w:pStyle w:val="NoSpacing"/>
        <w:ind w:left="270" w:hanging="270"/>
        <w:rPr>
          <w:sz w:val="24"/>
          <w:szCs w:val="24"/>
        </w:rPr>
      </w:pPr>
      <w:proofErr w:type="gramStart"/>
      <w:r w:rsidRPr="00D606A9">
        <w:rPr>
          <w:sz w:val="24"/>
          <w:szCs w:val="24"/>
        </w:rPr>
        <w:t>United States Census Bureau.</w:t>
      </w:r>
      <w:proofErr w:type="gramEnd"/>
      <w:r w:rsidRPr="00D606A9">
        <w:rPr>
          <w:sz w:val="24"/>
          <w:szCs w:val="24"/>
        </w:rPr>
        <w:t xml:space="preserve"> (201</w:t>
      </w:r>
      <w:r w:rsidR="00121C7A">
        <w:rPr>
          <w:sz w:val="24"/>
          <w:szCs w:val="24"/>
        </w:rPr>
        <w:t>2</w:t>
      </w:r>
      <w:r w:rsidRPr="00D606A9">
        <w:rPr>
          <w:sz w:val="24"/>
          <w:szCs w:val="24"/>
        </w:rPr>
        <w:t xml:space="preserve">). American FactFinder. (K. Herget, Ed.) United States Census Bureau. Retrieved from </w:t>
      </w:r>
      <w:hyperlink r:id="rId220" w:history="1">
        <w:r w:rsidRPr="00E7627C">
          <w:rPr>
            <w:rStyle w:val="Hyperlink"/>
            <w:sz w:val="24"/>
            <w:szCs w:val="24"/>
          </w:rPr>
          <w:t>http://factfinder2.census.gov</w:t>
        </w:r>
      </w:hyperlink>
      <w:r>
        <w:rPr>
          <w:sz w:val="24"/>
          <w:szCs w:val="24"/>
        </w:rPr>
        <w:t xml:space="preserve"> </w:t>
      </w:r>
    </w:p>
    <w:p w:rsidR="0047485E" w:rsidRDefault="0047485E" w:rsidP="0047485E">
      <w:pPr>
        <w:pStyle w:val="NoSpacing"/>
        <w:ind w:left="270" w:hanging="270"/>
        <w:rPr>
          <w:sz w:val="24"/>
          <w:szCs w:val="24"/>
        </w:rPr>
      </w:pPr>
    </w:p>
    <w:p w:rsidR="00C51628" w:rsidRPr="00C51628" w:rsidRDefault="00C51628" w:rsidP="00C51628">
      <w:pPr>
        <w:pStyle w:val="NoSpacing"/>
        <w:ind w:left="270" w:hanging="270"/>
        <w:rPr>
          <w:sz w:val="24"/>
          <w:szCs w:val="24"/>
        </w:rPr>
      </w:pPr>
      <w:r w:rsidRPr="00C51628">
        <w:rPr>
          <w:sz w:val="24"/>
          <w:szCs w:val="24"/>
        </w:rPr>
        <w:t xml:space="preserve">U.S. Department of Health and Human Services. (2013). </w:t>
      </w:r>
      <w:r w:rsidRPr="00C51628">
        <w:rPr>
          <w:i/>
          <w:iCs/>
          <w:sz w:val="24"/>
          <w:szCs w:val="24"/>
        </w:rPr>
        <w:t>NHLBI Fact Book, Fiscal Year 2012</w:t>
      </w:r>
      <w:r w:rsidRPr="00C51628">
        <w:rPr>
          <w:sz w:val="24"/>
          <w:szCs w:val="24"/>
        </w:rPr>
        <w:t xml:space="preserve">. Retrieved </w:t>
      </w:r>
    </w:p>
    <w:p w:rsidR="00C51628" w:rsidRPr="00C51628" w:rsidRDefault="00C51628" w:rsidP="00C51628">
      <w:pPr>
        <w:pStyle w:val="NoSpacing"/>
        <w:ind w:left="270" w:hanging="270"/>
        <w:rPr>
          <w:sz w:val="24"/>
          <w:szCs w:val="24"/>
        </w:rPr>
      </w:pPr>
      <w:r w:rsidRPr="00C51628">
        <w:rPr>
          <w:sz w:val="24"/>
          <w:szCs w:val="24"/>
        </w:rPr>
        <w:t xml:space="preserve">     from </w:t>
      </w:r>
      <w:hyperlink r:id="rId221" w:history="1">
        <w:r w:rsidRPr="00C51628">
          <w:rPr>
            <w:rStyle w:val="Hyperlink"/>
            <w:sz w:val="24"/>
            <w:szCs w:val="24"/>
          </w:rPr>
          <w:t>http://www.nhlbi.nih.gov/files/docs/factbook/FactBook2012.pdf</w:t>
        </w:r>
      </w:hyperlink>
      <w:r w:rsidRPr="00C51628">
        <w:rPr>
          <w:sz w:val="24"/>
          <w:szCs w:val="24"/>
        </w:rPr>
        <w:t xml:space="preserve"> </w:t>
      </w:r>
    </w:p>
    <w:p w:rsidR="003E43E6" w:rsidRDefault="003E43E6" w:rsidP="00EA0823">
      <w:pPr>
        <w:pStyle w:val="NoSpacing"/>
        <w:ind w:left="270" w:hanging="270"/>
        <w:rPr>
          <w:sz w:val="24"/>
          <w:szCs w:val="24"/>
        </w:rPr>
      </w:pPr>
    </w:p>
    <w:p w:rsidR="003D6847" w:rsidRPr="003A23CF" w:rsidRDefault="00EA0823" w:rsidP="003D6847">
      <w:pPr>
        <w:pStyle w:val="NoSpacing"/>
        <w:rPr>
          <w:i/>
          <w:sz w:val="24"/>
          <w:szCs w:val="24"/>
        </w:rPr>
      </w:pPr>
      <w:r w:rsidRPr="00EA0823">
        <w:rPr>
          <w:sz w:val="24"/>
          <w:szCs w:val="24"/>
        </w:rPr>
        <w:t xml:space="preserve"> </w:t>
      </w:r>
      <w:r w:rsidR="003D6847" w:rsidRPr="00041680">
        <w:rPr>
          <w:sz w:val="24"/>
          <w:szCs w:val="24"/>
        </w:rPr>
        <w:t xml:space="preserve">Young JL Jr, Roffers SD, Ries LAG, Fritz AG, Hurlbut AA (2001). </w:t>
      </w:r>
      <w:r w:rsidR="003D6847" w:rsidRPr="003A23CF">
        <w:rPr>
          <w:i/>
          <w:sz w:val="24"/>
          <w:szCs w:val="24"/>
        </w:rPr>
        <w:t>SEER Summary Staging</w:t>
      </w:r>
    </w:p>
    <w:p w:rsidR="00EA0823" w:rsidRPr="00041680" w:rsidRDefault="003D6847" w:rsidP="00C30482">
      <w:pPr>
        <w:pStyle w:val="NoSpacing"/>
        <w:ind w:left="270"/>
        <w:rPr>
          <w:sz w:val="24"/>
          <w:szCs w:val="24"/>
        </w:rPr>
      </w:pPr>
      <w:r w:rsidRPr="003A23CF">
        <w:rPr>
          <w:i/>
          <w:sz w:val="24"/>
          <w:szCs w:val="24"/>
        </w:rPr>
        <w:t>Manual - 2000: Codes and Coding Instructions</w:t>
      </w:r>
      <w:r w:rsidRPr="00041680">
        <w:rPr>
          <w:sz w:val="24"/>
          <w:szCs w:val="24"/>
        </w:rPr>
        <w:t>, National Cancer Institute, NIH Pub. No. 01-4969.</w:t>
      </w:r>
    </w:p>
    <w:sectPr w:rsidR="00EA0823" w:rsidRPr="00041680" w:rsidSect="00F2283B">
      <w:pgSz w:w="12240" w:h="15840" w:code="1"/>
      <w:pgMar w:top="720" w:right="720" w:bottom="720" w:left="72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E4C" w:rsidRDefault="00964E4C" w:rsidP="00645E55">
      <w:pPr>
        <w:spacing w:before="0" w:after="0" w:line="240" w:lineRule="auto"/>
      </w:pPr>
      <w:r>
        <w:separator/>
      </w:r>
    </w:p>
  </w:endnote>
  <w:endnote w:type="continuationSeparator" w:id="0">
    <w:p w:rsidR="00964E4C" w:rsidRDefault="00964E4C" w:rsidP="00645E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310827"/>
      <w:docPartObj>
        <w:docPartGallery w:val="Page Numbers (Bottom of Page)"/>
        <w:docPartUnique/>
      </w:docPartObj>
    </w:sdtPr>
    <w:sdtEndPr/>
    <w:sdtContent>
      <w:p w:rsidR="00CF610C" w:rsidRDefault="00CF610C">
        <w:pPr>
          <w:pStyle w:val="Footer"/>
          <w:jc w:val="center"/>
        </w:pPr>
        <w:r>
          <w:fldChar w:fldCharType="begin"/>
        </w:r>
        <w:r>
          <w:instrText xml:space="preserve"> PAGE   \* MERGEFORMAT </w:instrText>
        </w:r>
        <w:r>
          <w:fldChar w:fldCharType="separate"/>
        </w:r>
        <w:r w:rsidR="00082E7D">
          <w:rPr>
            <w:noProof/>
          </w:rPr>
          <w:t>i</w:t>
        </w:r>
        <w:r>
          <w:rPr>
            <w:noProof/>
          </w:rPr>
          <w:fldChar w:fldCharType="end"/>
        </w:r>
      </w:p>
    </w:sdtContent>
  </w:sdt>
  <w:p w:rsidR="00CF610C" w:rsidRDefault="00CF61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914314"/>
      <w:docPartObj>
        <w:docPartGallery w:val="Page Numbers (Bottom of Page)"/>
        <w:docPartUnique/>
      </w:docPartObj>
    </w:sdtPr>
    <w:sdtEndPr>
      <w:rPr>
        <w:noProof/>
      </w:rPr>
    </w:sdtEndPr>
    <w:sdtContent>
      <w:p w:rsidR="00CF610C" w:rsidRDefault="00CF610C">
        <w:pPr>
          <w:pStyle w:val="Footer"/>
          <w:jc w:val="center"/>
        </w:pPr>
        <w:r>
          <w:fldChar w:fldCharType="begin"/>
        </w:r>
        <w:r>
          <w:instrText xml:space="preserve"> PAGE   \* MERGEFORMAT </w:instrText>
        </w:r>
        <w:r>
          <w:fldChar w:fldCharType="separate"/>
        </w:r>
        <w:r w:rsidR="008620BA">
          <w:rPr>
            <w:noProof/>
          </w:rPr>
          <w:t>- 46 -</w:t>
        </w:r>
        <w:r>
          <w:rPr>
            <w:noProof/>
          </w:rPr>
          <w:fldChar w:fldCharType="end"/>
        </w:r>
      </w:p>
    </w:sdtContent>
  </w:sdt>
  <w:p w:rsidR="00CF610C" w:rsidRDefault="00CF61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727715"/>
      <w:docPartObj>
        <w:docPartGallery w:val="Page Numbers (Bottom of Page)"/>
        <w:docPartUnique/>
      </w:docPartObj>
    </w:sdtPr>
    <w:sdtEndPr/>
    <w:sdtContent>
      <w:p w:rsidR="00CF610C" w:rsidRDefault="00CF610C">
        <w:pPr>
          <w:pStyle w:val="Footer"/>
          <w:jc w:val="center"/>
        </w:pPr>
        <w:r>
          <w:fldChar w:fldCharType="begin"/>
        </w:r>
        <w:r>
          <w:instrText xml:space="preserve"> PAGE   \* MERGEFORMAT </w:instrText>
        </w:r>
        <w:r>
          <w:fldChar w:fldCharType="separate"/>
        </w:r>
        <w:r w:rsidR="008620BA">
          <w:rPr>
            <w:noProof/>
          </w:rPr>
          <w:t>- 99 -</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E4C" w:rsidRDefault="00964E4C" w:rsidP="00645E55">
      <w:pPr>
        <w:spacing w:before="0" w:after="0" w:line="240" w:lineRule="auto"/>
      </w:pPr>
      <w:r>
        <w:separator/>
      </w:r>
    </w:p>
  </w:footnote>
  <w:footnote w:type="continuationSeparator" w:id="0">
    <w:p w:rsidR="00964E4C" w:rsidRDefault="00964E4C" w:rsidP="00645E5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DE29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12A8ED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E1092F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6FAED2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4DE099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9E2D3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DB2ABE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C4277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B802754"/>
    <w:lvl w:ilvl="0">
      <w:start w:val="1"/>
      <w:numFmt w:val="decimal"/>
      <w:pStyle w:val="ListNumber"/>
      <w:lvlText w:val="%1."/>
      <w:lvlJc w:val="left"/>
      <w:pPr>
        <w:tabs>
          <w:tab w:val="num" w:pos="360"/>
        </w:tabs>
        <w:ind w:left="360" w:hanging="360"/>
      </w:pPr>
    </w:lvl>
  </w:abstractNum>
  <w:abstractNum w:abstractNumId="9">
    <w:nsid w:val="FFFFFF89"/>
    <w:multiLevelType w:val="singleLevel"/>
    <w:tmpl w:val="87344DC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42608B"/>
    <w:multiLevelType w:val="hybridMultilevel"/>
    <w:tmpl w:val="05C0EFA6"/>
    <w:lvl w:ilvl="0" w:tplc="7C8EC0E2">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3E30CD"/>
    <w:multiLevelType w:val="hybridMultilevel"/>
    <w:tmpl w:val="B8D455E0"/>
    <w:lvl w:ilvl="0" w:tplc="E71227BA">
      <w:start w:val="1"/>
      <w:numFmt w:val="bullet"/>
      <w:lvlText w:val=""/>
      <w:lvlJc w:val="left"/>
      <w:pPr>
        <w:ind w:left="360" w:hanging="360"/>
      </w:pPr>
      <w:rPr>
        <w:rFonts w:ascii="Symbol" w:hAnsi="Symbol" w:hint="default"/>
        <w:color w:val="1B587C" w:themeColor="accent3"/>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4949A5"/>
    <w:multiLevelType w:val="hybridMultilevel"/>
    <w:tmpl w:val="F34681A8"/>
    <w:lvl w:ilvl="0" w:tplc="AB345A9E">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08F799C"/>
    <w:multiLevelType w:val="hybridMultilevel"/>
    <w:tmpl w:val="EF0C5CC4"/>
    <w:lvl w:ilvl="0" w:tplc="45C067C6">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73715A"/>
    <w:multiLevelType w:val="hybridMultilevel"/>
    <w:tmpl w:val="C1323962"/>
    <w:lvl w:ilvl="0" w:tplc="E55C8E06">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8EE2215"/>
    <w:multiLevelType w:val="hybridMultilevel"/>
    <w:tmpl w:val="C8109C9E"/>
    <w:lvl w:ilvl="0" w:tplc="FA5E9B84">
      <w:start w:val="1"/>
      <w:numFmt w:val="bullet"/>
      <w:lvlText w:val=""/>
      <w:lvlJc w:val="left"/>
      <w:pPr>
        <w:ind w:left="720" w:hanging="360"/>
      </w:pPr>
      <w:rPr>
        <w:rFonts w:ascii="Symbol" w:hAnsi="Symbol" w:hint="default"/>
        <w:color w:val="1B587C"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B315B6"/>
    <w:multiLevelType w:val="hybridMultilevel"/>
    <w:tmpl w:val="2A3458BE"/>
    <w:lvl w:ilvl="0" w:tplc="E71227BA">
      <w:start w:val="1"/>
      <w:numFmt w:val="bullet"/>
      <w:lvlText w:val=""/>
      <w:lvlJc w:val="left"/>
      <w:pPr>
        <w:ind w:left="360" w:hanging="360"/>
      </w:pPr>
      <w:rPr>
        <w:rFonts w:ascii="Symbol" w:hAnsi="Symbol" w:hint="default"/>
        <w:color w:val="1B587C" w:themeColor="accent3"/>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892176"/>
    <w:multiLevelType w:val="hybridMultilevel"/>
    <w:tmpl w:val="24380242"/>
    <w:lvl w:ilvl="0" w:tplc="D7FA3EA0">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01B29AA"/>
    <w:multiLevelType w:val="hybridMultilevel"/>
    <w:tmpl w:val="2B0CE860"/>
    <w:lvl w:ilvl="0" w:tplc="E71227BA">
      <w:start w:val="1"/>
      <w:numFmt w:val="bullet"/>
      <w:lvlText w:val=""/>
      <w:lvlJc w:val="left"/>
      <w:pPr>
        <w:ind w:left="720" w:hanging="360"/>
      </w:pPr>
      <w:rPr>
        <w:rFonts w:ascii="Symbol" w:hAnsi="Symbol" w:hint="default"/>
        <w:color w:val="1B587C" w:themeColor="accent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CC31D0"/>
    <w:multiLevelType w:val="hybridMultilevel"/>
    <w:tmpl w:val="F8707D20"/>
    <w:lvl w:ilvl="0" w:tplc="D0A4CD5A">
      <w:start w:val="1"/>
      <w:numFmt w:val="bullet"/>
      <w:lvlText w:val=""/>
      <w:lvlJc w:val="left"/>
      <w:pPr>
        <w:ind w:left="720" w:hanging="360"/>
      </w:pPr>
      <w:rPr>
        <w:rFonts w:ascii="Symbol" w:hAnsi="Symbol" w:hint="default"/>
        <w:color w:val="1B587C"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2C434C"/>
    <w:multiLevelType w:val="hybridMultilevel"/>
    <w:tmpl w:val="498E2B44"/>
    <w:lvl w:ilvl="0" w:tplc="0409000F">
      <w:start w:val="1"/>
      <w:numFmt w:val="decimal"/>
      <w:lvlText w:val="%1."/>
      <w:lvlJc w:val="left"/>
      <w:pPr>
        <w:tabs>
          <w:tab w:val="num" w:pos="144"/>
        </w:tabs>
        <w:ind w:left="360" w:hanging="216"/>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B47317E"/>
    <w:multiLevelType w:val="hybridMultilevel"/>
    <w:tmpl w:val="AE129F10"/>
    <w:lvl w:ilvl="0" w:tplc="E71227BA">
      <w:start w:val="1"/>
      <w:numFmt w:val="bullet"/>
      <w:lvlText w:val=""/>
      <w:lvlJc w:val="left"/>
      <w:pPr>
        <w:ind w:left="720" w:hanging="360"/>
      </w:pPr>
      <w:rPr>
        <w:rFonts w:ascii="Symbol" w:hAnsi="Symbol" w:hint="default"/>
        <w:color w:val="1B587C" w:themeColor="accent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538EF"/>
    <w:multiLevelType w:val="hybridMultilevel"/>
    <w:tmpl w:val="ABA8B7C2"/>
    <w:lvl w:ilvl="0" w:tplc="AD700FFE">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0EC3081"/>
    <w:multiLevelType w:val="hybridMultilevel"/>
    <w:tmpl w:val="5D10C4A8"/>
    <w:lvl w:ilvl="0" w:tplc="D7FA3EA0">
      <w:start w:val="1"/>
      <w:numFmt w:val="bullet"/>
      <w:lvlText w:val=""/>
      <w:lvlJc w:val="left"/>
      <w:pPr>
        <w:ind w:left="720" w:hanging="360"/>
      </w:pPr>
      <w:rPr>
        <w:rFonts w:ascii="Symbol" w:hAnsi="Symbol" w:hint="default"/>
        <w:color w:val="1B587C"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CA37CF"/>
    <w:multiLevelType w:val="hybridMultilevel"/>
    <w:tmpl w:val="012EBA86"/>
    <w:lvl w:ilvl="0" w:tplc="D7FA3EA0">
      <w:start w:val="1"/>
      <w:numFmt w:val="bullet"/>
      <w:lvlText w:val=""/>
      <w:lvlJc w:val="left"/>
      <w:pPr>
        <w:ind w:left="720" w:hanging="360"/>
      </w:pPr>
      <w:rPr>
        <w:rFonts w:ascii="Symbol" w:hAnsi="Symbol" w:hint="default"/>
        <w:color w:val="1B587C"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2C50E3"/>
    <w:multiLevelType w:val="hybridMultilevel"/>
    <w:tmpl w:val="82509E7C"/>
    <w:lvl w:ilvl="0" w:tplc="6F8E103E">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BD257C8"/>
    <w:multiLevelType w:val="hybridMultilevel"/>
    <w:tmpl w:val="C130E674"/>
    <w:lvl w:ilvl="0" w:tplc="E71227BA">
      <w:start w:val="1"/>
      <w:numFmt w:val="bullet"/>
      <w:lvlText w:val=""/>
      <w:lvlJc w:val="left"/>
      <w:pPr>
        <w:ind w:left="360" w:hanging="360"/>
      </w:pPr>
      <w:rPr>
        <w:rFonts w:ascii="Symbol" w:hAnsi="Symbol" w:hint="default"/>
        <w:color w:val="1B587C" w:themeColor="accent3"/>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FB85436"/>
    <w:multiLevelType w:val="hybridMultilevel"/>
    <w:tmpl w:val="B13CDFC4"/>
    <w:lvl w:ilvl="0" w:tplc="E71227BA">
      <w:start w:val="1"/>
      <w:numFmt w:val="bullet"/>
      <w:lvlText w:val=""/>
      <w:lvlJc w:val="left"/>
      <w:pPr>
        <w:ind w:left="720" w:hanging="360"/>
      </w:pPr>
      <w:rPr>
        <w:rFonts w:ascii="Symbol" w:hAnsi="Symbol" w:hint="default"/>
        <w:color w:val="1B587C" w:themeColor="accent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2C4637"/>
    <w:multiLevelType w:val="hybridMultilevel"/>
    <w:tmpl w:val="36222394"/>
    <w:lvl w:ilvl="0" w:tplc="AD700FFE">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0B3882"/>
    <w:multiLevelType w:val="hybridMultilevel"/>
    <w:tmpl w:val="0FF442C0"/>
    <w:lvl w:ilvl="0" w:tplc="AD700FFE">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66B57F3"/>
    <w:multiLevelType w:val="hybridMultilevel"/>
    <w:tmpl w:val="FD20795C"/>
    <w:lvl w:ilvl="0" w:tplc="3498F854">
      <w:start w:val="1"/>
      <w:numFmt w:val="bullet"/>
      <w:lvlText w:val=""/>
      <w:lvlJc w:val="left"/>
      <w:pPr>
        <w:ind w:left="720" w:hanging="360"/>
      </w:pPr>
      <w:rPr>
        <w:rFonts w:ascii="Symbol" w:hAnsi="Symbol" w:hint="default"/>
        <w:color w:val="1B587C"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507BFD"/>
    <w:multiLevelType w:val="hybridMultilevel"/>
    <w:tmpl w:val="24D2190A"/>
    <w:lvl w:ilvl="0" w:tplc="F35A717A">
      <w:start w:val="1"/>
      <w:numFmt w:val="bullet"/>
      <w:lvlText w:val=""/>
      <w:lvlJc w:val="left"/>
      <w:pPr>
        <w:ind w:left="360" w:hanging="360"/>
      </w:pPr>
      <w:rPr>
        <w:rFonts w:ascii="Symbol" w:hAnsi="Symbol" w:hint="default"/>
        <w:color w:val="1B587C" w:themeColor="accent3"/>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9DD0C22"/>
    <w:multiLevelType w:val="hybridMultilevel"/>
    <w:tmpl w:val="DA78E370"/>
    <w:lvl w:ilvl="0" w:tplc="AD700FFE">
      <w:start w:val="1"/>
      <w:numFmt w:val="bullet"/>
      <w:lvlText w:val=""/>
      <w:lvlJc w:val="left"/>
      <w:pPr>
        <w:ind w:left="720" w:hanging="360"/>
      </w:pPr>
      <w:rPr>
        <w:rFonts w:ascii="Symbol" w:hAnsi="Symbol" w:hint="default"/>
        <w:color w:val="1B587C"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496945"/>
    <w:multiLevelType w:val="hybridMultilevel"/>
    <w:tmpl w:val="3FE47B38"/>
    <w:lvl w:ilvl="0" w:tplc="8C78761E">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D412988"/>
    <w:multiLevelType w:val="hybridMultilevel"/>
    <w:tmpl w:val="12B40988"/>
    <w:lvl w:ilvl="0" w:tplc="E1984482">
      <w:start w:val="1"/>
      <w:numFmt w:val="bullet"/>
      <w:pStyle w:val="ListParagraph"/>
      <w:lvlText w:val=""/>
      <w:lvlJc w:val="left"/>
      <w:pPr>
        <w:ind w:left="720" w:hanging="360"/>
      </w:pPr>
      <w:rPr>
        <w:rFonts w:ascii="Symbol" w:hAnsi="Symbol" w:hint="default"/>
        <w:color w:val="1B587C" w:themeColor="accent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2306079"/>
    <w:multiLevelType w:val="hybridMultilevel"/>
    <w:tmpl w:val="9FAC1BE6"/>
    <w:lvl w:ilvl="0" w:tplc="D7FA3EA0">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F3725AB"/>
    <w:multiLevelType w:val="hybridMultilevel"/>
    <w:tmpl w:val="82EAC5A8"/>
    <w:lvl w:ilvl="0" w:tplc="6F8E103E">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F763384"/>
    <w:multiLevelType w:val="hybridMultilevel"/>
    <w:tmpl w:val="B7EC8C60"/>
    <w:lvl w:ilvl="0" w:tplc="B0F2ACC2">
      <w:start w:val="1"/>
      <w:numFmt w:val="bullet"/>
      <w:lvlText w:val=""/>
      <w:lvlJc w:val="left"/>
      <w:pPr>
        <w:ind w:left="360" w:hanging="360"/>
      </w:pPr>
      <w:rPr>
        <w:rFonts w:ascii="Symbol" w:hAnsi="Symbol" w:hint="default"/>
        <w:color w:val="1B587C"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36"/>
  </w:num>
  <w:num w:numId="15">
    <w:abstractNumId w:val="13"/>
  </w:num>
  <w:num w:numId="16">
    <w:abstractNumId w:val="31"/>
  </w:num>
  <w:num w:numId="17">
    <w:abstractNumId w:val="37"/>
  </w:num>
  <w:num w:numId="18">
    <w:abstractNumId w:val="33"/>
  </w:num>
  <w:num w:numId="19">
    <w:abstractNumId w:val="10"/>
  </w:num>
  <w:num w:numId="20">
    <w:abstractNumId w:val="14"/>
  </w:num>
  <w:num w:numId="21">
    <w:abstractNumId w:val="29"/>
  </w:num>
  <w:num w:numId="22">
    <w:abstractNumId w:val="11"/>
  </w:num>
  <w:num w:numId="23">
    <w:abstractNumId w:val="22"/>
  </w:num>
  <w:num w:numId="24">
    <w:abstractNumId w:val="28"/>
  </w:num>
  <w:num w:numId="25">
    <w:abstractNumId w:val="12"/>
  </w:num>
  <w:num w:numId="26">
    <w:abstractNumId w:val="17"/>
  </w:num>
  <w:num w:numId="27">
    <w:abstractNumId w:val="35"/>
  </w:num>
  <w:num w:numId="28">
    <w:abstractNumId w:val="23"/>
  </w:num>
  <w:num w:numId="29">
    <w:abstractNumId w:val="24"/>
  </w:num>
  <w:num w:numId="30">
    <w:abstractNumId w:val="32"/>
  </w:num>
  <w:num w:numId="31">
    <w:abstractNumId w:val="21"/>
  </w:num>
  <w:num w:numId="32">
    <w:abstractNumId w:val="15"/>
  </w:num>
  <w:num w:numId="33">
    <w:abstractNumId w:val="30"/>
  </w:num>
  <w:num w:numId="34">
    <w:abstractNumId w:val="25"/>
  </w:num>
  <w:num w:numId="35">
    <w:abstractNumId w:val="18"/>
  </w:num>
  <w:num w:numId="36">
    <w:abstractNumId w:val="27"/>
  </w:num>
  <w:num w:numId="37">
    <w:abstractNumId w:val="26"/>
  </w:num>
  <w:num w:numId="38">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BD"/>
    <w:rsid w:val="000002F6"/>
    <w:rsid w:val="000008FE"/>
    <w:rsid w:val="00001309"/>
    <w:rsid w:val="000019F3"/>
    <w:rsid w:val="00001F2C"/>
    <w:rsid w:val="000022C7"/>
    <w:rsid w:val="000025C8"/>
    <w:rsid w:val="00002703"/>
    <w:rsid w:val="00003649"/>
    <w:rsid w:val="00003927"/>
    <w:rsid w:val="00004237"/>
    <w:rsid w:val="00004242"/>
    <w:rsid w:val="00005C66"/>
    <w:rsid w:val="00006D90"/>
    <w:rsid w:val="000073E6"/>
    <w:rsid w:val="00010712"/>
    <w:rsid w:val="00010828"/>
    <w:rsid w:val="00010E06"/>
    <w:rsid w:val="0001108D"/>
    <w:rsid w:val="000115AC"/>
    <w:rsid w:val="00011865"/>
    <w:rsid w:val="00011A61"/>
    <w:rsid w:val="00012021"/>
    <w:rsid w:val="0001235C"/>
    <w:rsid w:val="000128D8"/>
    <w:rsid w:val="000130C1"/>
    <w:rsid w:val="00013748"/>
    <w:rsid w:val="00014C51"/>
    <w:rsid w:val="00015415"/>
    <w:rsid w:val="000157A6"/>
    <w:rsid w:val="00016AEA"/>
    <w:rsid w:val="000175C6"/>
    <w:rsid w:val="00017992"/>
    <w:rsid w:val="00017E37"/>
    <w:rsid w:val="0002000E"/>
    <w:rsid w:val="000208E8"/>
    <w:rsid w:val="000209FF"/>
    <w:rsid w:val="00020B70"/>
    <w:rsid w:val="00020EF4"/>
    <w:rsid w:val="00020F73"/>
    <w:rsid w:val="0002147A"/>
    <w:rsid w:val="00021653"/>
    <w:rsid w:val="00021769"/>
    <w:rsid w:val="000227BA"/>
    <w:rsid w:val="00023419"/>
    <w:rsid w:val="000236A9"/>
    <w:rsid w:val="000236E0"/>
    <w:rsid w:val="00023966"/>
    <w:rsid w:val="00023AC6"/>
    <w:rsid w:val="00023AE9"/>
    <w:rsid w:val="00024F75"/>
    <w:rsid w:val="00025D40"/>
    <w:rsid w:val="00025F5E"/>
    <w:rsid w:val="00026F79"/>
    <w:rsid w:val="000276E5"/>
    <w:rsid w:val="000311E1"/>
    <w:rsid w:val="000322D0"/>
    <w:rsid w:val="000326B1"/>
    <w:rsid w:val="00032AB7"/>
    <w:rsid w:val="00032EAA"/>
    <w:rsid w:val="00034508"/>
    <w:rsid w:val="000345F8"/>
    <w:rsid w:val="000347FD"/>
    <w:rsid w:val="00034E6A"/>
    <w:rsid w:val="0003623D"/>
    <w:rsid w:val="00037886"/>
    <w:rsid w:val="00037F6C"/>
    <w:rsid w:val="000403DA"/>
    <w:rsid w:val="00041680"/>
    <w:rsid w:val="00041AD4"/>
    <w:rsid w:val="0004247B"/>
    <w:rsid w:val="000426D9"/>
    <w:rsid w:val="0004278C"/>
    <w:rsid w:val="00043230"/>
    <w:rsid w:val="000434C1"/>
    <w:rsid w:val="00043EDC"/>
    <w:rsid w:val="00045288"/>
    <w:rsid w:val="00047B04"/>
    <w:rsid w:val="00050810"/>
    <w:rsid w:val="00050C40"/>
    <w:rsid w:val="0005117A"/>
    <w:rsid w:val="000517BC"/>
    <w:rsid w:val="000520F1"/>
    <w:rsid w:val="00052489"/>
    <w:rsid w:val="00052EF4"/>
    <w:rsid w:val="00052FD0"/>
    <w:rsid w:val="000537C3"/>
    <w:rsid w:val="0005475C"/>
    <w:rsid w:val="00054CA3"/>
    <w:rsid w:val="0005501F"/>
    <w:rsid w:val="000556E0"/>
    <w:rsid w:val="0005650F"/>
    <w:rsid w:val="000570C6"/>
    <w:rsid w:val="00057E5C"/>
    <w:rsid w:val="000609F9"/>
    <w:rsid w:val="00060DE3"/>
    <w:rsid w:val="0006189E"/>
    <w:rsid w:val="000623E1"/>
    <w:rsid w:val="000647CA"/>
    <w:rsid w:val="0006513B"/>
    <w:rsid w:val="0006698B"/>
    <w:rsid w:val="00066A82"/>
    <w:rsid w:val="00066B38"/>
    <w:rsid w:val="00066FF4"/>
    <w:rsid w:val="000674DC"/>
    <w:rsid w:val="00070282"/>
    <w:rsid w:val="00070466"/>
    <w:rsid w:val="00071D06"/>
    <w:rsid w:val="00071FC1"/>
    <w:rsid w:val="0007230C"/>
    <w:rsid w:val="00072463"/>
    <w:rsid w:val="00072BD3"/>
    <w:rsid w:val="0007460E"/>
    <w:rsid w:val="00075597"/>
    <w:rsid w:val="00075673"/>
    <w:rsid w:val="00077641"/>
    <w:rsid w:val="000777F3"/>
    <w:rsid w:val="00077B37"/>
    <w:rsid w:val="0008055C"/>
    <w:rsid w:val="000816D9"/>
    <w:rsid w:val="00081A41"/>
    <w:rsid w:val="00081D72"/>
    <w:rsid w:val="00082163"/>
    <w:rsid w:val="0008245D"/>
    <w:rsid w:val="00082630"/>
    <w:rsid w:val="00082B81"/>
    <w:rsid w:val="00082E7D"/>
    <w:rsid w:val="0008380A"/>
    <w:rsid w:val="00084968"/>
    <w:rsid w:val="00084EFC"/>
    <w:rsid w:val="00085126"/>
    <w:rsid w:val="0008512A"/>
    <w:rsid w:val="0008574E"/>
    <w:rsid w:val="0008578E"/>
    <w:rsid w:val="000872BE"/>
    <w:rsid w:val="000878F1"/>
    <w:rsid w:val="00090AA7"/>
    <w:rsid w:val="00090B04"/>
    <w:rsid w:val="00092554"/>
    <w:rsid w:val="000926CD"/>
    <w:rsid w:val="00092E2B"/>
    <w:rsid w:val="00093B63"/>
    <w:rsid w:val="00093D58"/>
    <w:rsid w:val="00093EC2"/>
    <w:rsid w:val="00095A2E"/>
    <w:rsid w:val="00095B76"/>
    <w:rsid w:val="000961CB"/>
    <w:rsid w:val="0009683B"/>
    <w:rsid w:val="000972CD"/>
    <w:rsid w:val="0009770C"/>
    <w:rsid w:val="00097CDB"/>
    <w:rsid w:val="00097DA6"/>
    <w:rsid w:val="000A01DA"/>
    <w:rsid w:val="000A0ACB"/>
    <w:rsid w:val="000A0D52"/>
    <w:rsid w:val="000A0E7D"/>
    <w:rsid w:val="000A10D3"/>
    <w:rsid w:val="000A110A"/>
    <w:rsid w:val="000A26AA"/>
    <w:rsid w:val="000A2ADB"/>
    <w:rsid w:val="000A3765"/>
    <w:rsid w:val="000A3D62"/>
    <w:rsid w:val="000A4762"/>
    <w:rsid w:val="000A4FF8"/>
    <w:rsid w:val="000A63EE"/>
    <w:rsid w:val="000A71D4"/>
    <w:rsid w:val="000B06E8"/>
    <w:rsid w:val="000B0A2F"/>
    <w:rsid w:val="000B13FC"/>
    <w:rsid w:val="000B15F8"/>
    <w:rsid w:val="000B25A7"/>
    <w:rsid w:val="000B3984"/>
    <w:rsid w:val="000B4932"/>
    <w:rsid w:val="000B4D06"/>
    <w:rsid w:val="000B5A24"/>
    <w:rsid w:val="000B5E42"/>
    <w:rsid w:val="000B6225"/>
    <w:rsid w:val="000B6697"/>
    <w:rsid w:val="000B66B7"/>
    <w:rsid w:val="000B708E"/>
    <w:rsid w:val="000B79E7"/>
    <w:rsid w:val="000C0055"/>
    <w:rsid w:val="000C0624"/>
    <w:rsid w:val="000C0B37"/>
    <w:rsid w:val="000C1094"/>
    <w:rsid w:val="000C1931"/>
    <w:rsid w:val="000C3591"/>
    <w:rsid w:val="000C394F"/>
    <w:rsid w:val="000C3C3A"/>
    <w:rsid w:val="000C411D"/>
    <w:rsid w:val="000C4222"/>
    <w:rsid w:val="000C4633"/>
    <w:rsid w:val="000C4BDD"/>
    <w:rsid w:val="000C4E87"/>
    <w:rsid w:val="000C5889"/>
    <w:rsid w:val="000C5B07"/>
    <w:rsid w:val="000C5EC7"/>
    <w:rsid w:val="000C615A"/>
    <w:rsid w:val="000C6897"/>
    <w:rsid w:val="000C699F"/>
    <w:rsid w:val="000C6CB9"/>
    <w:rsid w:val="000C7587"/>
    <w:rsid w:val="000D0B9D"/>
    <w:rsid w:val="000D0D44"/>
    <w:rsid w:val="000D0E6D"/>
    <w:rsid w:val="000D1426"/>
    <w:rsid w:val="000D1A64"/>
    <w:rsid w:val="000D3AE8"/>
    <w:rsid w:val="000D435D"/>
    <w:rsid w:val="000D4F86"/>
    <w:rsid w:val="000D5B47"/>
    <w:rsid w:val="000D6983"/>
    <w:rsid w:val="000D74D0"/>
    <w:rsid w:val="000D7940"/>
    <w:rsid w:val="000E0A24"/>
    <w:rsid w:val="000E0DC8"/>
    <w:rsid w:val="000E0EFE"/>
    <w:rsid w:val="000E115B"/>
    <w:rsid w:val="000E17E4"/>
    <w:rsid w:val="000E268C"/>
    <w:rsid w:val="000E3256"/>
    <w:rsid w:val="000E36B6"/>
    <w:rsid w:val="000E3D58"/>
    <w:rsid w:val="000E47BA"/>
    <w:rsid w:val="000E4F24"/>
    <w:rsid w:val="000E5859"/>
    <w:rsid w:val="000E6506"/>
    <w:rsid w:val="000E6BCC"/>
    <w:rsid w:val="000E6CA4"/>
    <w:rsid w:val="000E7F42"/>
    <w:rsid w:val="000F05E0"/>
    <w:rsid w:val="000F1BD9"/>
    <w:rsid w:val="000F1E57"/>
    <w:rsid w:val="000F24D2"/>
    <w:rsid w:val="000F3269"/>
    <w:rsid w:val="000F4363"/>
    <w:rsid w:val="000F481A"/>
    <w:rsid w:val="000F48FB"/>
    <w:rsid w:val="000F5921"/>
    <w:rsid w:val="000F6613"/>
    <w:rsid w:val="000F75B7"/>
    <w:rsid w:val="000F77AE"/>
    <w:rsid w:val="0010399E"/>
    <w:rsid w:val="00103B1E"/>
    <w:rsid w:val="00104AF4"/>
    <w:rsid w:val="0010529B"/>
    <w:rsid w:val="00105376"/>
    <w:rsid w:val="00105F6B"/>
    <w:rsid w:val="0010658D"/>
    <w:rsid w:val="001065CA"/>
    <w:rsid w:val="0010690B"/>
    <w:rsid w:val="00106BF1"/>
    <w:rsid w:val="001102D7"/>
    <w:rsid w:val="00110447"/>
    <w:rsid w:val="001104AA"/>
    <w:rsid w:val="00110EFA"/>
    <w:rsid w:val="001122E1"/>
    <w:rsid w:val="00112538"/>
    <w:rsid w:val="00112969"/>
    <w:rsid w:val="001135F5"/>
    <w:rsid w:val="00113F2B"/>
    <w:rsid w:val="001148A6"/>
    <w:rsid w:val="0011491D"/>
    <w:rsid w:val="001162EC"/>
    <w:rsid w:val="00116ECB"/>
    <w:rsid w:val="001170A8"/>
    <w:rsid w:val="00117B07"/>
    <w:rsid w:val="001203F8"/>
    <w:rsid w:val="00120DEF"/>
    <w:rsid w:val="00120EC6"/>
    <w:rsid w:val="00121C7A"/>
    <w:rsid w:val="00121DF1"/>
    <w:rsid w:val="00121F3E"/>
    <w:rsid w:val="00122186"/>
    <w:rsid w:val="00122314"/>
    <w:rsid w:val="001225E8"/>
    <w:rsid w:val="00122BB2"/>
    <w:rsid w:val="00123499"/>
    <w:rsid w:val="0012375D"/>
    <w:rsid w:val="00123805"/>
    <w:rsid w:val="00124077"/>
    <w:rsid w:val="00124BD3"/>
    <w:rsid w:val="00126536"/>
    <w:rsid w:val="00127D22"/>
    <w:rsid w:val="00127F7E"/>
    <w:rsid w:val="00130F10"/>
    <w:rsid w:val="00131336"/>
    <w:rsid w:val="00131DA9"/>
    <w:rsid w:val="00132827"/>
    <w:rsid w:val="001329DA"/>
    <w:rsid w:val="00134C2A"/>
    <w:rsid w:val="00136104"/>
    <w:rsid w:val="00137D68"/>
    <w:rsid w:val="00140262"/>
    <w:rsid w:val="00140756"/>
    <w:rsid w:val="00140AC2"/>
    <w:rsid w:val="00140FA3"/>
    <w:rsid w:val="00142A50"/>
    <w:rsid w:val="00142B6F"/>
    <w:rsid w:val="00142B9F"/>
    <w:rsid w:val="0014329F"/>
    <w:rsid w:val="00143680"/>
    <w:rsid w:val="00143763"/>
    <w:rsid w:val="0014392A"/>
    <w:rsid w:val="0014449E"/>
    <w:rsid w:val="00146294"/>
    <w:rsid w:val="001468E8"/>
    <w:rsid w:val="00146DB0"/>
    <w:rsid w:val="001474E9"/>
    <w:rsid w:val="00147FBA"/>
    <w:rsid w:val="001504A2"/>
    <w:rsid w:val="00150675"/>
    <w:rsid w:val="001508ED"/>
    <w:rsid w:val="00150B1E"/>
    <w:rsid w:val="001512F2"/>
    <w:rsid w:val="0015183F"/>
    <w:rsid w:val="001518B5"/>
    <w:rsid w:val="0015235D"/>
    <w:rsid w:val="00152DDB"/>
    <w:rsid w:val="00152ED9"/>
    <w:rsid w:val="00152F80"/>
    <w:rsid w:val="0015319F"/>
    <w:rsid w:val="001538D1"/>
    <w:rsid w:val="00153DFF"/>
    <w:rsid w:val="00154822"/>
    <w:rsid w:val="00154890"/>
    <w:rsid w:val="00154959"/>
    <w:rsid w:val="00154C75"/>
    <w:rsid w:val="0015504F"/>
    <w:rsid w:val="00155079"/>
    <w:rsid w:val="001560A7"/>
    <w:rsid w:val="001563F5"/>
    <w:rsid w:val="0015682A"/>
    <w:rsid w:val="0015686D"/>
    <w:rsid w:val="001568CE"/>
    <w:rsid w:val="00157584"/>
    <w:rsid w:val="00161751"/>
    <w:rsid w:val="00162086"/>
    <w:rsid w:val="00163A9C"/>
    <w:rsid w:val="00163C5F"/>
    <w:rsid w:val="001649DC"/>
    <w:rsid w:val="001653B7"/>
    <w:rsid w:val="00165405"/>
    <w:rsid w:val="00165553"/>
    <w:rsid w:val="001656D9"/>
    <w:rsid w:val="00165848"/>
    <w:rsid w:val="00165FCD"/>
    <w:rsid w:val="001668D8"/>
    <w:rsid w:val="00166A93"/>
    <w:rsid w:val="00166C8E"/>
    <w:rsid w:val="0016735B"/>
    <w:rsid w:val="00167616"/>
    <w:rsid w:val="00167AE3"/>
    <w:rsid w:val="00167AFE"/>
    <w:rsid w:val="00170463"/>
    <w:rsid w:val="00170A0F"/>
    <w:rsid w:val="0017105A"/>
    <w:rsid w:val="001710F6"/>
    <w:rsid w:val="00171141"/>
    <w:rsid w:val="0017118C"/>
    <w:rsid w:val="001718D9"/>
    <w:rsid w:val="001728E4"/>
    <w:rsid w:val="001729B5"/>
    <w:rsid w:val="001730F2"/>
    <w:rsid w:val="001737C4"/>
    <w:rsid w:val="00173B7D"/>
    <w:rsid w:val="0017424D"/>
    <w:rsid w:val="00175306"/>
    <w:rsid w:val="00175ABB"/>
    <w:rsid w:val="00175B66"/>
    <w:rsid w:val="001765BD"/>
    <w:rsid w:val="00176E0A"/>
    <w:rsid w:val="0017742A"/>
    <w:rsid w:val="00177EFC"/>
    <w:rsid w:val="00183D0A"/>
    <w:rsid w:val="00183F4B"/>
    <w:rsid w:val="00184610"/>
    <w:rsid w:val="0018498F"/>
    <w:rsid w:val="0018524B"/>
    <w:rsid w:val="00185955"/>
    <w:rsid w:val="00186E6E"/>
    <w:rsid w:val="00187694"/>
    <w:rsid w:val="00190447"/>
    <w:rsid w:val="00190C7C"/>
    <w:rsid w:val="001912AE"/>
    <w:rsid w:val="001929C6"/>
    <w:rsid w:val="00192A01"/>
    <w:rsid w:val="00192AE0"/>
    <w:rsid w:val="0019319D"/>
    <w:rsid w:val="00193690"/>
    <w:rsid w:val="0019514F"/>
    <w:rsid w:val="00195C86"/>
    <w:rsid w:val="00196D35"/>
    <w:rsid w:val="00197293"/>
    <w:rsid w:val="00197A89"/>
    <w:rsid w:val="00197D84"/>
    <w:rsid w:val="001A01DD"/>
    <w:rsid w:val="001A04EB"/>
    <w:rsid w:val="001A1CA8"/>
    <w:rsid w:val="001A2655"/>
    <w:rsid w:val="001A32C5"/>
    <w:rsid w:val="001A3CEB"/>
    <w:rsid w:val="001A4540"/>
    <w:rsid w:val="001A51E8"/>
    <w:rsid w:val="001A682B"/>
    <w:rsid w:val="001A6BF6"/>
    <w:rsid w:val="001A6FDF"/>
    <w:rsid w:val="001A7F57"/>
    <w:rsid w:val="001B0123"/>
    <w:rsid w:val="001B0786"/>
    <w:rsid w:val="001B13FC"/>
    <w:rsid w:val="001B1A63"/>
    <w:rsid w:val="001B322A"/>
    <w:rsid w:val="001B420A"/>
    <w:rsid w:val="001B5EA8"/>
    <w:rsid w:val="001B5F06"/>
    <w:rsid w:val="001B643F"/>
    <w:rsid w:val="001B6DEE"/>
    <w:rsid w:val="001B796A"/>
    <w:rsid w:val="001B7C0D"/>
    <w:rsid w:val="001B7F2C"/>
    <w:rsid w:val="001C030E"/>
    <w:rsid w:val="001C04C6"/>
    <w:rsid w:val="001C3500"/>
    <w:rsid w:val="001C47B1"/>
    <w:rsid w:val="001C5163"/>
    <w:rsid w:val="001C5353"/>
    <w:rsid w:val="001C6F6F"/>
    <w:rsid w:val="001D1A4D"/>
    <w:rsid w:val="001D1ABA"/>
    <w:rsid w:val="001D1CBF"/>
    <w:rsid w:val="001D2583"/>
    <w:rsid w:val="001D29CF"/>
    <w:rsid w:val="001D2D0A"/>
    <w:rsid w:val="001D396B"/>
    <w:rsid w:val="001D4790"/>
    <w:rsid w:val="001D5612"/>
    <w:rsid w:val="001D59C3"/>
    <w:rsid w:val="001D70B3"/>
    <w:rsid w:val="001D7608"/>
    <w:rsid w:val="001D7BE6"/>
    <w:rsid w:val="001E0646"/>
    <w:rsid w:val="001E17EF"/>
    <w:rsid w:val="001E1887"/>
    <w:rsid w:val="001E2481"/>
    <w:rsid w:val="001E279C"/>
    <w:rsid w:val="001E2AE3"/>
    <w:rsid w:val="001E2BD5"/>
    <w:rsid w:val="001E320E"/>
    <w:rsid w:val="001E3388"/>
    <w:rsid w:val="001E33CD"/>
    <w:rsid w:val="001E46A4"/>
    <w:rsid w:val="001E57CE"/>
    <w:rsid w:val="001E62DC"/>
    <w:rsid w:val="001E6A28"/>
    <w:rsid w:val="001E6F68"/>
    <w:rsid w:val="001E7AA9"/>
    <w:rsid w:val="001E7C99"/>
    <w:rsid w:val="001E7CF0"/>
    <w:rsid w:val="001F0F6B"/>
    <w:rsid w:val="001F1256"/>
    <w:rsid w:val="001F1260"/>
    <w:rsid w:val="001F1E1B"/>
    <w:rsid w:val="001F22E1"/>
    <w:rsid w:val="001F2976"/>
    <w:rsid w:val="001F2A52"/>
    <w:rsid w:val="001F4932"/>
    <w:rsid w:val="001F4A92"/>
    <w:rsid w:val="001F52A3"/>
    <w:rsid w:val="001F6342"/>
    <w:rsid w:val="002001FF"/>
    <w:rsid w:val="002005C6"/>
    <w:rsid w:val="002006FA"/>
    <w:rsid w:val="002017D6"/>
    <w:rsid w:val="0020250A"/>
    <w:rsid w:val="00203002"/>
    <w:rsid w:val="002043D5"/>
    <w:rsid w:val="002048EC"/>
    <w:rsid w:val="00204AFD"/>
    <w:rsid w:val="00204D56"/>
    <w:rsid w:val="0020613F"/>
    <w:rsid w:val="00206AFC"/>
    <w:rsid w:val="00207497"/>
    <w:rsid w:val="00207D8C"/>
    <w:rsid w:val="00210E0D"/>
    <w:rsid w:val="00210F78"/>
    <w:rsid w:val="00211B52"/>
    <w:rsid w:val="002120BD"/>
    <w:rsid w:val="00212415"/>
    <w:rsid w:val="002125B6"/>
    <w:rsid w:val="002128AE"/>
    <w:rsid w:val="00213051"/>
    <w:rsid w:val="00213C55"/>
    <w:rsid w:val="00215828"/>
    <w:rsid w:val="00215FC0"/>
    <w:rsid w:val="0021742F"/>
    <w:rsid w:val="0021799F"/>
    <w:rsid w:val="00217ACB"/>
    <w:rsid w:val="00217C66"/>
    <w:rsid w:val="00217C82"/>
    <w:rsid w:val="00220067"/>
    <w:rsid w:val="002203A6"/>
    <w:rsid w:val="00220524"/>
    <w:rsid w:val="00221700"/>
    <w:rsid w:val="002217D2"/>
    <w:rsid w:val="00221B91"/>
    <w:rsid w:val="00222402"/>
    <w:rsid w:val="00223567"/>
    <w:rsid w:val="0022371E"/>
    <w:rsid w:val="00223931"/>
    <w:rsid w:val="00223E2B"/>
    <w:rsid w:val="00224043"/>
    <w:rsid w:val="0022528C"/>
    <w:rsid w:val="0022570C"/>
    <w:rsid w:val="002260A1"/>
    <w:rsid w:val="0022621F"/>
    <w:rsid w:val="0022779C"/>
    <w:rsid w:val="00227E1B"/>
    <w:rsid w:val="00230154"/>
    <w:rsid w:val="002312D0"/>
    <w:rsid w:val="00231F3C"/>
    <w:rsid w:val="002334C7"/>
    <w:rsid w:val="00233CD6"/>
    <w:rsid w:val="002341A8"/>
    <w:rsid w:val="0023612F"/>
    <w:rsid w:val="00240290"/>
    <w:rsid w:val="002414D2"/>
    <w:rsid w:val="00242AAD"/>
    <w:rsid w:val="00242AB8"/>
    <w:rsid w:val="00242D8B"/>
    <w:rsid w:val="002436FB"/>
    <w:rsid w:val="00244387"/>
    <w:rsid w:val="00244A57"/>
    <w:rsid w:val="00245A4F"/>
    <w:rsid w:val="00246472"/>
    <w:rsid w:val="002466AA"/>
    <w:rsid w:val="002503F1"/>
    <w:rsid w:val="002509B9"/>
    <w:rsid w:val="002515C7"/>
    <w:rsid w:val="002515D8"/>
    <w:rsid w:val="002522EF"/>
    <w:rsid w:val="00252318"/>
    <w:rsid w:val="00253BF1"/>
    <w:rsid w:val="00253CA4"/>
    <w:rsid w:val="00253D2D"/>
    <w:rsid w:val="002541BB"/>
    <w:rsid w:val="002569CD"/>
    <w:rsid w:val="00256F86"/>
    <w:rsid w:val="002575F2"/>
    <w:rsid w:val="002576A9"/>
    <w:rsid w:val="00257C88"/>
    <w:rsid w:val="002603CA"/>
    <w:rsid w:val="00260D3D"/>
    <w:rsid w:val="00262DCE"/>
    <w:rsid w:val="002634C3"/>
    <w:rsid w:val="00263AC7"/>
    <w:rsid w:val="00263BFB"/>
    <w:rsid w:val="00264A83"/>
    <w:rsid w:val="00264C3F"/>
    <w:rsid w:val="00265911"/>
    <w:rsid w:val="00266814"/>
    <w:rsid w:val="00266D85"/>
    <w:rsid w:val="00267A2B"/>
    <w:rsid w:val="00270743"/>
    <w:rsid w:val="00271603"/>
    <w:rsid w:val="00271EFA"/>
    <w:rsid w:val="00272102"/>
    <w:rsid w:val="00272B51"/>
    <w:rsid w:val="002757FF"/>
    <w:rsid w:val="00275B68"/>
    <w:rsid w:val="00275EA8"/>
    <w:rsid w:val="00275EBD"/>
    <w:rsid w:val="002765A4"/>
    <w:rsid w:val="00277273"/>
    <w:rsid w:val="0027776B"/>
    <w:rsid w:val="002800A7"/>
    <w:rsid w:val="002801FA"/>
    <w:rsid w:val="00280E27"/>
    <w:rsid w:val="0028110B"/>
    <w:rsid w:val="00281646"/>
    <w:rsid w:val="00281B23"/>
    <w:rsid w:val="00282EE2"/>
    <w:rsid w:val="0028331E"/>
    <w:rsid w:val="0028341F"/>
    <w:rsid w:val="00283725"/>
    <w:rsid w:val="00283B3D"/>
    <w:rsid w:val="00283EA9"/>
    <w:rsid w:val="00283EDD"/>
    <w:rsid w:val="00284806"/>
    <w:rsid w:val="00284A10"/>
    <w:rsid w:val="00285431"/>
    <w:rsid w:val="00285C7B"/>
    <w:rsid w:val="0028684E"/>
    <w:rsid w:val="00287686"/>
    <w:rsid w:val="00287C9E"/>
    <w:rsid w:val="002924A1"/>
    <w:rsid w:val="00292559"/>
    <w:rsid w:val="00292B53"/>
    <w:rsid w:val="002949EC"/>
    <w:rsid w:val="00294AAF"/>
    <w:rsid w:val="0029603A"/>
    <w:rsid w:val="0029613E"/>
    <w:rsid w:val="0029616A"/>
    <w:rsid w:val="0029655F"/>
    <w:rsid w:val="0029687D"/>
    <w:rsid w:val="00296C00"/>
    <w:rsid w:val="00296CA8"/>
    <w:rsid w:val="00297483"/>
    <w:rsid w:val="002A1059"/>
    <w:rsid w:val="002A1094"/>
    <w:rsid w:val="002A205A"/>
    <w:rsid w:val="002A2085"/>
    <w:rsid w:val="002A2D32"/>
    <w:rsid w:val="002A4333"/>
    <w:rsid w:val="002A4C41"/>
    <w:rsid w:val="002A57BB"/>
    <w:rsid w:val="002A5B75"/>
    <w:rsid w:val="002A6B59"/>
    <w:rsid w:val="002A6F13"/>
    <w:rsid w:val="002A7385"/>
    <w:rsid w:val="002A7BC6"/>
    <w:rsid w:val="002A7CFD"/>
    <w:rsid w:val="002B16B0"/>
    <w:rsid w:val="002B2DEE"/>
    <w:rsid w:val="002B3DC4"/>
    <w:rsid w:val="002B5616"/>
    <w:rsid w:val="002B70B0"/>
    <w:rsid w:val="002B7431"/>
    <w:rsid w:val="002B7811"/>
    <w:rsid w:val="002B7A93"/>
    <w:rsid w:val="002B7E9C"/>
    <w:rsid w:val="002C04AC"/>
    <w:rsid w:val="002C08BA"/>
    <w:rsid w:val="002C093C"/>
    <w:rsid w:val="002C0E85"/>
    <w:rsid w:val="002C10A1"/>
    <w:rsid w:val="002C33A1"/>
    <w:rsid w:val="002C3F74"/>
    <w:rsid w:val="002C5FAD"/>
    <w:rsid w:val="002C61B0"/>
    <w:rsid w:val="002C6F9C"/>
    <w:rsid w:val="002C7C88"/>
    <w:rsid w:val="002C7FDE"/>
    <w:rsid w:val="002D07C7"/>
    <w:rsid w:val="002D08BD"/>
    <w:rsid w:val="002D098D"/>
    <w:rsid w:val="002D13C0"/>
    <w:rsid w:val="002D1475"/>
    <w:rsid w:val="002D2161"/>
    <w:rsid w:val="002D2473"/>
    <w:rsid w:val="002D2CFD"/>
    <w:rsid w:val="002D33B4"/>
    <w:rsid w:val="002D3ABC"/>
    <w:rsid w:val="002D42EC"/>
    <w:rsid w:val="002D44EC"/>
    <w:rsid w:val="002D47B3"/>
    <w:rsid w:val="002D486F"/>
    <w:rsid w:val="002D4B5A"/>
    <w:rsid w:val="002D4CAC"/>
    <w:rsid w:val="002D630F"/>
    <w:rsid w:val="002D673D"/>
    <w:rsid w:val="002D77BB"/>
    <w:rsid w:val="002D7CDC"/>
    <w:rsid w:val="002E0010"/>
    <w:rsid w:val="002E123D"/>
    <w:rsid w:val="002E1808"/>
    <w:rsid w:val="002E308A"/>
    <w:rsid w:val="002E3E48"/>
    <w:rsid w:val="002E438C"/>
    <w:rsid w:val="002E4FBF"/>
    <w:rsid w:val="002E5255"/>
    <w:rsid w:val="002E5C4D"/>
    <w:rsid w:val="002E68BB"/>
    <w:rsid w:val="002E6A5C"/>
    <w:rsid w:val="002E70E9"/>
    <w:rsid w:val="002E7A8C"/>
    <w:rsid w:val="002F07AF"/>
    <w:rsid w:val="002F12AD"/>
    <w:rsid w:val="002F17BF"/>
    <w:rsid w:val="002F2A42"/>
    <w:rsid w:val="002F32DF"/>
    <w:rsid w:val="002F3600"/>
    <w:rsid w:val="002F451A"/>
    <w:rsid w:val="002F45D7"/>
    <w:rsid w:val="002F4A7C"/>
    <w:rsid w:val="002F535A"/>
    <w:rsid w:val="002F57A9"/>
    <w:rsid w:val="002F5CA4"/>
    <w:rsid w:val="002F5ECF"/>
    <w:rsid w:val="002F63B2"/>
    <w:rsid w:val="002F7355"/>
    <w:rsid w:val="002F7906"/>
    <w:rsid w:val="0030084E"/>
    <w:rsid w:val="00300A43"/>
    <w:rsid w:val="003013C0"/>
    <w:rsid w:val="0030215E"/>
    <w:rsid w:val="00302583"/>
    <w:rsid w:val="003029F2"/>
    <w:rsid w:val="00302AB8"/>
    <w:rsid w:val="003035F1"/>
    <w:rsid w:val="00303E0F"/>
    <w:rsid w:val="00306E3D"/>
    <w:rsid w:val="00306E49"/>
    <w:rsid w:val="0030700A"/>
    <w:rsid w:val="003071CA"/>
    <w:rsid w:val="0031038F"/>
    <w:rsid w:val="00310837"/>
    <w:rsid w:val="003109F2"/>
    <w:rsid w:val="00310DFE"/>
    <w:rsid w:val="00311941"/>
    <w:rsid w:val="00312C8A"/>
    <w:rsid w:val="00313AB2"/>
    <w:rsid w:val="00313CCF"/>
    <w:rsid w:val="00315972"/>
    <w:rsid w:val="00315AA0"/>
    <w:rsid w:val="00315BAA"/>
    <w:rsid w:val="00315D8F"/>
    <w:rsid w:val="003176F1"/>
    <w:rsid w:val="00317A68"/>
    <w:rsid w:val="00317BAC"/>
    <w:rsid w:val="00321CDD"/>
    <w:rsid w:val="00321F6E"/>
    <w:rsid w:val="003235ED"/>
    <w:rsid w:val="0032398D"/>
    <w:rsid w:val="00323F25"/>
    <w:rsid w:val="00325115"/>
    <w:rsid w:val="00325805"/>
    <w:rsid w:val="00325CAD"/>
    <w:rsid w:val="003274C6"/>
    <w:rsid w:val="00327C73"/>
    <w:rsid w:val="00330E10"/>
    <w:rsid w:val="003317A1"/>
    <w:rsid w:val="00331BA4"/>
    <w:rsid w:val="00331E54"/>
    <w:rsid w:val="00331F02"/>
    <w:rsid w:val="0033246D"/>
    <w:rsid w:val="003324FD"/>
    <w:rsid w:val="00333A36"/>
    <w:rsid w:val="00333FE3"/>
    <w:rsid w:val="0033446F"/>
    <w:rsid w:val="003351D3"/>
    <w:rsid w:val="003353FC"/>
    <w:rsid w:val="00337320"/>
    <w:rsid w:val="003406AF"/>
    <w:rsid w:val="00340AEB"/>
    <w:rsid w:val="00340BE6"/>
    <w:rsid w:val="003410D4"/>
    <w:rsid w:val="00342302"/>
    <w:rsid w:val="00342D8C"/>
    <w:rsid w:val="00343835"/>
    <w:rsid w:val="00346261"/>
    <w:rsid w:val="00346656"/>
    <w:rsid w:val="003476CD"/>
    <w:rsid w:val="003478D9"/>
    <w:rsid w:val="003504C9"/>
    <w:rsid w:val="00350720"/>
    <w:rsid w:val="00351008"/>
    <w:rsid w:val="00351278"/>
    <w:rsid w:val="003522B0"/>
    <w:rsid w:val="00352573"/>
    <w:rsid w:val="00353979"/>
    <w:rsid w:val="00353DBA"/>
    <w:rsid w:val="003542F8"/>
    <w:rsid w:val="00354C3B"/>
    <w:rsid w:val="00354E8F"/>
    <w:rsid w:val="00356E1A"/>
    <w:rsid w:val="00357758"/>
    <w:rsid w:val="00360E9F"/>
    <w:rsid w:val="00361022"/>
    <w:rsid w:val="00361145"/>
    <w:rsid w:val="00361CC6"/>
    <w:rsid w:val="00362CC9"/>
    <w:rsid w:val="00363548"/>
    <w:rsid w:val="0036656D"/>
    <w:rsid w:val="00366826"/>
    <w:rsid w:val="00366A14"/>
    <w:rsid w:val="00367FDE"/>
    <w:rsid w:val="00370910"/>
    <w:rsid w:val="00370C9B"/>
    <w:rsid w:val="00370F3F"/>
    <w:rsid w:val="003728E9"/>
    <w:rsid w:val="00372EC9"/>
    <w:rsid w:val="00372F2B"/>
    <w:rsid w:val="00373EF8"/>
    <w:rsid w:val="003743D3"/>
    <w:rsid w:val="00376332"/>
    <w:rsid w:val="0037690F"/>
    <w:rsid w:val="00377E80"/>
    <w:rsid w:val="00380AAB"/>
    <w:rsid w:val="003810B4"/>
    <w:rsid w:val="003824E0"/>
    <w:rsid w:val="00384CF2"/>
    <w:rsid w:val="00384E0E"/>
    <w:rsid w:val="00384EDF"/>
    <w:rsid w:val="0038560F"/>
    <w:rsid w:val="00385DF2"/>
    <w:rsid w:val="00386125"/>
    <w:rsid w:val="00387254"/>
    <w:rsid w:val="0038761A"/>
    <w:rsid w:val="00387AF2"/>
    <w:rsid w:val="00387CBD"/>
    <w:rsid w:val="00387D6E"/>
    <w:rsid w:val="00387E3A"/>
    <w:rsid w:val="0039121B"/>
    <w:rsid w:val="00391474"/>
    <w:rsid w:val="00391A02"/>
    <w:rsid w:val="00392A6A"/>
    <w:rsid w:val="00394008"/>
    <w:rsid w:val="003941DE"/>
    <w:rsid w:val="00394EB8"/>
    <w:rsid w:val="00394EF5"/>
    <w:rsid w:val="003965F7"/>
    <w:rsid w:val="00396A31"/>
    <w:rsid w:val="00396CFD"/>
    <w:rsid w:val="00397E9B"/>
    <w:rsid w:val="003A0813"/>
    <w:rsid w:val="003A0EA0"/>
    <w:rsid w:val="003A120C"/>
    <w:rsid w:val="003A1396"/>
    <w:rsid w:val="003A180E"/>
    <w:rsid w:val="003A1C83"/>
    <w:rsid w:val="003A23CF"/>
    <w:rsid w:val="003A2B67"/>
    <w:rsid w:val="003A358A"/>
    <w:rsid w:val="003A4885"/>
    <w:rsid w:val="003A5224"/>
    <w:rsid w:val="003A576A"/>
    <w:rsid w:val="003A69AF"/>
    <w:rsid w:val="003A6F13"/>
    <w:rsid w:val="003A74A8"/>
    <w:rsid w:val="003A753C"/>
    <w:rsid w:val="003A778D"/>
    <w:rsid w:val="003B0008"/>
    <w:rsid w:val="003B0272"/>
    <w:rsid w:val="003B0472"/>
    <w:rsid w:val="003B08EB"/>
    <w:rsid w:val="003B1FD7"/>
    <w:rsid w:val="003B2000"/>
    <w:rsid w:val="003B29BA"/>
    <w:rsid w:val="003B2C35"/>
    <w:rsid w:val="003B3077"/>
    <w:rsid w:val="003B30C7"/>
    <w:rsid w:val="003B3DA6"/>
    <w:rsid w:val="003B435D"/>
    <w:rsid w:val="003B469B"/>
    <w:rsid w:val="003B4E94"/>
    <w:rsid w:val="003B54C7"/>
    <w:rsid w:val="003B5BD7"/>
    <w:rsid w:val="003B674D"/>
    <w:rsid w:val="003B7157"/>
    <w:rsid w:val="003C0618"/>
    <w:rsid w:val="003C0DD1"/>
    <w:rsid w:val="003C1526"/>
    <w:rsid w:val="003C1DE4"/>
    <w:rsid w:val="003C226C"/>
    <w:rsid w:val="003C2B38"/>
    <w:rsid w:val="003C3126"/>
    <w:rsid w:val="003C3558"/>
    <w:rsid w:val="003C3F33"/>
    <w:rsid w:val="003C4118"/>
    <w:rsid w:val="003C4857"/>
    <w:rsid w:val="003C5461"/>
    <w:rsid w:val="003C5F8A"/>
    <w:rsid w:val="003C6CA4"/>
    <w:rsid w:val="003C6CC4"/>
    <w:rsid w:val="003C70F9"/>
    <w:rsid w:val="003C766D"/>
    <w:rsid w:val="003D0325"/>
    <w:rsid w:val="003D12DD"/>
    <w:rsid w:val="003D1FD2"/>
    <w:rsid w:val="003D2845"/>
    <w:rsid w:val="003D33A2"/>
    <w:rsid w:val="003D37BD"/>
    <w:rsid w:val="003D37E9"/>
    <w:rsid w:val="003D3814"/>
    <w:rsid w:val="003D46A1"/>
    <w:rsid w:val="003D4951"/>
    <w:rsid w:val="003D5395"/>
    <w:rsid w:val="003D5841"/>
    <w:rsid w:val="003D61D0"/>
    <w:rsid w:val="003D6319"/>
    <w:rsid w:val="003D6847"/>
    <w:rsid w:val="003D6F10"/>
    <w:rsid w:val="003D6F24"/>
    <w:rsid w:val="003D721B"/>
    <w:rsid w:val="003D73B6"/>
    <w:rsid w:val="003E003A"/>
    <w:rsid w:val="003E0A78"/>
    <w:rsid w:val="003E18DD"/>
    <w:rsid w:val="003E1B28"/>
    <w:rsid w:val="003E216A"/>
    <w:rsid w:val="003E22A9"/>
    <w:rsid w:val="003E26DE"/>
    <w:rsid w:val="003E27C4"/>
    <w:rsid w:val="003E43E6"/>
    <w:rsid w:val="003E5798"/>
    <w:rsid w:val="003E5C5D"/>
    <w:rsid w:val="003E6588"/>
    <w:rsid w:val="003E682C"/>
    <w:rsid w:val="003E6C7E"/>
    <w:rsid w:val="003E74CA"/>
    <w:rsid w:val="003F0658"/>
    <w:rsid w:val="003F2281"/>
    <w:rsid w:val="003F3081"/>
    <w:rsid w:val="003F39F8"/>
    <w:rsid w:val="003F4A9F"/>
    <w:rsid w:val="003F593F"/>
    <w:rsid w:val="003F5A1C"/>
    <w:rsid w:val="003F6CDF"/>
    <w:rsid w:val="003F7379"/>
    <w:rsid w:val="0040097B"/>
    <w:rsid w:val="00402650"/>
    <w:rsid w:val="00402B68"/>
    <w:rsid w:val="00402C7D"/>
    <w:rsid w:val="0040331E"/>
    <w:rsid w:val="004038E4"/>
    <w:rsid w:val="0040391C"/>
    <w:rsid w:val="004041F0"/>
    <w:rsid w:val="004049E0"/>
    <w:rsid w:val="00404D1F"/>
    <w:rsid w:val="00404F7B"/>
    <w:rsid w:val="00405E48"/>
    <w:rsid w:val="00406070"/>
    <w:rsid w:val="00406091"/>
    <w:rsid w:val="00407C5C"/>
    <w:rsid w:val="00410258"/>
    <w:rsid w:val="00410547"/>
    <w:rsid w:val="00410916"/>
    <w:rsid w:val="00410C5D"/>
    <w:rsid w:val="00411AA8"/>
    <w:rsid w:val="00412138"/>
    <w:rsid w:val="004124F9"/>
    <w:rsid w:val="004129D6"/>
    <w:rsid w:val="00412FEF"/>
    <w:rsid w:val="0041308C"/>
    <w:rsid w:val="004151BF"/>
    <w:rsid w:val="00415728"/>
    <w:rsid w:val="0041778D"/>
    <w:rsid w:val="004224B9"/>
    <w:rsid w:val="004237E3"/>
    <w:rsid w:val="00425276"/>
    <w:rsid w:val="004265B0"/>
    <w:rsid w:val="00430640"/>
    <w:rsid w:val="00430D55"/>
    <w:rsid w:val="00430FBB"/>
    <w:rsid w:val="00431606"/>
    <w:rsid w:val="00431C61"/>
    <w:rsid w:val="0043241D"/>
    <w:rsid w:val="004324E9"/>
    <w:rsid w:val="0043397A"/>
    <w:rsid w:val="00433C7B"/>
    <w:rsid w:val="004345F8"/>
    <w:rsid w:val="00435AD7"/>
    <w:rsid w:val="004368EA"/>
    <w:rsid w:val="00436C1B"/>
    <w:rsid w:val="00440509"/>
    <w:rsid w:val="0044126B"/>
    <w:rsid w:val="004412C1"/>
    <w:rsid w:val="004418D6"/>
    <w:rsid w:val="00441C80"/>
    <w:rsid w:val="00443A80"/>
    <w:rsid w:val="0044589F"/>
    <w:rsid w:val="004460FF"/>
    <w:rsid w:val="00446219"/>
    <w:rsid w:val="0044781D"/>
    <w:rsid w:val="004508C3"/>
    <w:rsid w:val="00450CB9"/>
    <w:rsid w:val="0045162F"/>
    <w:rsid w:val="00451732"/>
    <w:rsid w:val="00452309"/>
    <w:rsid w:val="00452D99"/>
    <w:rsid w:val="004530A0"/>
    <w:rsid w:val="0045391D"/>
    <w:rsid w:val="00455FD8"/>
    <w:rsid w:val="0045626D"/>
    <w:rsid w:val="004565D7"/>
    <w:rsid w:val="00457B7E"/>
    <w:rsid w:val="0046051A"/>
    <w:rsid w:val="00460604"/>
    <w:rsid w:val="00460F4F"/>
    <w:rsid w:val="00463446"/>
    <w:rsid w:val="00463449"/>
    <w:rsid w:val="004637A3"/>
    <w:rsid w:val="00465594"/>
    <w:rsid w:val="004657C2"/>
    <w:rsid w:val="00465F34"/>
    <w:rsid w:val="004666A2"/>
    <w:rsid w:val="0046692F"/>
    <w:rsid w:val="0046756E"/>
    <w:rsid w:val="00467851"/>
    <w:rsid w:val="00467C04"/>
    <w:rsid w:val="004707B0"/>
    <w:rsid w:val="00470CE3"/>
    <w:rsid w:val="00471C2A"/>
    <w:rsid w:val="00471DDE"/>
    <w:rsid w:val="00472A7D"/>
    <w:rsid w:val="00472BCC"/>
    <w:rsid w:val="0047485E"/>
    <w:rsid w:val="0047521B"/>
    <w:rsid w:val="00475CA3"/>
    <w:rsid w:val="004767C1"/>
    <w:rsid w:val="00476963"/>
    <w:rsid w:val="00476E96"/>
    <w:rsid w:val="00480212"/>
    <w:rsid w:val="00481ABF"/>
    <w:rsid w:val="004826DE"/>
    <w:rsid w:val="00482FAD"/>
    <w:rsid w:val="00483100"/>
    <w:rsid w:val="004832AF"/>
    <w:rsid w:val="00484776"/>
    <w:rsid w:val="00484966"/>
    <w:rsid w:val="004852AA"/>
    <w:rsid w:val="00490995"/>
    <w:rsid w:val="004909D3"/>
    <w:rsid w:val="00490F51"/>
    <w:rsid w:val="0049185C"/>
    <w:rsid w:val="00491E4E"/>
    <w:rsid w:val="00492920"/>
    <w:rsid w:val="004938C3"/>
    <w:rsid w:val="00494849"/>
    <w:rsid w:val="00494DB0"/>
    <w:rsid w:val="00495D7B"/>
    <w:rsid w:val="00496369"/>
    <w:rsid w:val="00496776"/>
    <w:rsid w:val="004971D2"/>
    <w:rsid w:val="00497C5B"/>
    <w:rsid w:val="00497E17"/>
    <w:rsid w:val="004A0587"/>
    <w:rsid w:val="004A0E26"/>
    <w:rsid w:val="004A11EA"/>
    <w:rsid w:val="004A1982"/>
    <w:rsid w:val="004A2AD3"/>
    <w:rsid w:val="004A362B"/>
    <w:rsid w:val="004A43BB"/>
    <w:rsid w:val="004A653D"/>
    <w:rsid w:val="004A6973"/>
    <w:rsid w:val="004A69F1"/>
    <w:rsid w:val="004A7BD6"/>
    <w:rsid w:val="004B018D"/>
    <w:rsid w:val="004B1EDA"/>
    <w:rsid w:val="004B1FCA"/>
    <w:rsid w:val="004B2DFD"/>
    <w:rsid w:val="004B34EE"/>
    <w:rsid w:val="004B37C5"/>
    <w:rsid w:val="004B4602"/>
    <w:rsid w:val="004B4FF3"/>
    <w:rsid w:val="004B67DB"/>
    <w:rsid w:val="004B682C"/>
    <w:rsid w:val="004B689D"/>
    <w:rsid w:val="004C0AF5"/>
    <w:rsid w:val="004C28F3"/>
    <w:rsid w:val="004C2CBC"/>
    <w:rsid w:val="004C36F6"/>
    <w:rsid w:val="004C4B76"/>
    <w:rsid w:val="004C5635"/>
    <w:rsid w:val="004C56C6"/>
    <w:rsid w:val="004C5F5C"/>
    <w:rsid w:val="004C786F"/>
    <w:rsid w:val="004D1E2A"/>
    <w:rsid w:val="004D230D"/>
    <w:rsid w:val="004D259C"/>
    <w:rsid w:val="004D3158"/>
    <w:rsid w:val="004D4979"/>
    <w:rsid w:val="004D49D5"/>
    <w:rsid w:val="004D4DCF"/>
    <w:rsid w:val="004D5070"/>
    <w:rsid w:val="004D52DE"/>
    <w:rsid w:val="004D5451"/>
    <w:rsid w:val="004D54BB"/>
    <w:rsid w:val="004D5B87"/>
    <w:rsid w:val="004D62F0"/>
    <w:rsid w:val="004D75E2"/>
    <w:rsid w:val="004D7CE6"/>
    <w:rsid w:val="004E1387"/>
    <w:rsid w:val="004E17B6"/>
    <w:rsid w:val="004E180B"/>
    <w:rsid w:val="004E20C7"/>
    <w:rsid w:val="004E2F22"/>
    <w:rsid w:val="004E3728"/>
    <w:rsid w:val="004E3D5F"/>
    <w:rsid w:val="004E3D89"/>
    <w:rsid w:val="004E4F99"/>
    <w:rsid w:val="004E64DD"/>
    <w:rsid w:val="004E7720"/>
    <w:rsid w:val="004E7A94"/>
    <w:rsid w:val="004F04D3"/>
    <w:rsid w:val="004F0E5B"/>
    <w:rsid w:val="004F0EBE"/>
    <w:rsid w:val="004F1079"/>
    <w:rsid w:val="004F167D"/>
    <w:rsid w:val="004F1807"/>
    <w:rsid w:val="004F192B"/>
    <w:rsid w:val="004F19A4"/>
    <w:rsid w:val="004F1CB5"/>
    <w:rsid w:val="004F1DE0"/>
    <w:rsid w:val="004F20C0"/>
    <w:rsid w:val="004F27F3"/>
    <w:rsid w:val="004F2974"/>
    <w:rsid w:val="004F3B17"/>
    <w:rsid w:val="004F3B25"/>
    <w:rsid w:val="004F3CCE"/>
    <w:rsid w:val="004F5160"/>
    <w:rsid w:val="004F53AE"/>
    <w:rsid w:val="004F6B1D"/>
    <w:rsid w:val="004F7B91"/>
    <w:rsid w:val="004F7D8D"/>
    <w:rsid w:val="00500216"/>
    <w:rsid w:val="005003C8"/>
    <w:rsid w:val="00500613"/>
    <w:rsid w:val="005014C6"/>
    <w:rsid w:val="00501DA1"/>
    <w:rsid w:val="00502736"/>
    <w:rsid w:val="005032F6"/>
    <w:rsid w:val="00503CA9"/>
    <w:rsid w:val="005053DD"/>
    <w:rsid w:val="00505DE8"/>
    <w:rsid w:val="00506703"/>
    <w:rsid w:val="00506AC6"/>
    <w:rsid w:val="0050741F"/>
    <w:rsid w:val="00511121"/>
    <w:rsid w:val="00511520"/>
    <w:rsid w:val="005117EB"/>
    <w:rsid w:val="00512A04"/>
    <w:rsid w:val="0051376C"/>
    <w:rsid w:val="005146E4"/>
    <w:rsid w:val="00514E1B"/>
    <w:rsid w:val="005160B9"/>
    <w:rsid w:val="0052065D"/>
    <w:rsid w:val="0052077C"/>
    <w:rsid w:val="00520AF1"/>
    <w:rsid w:val="00521212"/>
    <w:rsid w:val="00521351"/>
    <w:rsid w:val="00522056"/>
    <w:rsid w:val="00522110"/>
    <w:rsid w:val="005231D4"/>
    <w:rsid w:val="0052344D"/>
    <w:rsid w:val="0052347E"/>
    <w:rsid w:val="00524E3D"/>
    <w:rsid w:val="005265A2"/>
    <w:rsid w:val="00526711"/>
    <w:rsid w:val="00526849"/>
    <w:rsid w:val="00526E6F"/>
    <w:rsid w:val="005302A4"/>
    <w:rsid w:val="0053031E"/>
    <w:rsid w:val="005304FC"/>
    <w:rsid w:val="00531107"/>
    <w:rsid w:val="00531494"/>
    <w:rsid w:val="0053187B"/>
    <w:rsid w:val="00531FAE"/>
    <w:rsid w:val="00532FA8"/>
    <w:rsid w:val="0053387E"/>
    <w:rsid w:val="0053535A"/>
    <w:rsid w:val="00535598"/>
    <w:rsid w:val="00536969"/>
    <w:rsid w:val="00537351"/>
    <w:rsid w:val="0053749A"/>
    <w:rsid w:val="005374E5"/>
    <w:rsid w:val="00537DF4"/>
    <w:rsid w:val="00537EB1"/>
    <w:rsid w:val="00537FA5"/>
    <w:rsid w:val="0054071D"/>
    <w:rsid w:val="00542700"/>
    <w:rsid w:val="00542C4F"/>
    <w:rsid w:val="00543309"/>
    <w:rsid w:val="005433C5"/>
    <w:rsid w:val="00543C59"/>
    <w:rsid w:val="00543CBB"/>
    <w:rsid w:val="0054413A"/>
    <w:rsid w:val="005442FD"/>
    <w:rsid w:val="00545ACD"/>
    <w:rsid w:val="005460C2"/>
    <w:rsid w:val="0054644E"/>
    <w:rsid w:val="00546BC5"/>
    <w:rsid w:val="00546CA3"/>
    <w:rsid w:val="00546D68"/>
    <w:rsid w:val="00550061"/>
    <w:rsid w:val="00550724"/>
    <w:rsid w:val="005514F9"/>
    <w:rsid w:val="005528E6"/>
    <w:rsid w:val="00553481"/>
    <w:rsid w:val="00553549"/>
    <w:rsid w:val="00554710"/>
    <w:rsid w:val="00556172"/>
    <w:rsid w:val="0055619A"/>
    <w:rsid w:val="00560392"/>
    <w:rsid w:val="0056132C"/>
    <w:rsid w:val="00561452"/>
    <w:rsid w:val="005629FA"/>
    <w:rsid w:val="0056368D"/>
    <w:rsid w:val="00564B31"/>
    <w:rsid w:val="00564ED7"/>
    <w:rsid w:val="0056521F"/>
    <w:rsid w:val="005654BD"/>
    <w:rsid w:val="00565574"/>
    <w:rsid w:val="00566110"/>
    <w:rsid w:val="00566357"/>
    <w:rsid w:val="00567849"/>
    <w:rsid w:val="005700B5"/>
    <w:rsid w:val="00570837"/>
    <w:rsid w:val="0057251D"/>
    <w:rsid w:val="00573771"/>
    <w:rsid w:val="005744BA"/>
    <w:rsid w:val="00574D8A"/>
    <w:rsid w:val="00575F10"/>
    <w:rsid w:val="00576947"/>
    <w:rsid w:val="0058017C"/>
    <w:rsid w:val="00580D3F"/>
    <w:rsid w:val="00581F19"/>
    <w:rsid w:val="0058226C"/>
    <w:rsid w:val="00582ED6"/>
    <w:rsid w:val="00583ED3"/>
    <w:rsid w:val="0058412F"/>
    <w:rsid w:val="005849FE"/>
    <w:rsid w:val="00584FC4"/>
    <w:rsid w:val="005857AC"/>
    <w:rsid w:val="00585BC5"/>
    <w:rsid w:val="00587068"/>
    <w:rsid w:val="0058710D"/>
    <w:rsid w:val="00587D7B"/>
    <w:rsid w:val="005917D7"/>
    <w:rsid w:val="00591AE9"/>
    <w:rsid w:val="00594777"/>
    <w:rsid w:val="00594F57"/>
    <w:rsid w:val="005951B2"/>
    <w:rsid w:val="00595273"/>
    <w:rsid w:val="0059578B"/>
    <w:rsid w:val="00596320"/>
    <w:rsid w:val="00596C7D"/>
    <w:rsid w:val="0059766D"/>
    <w:rsid w:val="00597744"/>
    <w:rsid w:val="005A0227"/>
    <w:rsid w:val="005A065F"/>
    <w:rsid w:val="005A06E6"/>
    <w:rsid w:val="005A0F85"/>
    <w:rsid w:val="005A3615"/>
    <w:rsid w:val="005A383A"/>
    <w:rsid w:val="005A4106"/>
    <w:rsid w:val="005A4F33"/>
    <w:rsid w:val="005A5114"/>
    <w:rsid w:val="005A5697"/>
    <w:rsid w:val="005A582F"/>
    <w:rsid w:val="005A68E3"/>
    <w:rsid w:val="005A7524"/>
    <w:rsid w:val="005A7A45"/>
    <w:rsid w:val="005A7AB3"/>
    <w:rsid w:val="005A7B0B"/>
    <w:rsid w:val="005B0192"/>
    <w:rsid w:val="005B1536"/>
    <w:rsid w:val="005B1955"/>
    <w:rsid w:val="005B21C4"/>
    <w:rsid w:val="005B30FD"/>
    <w:rsid w:val="005B40F2"/>
    <w:rsid w:val="005B4F13"/>
    <w:rsid w:val="005B6EA5"/>
    <w:rsid w:val="005B76D4"/>
    <w:rsid w:val="005C081B"/>
    <w:rsid w:val="005C0ADF"/>
    <w:rsid w:val="005C1383"/>
    <w:rsid w:val="005C1890"/>
    <w:rsid w:val="005C33E6"/>
    <w:rsid w:val="005C3555"/>
    <w:rsid w:val="005C3CC9"/>
    <w:rsid w:val="005C445B"/>
    <w:rsid w:val="005C4D76"/>
    <w:rsid w:val="005C67BC"/>
    <w:rsid w:val="005C6EB3"/>
    <w:rsid w:val="005D04A7"/>
    <w:rsid w:val="005D08B3"/>
    <w:rsid w:val="005D107C"/>
    <w:rsid w:val="005D2736"/>
    <w:rsid w:val="005D3701"/>
    <w:rsid w:val="005D38A1"/>
    <w:rsid w:val="005D3BE6"/>
    <w:rsid w:val="005D465D"/>
    <w:rsid w:val="005D7DC4"/>
    <w:rsid w:val="005D7EEE"/>
    <w:rsid w:val="005E0AED"/>
    <w:rsid w:val="005E0DCC"/>
    <w:rsid w:val="005E0E6C"/>
    <w:rsid w:val="005E17D5"/>
    <w:rsid w:val="005E1929"/>
    <w:rsid w:val="005E23E9"/>
    <w:rsid w:val="005E24C7"/>
    <w:rsid w:val="005E2872"/>
    <w:rsid w:val="005E2B47"/>
    <w:rsid w:val="005E37BB"/>
    <w:rsid w:val="005E3F25"/>
    <w:rsid w:val="005E61B4"/>
    <w:rsid w:val="005E620E"/>
    <w:rsid w:val="005E6810"/>
    <w:rsid w:val="005E6E65"/>
    <w:rsid w:val="005E70CC"/>
    <w:rsid w:val="005E7562"/>
    <w:rsid w:val="005E7C90"/>
    <w:rsid w:val="005F064F"/>
    <w:rsid w:val="005F0BA9"/>
    <w:rsid w:val="005F0C97"/>
    <w:rsid w:val="005F0D5F"/>
    <w:rsid w:val="005F2B2B"/>
    <w:rsid w:val="005F33DF"/>
    <w:rsid w:val="005F61A3"/>
    <w:rsid w:val="005F6764"/>
    <w:rsid w:val="005F67FB"/>
    <w:rsid w:val="00601DD7"/>
    <w:rsid w:val="0060200E"/>
    <w:rsid w:val="00603DF6"/>
    <w:rsid w:val="00604703"/>
    <w:rsid w:val="006048A8"/>
    <w:rsid w:val="006049AA"/>
    <w:rsid w:val="00604C3E"/>
    <w:rsid w:val="006057B9"/>
    <w:rsid w:val="00606944"/>
    <w:rsid w:val="0060748A"/>
    <w:rsid w:val="0060749C"/>
    <w:rsid w:val="0060788A"/>
    <w:rsid w:val="00607F93"/>
    <w:rsid w:val="006103DC"/>
    <w:rsid w:val="006111E0"/>
    <w:rsid w:val="006117B4"/>
    <w:rsid w:val="0061185E"/>
    <w:rsid w:val="00611C88"/>
    <w:rsid w:val="00611D74"/>
    <w:rsid w:val="006126D7"/>
    <w:rsid w:val="006138A8"/>
    <w:rsid w:val="00613A94"/>
    <w:rsid w:val="00616887"/>
    <w:rsid w:val="00616D62"/>
    <w:rsid w:val="00617678"/>
    <w:rsid w:val="0062184B"/>
    <w:rsid w:val="00622368"/>
    <w:rsid w:val="006241C5"/>
    <w:rsid w:val="006243E2"/>
    <w:rsid w:val="00624AA6"/>
    <w:rsid w:val="00625678"/>
    <w:rsid w:val="00625C39"/>
    <w:rsid w:val="00625FA7"/>
    <w:rsid w:val="0062714F"/>
    <w:rsid w:val="00630C50"/>
    <w:rsid w:val="006314D8"/>
    <w:rsid w:val="00631599"/>
    <w:rsid w:val="006317A0"/>
    <w:rsid w:val="006326F0"/>
    <w:rsid w:val="00632FF4"/>
    <w:rsid w:val="00633856"/>
    <w:rsid w:val="0063577A"/>
    <w:rsid w:val="00636CC1"/>
    <w:rsid w:val="00636F5A"/>
    <w:rsid w:val="0064018C"/>
    <w:rsid w:val="00641BDD"/>
    <w:rsid w:val="0064211B"/>
    <w:rsid w:val="0064257D"/>
    <w:rsid w:val="00642D98"/>
    <w:rsid w:val="00643690"/>
    <w:rsid w:val="006437E6"/>
    <w:rsid w:val="00644660"/>
    <w:rsid w:val="00644672"/>
    <w:rsid w:val="00644FE1"/>
    <w:rsid w:val="006451B1"/>
    <w:rsid w:val="006452D0"/>
    <w:rsid w:val="00645E55"/>
    <w:rsid w:val="00645EDD"/>
    <w:rsid w:val="00647BE3"/>
    <w:rsid w:val="00650086"/>
    <w:rsid w:val="00650378"/>
    <w:rsid w:val="00650412"/>
    <w:rsid w:val="0065362A"/>
    <w:rsid w:val="00653B67"/>
    <w:rsid w:val="00653E42"/>
    <w:rsid w:val="00654228"/>
    <w:rsid w:val="00656D3B"/>
    <w:rsid w:val="00657761"/>
    <w:rsid w:val="00660E43"/>
    <w:rsid w:val="00661793"/>
    <w:rsid w:val="006627D3"/>
    <w:rsid w:val="0066378C"/>
    <w:rsid w:val="00663963"/>
    <w:rsid w:val="00663E4B"/>
    <w:rsid w:val="00664ED3"/>
    <w:rsid w:val="00666E9B"/>
    <w:rsid w:val="00667F8E"/>
    <w:rsid w:val="00670D23"/>
    <w:rsid w:val="00671034"/>
    <w:rsid w:val="00671233"/>
    <w:rsid w:val="00671538"/>
    <w:rsid w:val="0067191D"/>
    <w:rsid w:val="00671DC5"/>
    <w:rsid w:val="00671E44"/>
    <w:rsid w:val="00671F2E"/>
    <w:rsid w:val="006729C4"/>
    <w:rsid w:val="00673076"/>
    <w:rsid w:val="00673569"/>
    <w:rsid w:val="00673892"/>
    <w:rsid w:val="00673E71"/>
    <w:rsid w:val="00673F95"/>
    <w:rsid w:val="006749C3"/>
    <w:rsid w:val="00674C36"/>
    <w:rsid w:val="006765F0"/>
    <w:rsid w:val="0067662B"/>
    <w:rsid w:val="00681A1F"/>
    <w:rsid w:val="00681AC8"/>
    <w:rsid w:val="00681C68"/>
    <w:rsid w:val="0068473A"/>
    <w:rsid w:val="00685F68"/>
    <w:rsid w:val="00686E77"/>
    <w:rsid w:val="00686E94"/>
    <w:rsid w:val="006913AC"/>
    <w:rsid w:val="00691487"/>
    <w:rsid w:val="00691AC6"/>
    <w:rsid w:val="00692146"/>
    <w:rsid w:val="006921D8"/>
    <w:rsid w:val="006924CC"/>
    <w:rsid w:val="0069393F"/>
    <w:rsid w:val="00693A21"/>
    <w:rsid w:val="006946C4"/>
    <w:rsid w:val="00695007"/>
    <w:rsid w:val="00695CEE"/>
    <w:rsid w:val="00696C14"/>
    <w:rsid w:val="00696E0A"/>
    <w:rsid w:val="00697A02"/>
    <w:rsid w:val="00697BD6"/>
    <w:rsid w:val="006A14E4"/>
    <w:rsid w:val="006A1B40"/>
    <w:rsid w:val="006A1D4B"/>
    <w:rsid w:val="006A26C1"/>
    <w:rsid w:val="006A2C5A"/>
    <w:rsid w:val="006A2E12"/>
    <w:rsid w:val="006A2E18"/>
    <w:rsid w:val="006A34B6"/>
    <w:rsid w:val="006A3CD4"/>
    <w:rsid w:val="006A49F3"/>
    <w:rsid w:val="006A5050"/>
    <w:rsid w:val="006A686E"/>
    <w:rsid w:val="006A7D4C"/>
    <w:rsid w:val="006B03CC"/>
    <w:rsid w:val="006B1E16"/>
    <w:rsid w:val="006B3B94"/>
    <w:rsid w:val="006B3EFC"/>
    <w:rsid w:val="006B4B22"/>
    <w:rsid w:val="006B5379"/>
    <w:rsid w:val="006B5C13"/>
    <w:rsid w:val="006B5C55"/>
    <w:rsid w:val="006B5CB3"/>
    <w:rsid w:val="006B5CDA"/>
    <w:rsid w:val="006B60F3"/>
    <w:rsid w:val="006B6637"/>
    <w:rsid w:val="006B6EF5"/>
    <w:rsid w:val="006B6F2C"/>
    <w:rsid w:val="006C05E5"/>
    <w:rsid w:val="006C062A"/>
    <w:rsid w:val="006C0D16"/>
    <w:rsid w:val="006C18BC"/>
    <w:rsid w:val="006C2C5C"/>
    <w:rsid w:val="006C2D8E"/>
    <w:rsid w:val="006C2E65"/>
    <w:rsid w:val="006C30EA"/>
    <w:rsid w:val="006C3802"/>
    <w:rsid w:val="006C39BA"/>
    <w:rsid w:val="006C41DE"/>
    <w:rsid w:val="006C43E5"/>
    <w:rsid w:val="006C4AD1"/>
    <w:rsid w:val="006C4F59"/>
    <w:rsid w:val="006C5A65"/>
    <w:rsid w:val="006C6B19"/>
    <w:rsid w:val="006C7130"/>
    <w:rsid w:val="006C746E"/>
    <w:rsid w:val="006C7885"/>
    <w:rsid w:val="006D0462"/>
    <w:rsid w:val="006D0D50"/>
    <w:rsid w:val="006D0F52"/>
    <w:rsid w:val="006D14AB"/>
    <w:rsid w:val="006D322C"/>
    <w:rsid w:val="006D43C9"/>
    <w:rsid w:val="006D49FF"/>
    <w:rsid w:val="006D5CD2"/>
    <w:rsid w:val="006D6A15"/>
    <w:rsid w:val="006D6B94"/>
    <w:rsid w:val="006D749D"/>
    <w:rsid w:val="006D7778"/>
    <w:rsid w:val="006E030F"/>
    <w:rsid w:val="006E0EDD"/>
    <w:rsid w:val="006E2814"/>
    <w:rsid w:val="006E3417"/>
    <w:rsid w:val="006E4139"/>
    <w:rsid w:val="006E430F"/>
    <w:rsid w:val="006E4CC6"/>
    <w:rsid w:val="006E4E4C"/>
    <w:rsid w:val="006E60A7"/>
    <w:rsid w:val="006E66A7"/>
    <w:rsid w:val="006E7EB9"/>
    <w:rsid w:val="006F017B"/>
    <w:rsid w:val="006F06B2"/>
    <w:rsid w:val="006F1643"/>
    <w:rsid w:val="006F194B"/>
    <w:rsid w:val="006F1965"/>
    <w:rsid w:val="006F26EA"/>
    <w:rsid w:val="006F2914"/>
    <w:rsid w:val="006F3220"/>
    <w:rsid w:val="006F3AC0"/>
    <w:rsid w:val="006F3B78"/>
    <w:rsid w:val="006F43E4"/>
    <w:rsid w:val="006F612C"/>
    <w:rsid w:val="006F62F5"/>
    <w:rsid w:val="006F6C5A"/>
    <w:rsid w:val="006F7C75"/>
    <w:rsid w:val="0070042E"/>
    <w:rsid w:val="00700772"/>
    <w:rsid w:val="00700E74"/>
    <w:rsid w:val="00700FA0"/>
    <w:rsid w:val="007011A8"/>
    <w:rsid w:val="007015E6"/>
    <w:rsid w:val="007020B1"/>
    <w:rsid w:val="00702E31"/>
    <w:rsid w:val="007035D0"/>
    <w:rsid w:val="00703D63"/>
    <w:rsid w:val="00703F85"/>
    <w:rsid w:val="007044A1"/>
    <w:rsid w:val="00705D7D"/>
    <w:rsid w:val="00706DD9"/>
    <w:rsid w:val="0070781A"/>
    <w:rsid w:val="00710A83"/>
    <w:rsid w:val="00711798"/>
    <w:rsid w:val="007117F9"/>
    <w:rsid w:val="007118BC"/>
    <w:rsid w:val="00712EA0"/>
    <w:rsid w:val="00712F37"/>
    <w:rsid w:val="00713065"/>
    <w:rsid w:val="007132ED"/>
    <w:rsid w:val="00716753"/>
    <w:rsid w:val="00716CD1"/>
    <w:rsid w:val="00716EDE"/>
    <w:rsid w:val="0071739B"/>
    <w:rsid w:val="007173A5"/>
    <w:rsid w:val="0072051E"/>
    <w:rsid w:val="007205E7"/>
    <w:rsid w:val="00720A06"/>
    <w:rsid w:val="00720D82"/>
    <w:rsid w:val="00721075"/>
    <w:rsid w:val="00721224"/>
    <w:rsid w:val="00721938"/>
    <w:rsid w:val="007226BB"/>
    <w:rsid w:val="00722C8C"/>
    <w:rsid w:val="007239B9"/>
    <w:rsid w:val="00723B3C"/>
    <w:rsid w:val="00723C0F"/>
    <w:rsid w:val="00724138"/>
    <w:rsid w:val="00724BE2"/>
    <w:rsid w:val="00724FEC"/>
    <w:rsid w:val="00725101"/>
    <w:rsid w:val="00725230"/>
    <w:rsid w:val="00725924"/>
    <w:rsid w:val="00725F76"/>
    <w:rsid w:val="00726C26"/>
    <w:rsid w:val="00727682"/>
    <w:rsid w:val="007277E8"/>
    <w:rsid w:val="00730373"/>
    <w:rsid w:val="00730713"/>
    <w:rsid w:val="0073114C"/>
    <w:rsid w:val="00732F3B"/>
    <w:rsid w:val="00733C10"/>
    <w:rsid w:val="00734BDA"/>
    <w:rsid w:val="00734C35"/>
    <w:rsid w:val="00734E51"/>
    <w:rsid w:val="00734FE3"/>
    <w:rsid w:val="007357EA"/>
    <w:rsid w:val="00736947"/>
    <w:rsid w:val="00736BC2"/>
    <w:rsid w:val="007401C8"/>
    <w:rsid w:val="007412FC"/>
    <w:rsid w:val="00741B4B"/>
    <w:rsid w:val="00741CC8"/>
    <w:rsid w:val="0074229F"/>
    <w:rsid w:val="007423FC"/>
    <w:rsid w:val="00742BD4"/>
    <w:rsid w:val="007432B8"/>
    <w:rsid w:val="00743D6E"/>
    <w:rsid w:val="00743F9E"/>
    <w:rsid w:val="0074417C"/>
    <w:rsid w:val="00744A80"/>
    <w:rsid w:val="00744D34"/>
    <w:rsid w:val="00744D65"/>
    <w:rsid w:val="00745308"/>
    <w:rsid w:val="00745783"/>
    <w:rsid w:val="007457C8"/>
    <w:rsid w:val="00745C80"/>
    <w:rsid w:val="0074646C"/>
    <w:rsid w:val="00746E9B"/>
    <w:rsid w:val="00750437"/>
    <w:rsid w:val="00750673"/>
    <w:rsid w:val="00750823"/>
    <w:rsid w:val="00750873"/>
    <w:rsid w:val="00750EAB"/>
    <w:rsid w:val="00751626"/>
    <w:rsid w:val="00751F3C"/>
    <w:rsid w:val="00752373"/>
    <w:rsid w:val="00752AA6"/>
    <w:rsid w:val="00752F4D"/>
    <w:rsid w:val="007530A7"/>
    <w:rsid w:val="007534C5"/>
    <w:rsid w:val="0075386C"/>
    <w:rsid w:val="0075400C"/>
    <w:rsid w:val="00754029"/>
    <w:rsid w:val="007555C1"/>
    <w:rsid w:val="007559E7"/>
    <w:rsid w:val="007564F1"/>
    <w:rsid w:val="00756614"/>
    <w:rsid w:val="007572ED"/>
    <w:rsid w:val="007577C0"/>
    <w:rsid w:val="0076012C"/>
    <w:rsid w:val="00761190"/>
    <w:rsid w:val="00761E36"/>
    <w:rsid w:val="0076359E"/>
    <w:rsid w:val="007635E0"/>
    <w:rsid w:val="00763ACE"/>
    <w:rsid w:val="00763AE1"/>
    <w:rsid w:val="00763D4F"/>
    <w:rsid w:val="00763F56"/>
    <w:rsid w:val="00764211"/>
    <w:rsid w:val="00765886"/>
    <w:rsid w:val="00765D9F"/>
    <w:rsid w:val="00765F01"/>
    <w:rsid w:val="0076691C"/>
    <w:rsid w:val="00766DB3"/>
    <w:rsid w:val="00767BB8"/>
    <w:rsid w:val="00767EA2"/>
    <w:rsid w:val="00770036"/>
    <w:rsid w:val="00770986"/>
    <w:rsid w:val="00770F77"/>
    <w:rsid w:val="007718B7"/>
    <w:rsid w:val="007735AB"/>
    <w:rsid w:val="007739E7"/>
    <w:rsid w:val="007743A2"/>
    <w:rsid w:val="00774D1B"/>
    <w:rsid w:val="0077615F"/>
    <w:rsid w:val="00777271"/>
    <w:rsid w:val="00777EEF"/>
    <w:rsid w:val="00782342"/>
    <w:rsid w:val="00782E29"/>
    <w:rsid w:val="00782EC2"/>
    <w:rsid w:val="0078372A"/>
    <w:rsid w:val="00784968"/>
    <w:rsid w:val="00784A07"/>
    <w:rsid w:val="0078533A"/>
    <w:rsid w:val="00785D6E"/>
    <w:rsid w:val="00786DC8"/>
    <w:rsid w:val="0078713F"/>
    <w:rsid w:val="007874C3"/>
    <w:rsid w:val="0079089C"/>
    <w:rsid w:val="00790EA0"/>
    <w:rsid w:val="007914EC"/>
    <w:rsid w:val="00791970"/>
    <w:rsid w:val="00792200"/>
    <w:rsid w:val="00792756"/>
    <w:rsid w:val="00793245"/>
    <w:rsid w:val="007934F8"/>
    <w:rsid w:val="00795749"/>
    <w:rsid w:val="00795AF9"/>
    <w:rsid w:val="00795E90"/>
    <w:rsid w:val="00796916"/>
    <w:rsid w:val="0079693A"/>
    <w:rsid w:val="00796DB3"/>
    <w:rsid w:val="00797300"/>
    <w:rsid w:val="0079799A"/>
    <w:rsid w:val="00797AFD"/>
    <w:rsid w:val="007A03EA"/>
    <w:rsid w:val="007A0CD7"/>
    <w:rsid w:val="007A0E34"/>
    <w:rsid w:val="007A1C0A"/>
    <w:rsid w:val="007A2FBE"/>
    <w:rsid w:val="007A3109"/>
    <w:rsid w:val="007A3305"/>
    <w:rsid w:val="007A3939"/>
    <w:rsid w:val="007A3A61"/>
    <w:rsid w:val="007A4096"/>
    <w:rsid w:val="007A4BB6"/>
    <w:rsid w:val="007A4D06"/>
    <w:rsid w:val="007A508B"/>
    <w:rsid w:val="007A611F"/>
    <w:rsid w:val="007A6B01"/>
    <w:rsid w:val="007A7687"/>
    <w:rsid w:val="007A7D0A"/>
    <w:rsid w:val="007B0E3B"/>
    <w:rsid w:val="007B0E82"/>
    <w:rsid w:val="007B1C89"/>
    <w:rsid w:val="007B1FAE"/>
    <w:rsid w:val="007B2460"/>
    <w:rsid w:val="007B2652"/>
    <w:rsid w:val="007B3370"/>
    <w:rsid w:val="007B3911"/>
    <w:rsid w:val="007B41A4"/>
    <w:rsid w:val="007B41D7"/>
    <w:rsid w:val="007B4B54"/>
    <w:rsid w:val="007B57ED"/>
    <w:rsid w:val="007B6572"/>
    <w:rsid w:val="007C05D8"/>
    <w:rsid w:val="007C0758"/>
    <w:rsid w:val="007C11CD"/>
    <w:rsid w:val="007C1386"/>
    <w:rsid w:val="007C1E72"/>
    <w:rsid w:val="007C218E"/>
    <w:rsid w:val="007C2808"/>
    <w:rsid w:val="007C2A66"/>
    <w:rsid w:val="007C2A95"/>
    <w:rsid w:val="007C2EC5"/>
    <w:rsid w:val="007C440A"/>
    <w:rsid w:val="007C4C0C"/>
    <w:rsid w:val="007C4CDD"/>
    <w:rsid w:val="007C4EF4"/>
    <w:rsid w:val="007C55DA"/>
    <w:rsid w:val="007C629F"/>
    <w:rsid w:val="007C6615"/>
    <w:rsid w:val="007C683B"/>
    <w:rsid w:val="007C772F"/>
    <w:rsid w:val="007D103D"/>
    <w:rsid w:val="007D1F56"/>
    <w:rsid w:val="007D3655"/>
    <w:rsid w:val="007D59B2"/>
    <w:rsid w:val="007D61EE"/>
    <w:rsid w:val="007D665A"/>
    <w:rsid w:val="007D6C0E"/>
    <w:rsid w:val="007D78C5"/>
    <w:rsid w:val="007E10D0"/>
    <w:rsid w:val="007E2710"/>
    <w:rsid w:val="007E292B"/>
    <w:rsid w:val="007E32A6"/>
    <w:rsid w:val="007E4222"/>
    <w:rsid w:val="007E49D7"/>
    <w:rsid w:val="007E4AC7"/>
    <w:rsid w:val="007E5BB7"/>
    <w:rsid w:val="007E6344"/>
    <w:rsid w:val="007E64AF"/>
    <w:rsid w:val="007E6EC0"/>
    <w:rsid w:val="007E7CD5"/>
    <w:rsid w:val="007F07FA"/>
    <w:rsid w:val="007F168D"/>
    <w:rsid w:val="007F284C"/>
    <w:rsid w:val="007F2BC9"/>
    <w:rsid w:val="007F32D5"/>
    <w:rsid w:val="007F3C35"/>
    <w:rsid w:val="007F6A46"/>
    <w:rsid w:val="007F6DD1"/>
    <w:rsid w:val="007F6F98"/>
    <w:rsid w:val="007F702D"/>
    <w:rsid w:val="007F719B"/>
    <w:rsid w:val="007F7A70"/>
    <w:rsid w:val="00800FE9"/>
    <w:rsid w:val="008013BB"/>
    <w:rsid w:val="00801CE5"/>
    <w:rsid w:val="00801F9B"/>
    <w:rsid w:val="008021C0"/>
    <w:rsid w:val="0080309C"/>
    <w:rsid w:val="00806C89"/>
    <w:rsid w:val="0081093A"/>
    <w:rsid w:val="0081168E"/>
    <w:rsid w:val="008124B2"/>
    <w:rsid w:val="00812846"/>
    <w:rsid w:val="00812F69"/>
    <w:rsid w:val="00814294"/>
    <w:rsid w:val="00814918"/>
    <w:rsid w:val="00814B74"/>
    <w:rsid w:val="00814FD3"/>
    <w:rsid w:val="008159E2"/>
    <w:rsid w:val="008171BF"/>
    <w:rsid w:val="008179D0"/>
    <w:rsid w:val="00817B47"/>
    <w:rsid w:val="00817B48"/>
    <w:rsid w:val="008201AF"/>
    <w:rsid w:val="00820263"/>
    <w:rsid w:val="008203CC"/>
    <w:rsid w:val="008210AC"/>
    <w:rsid w:val="00821E60"/>
    <w:rsid w:val="00822916"/>
    <w:rsid w:val="00822F60"/>
    <w:rsid w:val="0082327A"/>
    <w:rsid w:val="0082354C"/>
    <w:rsid w:val="00823E1B"/>
    <w:rsid w:val="008248B5"/>
    <w:rsid w:val="00825856"/>
    <w:rsid w:val="00826027"/>
    <w:rsid w:val="00826827"/>
    <w:rsid w:val="00826A20"/>
    <w:rsid w:val="00827A31"/>
    <w:rsid w:val="00830BCB"/>
    <w:rsid w:val="00830E6E"/>
    <w:rsid w:val="0083208C"/>
    <w:rsid w:val="00833408"/>
    <w:rsid w:val="008341DD"/>
    <w:rsid w:val="00834CFE"/>
    <w:rsid w:val="00834E8B"/>
    <w:rsid w:val="00835D6A"/>
    <w:rsid w:val="0083614A"/>
    <w:rsid w:val="00836E53"/>
    <w:rsid w:val="0083759C"/>
    <w:rsid w:val="00837DC0"/>
    <w:rsid w:val="00840607"/>
    <w:rsid w:val="00842EE9"/>
    <w:rsid w:val="00843128"/>
    <w:rsid w:val="00843C44"/>
    <w:rsid w:val="00843F5A"/>
    <w:rsid w:val="0084428B"/>
    <w:rsid w:val="008451B9"/>
    <w:rsid w:val="008456CF"/>
    <w:rsid w:val="00845EF3"/>
    <w:rsid w:val="0084622A"/>
    <w:rsid w:val="008464D4"/>
    <w:rsid w:val="00847095"/>
    <w:rsid w:val="00850171"/>
    <w:rsid w:val="0085033B"/>
    <w:rsid w:val="008529FB"/>
    <w:rsid w:val="00853403"/>
    <w:rsid w:val="0085402F"/>
    <w:rsid w:val="008540C0"/>
    <w:rsid w:val="0085472F"/>
    <w:rsid w:val="008551DC"/>
    <w:rsid w:val="00856C81"/>
    <w:rsid w:val="00857352"/>
    <w:rsid w:val="008575E4"/>
    <w:rsid w:val="00860895"/>
    <w:rsid w:val="008620BA"/>
    <w:rsid w:val="008625FA"/>
    <w:rsid w:val="00862F6A"/>
    <w:rsid w:val="00863E6F"/>
    <w:rsid w:val="0086495F"/>
    <w:rsid w:val="00864D74"/>
    <w:rsid w:val="00865037"/>
    <w:rsid w:val="00865783"/>
    <w:rsid w:val="00865A61"/>
    <w:rsid w:val="00865CE2"/>
    <w:rsid w:val="00866366"/>
    <w:rsid w:val="008672B4"/>
    <w:rsid w:val="00871ABC"/>
    <w:rsid w:val="00872019"/>
    <w:rsid w:val="00872F84"/>
    <w:rsid w:val="0087375B"/>
    <w:rsid w:val="00873A6A"/>
    <w:rsid w:val="00873BF0"/>
    <w:rsid w:val="00873F5F"/>
    <w:rsid w:val="00874590"/>
    <w:rsid w:val="008748CA"/>
    <w:rsid w:val="008750B3"/>
    <w:rsid w:val="00876536"/>
    <w:rsid w:val="00876906"/>
    <w:rsid w:val="00881115"/>
    <w:rsid w:val="008818B2"/>
    <w:rsid w:val="0088262C"/>
    <w:rsid w:val="00882830"/>
    <w:rsid w:val="00882D9F"/>
    <w:rsid w:val="00882DBB"/>
    <w:rsid w:val="00884364"/>
    <w:rsid w:val="0088711A"/>
    <w:rsid w:val="00887CC5"/>
    <w:rsid w:val="00890A57"/>
    <w:rsid w:val="008927FC"/>
    <w:rsid w:val="00892F3C"/>
    <w:rsid w:val="0089474B"/>
    <w:rsid w:val="008955CD"/>
    <w:rsid w:val="0089569C"/>
    <w:rsid w:val="00896336"/>
    <w:rsid w:val="00896640"/>
    <w:rsid w:val="00896ADB"/>
    <w:rsid w:val="00896CAE"/>
    <w:rsid w:val="008976BF"/>
    <w:rsid w:val="00897B5B"/>
    <w:rsid w:val="00897CEF"/>
    <w:rsid w:val="00897D08"/>
    <w:rsid w:val="008A0F73"/>
    <w:rsid w:val="008A2708"/>
    <w:rsid w:val="008A372D"/>
    <w:rsid w:val="008A5CE8"/>
    <w:rsid w:val="008A629B"/>
    <w:rsid w:val="008A6370"/>
    <w:rsid w:val="008A7455"/>
    <w:rsid w:val="008A746D"/>
    <w:rsid w:val="008A7576"/>
    <w:rsid w:val="008A7FB8"/>
    <w:rsid w:val="008B0792"/>
    <w:rsid w:val="008B0943"/>
    <w:rsid w:val="008B147B"/>
    <w:rsid w:val="008B18D5"/>
    <w:rsid w:val="008B1DEC"/>
    <w:rsid w:val="008B1EDE"/>
    <w:rsid w:val="008B1EEA"/>
    <w:rsid w:val="008B38D5"/>
    <w:rsid w:val="008B4307"/>
    <w:rsid w:val="008B48E1"/>
    <w:rsid w:val="008B4C41"/>
    <w:rsid w:val="008B7DAE"/>
    <w:rsid w:val="008C009D"/>
    <w:rsid w:val="008C0314"/>
    <w:rsid w:val="008C19D7"/>
    <w:rsid w:val="008C2A9C"/>
    <w:rsid w:val="008C3C86"/>
    <w:rsid w:val="008C4A8E"/>
    <w:rsid w:val="008C4ABC"/>
    <w:rsid w:val="008C4E4E"/>
    <w:rsid w:val="008C5D79"/>
    <w:rsid w:val="008C5FDA"/>
    <w:rsid w:val="008C623F"/>
    <w:rsid w:val="008C6350"/>
    <w:rsid w:val="008C6659"/>
    <w:rsid w:val="008C6898"/>
    <w:rsid w:val="008C7563"/>
    <w:rsid w:val="008C792E"/>
    <w:rsid w:val="008D2150"/>
    <w:rsid w:val="008D2A22"/>
    <w:rsid w:val="008D3CCD"/>
    <w:rsid w:val="008D6032"/>
    <w:rsid w:val="008D622B"/>
    <w:rsid w:val="008D7C66"/>
    <w:rsid w:val="008E0279"/>
    <w:rsid w:val="008E058A"/>
    <w:rsid w:val="008E0BF2"/>
    <w:rsid w:val="008E1CB9"/>
    <w:rsid w:val="008E1FD2"/>
    <w:rsid w:val="008E254E"/>
    <w:rsid w:val="008E2A10"/>
    <w:rsid w:val="008E5B43"/>
    <w:rsid w:val="008E5B73"/>
    <w:rsid w:val="008E6ED0"/>
    <w:rsid w:val="008E7B5B"/>
    <w:rsid w:val="008F267A"/>
    <w:rsid w:val="008F26CB"/>
    <w:rsid w:val="008F5047"/>
    <w:rsid w:val="008F5520"/>
    <w:rsid w:val="009005DA"/>
    <w:rsid w:val="00901DAF"/>
    <w:rsid w:val="00902915"/>
    <w:rsid w:val="0090341E"/>
    <w:rsid w:val="00903E48"/>
    <w:rsid w:val="009045E5"/>
    <w:rsid w:val="0090787C"/>
    <w:rsid w:val="00907D8B"/>
    <w:rsid w:val="009116CF"/>
    <w:rsid w:val="0091255E"/>
    <w:rsid w:val="00912B79"/>
    <w:rsid w:val="0091300D"/>
    <w:rsid w:val="00913B09"/>
    <w:rsid w:val="0091629C"/>
    <w:rsid w:val="009168BA"/>
    <w:rsid w:val="00916F68"/>
    <w:rsid w:val="009170D0"/>
    <w:rsid w:val="0091719D"/>
    <w:rsid w:val="00920995"/>
    <w:rsid w:val="00921050"/>
    <w:rsid w:val="0092169F"/>
    <w:rsid w:val="009216AA"/>
    <w:rsid w:val="00922063"/>
    <w:rsid w:val="009223B2"/>
    <w:rsid w:val="00922EA5"/>
    <w:rsid w:val="00923495"/>
    <w:rsid w:val="0092369D"/>
    <w:rsid w:val="009239D8"/>
    <w:rsid w:val="00923CC7"/>
    <w:rsid w:val="009242D9"/>
    <w:rsid w:val="009245E8"/>
    <w:rsid w:val="00924874"/>
    <w:rsid w:val="009249DC"/>
    <w:rsid w:val="0092576A"/>
    <w:rsid w:val="00925B2D"/>
    <w:rsid w:val="009266B4"/>
    <w:rsid w:val="00926FC1"/>
    <w:rsid w:val="009275DA"/>
    <w:rsid w:val="00927FA5"/>
    <w:rsid w:val="009300C4"/>
    <w:rsid w:val="009301E6"/>
    <w:rsid w:val="0093090F"/>
    <w:rsid w:val="00930B3C"/>
    <w:rsid w:val="00930FE1"/>
    <w:rsid w:val="0093134C"/>
    <w:rsid w:val="00931950"/>
    <w:rsid w:val="0093272D"/>
    <w:rsid w:val="00933111"/>
    <w:rsid w:val="009331EF"/>
    <w:rsid w:val="00933F20"/>
    <w:rsid w:val="00933F92"/>
    <w:rsid w:val="00933FFB"/>
    <w:rsid w:val="00934038"/>
    <w:rsid w:val="00935298"/>
    <w:rsid w:val="00936349"/>
    <w:rsid w:val="009411ED"/>
    <w:rsid w:val="0094195E"/>
    <w:rsid w:val="00941B4D"/>
    <w:rsid w:val="00941EF6"/>
    <w:rsid w:val="0094243D"/>
    <w:rsid w:val="00942A2B"/>
    <w:rsid w:val="00942C47"/>
    <w:rsid w:val="00945713"/>
    <w:rsid w:val="00945BF9"/>
    <w:rsid w:val="00945D21"/>
    <w:rsid w:val="00946596"/>
    <w:rsid w:val="00946621"/>
    <w:rsid w:val="0094750D"/>
    <w:rsid w:val="009500D3"/>
    <w:rsid w:val="009507F7"/>
    <w:rsid w:val="0095081A"/>
    <w:rsid w:val="00950AB7"/>
    <w:rsid w:val="009513BC"/>
    <w:rsid w:val="0095150E"/>
    <w:rsid w:val="009516C5"/>
    <w:rsid w:val="00952993"/>
    <w:rsid w:val="009529A5"/>
    <w:rsid w:val="00952B55"/>
    <w:rsid w:val="00955012"/>
    <w:rsid w:val="00955076"/>
    <w:rsid w:val="00955459"/>
    <w:rsid w:val="00955A6C"/>
    <w:rsid w:val="00955C27"/>
    <w:rsid w:val="00955C53"/>
    <w:rsid w:val="009563C0"/>
    <w:rsid w:val="009568A5"/>
    <w:rsid w:val="00957564"/>
    <w:rsid w:val="00961207"/>
    <w:rsid w:val="0096159F"/>
    <w:rsid w:val="00962976"/>
    <w:rsid w:val="00962D9B"/>
    <w:rsid w:val="0096324A"/>
    <w:rsid w:val="00964579"/>
    <w:rsid w:val="00964750"/>
    <w:rsid w:val="0096480D"/>
    <w:rsid w:val="00964E4C"/>
    <w:rsid w:val="00965B8A"/>
    <w:rsid w:val="00974381"/>
    <w:rsid w:val="00974779"/>
    <w:rsid w:val="00974A22"/>
    <w:rsid w:val="00976627"/>
    <w:rsid w:val="00976709"/>
    <w:rsid w:val="009767C5"/>
    <w:rsid w:val="00976CBD"/>
    <w:rsid w:val="009771E6"/>
    <w:rsid w:val="00977405"/>
    <w:rsid w:val="00977E33"/>
    <w:rsid w:val="0098131B"/>
    <w:rsid w:val="00981459"/>
    <w:rsid w:val="00982748"/>
    <w:rsid w:val="00982861"/>
    <w:rsid w:val="00982C77"/>
    <w:rsid w:val="0098309A"/>
    <w:rsid w:val="0098342D"/>
    <w:rsid w:val="009858BB"/>
    <w:rsid w:val="00985C1C"/>
    <w:rsid w:val="00985E14"/>
    <w:rsid w:val="0098656B"/>
    <w:rsid w:val="00986C2B"/>
    <w:rsid w:val="009876C2"/>
    <w:rsid w:val="009902FD"/>
    <w:rsid w:val="009905C5"/>
    <w:rsid w:val="00990DFA"/>
    <w:rsid w:val="00991490"/>
    <w:rsid w:val="00991D65"/>
    <w:rsid w:val="00992B0E"/>
    <w:rsid w:val="00993217"/>
    <w:rsid w:val="00993605"/>
    <w:rsid w:val="00994914"/>
    <w:rsid w:val="00994CD2"/>
    <w:rsid w:val="0099519E"/>
    <w:rsid w:val="0099552C"/>
    <w:rsid w:val="009956A9"/>
    <w:rsid w:val="009956C9"/>
    <w:rsid w:val="00995FB5"/>
    <w:rsid w:val="00996AC8"/>
    <w:rsid w:val="00997590"/>
    <w:rsid w:val="00997672"/>
    <w:rsid w:val="009978BE"/>
    <w:rsid w:val="009A08D2"/>
    <w:rsid w:val="009A1109"/>
    <w:rsid w:val="009A26A8"/>
    <w:rsid w:val="009A3877"/>
    <w:rsid w:val="009A42B7"/>
    <w:rsid w:val="009A4465"/>
    <w:rsid w:val="009A4493"/>
    <w:rsid w:val="009A4D99"/>
    <w:rsid w:val="009A55F2"/>
    <w:rsid w:val="009A5C97"/>
    <w:rsid w:val="009A74D8"/>
    <w:rsid w:val="009A7D0C"/>
    <w:rsid w:val="009B0DCB"/>
    <w:rsid w:val="009B0FBF"/>
    <w:rsid w:val="009B18A0"/>
    <w:rsid w:val="009B1D06"/>
    <w:rsid w:val="009B26B9"/>
    <w:rsid w:val="009B2B2F"/>
    <w:rsid w:val="009B2CD9"/>
    <w:rsid w:val="009B3AF7"/>
    <w:rsid w:val="009B3B9A"/>
    <w:rsid w:val="009B5089"/>
    <w:rsid w:val="009B5535"/>
    <w:rsid w:val="009B5699"/>
    <w:rsid w:val="009B7BBD"/>
    <w:rsid w:val="009B7D1E"/>
    <w:rsid w:val="009C06C9"/>
    <w:rsid w:val="009C1560"/>
    <w:rsid w:val="009C15EF"/>
    <w:rsid w:val="009C3B5F"/>
    <w:rsid w:val="009C3CC8"/>
    <w:rsid w:val="009C3D65"/>
    <w:rsid w:val="009C4D11"/>
    <w:rsid w:val="009C60A7"/>
    <w:rsid w:val="009C6214"/>
    <w:rsid w:val="009C6B5F"/>
    <w:rsid w:val="009C6DD1"/>
    <w:rsid w:val="009D0879"/>
    <w:rsid w:val="009D0B7C"/>
    <w:rsid w:val="009D164F"/>
    <w:rsid w:val="009D184F"/>
    <w:rsid w:val="009D3F6A"/>
    <w:rsid w:val="009D43FE"/>
    <w:rsid w:val="009D55B5"/>
    <w:rsid w:val="009D67C5"/>
    <w:rsid w:val="009D7B9A"/>
    <w:rsid w:val="009D7F00"/>
    <w:rsid w:val="009E0BD5"/>
    <w:rsid w:val="009E178F"/>
    <w:rsid w:val="009E1BF3"/>
    <w:rsid w:val="009E2349"/>
    <w:rsid w:val="009E23B7"/>
    <w:rsid w:val="009E247E"/>
    <w:rsid w:val="009E27E7"/>
    <w:rsid w:val="009E2AB8"/>
    <w:rsid w:val="009E385F"/>
    <w:rsid w:val="009E598B"/>
    <w:rsid w:val="009E59EE"/>
    <w:rsid w:val="009E67C1"/>
    <w:rsid w:val="009E6CCE"/>
    <w:rsid w:val="009E7716"/>
    <w:rsid w:val="009F05D8"/>
    <w:rsid w:val="009F13D4"/>
    <w:rsid w:val="009F212B"/>
    <w:rsid w:val="009F2497"/>
    <w:rsid w:val="009F29AE"/>
    <w:rsid w:val="009F335C"/>
    <w:rsid w:val="009F348E"/>
    <w:rsid w:val="009F4919"/>
    <w:rsid w:val="009F4A43"/>
    <w:rsid w:val="009F51A7"/>
    <w:rsid w:val="009F61C9"/>
    <w:rsid w:val="009F6668"/>
    <w:rsid w:val="009F7A75"/>
    <w:rsid w:val="00A00618"/>
    <w:rsid w:val="00A00C2C"/>
    <w:rsid w:val="00A00C30"/>
    <w:rsid w:val="00A0154F"/>
    <w:rsid w:val="00A019B0"/>
    <w:rsid w:val="00A01E8E"/>
    <w:rsid w:val="00A02916"/>
    <w:rsid w:val="00A0378D"/>
    <w:rsid w:val="00A03F6C"/>
    <w:rsid w:val="00A045ED"/>
    <w:rsid w:val="00A0538B"/>
    <w:rsid w:val="00A05787"/>
    <w:rsid w:val="00A063B0"/>
    <w:rsid w:val="00A06A73"/>
    <w:rsid w:val="00A076CC"/>
    <w:rsid w:val="00A07961"/>
    <w:rsid w:val="00A07EEA"/>
    <w:rsid w:val="00A10E54"/>
    <w:rsid w:val="00A11358"/>
    <w:rsid w:val="00A13801"/>
    <w:rsid w:val="00A13863"/>
    <w:rsid w:val="00A13938"/>
    <w:rsid w:val="00A149B5"/>
    <w:rsid w:val="00A14EE1"/>
    <w:rsid w:val="00A15855"/>
    <w:rsid w:val="00A15C26"/>
    <w:rsid w:val="00A16E30"/>
    <w:rsid w:val="00A17AC8"/>
    <w:rsid w:val="00A2261A"/>
    <w:rsid w:val="00A23035"/>
    <w:rsid w:val="00A23301"/>
    <w:rsid w:val="00A23AFB"/>
    <w:rsid w:val="00A24200"/>
    <w:rsid w:val="00A24E88"/>
    <w:rsid w:val="00A25A35"/>
    <w:rsid w:val="00A25D61"/>
    <w:rsid w:val="00A25FD4"/>
    <w:rsid w:val="00A270CD"/>
    <w:rsid w:val="00A27832"/>
    <w:rsid w:val="00A300F2"/>
    <w:rsid w:val="00A30AE9"/>
    <w:rsid w:val="00A31526"/>
    <w:rsid w:val="00A318EA"/>
    <w:rsid w:val="00A319B8"/>
    <w:rsid w:val="00A31F09"/>
    <w:rsid w:val="00A33EC5"/>
    <w:rsid w:val="00A3446D"/>
    <w:rsid w:val="00A34601"/>
    <w:rsid w:val="00A36826"/>
    <w:rsid w:val="00A375AF"/>
    <w:rsid w:val="00A40BD8"/>
    <w:rsid w:val="00A40FBC"/>
    <w:rsid w:val="00A43674"/>
    <w:rsid w:val="00A44974"/>
    <w:rsid w:val="00A44DE3"/>
    <w:rsid w:val="00A45810"/>
    <w:rsid w:val="00A46492"/>
    <w:rsid w:val="00A46C5B"/>
    <w:rsid w:val="00A46EFE"/>
    <w:rsid w:val="00A50062"/>
    <w:rsid w:val="00A50230"/>
    <w:rsid w:val="00A506D3"/>
    <w:rsid w:val="00A52D24"/>
    <w:rsid w:val="00A53421"/>
    <w:rsid w:val="00A53EDC"/>
    <w:rsid w:val="00A55720"/>
    <w:rsid w:val="00A55964"/>
    <w:rsid w:val="00A55D8A"/>
    <w:rsid w:val="00A55F15"/>
    <w:rsid w:val="00A5730A"/>
    <w:rsid w:val="00A57A67"/>
    <w:rsid w:val="00A61C9F"/>
    <w:rsid w:val="00A63717"/>
    <w:rsid w:val="00A6422B"/>
    <w:rsid w:val="00A64253"/>
    <w:rsid w:val="00A642DA"/>
    <w:rsid w:val="00A6470F"/>
    <w:rsid w:val="00A65786"/>
    <w:rsid w:val="00A67069"/>
    <w:rsid w:val="00A670F6"/>
    <w:rsid w:val="00A705FA"/>
    <w:rsid w:val="00A71520"/>
    <w:rsid w:val="00A720B2"/>
    <w:rsid w:val="00A72439"/>
    <w:rsid w:val="00A7296F"/>
    <w:rsid w:val="00A75DED"/>
    <w:rsid w:val="00A761E5"/>
    <w:rsid w:val="00A76F64"/>
    <w:rsid w:val="00A77751"/>
    <w:rsid w:val="00A8087B"/>
    <w:rsid w:val="00A80D02"/>
    <w:rsid w:val="00A81510"/>
    <w:rsid w:val="00A81515"/>
    <w:rsid w:val="00A816C9"/>
    <w:rsid w:val="00A8193A"/>
    <w:rsid w:val="00A8386D"/>
    <w:rsid w:val="00A83B41"/>
    <w:rsid w:val="00A84518"/>
    <w:rsid w:val="00A84AD2"/>
    <w:rsid w:val="00A84EE6"/>
    <w:rsid w:val="00A84F8A"/>
    <w:rsid w:val="00A858B2"/>
    <w:rsid w:val="00A8600B"/>
    <w:rsid w:val="00A86231"/>
    <w:rsid w:val="00A864D0"/>
    <w:rsid w:val="00A8670C"/>
    <w:rsid w:val="00A87BEC"/>
    <w:rsid w:val="00A87FBF"/>
    <w:rsid w:val="00A90ED7"/>
    <w:rsid w:val="00A912E3"/>
    <w:rsid w:val="00A91392"/>
    <w:rsid w:val="00A91EDF"/>
    <w:rsid w:val="00A929D7"/>
    <w:rsid w:val="00A93861"/>
    <w:rsid w:val="00A9430C"/>
    <w:rsid w:val="00A94BF5"/>
    <w:rsid w:val="00A9538B"/>
    <w:rsid w:val="00A95F04"/>
    <w:rsid w:val="00A9614A"/>
    <w:rsid w:val="00A96538"/>
    <w:rsid w:val="00A96C27"/>
    <w:rsid w:val="00A97190"/>
    <w:rsid w:val="00A97E86"/>
    <w:rsid w:val="00A97FD6"/>
    <w:rsid w:val="00AA0B11"/>
    <w:rsid w:val="00AA0D15"/>
    <w:rsid w:val="00AA1257"/>
    <w:rsid w:val="00AA45DB"/>
    <w:rsid w:val="00AA4D13"/>
    <w:rsid w:val="00AA526E"/>
    <w:rsid w:val="00AA5DB9"/>
    <w:rsid w:val="00AA68DA"/>
    <w:rsid w:val="00AA754E"/>
    <w:rsid w:val="00AA76EA"/>
    <w:rsid w:val="00AB04CF"/>
    <w:rsid w:val="00AB265B"/>
    <w:rsid w:val="00AB2CCE"/>
    <w:rsid w:val="00AB2FA7"/>
    <w:rsid w:val="00AB33A4"/>
    <w:rsid w:val="00AB458D"/>
    <w:rsid w:val="00AB6B90"/>
    <w:rsid w:val="00AB6F7B"/>
    <w:rsid w:val="00AC047E"/>
    <w:rsid w:val="00AC09DB"/>
    <w:rsid w:val="00AC0A21"/>
    <w:rsid w:val="00AC10C7"/>
    <w:rsid w:val="00AC145F"/>
    <w:rsid w:val="00AC170B"/>
    <w:rsid w:val="00AC291D"/>
    <w:rsid w:val="00AC304F"/>
    <w:rsid w:val="00AC32CA"/>
    <w:rsid w:val="00AC3432"/>
    <w:rsid w:val="00AC3A24"/>
    <w:rsid w:val="00AC3B85"/>
    <w:rsid w:val="00AC4B34"/>
    <w:rsid w:val="00AC4DEB"/>
    <w:rsid w:val="00AC51D2"/>
    <w:rsid w:val="00AC51E2"/>
    <w:rsid w:val="00AC6BEE"/>
    <w:rsid w:val="00AC7495"/>
    <w:rsid w:val="00AD00CB"/>
    <w:rsid w:val="00AD059F"/>
    <w:rsid w:val="00AD0CF1"/>
    <w:rsid w:val="00AD120F"/>
    <w:rsid w:val="00AD1B96"/>
    <w:rsid w:val="00AD1FF7"/>
    <w:rsid w:val="00AD248A"/>
    <w:rsid w:val="00AD2FE7"/>
    <w:rsid w:val="00AD30A8"/>
    <w:rsid w:val="00AD312C"/>
    <w:rsid w:val="00AD4625"/>
    <w:rsid w:val="00AD4AB4"/>
    <w:rsid w:val="00AD50A6"/>
    <w:rsid w:val="00AD549F"/>
    <w:rsid w:val="00AD55A0"/>
    <w:rsid w:val="00AD799B"/>
    <w:rsid w:val="00AE0BF6"/>
    <w:rsid w:val="00AE29A6"/>
    <w:rsid w:val="00AE2A46"/>
    <w:rsid w:val="00AE319E"/>
    <w:rsid w:val="00AE372D"/>
    <w:rsid w:val="00AE3895"/>
    <w:rsid w:val="00AE3A2C"/>
    <w:rsid w:val="00AE43B6"/>
    <w:rsid w:val="00AE4B27"/>
    <w:rsid w:val="00AE522B"/>
    <w:rsid w:val="00AE607A"/>
    <w:rsid w:val="00AE66D8"/>
    <w:rsid w:val="00AE67DC"/>
    <w:rsid w:val="00AF0122"/>
    <w:rsid w:val="00AF0DB7"/>
    <w:rsid w:val="00AF1CD0"/>
    <w:rsid w:val="00AF3A9B"/>
    <w:rsid w:val="00AF46DA"/>
    <w:rsid w:val="00AF4C15"/>
    <w:rsid w:val="00AF5103"/>
    <w:rsid w:val="00AF51A1"/>
    <w:rsid w:val="00AF5BFE"/>
    <w:rsid w:val="00AF5D0B"/>
    <w:rsid w:val="00B0004D"/>
    <w:rsid w:val="00B00A32"/>
    <w:rsid w:val="00B01145"/>
    <w:rsid w:val="00B01D7F"/>
    <w:rsid w:val="00B034E6"/>
    <w:rsid w:val="00B035E6"/>
    <w:rsid w:val="00B04990"/>
    <w:rsid w:val="00B04A5C"/>
    <w:rsid w:val="00B04AAB"/>
    <w:rsid w:val="00B055EE"/>
    <w:rsid w:val="00B05600"/>
    <w:rsid w:val="00B05FA6"/>
    <w:rsid w:val="00B0687F"/>
    <w:rsid w:val="00B06B0B"/>
    <w:rsid w:val="00B06F49"/>
    <w:rsid w:val="00B0748D"/>
    <w:rsid w:val="00B07FF1"/>
    <w:rsid w:val="00B10D33"/>
    <w:rsid w:val="00B10DD4"/>
    <w:rsid w:val="00B11923"/>
    <w:rsid w:val="00B12C4C"/>
    <w:rsid w:val="00B12F75"/>
    <w:rsid w:val="00B13CD4"/>
    <w:rsid w:val="00B13FEA"/>
    <w:rsid w:val="00B14205"/>
    <w:rsid w:val="00B14379"/>
    <w:rsid w:val="00B14FE6"/>
    <w:rsid w:val="00B15EFB"/>
    <w:rsid w:val="00B16930"/>
    <w:rsid w:val="00B16D9A"/>
    <w:rsid w:val="00B16FE2"/>
    <w:rsid w:val="00B17D9A"/>
    <w:rsid w:val="00B2044D"/>
    <w:rsid w:val="00B21151"/>
    <w:rsid w:val="00B214BA"/>
    <w:rsid w:val="00B226C9"/>
    <w:rsid w:val="00B22750"/>
    <w:rsid w:val="00B23379"/>
    <w:rsid w:val="00B23877"/>
    <w:rsid w:val="00B24049"/>
    <w:rsid w:val="00B249A7"/>
    <w:rsid w:val="00B25B64"/>
    <w:rsid w:val="00B25F37"/>
    <w:rsid w:val="00B260A5"/>
    <w:rsid w:val="00B26AB6"/>
    <w:rsid w:val="00B27648"/>
    <w:rsid w:val="00B30081"/>
    <w:rsid w:val="00B30088"/>
    <w:rsid w:val="00B30244"/>
    <w:rsid w:val="00B30288"/>
    <w:rsid w:val="00B32AB1"/>
    <w:rsid w:val="00B33078"/>
    <w:rsid w:val="00B33756"/>
    <w:rsid w:val="00B33844"/>
    <w:rsid w:val="00B33C7B"/>
    <w:rsid w:val="00B3497A"/>
    <w:rsid w:val="00B349DA"/>
    <w:rsid w:val="00B35B1F"/>
    <w:rsid w:val="00B37912"/>
    <w:rsid w:val="00B37ADF"/>
    <w:rsid w:val="00B37F5C"/>
    <w:rsid w:val="00B41043"/>
    <w:rsid w:val="00B41AA1"/>
    <w:rsid w:val="00B41AA9"/>
    <w:rsid w:val="00B42047"/>
    <w:rsid w:val="00B42729"/>
    <w:rsid w:val="00B42AA7"/>
    <w:rsid w:val="00B42E01"/>
    <w:rsid w:val="00B430C0"/>
    <w:rsid w:val="00B44F5B"/>
    <w:rsid w:val="00B4538E"/>
    <w:rsid w:val="00B47B2D"/>
    <w:rsid w:val="00B50249"/>
    <w:rsid w:val="00B50A97"/>
    <w:rsid w:val="00B50FBA"/>
    <w:rsid w:val="00B510AD"/>
    <w:rsid w:val="00B51886"/>
    <w:rsid w:val="00B51AE6"/>
    <w:rsid w:val="00B528A5"/>
    <w:rsid w:val="00B53E65"/>
    <w:rsid w:val="00B543FD"/>
    <w:rsid w:val="00B54E9C"/>
    <w:rsid w:val="00B54F69"/>
    <w:rsid w:val="00B562E0"/>
    <w:rsid w:val="00B57161"/>
    <w:rsid w:val="00B571DA"/>
    <w:rsid w:val="00B57753"/>
    <w:rsid w:val="00B57BB3"/>
    <w:rsid w:val="00B57ED9"/>
    <w:rsid w:val="00B603ED"/>
    <w:rsid w:val="00B60D20"/>
    <w:rsid w:val="00B612E0"/>
    <w:rsid w:val="00B61F67"/>
    <w:rsid w:val="00B62B86"/>
    <w:rsid w:val="00B63541"/>
    <w:rsid w:val="00B6399F"/>
    <w:rsid w:val="00B641BA"/>
    <w:rsid w:val="00B64746"/>
    <w:rsid w:val="00B649F7"/>
    <w:rsid w:val="00B65845"/>
    <w:rsid w:val="00B66A94"/>
    <w:rsid w:val="00B6710C"/>
    <w:rsid w:val="00B714BD"/>
    <w:rsid w:val="00B716C9"/>
    <w:rsid w:val="00B71E96"/>
    <w:rsid w:val="00B72226"/>
    <w:rsid w:val="00B73514"/>
    <w:rsid w:val="00B74A0E"/>
    <w:rsid w:val="00B74A57"/>
    <w:rsid w:val="00B76B4B"/>
    <w:rsid w:val="00B76E03"/>
    <w:rsid w:val="00B80653"/>
    <w:rsid w:val="00B80F09"/>
    <w:rsid w:val="00B818F3"/>
    <w:rsid w:val="00B81AD2"/>
    <w:rsid w:val="00B81BA2"/>
    <w:rsid w:val="00B81ED8"/>
    <w:rsid w:val="00B8240C"/>
    <w:rsid w:val="00B82757"/>
    <w:rsid w:val="00B82990"/>
    <w:rsid w:val="00B82A22"/>
    <w:rsid w:val="00B830E0"/>
    <w:rsid w:val="00B84BFC"/>
    <w:rsid w:val="00B85407"/>
    <w:rsid w:val="00B86707"/>
    <w:rsid w:val="00B86AC7"/>
    <w:rsid w:val="00B872AB"/>
    <w:rsid w:val="00B87DC6"/>
    <w:rsid w:val="00B905D5"/>
    <w:rsid w:val="00B9065B"/>
    <w:rsid w:val="00B90BB5"/>
    <w:rsid w:val="00B91079"/>
    <w:rsid w:val="00B91FD8"/>
    <w:rsid w:val="00B926B1"/>
    <w:rsid w:val="00B92CF7"/>
    <w:rsid w:val="00B93241"/>
    <w:rsid w:val="00B93D38"/>
    <w:rsid w:val="00B94998"/>
    <w:rsid w:val="00B94E93"/>
    <w:rsid w:val="00B962FA"/>
    <w:rsid w:val="00B9674C"/>
    <w:rsid w:val="00B967BA"/>
    <w:rsid w:val="00B97253"/>
    <w:rsid w:val="00BA0090"/>
    <w:rsid w:val="00BA165B"/>
    <w:rsid w:val="00BA1787"/>
    <w:rsid w:val="00BA1DEB"/>
    <w:rsid w:val="00BA2120"/>
    <w:rsid w:val="00BA2629"/>
    <w:rsid w:val="00BA34DB"/>
    <w:rsid w:val="00BA3F7F"/>
    <w:rsid w:val="00BA44BE"/>
    <w:rsid w:val="00BA4865"/>
    <w:rsid w:val="00BA508C"/>
    <w:rsid w:val="00BA5E20"/>
    <w:rsid w:val="00BA6B07"/>
    <w:rsid w:val="00BA7530"/>
    <w:rsid w:val="00BB03C1"/>
    <w:rsid w:val="00BB03D9"/>
    <w:rsid w:val="00BB2616"/>
    <w:rsid w:val="00BB299D"/>
    <w:rsid w:val="00BB2A27"/>
    <w:rsid w:val="00BB3325"/>
    <w:rsid w:val="00BB4BCE"/>
    <w:rsid w:val="00BB5126"/>
    <w:rsid w:val="00BB614C"/>
    <w:rsid w:val="00BB6536"/>
    <w:rsid w:val="00BB69C6"/>
    <w:rsid w:val="00BC0B2E"/>
    <w:rsid w:val="00BC0FCE"/>
    <w:rsid w:val="00BC12FC"/>
    <w:rsid w:val="00BC167A"/>
    <w:rsid w:val="00BC200B"/>
    <w:rsid w:val="00BC2DD5"/>
    <w:rsid w:val="00BC310B"/>
    <w:rsid w:val="00BC3340"/>
    <w:rsid w:val="00BC3DF6"/>
    <w:rsid w:val="00BC498F"/>
    <w:rsid w:val="00BC529D"/>
    <w:rsid w:val="00BC60F2"/>
    <w:rsid w:val="00BC6A94"/>
    <w:rsid w:val="00BC7ACA"/>
    <w:rsid w:val="00BD09E0"/>
    <w:rsid w:val="00BD0C57"/>
    <w:rsid w:val="00BD1896"/>
    <w:rsid w:val="00BD2EF8"/>
    <w:rsid w:val="00BD2F42"/>
    <w:rsid w:val="00BD36D2"/>
    <w:rsid w:val="00BD37F3"/>
    <w:rsid w:val="00BD4349"/>
    <w:rsid w:val="00BD4AEA"/>
    <w:rsid w:val="00BD5AA1"/>
    <w:rsid w:val="00BD7167"/>
    <w:rsid w:val="00BD784E"/>
    <w:rsid w:val="00BE05F0"/>
    <w:rsid w:val="00BE07C1"/>
    <w:rsid w:val="00BE08B8"/>
    <w:rsid w:val="00BE15CB"/>
    <w:rsid w:val="00BE1709"/>
    <w:rsid w:val="00BE1D2D"/>
    <w:rsid w:val="00BE21D8"/>
    <w:rsid w:val="00BE22C9"/>
    <w:rsid w:val="00BE2E8C"/>
    <w:rsid w:val="00BE2F57"/>
    <w:rsid w:val="00BE3BB8"/>
    <w:rsid w:val="00BE42BA"/>
    <w:rsid w:val="00BE4EBF"/>
    <w:rsid w:val="00BE5930"/>
    <w:rsid w:val="00BE6414"/>
    <w:rsid w:val="00BE6436"/>
    <w:rsid w:val="00BE66D3"/>
    <w:rsid w:val="00BE717B"/>
    <w:rsid w:val="00BE7E6F"/>
    <w:rsid w:val="00BE7EE5"/>
    <w:rsid w:val="00BE7F19"/>
    <w:rsid w:val="00BF0515"/>
    <w:rsid w:val="00BF0577"/>
    <w:rsid w:val="00BF2896"/>
    <w:rsid w:val="00BF29E2"/>
    <w:rsid w:val="00BF2B51"/>
    <w:rsid w:val="00BF2CEF"/>
    <w:rsid w:val="00BF327E"/>
    <w:rsid w:val="00BF5571"/>
    <w:rsid w:val="00BF59D0"/>
    <w:rsid w:val="00BF5B6B"/>
    <w:rsid w:val="00BF63F1"/>
    <w:rsid w:val="00BF6CA6"/>
    <w:rsid w:val="00BF712D"/>
    <w:rsid w:val="00BF769B"/>
    <w:rsid w:val="00C005F0"/>
    <w:rsid w:val="00C00BDA"/>
    <w:rsid w:val="00C01350"/>
    <w:rsid w:val="00C01AFF"/>
    <w:rsid w:val="00C01F30"/>
    <w:rsid w:val="00C024F0"/>
    <w:rsid w:val="00C03183"/>
    <w:rsid w:val="00C03ABB"/>
    <w:rsid w:val="00C04B0C"/>
    <w:rsid w:val="00C05252"/>
    <w:rsid w:val="00C05290"/>
    <w:rsid w:val="00C103F2"/>
    <w:rsid w:val="00C10DE8"/>
    <w:rsid w:val="00C10E23"/>
    <w:rsid w:val="00C10E67"/>
    <w:rsid w:val="00C1217C"/>
    <w:rsid w:val="00C12485"/>
    <w:rsid w:val="00C127D5"/>
    <w:rsid w:val="00C127FE"/>
    <w:rsid w:val="00C12EC2"/>
    <w:rsid w:val="00C13647"/>
    <w:rsid w:val="00C13E0D"/>
    <w:rsid w:val="00C15E70"/>
    <w:rsid w:val="00C16C2F"/>
    <w:rsid w:val="00C17413"/>
    <w:rsid w:val="00C17427"/>
    <w:rsid w:val="00C22C73"/>
    <w:rsid w:val="00C23733"/>
    <w:rsid w:val="00C23A6B"/>
    <w:rsid w:val="00C23D1F"/>
    <w:rsid w:val="00C24499"/>
    <w:rsid w:val="00C2450F"/>
    <w:rsid w:val="00C2494F"/>
    <w:rsid w:val="00C24F3F"/>
    <w:rsid w:val="00C251F7"/>
    <w:rsid w:val="00C254BD"/>
    <w:rsid w:val="00C25AFD"/>
    <w:rsid w:val="00C26C26"/>
    <w:rsid w:val="00C2703B"/>
    <w:rsid w:val="00C2791E"/>
    <w:rsid w:val="00C27E1C"/>
    <w:rsid w:val="00C30073"/>
    <w:rsid w:val="00C30482"/>
    <w:rsid w:val="00C3072E"/>
    <w:rsid w:val="00C32F37"/>
    <w:rsid w:val="00C34675"/>
    <w:rsid w:val="00C354E8"/>
    <w:rsid w:val="00C35FA0"/>
    <w:rsid w:val="00C3703F"/>
    <w:rsid w:val="00C37BF3"/>
    <w:rsid w:val="00C41E36"/>
    <w:rsid w:val="00C42255"/>
    <w:rsid w:val="00C42900"/>
    <w:rsid w:val="00C4329A"/>
    <w:rsid w:val="00C43CCC"/>
    <w:rsid w:val="00C440AD"/>
    <w:rsid w:val="00C44B19"/>
    <w:rsid w:val="00C45E07"/>
    <w:rsid w:val="00C46DF3"/>
    <w:rsid w:val="00C46FE8"/>
    <w:rsid w:val="00C50309"/>
    <w:rsid w:val="00C51628"/>
    <w:rsid w:val="00C51747"/>
    <w:rsid w:val="00C5436B"/>
    <w:rsid w:val="00C54605"/>
    <w:rsid w:val="00C54676"/>
    <w:rsid w:val="00C5492D"/>
    <w:rsid w:val="00C559EC"/>
    <w:rsid w:val="00C55B07"/>
    <w:rsid w:val="00C55CB1"/>
    <w:rsid w:val="00C57606"/>
    <w:rsid w:val="00C60B98"/>
    <w:rsid w:val="00C60C35"/>
    <w:rsid w:val="00C61355"/>
    <w:rsid w:val="00C6138E"/>
    <w:rsid w:val="00C63224"/>
    <w:rsid w:val="00C632CD"/>
    <w:rsid w:val="00C63A42"/>
    <w:rsid w:val="00C6402C"/>
    <w:rsid w:val="00C644F8"/>
    <w:rsid w:val="00C648EC"/>
    <w:rsid w:val="00C65AB1"/>
    <w:rsid w:val="00C70EDD"/>
    <w:rsid w:val="00C71C23"/>
    <w:rsid w:val="00C71EDD"/>
    <w:rsid w:val="00C71F5A"/>
    <w:rsid w:val="00C723A3"/>
    <w:rsid w:val="00C72781"/>
    <w:rsid w:val="00C73803"/>
    <w:rsid w:val="00C7391B"/>
    <w:rsid w:val="00C74731"/>
    <w:rsid w:val="00C749D4"/>
    <w:rsid w:val="00C74A22"/>
    <w:rsid w:val="00C75A73"/>
    <w:rsid w:val="00C76211"/>
    <w:rsid w:val="00C76D4E"/>
    <w:rsid w:val="00C774FC"/>
    <w:rsid w:val="00C77769"/>
    <w:rsid w:val="00C778D3"/>
    <w:rsid w:val="00C778E4"/>
    <w:rsid w:val="00C80143"/>
    <w:rsid w:val="00C8026E"/>
    <w:rsid w:val="00C809FC"/>
    <w:rsid w:val="00C80D24"/>
    <w:rsid w:val="00C80E2E"/>
    <w:rsid w:val="00C812F0"/>
    <w:rsid w:val="00C81CF4"/>
    <w:rsid w:val="00C81DD1"/>
    <w:rsid w:val="00C8248B"/>
    <w:rsid w:val="00C824A7"/>
    <w:rsid w:val="00C82B4B"/>
    <w:rsid w:val="00C8435A"/>
    <w:rsid w:val="00C8472F"/>
    <w:rsid w:val="00C85094"/>
    <w:rsid w:val="00C85AC9"/>
    <w:rsid w:val="00C865F4"/>
    <w:rsid w:val="00C86E9E"/>
    <w:rsid w:val="00C8749B"/>
    <w:rsid w:val="00C87682"/>
    <w:rsid w:val="00C906C6"/>
    <w:rsid w:val="00C9135F"/>
    <w:rsid w:val="00C9138C"/>
    <w:rsid w:val="00C91C1B"/>
    <w:rsid w:val="00C91EE1"/>
    <w:rsid w:val="00C924A0"/>
    <w:rsid w:val="00C92606"/>
    <w:rsid w:val="00C945D0"/>
    <w:rsid w:val="00C95019"/>
    <w:rsid w:val="00C95178"/>
    <w:rsid w:val="00C95183"/>
    <w:rsid w:val="00C953F1"/>
    <w:rsid w:val="00C95A5A"/>
    <w:rsid w:val="00C95AFA"/>
    <w:rsid w:val="00C95B44"/>
    <w:rsid w:val="00C95D66"/>
    <w:rsid w:val="00C95EFA"/>
    <w:rsid w:val="00C960C8"/>
    <w:rsid w:val="00C96AE9"/>
    <w:rsid w:val="00C97502"/>
    <w:rsid w:val="00C97B93"/>
    <w:rsid w:val="00CA101A"/>
    <w:rsid w:val="00CA19BA"/>
    <w:rsid w:val="00CA1B76"/>
    <w:rsid w:val="00CA2799"/>
    <w:rsid w:val="00CA3561"/>
    <w:rsid w:val="00CA3685"/>
    <w:rsid w:val="00CA3859"/>
    <w:rsid w:val="00CA39A5"/>
    <w:rsid w:val="00CA45B4"/>
    <w:rsid w:val="00CA4777"/>
    <w:rsid w:val="00CA55A5"/>
    <w:rsid w:val="00CA68D7"/>
    <w:rsid w:val="00CA7075"/>
    <w:rsid w:val="00CB0FD4"/>
    <w:rsid w:val="00CB1B46"/>
    <w:rsid w:val="00CB2C5F"/>
    <w:rsid w:val="00CB4A05"/>
    <w:rsid w:val="00CB51D6"/>
    <w:rsid w:val="00CB588A"/>
    <w:rsid w:val="00CB5CE4"/>
    <w:rsid w:val="00CB5FC8"/>
    <w:rsid w:val="00CB6583"/>
    <w:rsid w:val="00CB6A0E"/>
    <w:rsid w:val="00CB6B20"/>
    <w:rsid w:val="00CB7612"/>
    <w:rsid w:val="00CB76CA"/>
    <w:rsid w:val="00CC05FA"/>
    <w:rsid w:val="00CC0D67"/>
    <w:rsid w:val="00CC0E3F"/>
    <w:rsid w:val="00CC4759"/>
    <w:rsid w:val="00CC54B0"/>
    <w:rsid w:val="00CC65DC"/>
    <w:rsid w:val="00CC6B19"/>
    <w:rsid w:val="00CC6BBF"/>
    <w:rsid w:val="00CC6C70"/>
    <w:rsid w:val="00CC7041"/>
    <w:rsid w:val="00CC7C50"/>
    <w:rsid w:val="00CD428C"/>
    <w:rsid w:val="00CD4658"/>
    <w:rsid w:val="00CD4F4B"/>
    <w:rsid w:val="00CD6163"/>
    <w:rsid w:val="00CD6A8C"/>
    <w:rsid w:val="00CD70CF"/>
    <w:rsid w:val="00CE09C2"/>
    <w:rsid w:val="00CE19DC"/>
    <w:rsid w:val="00CE257D"/>
    <w:rsid w:val="00CE284E"/>
    <w:rsid w:val="00CE418F"/>
    <w:rsid w:val="00CE422D"/>
    <w:rsid w:val="00CE46CB"/>
    <w:rsid w:val="00CE47F7"/>
    <w:rsid w:val="00CE5AD9"/>
    <w:rsid w:val="00CE5C29"/>
    <w:rsid w:val="00CE5ED6"/>
    <w:rsid w:val="00CE6314"/>
    <w:rsid w:val="00CE688E"/>
    <w:rsid w:val="00CE71A3"/>
    <w:rsid w:val="00CE77DB"/>
    <w:rsid w:val="00CF0728"/>
    <w:rsid w:val="00CF2E71"/>
    <w:rsid w:val="00CF3B2F"/>
    <w:rsid w:val="00CF3D00"/>
    <w:rsid w:val="00CF5081"/>
    <w:rsid w:val="00CF50E4"/>
    <w:rsid w:val="00CF54BB"/>
    <w:rsid w:val="00CF5FAE"/>
    <w:rsid w:val="00CF610C"/>
    <w:rsid w:val="00CF6CC4"/>
    <w:rsid w:val="00CF6E1B"/>
    <w:rsid w:val="00CF7C2E"/>
    <w:rsid w:val="00CF7CB0"/>
    <w:rsid w:val="00D00011"/>
    <w:rsid w:val="00D0127B"/>
    <w:rsid w:val="00D01AC2"/>
    <w:rsid w:val="00D02B3D"/>
    <w:rsid w:val="00D041D1"/>
    <w:rsid w:val="00D04FE0"/>
    <w:rsid w:val="00D06B59"/>
    <w:rsid w:val="00D10367"/>
    <w:rsid w:val="00D106B7"/>
    <w:rsid w:val="00D10A71"/>
    <w:rsid w:val="00D11299"/>
    <w:rsid w:val="00D11802"/>
    <w:rsid w:val="00D11AA0"/>
    <w:rsid w:val="00D1306E"/>
    <w:rsid w:val="00D1325B"/>
    <w:rsid w:val="00D1348B"/>
    <w:rsid w:val="00D13D44"/>
    <w:rsid w:val="00D143A5"/>
    <w:rsid w:val="00D14D8F"/>
    <w:rsid w:val="00D15A88"/>
    <w:rsid w:val="00D15F06"/>
    <w:rsid w:val="00D15F3F"/>
    <w:rsid w:val="00D16378"/>
    <w:rsid w:val="00D16ED0"/>
    <w:rsid w:val="00D17EF5"/>
    <w:rsid w:val="00D20319"/>
    <w:rsid w:val="00D218C7"/>
    <w:rsid w:val="00D21D3C"/>
    <w:rsid w:val="00D226E0"/>
    <w:rsid w:val="00D22819"/>
    <w:rsid w:val="00D23236"/>
    <w:rsid w:val="00D23877"/>
    <w:rsid w:val="00D24055"/>
    <w:rsid w:val="00D24A90"/>
    <w:rsid w:val="00D25356"/>
    <w:rsid w:val="00D2587C"/>
    <w:rsid w:val="00D26B97"/>
    <w:rsid w:val="00D26D44"/>
    <w:rsid w:val="00D2720A"/>
    <w:rsid w:val="00D27ADF"/>
    <w:rsid w:val="00D3041C"/>
    <w:rsid w:val="00D306E9"/>
    <w:rsid w:val="00D30E76"/>
    <w:rsid w:val="00D32047"/>
    <w:rsid w:val="00D32416"/>
    <w:rsid w:val="00D3299B"/>
    <w:rsid w:val="00D32DFF"/>
    <w:rsid w:val="00D3308B"/>
    <w:rsid w:val="00D33877"/>
    <w:rsid w:val="00D34E8A"/>
    <w:rsid w:val="00D352E6"/>
    <w:rsid w:val="00D3530A"/>
    <w:rsid w:val="00D3555B"/>
    <w:rsid w:val="00D355CA"/>
    <w:rsid w:val="00D36242"/>
    <w:rsid w:val="00D373E7"/>
    <w:rsid w:val="00D374D1"/>
    <w:rsid w:val="00D37B38"/>
    <w:rsid w:val="00D37D04"/>
    <w:rsid w:val="00D37D4B"/>
    <w:rsid w:val="00D421AC"/>
    <w:rsid w:val="00D426D9"/>
    <w:rsid w:val="00D42B93"/>
    <w:rsid w:val="00D42E2A"/>
    <w:rsid w:val="00D43F7E"/>
    <w:rsid w:val="00D461FC"/>
    <w:rsid w:val="00D463A4"/>
    <w:rsid w:val="00D467B4"/>
    <w:rsid w:val="00D4767A"/>
    <w:rsid w:val="00D4781B"/>
    <w:rsid w:val="00D50166"/>
    <w:rsid w:val="00D50654"/>
    <w:rsid w:val="00D50A90"/>
    <w:rsid w:val="00D516C1"/>
    <w:rsid w:val="00D51B66"/>
    <w:rsid w:val="00D52A84"/>
    <w:rsid w:val="00D52AD4"/>
    <w:rsid w:val="00D53411"/>
    <w:rsid w:val="00D5422A"/>
    <w:rsid w:val="00D549E5"/>
    <w:rsid w:val="00D55936"/>
    <w:rsid w:val="00D57634"/>
    <w:rsid w:val="00D6046D"/>
    <w:rsid w:val="00D606A9"/>
    <w:rsid w:val="00D6185F"/>
    <w:rsid w:val="00D623DE"/>
    <w:rsid w:val="00D6296B"/>
    <w:rsid w:val="00D6300A"/>
    <w:rsid w:val="00D6359E"/>
    <w:rsid w:val="00D6389A"/>
    <w:rsid w:val="00D642C3"/>
    <w:rsid w:val="00D651EC"/>
    <w:rsid w:val="00D6564D"/>
    <w:rsid w:val="00D65816"/>
    <w:rsid w:val="00D65A5A"/>
    <w:rsid w:val="00D65C54"/>
    <w:rsid w:val="00D66836"/>
    <w:rsid w:val="00D67074"/>
    <w:rsid w:val="00D7124F"/>
    <w:rsid w:val="00D7127C"/>
    <w:rsid w:val="00D71C98"/>
    <w:rsid w:val="00D72402"/>
    <w:rsid w:val="00D7471A"/>
    <w:rsid w:val="00D749D0"/>
    <w:rsid w:val="00D766F6"/>
    <w:rsid w:val="00D778BE"/>
    <w:rsid w:val="00D800F4"/>
    <w:rsid w:val="00D80FB4"/>
    <w:rsid w:val="00D81286"/>
    <w:rsid w:val="00D81B31"/>
    <w:rsid w:val="00D839C4"/>
    <w:rsid w:val="00D83C1F"/>
    <w:rsid w:val="00D844D9"/>
    <w:rsid w:val="00D8482C"/>
    <w:rsid w:val="00D852C0"/>
    <w:rsid w:val="00D856A2"/>
    <w:rsid w:val="00D858DF"/>
    <w:rsid w:val="00D85E2B"/>
    <w:rsid w:val="00D85FB7"/>
    <w:rsid w:val="00D87192"/>
    <w:rsid w:val="00D87AC4"/>
    <w:rsid w:val="00D9038F"/>
    <w:rsid w:val="00D90439"/>
    <w:rsid w:val="00D921F0"/>
    <w:rsid w:val="00D92249"/>
    <w:rsid w:val="00D92BD3"/>
    <w:rsid w:val="00D92F1C"/>
    <w:rsid w:val="00D94BD2"/>
    <w:rsid w:val="00D94CD6"/>
    <w:rsid w:val="00D94F98"/>
    <w:rsid w:val="00D95706"/>
    <w:rsid w:val="00D9773B"/>
    <w:rsid w:val="00DA05DE"/>
    <w:rsid w:val="00DA05EF"/>
    <w:rsid w:val="00DA1078"/>
    <w:rsid w:val="00DA1CD6"/>
    <w:rsid w:val="00DA250A"/>
    <w:rsid w:val="00DA3BA4"/>
    <w:rsid w:val="00DA5362"/>
    <w:rsid w:val="00DA5A7E"/>
    <w:rsid w:val="00DA791E"/>
    <w:rsid w:val="00DB0504"/>
    <w:rsid w:val="00DB1F3F"/>
    <w:rsid w:val="00DB2FFF"/>
    <w:rsid w:val="00DB36FF"/>
    <w:rsid w:val="00DB3EAA"/>
    <w:rsid w:val="00DB438B"/>
    <w:rsid w:val="00DB5209"/>
    <w:rsid w:val="00DB5627"/>
    <w:rsid w:val="00DB6992"/>
    <w:rsid w:val="00DB6AC4"/>
    <w:rsid w:val="00DB6BDD"/>
    <w:rsid w:val="00DB7217"/>
    <w:rsid w:val="00DB7D76"/>
    <w:rsid w:val="00DB7FF2"/>
    <w:rsid w:val="00DC01A0"/>
    <w:rsid w:val="00DC0397"/>
    <w:rsid w:val="00DC04D5"/>
    <w:rsid w:val="00DC0AB7"/>
    <w:rsid w:val="00DC0F98"/>
    <w:rsid w:val="00DC2367"/>
    <w:rsid w:val="00DC2D7B"/>
    <w:rsid w:val="00DC2FD2"/>
    <w:rsid w:val="00DC3EE5"/>
    <w:rsid w:val="00DC3F8A"/>
    <w:rsid w:val="00DC45FB"/>
    <w:rsid w:val="00DC6A59"/>
    <w:rsid w:val="00DD0237"/>
    <w:rsid w:val="00DD06F0"/>
    <w:rsid w:val="00DD0AC3"/>
    <w:rsid w:val="00DD0F5D"/>
    <w:rsid w:val="00DD13DD"/>
    <w:rsid w:val="00DD4ADD"/>
    <w:rsid w:val="00DD586C"/>
    <w:rsid w:val="00DD7CA0"/>
    <w:rsid w:val="00DD7DD8"/>
    <w:rsid w:val="00DE00FB"/>
    <w:rsid w:val="00DE2112"/>
    <w:rsid w:val="00DE2A18"/>
    <w:rsid w:val="00DE3F88"/>
    <w:rsid w:val="00DE44E9"/>
    <w:rsid w:val="00DE4505"/>
    <w:rsid w:val="00DE5629"/>
    <w:rsid w:val="00DE5F86"/>
    <w:rsid w:val="00DE7609"/>
    <w:rsid w:val="00DE78D8"/>
    <w:rsid w:val="00DE79C1"/>
    <w:rsid w:val="00DE7A7B"/>
    <w:rsid w:val="00DF0122"/>
    <w:rsid w:val="00DF1B83"/>
    <w:rsid w:val="00DF1BF2"/>
    <w:rsid w:val="00DF1C2C"/>
    <w:rsid w:val="00DF2071"/>
    <w:rsid w:val="00DF387C"/>
    <w:rsid w:val="00DF3E0A"/>
    <w:rsid w:val="00DF42A6"/>
    <w:rsid w:val="00DF4915"/>
    <w:rsid w:val="00DF4C83"/>
    <w:rsid w:val="00DF4CA1"/>
    <w:rsid w:val="00DF4E32"/>
    <w:rsid w:val="00DF506A"/>
    <w:rsid w:val="00DF58F2"/>
    <w:rsid w:val="00DF7297"/>
    <w:rsid w:val="00DF7477"/>
    <w:rsid w:val="00DF74DF"/>
    <w:rsid w:val="00DF7737"/>
    <w:rsid w:val="00DF7937"/>
    <w:rsid w:val="00E02158"/>
    <w:rsid w:val="00E0263F"/>
    <w:rsid w:val="00E03AF9"/>
    <w:rsid w:val="00E04037"/>
    <w:rsid w:val="00E04192"/>
    <w:rsid w:val="00E0486B"/>
    <w:rsid w:val="00E050FE"/>
    <w:rsid w:val="00E06DC0"/>
    <w:rsid w:val="00E073F6"/>
    <w:rsid w:val="00E075A4"/>
    <w:rsid w:val="00E07E61"/>
    <w:rsid w:val="00E10423"/>
    <w:rsid w:val="00E10B57"/>
    <w:rsid w:val="00E12493"/>
    <w:rsid w:val="00E12FE5"/>
    <w:rsid w:val="00E14902"/>
    <w:rsid w:val="00E14C85"/>
    <w:rsid w:val="00E15E5F"/>
    <w:rsid w:val="00E15F08"/>
    <w:rsid w:val="00E16165"/>
    <w:rsid w:val="00E164F9"/>
    <w:rsid w:val="00E16687"/>
    <w:rsid w:val="00E1672E"/>
    <w:rsid w:val="00E1718D"/>
    <w:rsid w:val="00E21434"/>
    <w:rsid w:val="00E22C49"/>
    <w:rsid w:val="00E2300F"/>
    <w:rsid w:val="00E23684"/>
    <w:rsid w:val="00E242AA"/>
    <w:rsid w:val="00E24300"/>
    <w:rsid w:val="00E250B4"/>
    <w:rsid w:val="00E25105"/>
    <w:rsid w:val="00E2572F"/>
    <w:rsid w:val="00E2586F"/>
    <w:rsid w:val="00E269F7"/>
    <w:rsid w:val="00E30048"/>
    <w:rsid w:val="00E308D4"/>
    <w:rsid w:val="00E31A46"/>
    <w:rsid w:val="00E32371"/>
    <w:rsid w:val="00E32A2B"/>
    <w:rsid w:val="00E33747"/>
    <w:rsid w:val="00E338A4"/>
    <w:rsid w:val="00E34F04"/>
    <w:rsid w:val="00E34F43"/>
    <w:rsid w:val="00E3550B"/>
    <w:rsid w:val="00E35613"/>
    <w:rsid w:val="00E35D49"/>
    <w:rsid w:val="00E36595"/>
    <w:rsid w:val="00E37190"/>
    <w:rsid w:val="00E37DBF"/>
    <w:rsid w:val="00E37ED3"/>
    <w:rsid w:val="00E4010F"/>
    <w:rsid w:val="00E40A07"/>
    <w:rsid w:val="00E40BA0"/>
    <w:rsid w:val="00E40CBD"/>
    <w:rsid w:val="00E4156B"/>
    <w:rsid w:val="00E42190"/>
    <w:rsid w:val="00E429D9"/>
    <w:rsid w:val="00E441FA"/>
    <w:rsid w:val="00E443EF"/>
    <w:rsid w:val="00E443FC"/>
    <w:rsid w:val="00E455D6"/>
    <w:rsid w:val="00E468F5"/>
    <w:rsid w:val="00E469E7"/>
    <w:rsid w:val="00E47203"/>
    <w:rsid w:val="00E4770D"/>
    <w:rsid w:val="00E47FD0"/>
    <w:rsid w:val="00E47FF5"/>
    <w:rsid w:val="00E51BD5"/>
    <w:rsid w:val="00E55C8F"/>
    <w:rsid w:val="00E55F84"/>
    <w:rsid w:val="00E56052"/>
    <w:rsid w:val="00E5674B"/>
    <w:rsid w:val="00E57CEE"/>
    <w:rsid w:val="00E607C2"/>
    <w:rsid w:val="00E6093B"/>
    <w:rsid w:val="00E60BB1"/>
    <w:rsid w:val="00E612FC"/>
    <w:rsid w:val="00E614A9"/>
    <w:rsid w:val="00E61AFF"/>
    <w:rsid w:val="00E61DBA"/>
    <w:rsid w:val="00E64083"/>
    <w:rsid w:val="00E6562A"/>
    <w:rsid w:val="00E65D84"/>
    <w:rsid w:val="00E66006"/>
    <w:rsid w:val="00E667C8"/>
    <w:rsid w:val="00E67239"/>
    <w:rsid w:val="00E70869"/>
    <w:rsid w:val="00E708FC"/>
    <w:rsid w:val="00E71045"/>
    <w:rsid w:val="00E71720"/>
    <w:rsid w:val="00E72399"/>
    <w:rsid w:val="00E72AD0"/>
    <w:rsid w:val="00E732B6"/>
    <w:rsid w:val="00E732D6"/>
    <w:rsid w:val="00E73AC5"/>
    <w:rsid w:val="00E75BD3"/>
    <w:rsid w:val="00E76344"/>
    <w:rsid w:val="00E76F77"/>
    <w:rsid w:val="00E77968"/>
    <w:rsid w:val="00E77E4E"/>
    <w:rsid w:val="00E8023A"/>
    <w:rsid w:val="00E8050C"/>
    <w:rsid w:val="00E80E25"/>
    <w:rsid w:val="00E81140"/>
    <w:rsid w:val="00E8120A"/>
    <w:rsid w:val="00E816B7"/>
    <w:rsid w:val="00E81D52"/>
    <w:rsid w:val="00E82911"/>
    <w:rsid w:val="00E82966"/>
    <w:rsid w:val="00E829B6"/>
    <w:rsid w:val="00E82A92"/>
    <w:rsid w:val="00E82FB0"/>
    <w:rsid w:val="00E830D6"/>
    <w:rsid w:val="00E8343F"/>
    <w:rsid w:val="00E834E6"/>
    <w:rsid w:val="00E837BB"/>
    <w:rsid w:val="00E83873"/>
    <w:rsid w:val="00E84148"/>
    <w:rsid w:val="00E8635B"/>
    <w:rsid w:val="00E86411"/>
    <w:rsid w:val="00E90F70"/>
    <w:rsid w:val="00E919BA"/>
    <w:rsid w:val="00E91F8C"/>
    <w:rsid w:val="00E921EC"/>
    <w:rsid w:val="00E927C9"/>
    <w:rsid w:val="00E936AB"/>
    <w:rsid w:val="00E936CE"/>
    <w:rsid w:val="00E93A0E"/>
    <w:rsid w:val="00E941E2"/>
    <w:rsid w:val="00E9478A"/>
    <w:rsid w:val="00E94C01"/>
    <w:rsid w:val="00E95117"/>
    <w:rsid w:val="00E9576E"/>
    <w:rsid w:val="00E957AA"/>
    <w:rsid w:val="00E96486"/>
    <w:rsid w:val="00E970D0"/>
    <w:rsid w:val="00E9765B"/>
    <w:rsid w:val="00EA0823"/>
    <w:rsid w:val="00EA0A72"/>
    <w:rsid w:val="00EA1200"/>
    <w:rsid w:val="00EA3185"/>
    <w:rsid w:val="00EA34F7"/>
    <w:rsid w:val="00EA37C6"/>
    <w:rsid w:val="00EA42B7"/>
    <w:rsid w:val="00EA5FD1"/>
    <w:rsid w:val="00EA6169"/>
    <w:rsid w:val="00EA6448"/>
    <w:rsid w:val="00EA6AAE"/>
    <w:rsid w:val="00EA7B57"/>
    <w:rsid w:val="00EB1F98"/>
    <w:rsid w:val="00EB28AF"/>
    <w:rsid w:val="00EB389B"/>
    <w:rsid w:val="00EB45D5"/>
    <w:rsid w:val="00EB4C56"/>
    <w:rsid w:val="00EB4DBF"/>
    <w:rsid w:val="00EB57CF"/>
    <w:rsid w:val="00EB69FA"/>
    <w:rsid w:val="00EB6EA4"/>
    <w:rsid w:val="00EB7425"/>
    <w:rsid w:val="00EC03DB"/>
    <w:rsid w:val="00EC1715"/>
    <w:rsid w:val="00EC1CB0"/>
    <w:rsid w:val="00EC1DEE"/>
    <w:rsid w:val="00EC2022"/>
    <w:rsid w:val="00EC3B14"/>
    <w:rsid w:val="00EC3E95"/>
    <w:rsid w:val="00EC5B96"/>
    <w:rsid w:val="00EC634D"/>
    <w:rsid w:val="00EC641A"/>
    <w:rsid w:val="00EC6BCF"/>
    <w:rsid w:val="00EC7C80"/>
    <w:rsid w:val="00ED1B79"/>
    <w:rsid w:val="00ED1BEB"/>
    <w:rsid w:val="00ED1D68"/>
    <w:rsid w:val="00ED1EC9"/>
    <w:rsid w:val="00ED2374"/>
    <w:rsid w:val="00ED23AA"/>
    <w:rsid w:val="00ED3125"/>
    <w:rsid w:val="00ED36B3"/>
    <w:rsid w:val="00ED3A6E"/>
    <w:rsid w:val="00ED3E4D"/>
    <w:rsid w:val="00ED3EA5"/>
    <w:rsid w:val="00ED4442"/>
    <w:rsid w:val="00ED452B"/>
    <w:rsid w:val="00ED516F"/>
    <w:rsid w:val="00ED6034"/>
    <w:rsid w:val="00ED6D7F"/>
    <w:rsid w:val="00ED772B"/>
    <w:rsid w:val="00ED7B64"/>
    <w:rsid w:val="00EE0AD8"/>
    <w:rsid w:val="00EE18C6"/>
    <w:rsid w:val="00EE1B90"/>
    <w:rsid w:val="00EE2F74"/>
    <w:rsid w:val="00EE3341"/>
    <w:rsid w:val="00EE33EE"/>
    <w:rsid w:val="00EE348D"/>
    <w:rsid w:val="00EE366C"/>
    <w:rsid w:val="00EE40D1"/>
    <w:rsid w:val="00EE4A17"/>
    <w:rsid w:val="00EE5248"/>
    <w:rsid w:val="00EE55F0"/>
    <w:rsid w:val="00EE59BE"/>
    <w:rsid w:val="00EE61C4"/>
    <w:rsid w:val="00EE6BCD"/>
    <w:rsid w:val="00EE701D"/>
    <w:rsid w:val="00EE72BD"/>
    <w:rsid w:val="00EE7496"/>
    <w:rsid w:val="00EE7745"/>
    <w:rsid w:val="00EF0627"/>
    <w:rsid w:val="00EF1914"/>
    <w:rsid w:val="00EF28EE"/>
    <w:rsid w:val="00EF44A1"/>
    <w:rsid w:val="00EF50E8"/>
    <w:rsid w:val="00EF609C"/>
    <w:rsid w:val="00EF6180"/>
    <w:rsid w:val="00EF62F2"/>
    <w:rsid w:val="00EF6696"/>
    <w:rsid w:val="00EF6BB0"/>
    <w:rsid w:val="00F00717"/>
    <w:rsid w:val="00F00E9D"/>
    <w:rsid w:val="00F00FC8"/>
    <w:rsid w:val="00F01281"/>
    <w:rsid w:val="00F01720"/>
    <w:rsid w:val="00F017B5"/>
    <w:rsid w:val="00F01E1C"/>
    <w:rsid w:val="00F01EBC"/>
    <w:rsid w:val="00F02D43"/>
    <w:rsid w:val="00F03D6E"/>
    <w:rsid w:val="00F04871"/>
    <w:rsid w:val="00F069EC"/>
    <w:rsid w:val="00F078E5"/>
    <w:rsid w:val="00F07AD1"/>
    <w:rsid w:val="00F10BF2"/>
    <w:rsid w:val="00F1215E"/>
    <w:rsid w:val="00F12D84"/>
    <w:rsid w:val="00F138AE"/>
    <w:rsid w:val="00F13BD5"/>
    <w:rsid w:val="00F140C7"/>
    <w:rsid w:val="00F1653D"/>
    <w:rsid w:val="00F165F4"/>
    <w:rsid w:val="00F17931"/>
    <w:rsid w:val="00F17C92"/>
    <w:rsid w:val="00F201BC"/>
    <w:rsid w:val="00F20294"/>
    <w:rsid w:val="00F2053A"/>
    <w:rsid w:val="00F20708"/>
    <w:rsid w:val="00F2145B"/>
    <w:rsid w:val="00F21595"/>
    <w:rsid w:val="00F21E1F"/>
    <w:rsid w:val="00F22719"/>
    <w:rsid w:val="00F2283B"/>
    <w:rsid w:val="00F22B39"/>
    <w:rsid w:val="00F25420"/>
    <w:rsid w:val="00F255B3"/>
    <w:rsid w:val="00F26006"/>
    <w:rsid w:val="00F3028A"/>
    <w:rsid w:val="00F307FD"/>
    <w:rsid w:val="00F3086B"/>
    <w:rsid w:val="00F31003"/>
    <w:rsid w:val="00F31B00"/>
    <w:rsid w:val="00F32027"/>
    <w:rsid w:val="00F32037"/>
    <w:rsid w:val="00F32AA3"/>
    <w:rsid w:val="00F33839"/>
    <w:rsid w:val="00F339DF"/>
    <w:rsid w:val="00F3457F"/>
    <w:rsid w:val="00F35DA9"/>
    <w:rsid w:val="00F35EBC"/>
    <w:rsid w:val="00F36540"/>
    <w:rsid w:val="00F369E0"/>
    <w:rsid w:val="00F3741B"/>
    <w:rsid w:val="00F3793A"/>
    <w:rsid w:val="00F37C3F"/>
    <w:rsid w:val="00F4042A"/>
    <w:rsid w:val="00F410E0"/>
    <w:rsid w:val="00F41A95"/>
    <w:rsid w:val="00F41AF8"/>
    <w:rsid w:val="00F41F9E"/>
    <w:rsid w:val="00F42167"/>
    <w:rsid w:val="00F428B9"/>
    <w:rsid w:val="00F43AA4"/>
    <w:rsid w:val="00F43C68"/>
    <w:rsid w:val="00F4492A"/>
    <w:rsid w:val="00F4513D"/>
    <w:rsid w:val="00F4519E"/>
    <w:rsid w:val="00F459B7"/>
    <w:rsid w:val="00F45E84"/>
    <w:rsid w:val="00F47D63"/>
    <w:rsid w:val="00F509BF"/>
    <w:rsid w:val="00F512D4"/>
    <w:rsid w:val="00F51B89"/>
    <w:rsid w:val="00F51FDC"/>
    <w:rsid w:val="00F528A7"/>
    <w:rsid w:val="00F52AF8"/>
    <w:rsid w:val="00F5325A"/>
    <w:rsid w:val="00F539FF"/>
    <w:rsid w:val="00F53F9C"/>
    <w:rsid w:val="00F54616"/>
    <w:rsid w:val="00F5462C"/>
    <w:rsid w:val="00F54D6C"/>
    <w:rsid w:val="00F56496"/>
    <w:rsid w:val="00F56698"/>
    <w:rsid w:val="00F57A11"/>
    <w:rsid w:val="00F60025"/>
    <w:rsid w:val="00F6023A"/>
    <w:rsid w:val="00F61FB5"/>
    <w:rsid w:val="00F633E4"/>
    <w:rsid w:val="00F63863"/>
    <w:rsid w:val="00F6423B"/>
    <w:rsid w:val="00F64BB0"/>
    <w:rsid w:val="00F64F83"/>
    <w:rsid w:val="00F6603A"/>
    <w:rsid w:val="00F66584"/>
    <w:rsid w:val="00F6660A"/>
    <w:rsid w:val="00F674C4"/>
    <w:rsid w:val="00F67AE2"/>
    <w:rsid w:val="00F70317"/>
    <w:rsid w:val="00F719AF"/>
    <w:rsid w:val="00F73A8B"/>
    <w:rsid w:val="00F74375"/>
    <w:rsid w:val="00F7457A"/>
    <w:rsid w:val="00F74F97"/>
    <w:rsid w:val="00F74FDD"/>
    <w:rsid w:val="00F76D2B"/>
    <w:rsid w:val="00F77431"/>
    <w:rsid w:val="00F801D8"/>
    <w:rsid w:val="00F8149D"/>
    <w:rsid w:val="00F818FF"/>
    <w:rsid w:val="00F81A56"/>
    <w:rsid w:val="00F81AC7"/>
    <w:rsid w:val="00F81AE4"/>
    <w:rsid w:val="00F81B61"/>
    <w:rsid w:val="00F81C45"/>
    <w:rsid w:val="00F81FCA"/>
    <w:rsid w:val="00F8216A"/>
    <w:rsid w:val="00F82940"/>
    <w:rsid w:val="00F82E31"/>
    <w:rsid w:val="00F83069"/>
    <w:rsid w:val="00F83310"/>
    <w:rsid w:val="00F8513B"/>
    <w:rsid w:val="00F85179"/>
    <w:rsid w:val="00F876E4"/>
    <w:rsid w:val="00F90136"/>
    <w:rsid w:val="00F902F4"/>
    <w:rsid w:val="00F90A5F"/>
    <w:rsid w:val="00F9152C"/>
    <w:rsid w:val="00F92751"/>
    <w:rsid w:val="00F92C6A"/>
    <w:rsid w:val="00F9491E"/>
    <w:rsid w:val="00F95A68"/>
    <w:rsid w:val="00F96430"/>
    <w:rsid w:val="00F97924"/>
    <w:rsid w:val="00FA013A"/>
    <w:rsid w:val="00FA06DC"/>
    <w:rsid w:val="00FA0887"/>
    <w:rsid w:val="00FA08DE"/>
    <w:rsid w:val="00FA1685"/>
    <w:rsid w:val="00FA1AE8"/>
    <w:rsid w:val="00FA3482"/>
    <w:rsid w:val="00FA4FA1"/>
    <w:rsid w:val="00FA51FA"/>
    <w:rsid w:val="00FA6C33"/>
    <w:rsid w:val="00FA71E0"/>
    <w:rsid w:val="00FA7671"/>
    <w:rsid w:val="00FA7A83"/>
    <w:rsid w:val="00FA7A88"/>
    <w:rsid w:val="00FA7BF0"/>
    <w:rsid w:val="00FB0719"/>
    <w:rsid w:val="00FB086D"/>
    <w:rsid w:val="00FB0A10"/>
    <w:rsid w:val="00FB0AE5"/>
    <w:rsid w:val="00FB3165"/>
    <w:rsid w:val="00FB3429"/>
    <w:rsid w:val="00FB374E"/>
    <w:rsid w:val="00FB3773"/>
    <w:rsid w:val="00FB4E2E"/>
    <w:rsid w:val="00FB4EF8"/>
    <w:rsid w:val="00FB4F05"/>
    <w:rsid w:val="00FB7948"/>
    <w:rsid w:val="00FB7A17"/>
    <w:rsid w:val="00FC0B21"/>
    <w:rsid w:val="00FC182C"/>
    <w:rsid w:val="00FC1946"/>
    <w:rsid w:val="00FC23A9"/>
    <w:rsid w:val="00FC3E23"/>
    <w:rsid w:val="00FC3F0F"/>
    <w:rsid w:val="00FC45D3"/>
    <w:rsid w:val="00FC4E8B"/>
    <w:rsid w:val="00FC564F"/>
    <w:rsid w:val="00FC594C"/>
    <w:rsid w:val="00FC6207"/>
    <w:rsid w:val="00FC68D0"/>
    <w:rsid w:val="00FC7135"/>
    <w:rsid w:val="00FC7D84"/>
    <w:rsid w:val="00FD00AC"/>
    <w:rsid w:val="00FD16BB"/>
    <w:rsid w:val="00FD18A7"/>
    <w:rsid w:val="00FD1BA4"/>
    <w:rsid w:val="00FD203C"/>
    <w:rsid w:val="00FD22FB"/>
    <w:rsid w:val="00FD24D7"/>
    <w:rsid w:val="00FD268A"/>
    <w:rsid w:val="00FD385A"/>
    <w:rsid w:val="00FD4A18"/>
    <w:rsid w:val="00FD5262"/>
    <w:rsid w:val="00FD591E"/>
    <w:rsid w:val="00FD5B35"/>
    <w:rsid w:val="00FD65BF"/>
    <w:rsid w:val="00FD6BD0"/>
    <w:rsid w:val="00FD7BC6"/>
    <w:rsid w:val="00FE07D7"/>
    <w:rsid w:val="00FE177F"/>
    <w:rsid w:val="00FE17E6"/>
    <w:rsid w:val="00FE1A85"/>
    <w:rsid w:val="00FE2101"/>
    <w:rsid w:val="00FE2646"/>
    <w:rsid w:val="00FE2D1C"/>
    <w:rsid w:val="00FE3744"/>
    <w:rsid w:val="00FE3FC1"/>
    <w:rsid w:val="00FE4D34"/>
    <w:rsid w:val="00FE50CB"/>
    <w:rsid w:val="00FE574B"/>
    <w:rsid w:val="00FE5962"/>
    <w:rsid w:val="00FE6604"/>
    <w:rsid w:val="00FE682B"/>
    <w:rsid w:val="00FE7177"/>
    <w:rsid w:val="00FE731B"/>
    <w:rsid w:val="00FE7C48"/>
    <w:rsid w:val="00FF04AC"/>
    <w:rsid w:val="00FF0DD5"/>
    <w:rsid w:val="00FF0E97"/>
    <w:rsid w:val="00FF0F8D"/>
    <w:rsid w:val="00FF19E0"/>
    <w:rsid w:val="00FF2122"/>
    <w:rsid w:val="00FF2D02"/>
    <w:rsid w:val="00FF2E37"/>
    <w:rsid w:val="00FF2FC9"/>
    <w:rsid w:val="00FF326A"/>
    <w:rsid w:val="00FF432C"/>
    <w:rsid w:val="00FF5943"/>
    <w:rsid w:val="00FF6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851"/>
    <w:rPr>
      <w:sz w:val="20"/>
      <w:szCs w:val="20"/>
    </w:rPr>
  </w:style>
  <w:style w:type="paragraph" w:styleId="Heading1">
    <w:name w:val="heading 1"/>
    <w:basedOn w:val="Normal"/>
    <w:next w:val="Normal"/>
    <w:link w:val="Heading1Char"/>
    <w:autoRedefine/>
    <w:uiPriority w:val="9"/>
    <w:qFormat/>
    <w:rsid w:val="00F37C3F"/>
    <w:pPr>
      <w:shd w:val="clear" w:color="auto" w:fill="1B587C" w:themeFill="accent3"/>
      <w:spacing w:before="0" w:after="0" w:line="240" w:lineRule="auto"/>
      <w:contextualSpacing/>
      <w:outlineLvl w:val="0"/>
    </w:pPr>
    <w:rPr>
      <w:rFonts w:asciiTheme="majorHAnsi" w:hAnsiTheme="majorHAnsi"/>
      <w:b/>
      <w:bCs/>
      <w: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903E48"/>
    <w:pPr>
      <w:shd w:val="clear" w:color="auto" w:fill="C3E0F2" w:themeFill="accent3" w:themeFillTint="33"/>
      <w:spacing w:before="0" w:after="240" w:line="240" w:lineRule="auto"/>
      <w:outlineLvl w:val="1"/>
    </w:pPr>
    <w:rPr>
      <w:rFonts w:asciiTheme="majorHAnsi" w:hAnsiTheme="majorHAnsi"/>
      <w:caps/>
      <w:color w:val="0D2B3E" w:themeColor="accent3" w:themeShade="80"/>
      <w:spacing w:val="15"/>
      <w:sz w:val="26"/>
      <w:szCs w:val="26"/>
    </w:rPr>
  </w:style>
  <w:style w:type="paragraph" w:styleId="Heading3">
    <w:name w:val="heading 3"/>
    <w:basedOn w:val="Normal"/>
    <w:next w:val="Normal"/>
    <w:link w:val="Heading3Char"/>
    <w:autoRedefine/>
    <w:uiPriority w:val="9"/>
    <w:unhideWhenUsed/>
    <w:qFormat/>
    <w:rsid w:val="005A5114"/>
    <w:pPr>
      <w:framePr w:wrap="around" w:vAnchor="text" w:hAnchor="text" w:y="1"/>
      <w:pBdr>
        <w:top w:val="single" w:sz="6" w:space="2" w:color="761E28" w:themeColor="accent2" w:themeShade="BF"/>
        <w:left w:val="single" w:sz="6" w:space="2" w:color="761E28" w:themeColor="accent2" w:themeShade="BF"/>
      </w:pBdr>
      <w:spacing w:before="300" w:after="120" w:line="240" w:lineRule="auto"/>
      <w:jc w:val="center"/>
      <w:outlineLvl w:val="2"/>
    </w:pPr>
    <w:rPr>
      <w:rFonts w:asciiTheme="majorHAnsi" w:hAnsiTheme="majorHAnsi"/>
      <w:b/>
      <w:caps/>
      <w:color w:val="0D2B3E" w:themeColor="accent3" w:themeShade="80"/>
      <w:spacing w:val="15"/>
      <w:szCs w:val="22"/>
      <w:lang w:eastAsia="zh-CN" w:bidi="ar-SA"/>
    </w:rPr>
  </w:style>
  <w:style w:type="paragraph" w:styleId="Heading4">
    <w:name w:val="heading 4"/>
    <w:basedOn w:val="Normal"/>
    <w:next w:val="Normal"/>
    <w:link w:val="Heading4Char"/>
    <w:uiPriority w:val="9"/>
    <w:unhideWhenUsed/>
    <w:qFormat/>
    <w:rsid w:val="00656D3B"/>
    <w:pPr>
      <w:pBdr>
        <w:top w:val="dotted" w:sz="6" w:space="2" w:color="F07F09" w:themeColor="accent1"/>
        <w:left w:val="dotted" w:sz="6" w:space="2" w:color="F07F09" w:themeColor="accent1"/>
      </w:pBdr>
      <w:spacing w:before="300" w:after="0"/>
      <w:outlineLvl w:val="3"/>
    </w:pPr>
    <w:rPr>
      <w:caps/>
      <w:color w:val="30243C" w:themeColor="accent5" w:themeShade="80"/>
      <w:spacing w:val="10"/>
      <w:sz w:val="22"/>
      <w:szCs w:val="22"/>
    </w:rPr>
  </w:style>
  <w:style w:type="paragraph" w:styleId="Heading5">
    <w:name w:val="heading 5"/>
    <w:basedOn w:val="Normal"/>
    <w:next w:val="Normal"/>
    <w:link w:val="Heading5Char"/>
    <w:autoRedefine/>
    <w:uiPriority w:val="9"/>
    <w:unhideWhenUsed/>
    <w:qFormat/>
    <w:rsid w:val="00494849"/>
    <w:pPr>
      <w:pBdr>
        <w:bottom w:val="single" w:sz="4" w:space="1" w:color="89C2E5" w:themeColor="accent3" w:themeTint="66"/>
      </w:pBdr>
      <w:spacing w:before="300" w:after="0"/>
      <w:outlineLvl w:val="4"/>
    </w:pPr>
    <w:rPr>
      <w:rFonts w:asciiTheme="majorHAnsi" w:hAnsiTheme="majorHAnsi"/>
      <w:caps/>
      <w:color w:val="000000" w:themeColor="text1"/>
      <w:spacing w:val="10"/>
      <w:sz w:val="26"/>
      <w:szCs w:val="22"/>
    </w:rPr>
  </w:style>
  <w:style w:type="paragraph" w:styleId="Heading6">
    <w:name w:val="heading 6"/>
    <w:basedOn w:val="Normal"/>
    <w:next w:val="Normal"/>
    <w:link w:val="Heading6Char"/>
    <w:uiPriority w:val="9"/>
    <w:semiHidden/>
    <w:unhideWhenUsed/>
    <w:qFormat/>
    <w:rsid w:val="00467851"/>
    <w:pPr>
      <w:pBdr>
        <w:bottom w:val="dotted" w:sz="6" w:space="1" w:color="F07F09" w:themeColor="accent1"/>
      </w:pBdr>
      <w:spacing w:before="300" w:after="0"/>
      <w:outlineLvl w:val="5"/>
    </w:pPr>
    <w:rPr>
      <w:caps/>
      <w:color w:val="B35E06" w:themeColor="accent1" w:themeShade="BF"/>
      <w:spacing w:val="10"/>
      <w:sz w:val="22"/>
      <w:szCs w:val="22"/>
    </w:rPr>
  </w:style>
  <w:style w:type="paragraph" w:styleId="Heading7">
    <w:name w:val="heading 7"/>
    <w:basedOn w:val="Normal"/>
    <w:next w:val="Normal"/>
    <w:link w:val="Heading7Char"/>
    <w:uiPriority w:val="9"/>
    <w:semiHidden/>
    <w:unhideWhenUsed/>
    <w:qFormat/>
    <w:rsid w:val="00467851"/>
    <w:pPr>
      <w:spacing w:before="300" w:after="0"/>
      <w:outlineLvl w:val="6"/>
    </w:pPr>
    <w:rPr>
      <w:caps/>
      <w:color w:val="B35E06" w:themeColor="accent1" w:themeShade="BF"/>
      <w:spacing w:val="10"/>
      <w:sz w:val="22"/>
      <w:szCs w:val="22"/>
    </w:rPr>
  </w:style>
  <w:style w:type="paragraph" w:styleId="Heading8">
    <w:name w:val="heading 8"/>
    <w:basedOn w:val="Normal"/>
    <w:next w:val="Normal"/>
    <w:link w:val="Heading8Char"/>
    <w:uiPriority w:val="9"/>
    <w:semiHidden/>
    <w:unhideWhenUsed/>
    <w:qFormat/>
    <w:rsid w:val="0046785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6785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B85"/>
    <w:rPr>
      <w:rFonts w:ascii="Tahoma" w:hAnsi="Tahoma" w:cs="Tahoma"/>
      <w:sz w:val="16"/>
      <w:szCs w:val="16"/>
    </w:rPr>
  </w:style>
  <w:style w:type="paragraph" w:styleId="ListParagraph">
    <w:name w:val="List Paragraph"/>
    <w:basedOn w:val="Normal"/>
    <w:uiPriority w:val="34"/>
    <w:qFormat/>
    <w:rsid w:val="00D92249"/>
    <w:pPr>
      <w:numPr>
        <w:numId w:val="1"/>
      </w:numPr>
      <w:ind w:left="360"/>
      <w:contextualSpacing/>
    </w:pPr>
    <w:rPr>
      <w:sz w:val="24"/>
      <w:szCs w:val="24"/>
    </w:rPr>
  </w:style>
  <w:style w:type="character" w:customStyle="1" w:styleId="Heading1Char">
    <w:name w:val="Heading 1 Char"/>
    <w:basedOn w:val="DefaultParagraphFont"/>
    <w:link w:val="Heading1"/>
    <w:uiPriority w:val="9"/>
    <w:rsid w:val="00F37C3F"/>
    <w:rPr>
      <w:rFonts w:asciiTheme="majorHAnsi" w:hAnsiTheme="majorHAnsi"/>
      <w:b/>
      <w:bCs/>
      <w:caps/>
      <w:color w:val="FFFFFF" w:themeColor="background1"/>
      <w:spacing w:val="15"/>
      <w:sz w:val="28"/>
      <w:shd w:val="clear" w:color="auto" w:fill="1B587C" w:themeFill="accent3"/>
    </w:rPr>
  </w:style>
  <w:style w:type="character" w:customStyle="1" w:styleId="Heading2Char">
    <w:name w:val="Heading 2 Char"/>
    <w:basedOn w:val="DefaultParagraphFont"/>
    <w:link w:val="Heading2"/>
    <w:uiPriority w:val="9"/>
    <w:rsid w:val="00903E48"/>
    <w:rPr>
      <w:rFonts w:asciiTheme="majorHAnsi" w:hAnsiTheme="majorHAnsi"/>
      <w:caps/>
      <w:color w:val="0D2B3E" w:themeColor="accent3" w:themeShade="80"/>
      <w:spacing w:val="15"/>
      <w:sz w:val="26"/>
      <w:szCs w:val="26"/>
      <w:shd w:val="clear" w:color="auto" w:fill="C3E0F2" w:themeFill="accent3" w:themeFillTint="33"/>
    </w:rPr>
  </w:style>
  <w:style w:type="character" w:customStyle="1" w:styleId="Heading3Char">
    <w:name w:val="Heading 3 Char"/>
    <w:basedOn w:val="DefaultParagraphFont"/>
    <w:link w:val="Heading3"/>
    <w:uiPriority w:val="9"/>
    <w:rsid w:val="005A5114"/>
    <w:rPr>
      <w:rFonts w:asciiTheme="majorHAnsi" w:hAnsiTheme="majorHAnsi"/>
      <w:b/>
      <w:caps/>
      <w:color w:val="0D2B3E" w:themeColor="accent3" w:themeShade="80"/>
      <w:spacing w:val="15"/>
      <w:sz w:val="20"/>
      <w:lang w:eastAsia="zh-CN" w:bidi="ar-SA"/>
    </w:rPr>
  </w:style>
  <w:style w:type="character" w:customStyle="1" w:styleId="Heading4Char">
    <w:name w:val="Heading 4 Char"/>
    <w:basedOn w:val="DefaultParagraphFont"/>
    <w:link w:val="Heading4"/>
    <w:uiPriority w:val="9"/>
    <w:rsid w:val="00656D3B"/>
    <w:rPr>
      <w:caps/>
      <w:color w:val="30243C" w:themeColor="accent5" w:themeShade="80"/>
      <w:spacing w:val="10"/>
    </w:rPr>
  </w:style>
  <w:style w:type="character" w:customStyle="1" w:styleId="Heading5Char">
    <w:name w:val="Heading 5 Char"/>
    <w:basedOn w:val="DefaultParagraphFont"/>
    <w:link w:val="Heading5"/>
    <w:uiPriority w:val="9"/>
    <w:rsid w:val="00494849"/>
    <w:rPr>
      <w:rFonts w:asciiTheme="majorHAnsi" w:hAnsiTheme="majorHAnsi"/>
      <w:caps/>
      <w:color w:val="000000" w:themeColor="text1"/>
      <w:spacing w:val="10"/>
      <w:sz w:val="26"/>
    </w:rPr>
  </w:style>
  <w:style w:type="character" w:customStyle="1" w:styleId="Heading6Char">
    <w:name w:val="Heading 6 Char"/>
    <w:basedOn w:val="DefaultParagraphFont"/>
    <w:link w:val="Heading6"/>
    <w:uiPriority w:val="9"/>
    <w:semiHidden/>
    <w:rsid w:val="00467851"/>
    <w:rPr>
      <w:caps/>
      <w:color w:val="B35E06" w:themeColor="accent1" w:themeShade="BF"/>
      <w:spacing w:val="10"/>
    </w:rPr>
  </w:style>
  <w:style w:type="character" w:customStyle="1" w:styleId="Heading7Char">
    <w:name w:val="Heading 7 Char"/>
    <w:basedOn w:val="DefaultParagraphFont"/>
    <w:link w:val="Heading7"/>
    <w:uiPriority w:val="9"/>
    <w:semiHidden/>
    <w:rsid w:val="00467851"/>
    <w:rPr>
      <w:caps/>
      <w:color w:val="B35E06" w:themeColor="accent1" w:themeShade="BF"/>
      <w:spacing w:val="10"/>
    </w:rPr>
  </w:style>
  <w:style w:type="character" w:customStyle="1" w:styleId="Heading8Char">
    <w:name w:val="Heading 8 Char"/>
    <w:basedOn w:val="DefaultParagraphFont"/>
    <w:link w:val="Heading8"/>
    <w:uiPriority w:val="9"/>
    <w:semiHidden/>
    <w:rsid w:val="00467851"/>
    <w:rPr>
      <w:caps/>
      <w:spacing w:val="10"/>
      <w:sz w:val="18"/>
      <w:szCs w:val="18"/>
    </w:rPr>
  </w:style>
  <w:style w:type="character" w:customStyle="1" w:styleId="Heading9Char">
    <w:name w:val="Heading 9 Char"/>
    <w:basedOn w:val="DefaultParagraphFont"/>
    <w:link w:val="Heading9"/>
    <w:uiPriority w:val="9"/>
    <w:semiHidden/>
    <w:rsid w:val="00467851"/>
    <w:rPr>
      <w:i/>
      <w:caps/>
      <w:spacing w:val="10"/>
      <w:sz w:val="18"/>
      <w:szCs w:val="18"/>
    </w:rPr>
  </w:style>
  <w:style w:type="paragraph" w:styleId="Caption">
    <w:name w:val="caption"/>
    <w:basedOn w:val="Normal"/>
    <w:next w:val="Normal"/>
    <w:uiPriority w:val="35"/>
    <w:semiHidden/>
    <w:unhideWhenUsed/>
    <w:qFormat/>
    <w:rsid w:val="00467851"/>
    <w:rPr>
      <w:b/>
      <w:bCs/>
      <w:color w:val="B35E06" w:themeColor="accent1" w:themeShade="BF"/>
      <w:sz w:val="16"/>
      <w:szCs w:val="16"/>
    </w:rPr>
  </w:style>
  <w:style w:type="paragraph" w:styleId="Title">
    <w:name w:val="Title"/>
    <w:basedOn w:val="Normal"/>
    <w:next w:val="Normal"/>
    <w:link w:val="TitleChar"/>
    <w:uiPriority w:val="10"/>
    <w:qFormat/>
    <w:rsid w:val="00467851"/>
    <w:pPr>
      <w:spacing w:before="720"/>
    </w:pPr>
    <w:rPr>
      <w:caps/>
      <w:color w:val="F07F09" w:themeColor="accent1"/>
      <w:spacing w:val="10"/>
      <w:kern w:val="28"/>
      <w:sz w:val="52"/>
      <w:szCs w:val="52"/>
    </w:rPr>
  </w:style>
  <w:style w:type="character" w:customStyle="1" w:styleId="TitleChar">
    <w:name w:val="Title Char"/>
    <w:basedOn w:val="DefaultParagraphFont"/>
    <w:link w:val="Title"/>
    <w:uiPriority w:val="10"/>
    <w:rsid w:val="00467851"/>
    <w:rPr>
      <w:caps/>
      <w:color w:val="F07F09" w:themeColor="accent1"/>
      <w:spacing w:val="10"/>
      <w:kern w:val="28"/>
      <w:sz w:val="52"/>
      <w:szCs w:val="52"/>
    </w:rPr>
  </w:style>
  <w:style w:type="paragraph" w:styleId="Subtitle">
    <w:name w:val="Subtitle"/>
    <w:basedOn w:val="Normal"/>
    <w:next w:val="Normal"/>
    <w:link w:val="SubtitleChar"/>
    <w:uiPriority w:val="11"/>
    <w:qFormat/>
    <w:rsid w:val="0046785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67851"/>
    <w:rPr>
      <w:caps/>
      <w:color w:val="595959" w:themeColor="text1" w:themeTint="A6"/>
      <w:spacing w:val="10"/>
      <w:sz w:val="24"/>
      <w:szCs w:val="24"/>
    </w:rPr>
  </w:style>
  <w:style w:type="character" w:styleId="Strong">
    <w:name w:val="Strong"/>
    <w:uiPriority w:val="22"/>
    <w:qFormat/>
    <w:rsid w:val="00467851"/>
    <w:rPr>
      <w:b/>
      <w:bCs/>
    </w:rPr>
  </w:style>
  <w:style w:type="character" w:styleId="Emphasis">
    <w:name w:val="Emphasis"/>
    <w:uiPriority w:val="20"/>
    <w:qFormat/>
    <w:rsid w:val="00467851"/>
    <w:rPr>
      <w:caps/>
      <w:color w:val="773F04" w:themeColor="accent1" w:themeShade="7F"/>
      <w:spacing w:val="5"/>
    </w:rPr>
  </w:style>
  <w:style w:type="paragraph" w:styleId="NoSpacing">
    <w:name w:val="No Spacing"/>
    <w:basedOn w:val="Normal"/>
    <w:link w:val="NoSpacingChar"/>
    <w:uiPriority w:val="1"/>
    <w:qFormat/>
    <w:rsid w:val="00467851"/>
    <w:pPr>
      <w:spacing w:before="0" w:after="0" w:line="240" w:lineRule="auto"/>
    </w:pPr>
  </w:style>
  <w:style w:type="character" w:customStyle="1" w:styleId="NoSpacingChar">
    <w:name w:val="No Spacing Char"/>
    <w:basedOn w:val="DefaultParagraphFont"/>
    <w:link w:val="NoSpacing"/>
    <w:uiPriority w:val="1"/>
    <w:rsid w:val="00467851"/>
    <w:rPr>
      <w:sz w:val="20"/>
      <w:szCs w:val="20"/>
    </w:rPr>
  </w:style>
  <w:style w:type="paragraph" w:styleId="Quote">
    <w:name w:val="Quote"/>
    <w:basedOn w:val="Normal"/>
    <w:next w:val="Normal"/>
    <w:link w:val="QuoteChar"/>
    <w:uiPriority w:val="29"/>
    <w:qFormat/>
    <w:rsid w:val="00467851"/>
    <w:rPr>
      <w:i/>
      <w:iCs/>
    </w:rPr>
  </w:style>
  <w:style w:type="character" w:customStyle="1" w:styleId="QuoteChar">
    <w:name w:val="Quote Char"/>
    <w:basedOn w:val="DefaultParagraphFont"/>
    <w:link w:val="Quote"/>
    <w:uiPriority w:val="29"/>
    <w:rsid w:val="00467851"/>
    <w:rPr>
      <w:i/>
      <w:iCs/>
      <w:sz w:val="20"/>
      <w:szCs w:val="20"/>
    </w:rPr>
  </w:style>
  <w:style w:type="paragraph" w:styleId="IntenseQuote">
    <w:name w:val="Intense Quote"/>
    <w:basedOn w:val="Normal"/>
    <w:next w:val="Normal"/>
    <w:link w:val="IntenseQuoteChar"/>
    <w:uiPriority w:val="30"/>
    <w:qFormat/>
    <w:rsid w:val="00467851"/>
    <w:pPr>
      <w:pBdr>
        <w:top w:val="single" w:sz="4" w:space="10" w:color="F07F09" w:themeColor="accent1"/>
        <w:left w:val="single" w:sz="4" w:space="10" w:color="F07F09" w:themeColor="accent1"/>
      </w:pBdr>
      <w:spacing w:after="0"/>
      <w:ind w:left="1296" w:right="1152"/>
      <w:jc w:val="both"/>
    </w:pPr>
    <w:rPr>
      <w:i/>
      <w:iCs/>
      <w:color w:val="F07F09" w:themeColor="accent1"/>
    </w:rPr>
  </w:style>
  <w:style w:type="character" w:customStyle="1" w:styleId="IntenseQuoteChar">
    <w:name w:val="Intense Quote Char"/>
    <w:basedOn w:val="DefaultParagraphFont"/>
    <w:link w:val="IntenseQuote"/>
    <w:uiPriority w:val="30"/>
    <w:rsid w:val="00467851"/>
    <w:rPr>
      <w:i/>
      <w:iCs/>
      <w:color w:val="F07F09" w:themeColor="accent1"/>
      <w:sz w:val="20"/>
      <w:szCs w:val="20"/>
    </w:rPr>
  </w:style>
  <w:style w:type="character" w:styleId="SubtleEmphasis">
    <w:name w:val="Subtle Emphasis"/>
    <w:uiPriority w:val="19"/>
    <w:qFormat/>
    <w:rsid w:val="003E0A78"/>
    <w:rPr>
      <w:b/>
      <w:i/>
      <w:iCs/>
      <w:color w:val="000000" w:themeColor="text1"/>
    </w:rPr>
  </w:style>
  <w:style w:type="character" w:styleId="IntenseEmphasis">
    <w:name w:val="Intense Emphasis"/>
    <w:uiPriority w:val="21"/>
    <w:qFormat/>
    <w:rsid w:val="00467851"/>
    <w:rPr>
      <w:b/>
      <w:bCs/>
      <w:caps/>
      <w:color w:val="773F04" w:themeColor="accent1" w:themeShade="7F"/>
      <w:spacing w:val="10"/>
    </w:rPr>
  </w:style>
  <w:style w:type="character" w:styleId="SubtleReference">
    <w:name w:val="Subtle Reference"/>
    <w:uiPriority w:val="31"/>
    <w:qFormat/>
    <w:rsid w:val="00467851"/>
    <w:rPr>
      <w:b/>
      <w:bCs/>
      <w:color w:val="F07F09" w:themeColor="accent1"/>
    </w:rPr>
  </w:style>
  <w:style w:type="character" w:styleId="IntenseReference">
    <w:name w:val="Intense Reference"/>
    <w:uiPriority w:val="32"/>
    <w:qFormat/>
    <w:rsid w:val="00467851"/>
    <w:rPr>
      <w:b/>
      <w:bCs/>
      <w:i/>
      <w:iCs/>
      <w:caps/>
      <w:color w:val="F07F09" w:themeColor="accent1"/>
    </w:rPr>
  </w:style>
  <w:style w:type="character" w:styleId="BookTitle">
    <w:name w:val="Book Title"/>
    <w:uiPriority w:val="33"/>
    <w:qFormat/>
    <w:rsid w:val="00467851"/>
    <w:rPr>
      <w:b/>
      <w:bCs/>
      <w:i/>
      <w:iCs/>
      <w:spacing w:val="9"/>
    </w:rPr>
  </w:style>
  <w:style w:type="paragraph" w:styleId="TOCHeading">
    <w:name w:val="TOC Heading"/>
    <w:basedOn w:val="Heading1"/>
    <w:next w:val="Normal"/>
    <w:uiPriority w:val="39"/>
    <w:unhideWhenUsed/>
    <w:qFormat/>
    <w:rsid w:val="00467851"/>
    <w:pPr>
      <w:outlineLvl w:val="9"/>
    </w:pPr>
  </w:style>
  <w:style w:type="character" w:styleId="Hyperlink">
    <w:name w:val="Hyperlink"/>
    <w:basedOn w:val="DefaultParagraphFont"/>
    <w:uiPriority w:val="99"/>
    <w:unhideWhenUsed/>
    <w:rsid w:val="001E2AE3"/>
    <w:rPr>
      <w:color w:val="0000FF"/>
      <w:u w:val="single"/>
    </w:rPr>
  </w:style>
  <w:style w:type="character" w:styleId="FollowedHyperlink">
    <w:name w:val="FollowedHyperlink"/>
    <w:basedOn w:val="DefaultParagraphFont"/>
    <w:uiPriority w:val="99"/>
    <w:semiHidden/>
    <w:unhideWhenUsed/>
    <w:rsid w:val="001E2AE3"/>
    <w:rPr>
      <w:color w:val="800080"/>
      <w:u w:val="single"/>
    </w:rPr>
  </w:style>
  <w:style w:type="paragraph" w:customStyle="1" w:styleId="font5">
    <w:name w:val="font5"/>
    <w:basedOn w:val="Normal"/>
    <w:rsid w:val="001E2AE3"/>
    <w:pPr>
      <w:spacing w:before="100" w:beforeAutospacing="1" w:after="100" w:afterAutospacing="1" w:line="240" w:lineRule="auto"/>
    </w:pPr>
    <w:rPr>
      <w:rFonts w:ascii="Arial" w:eastAsia="Times New Roman" w:hAnsi="Arial" w:cs="Arial"/>
      <w:sz w:val="14"/>
      <w:szCs w:val="14"/>
      <w:lang w:eastAsia="zh-CN" w:bidi="ar-SA"/>
    </w:rPr>
  </w:style>
  <w:style w:type="paragraph" w:customStyle="1" w:styleId="font6">
    <w:name w:val="font6"/>
    <w:basedOn w:val="Normal"/>
    <w:rsid w:val="001E2AE3"/>
    <w:pPr>
      <w:spacing w:before="100" w:beforeAutospacing="1" w:after="100" w:afterAutospacing="1" w:line="240" w:lineRule="auto"/>
    </w:pPr>
    <w:rPr>
      <w:rFonts w:ascii="Arial" w:eastAsia="Times New Roman" w:hAnsi="Arial" w:cs="Arial"/>
      <w:sz w:val="14"/>
      <w:szCs w:val="14"/>
      <w:lang w:eastAsia="zh-CN" w:bidi="ar-SA"/>
    </w:rPr>
  </w:style>
  <w:style w:type="paragraph" w:customStyle="1" w:styleId="xl66">
    <w:name w:val="xl66"/>
    <w:basedOn w:val="Normal"/>
    <w:rsid w:val="001E2AE3"/>
    <w:pPr>
      <w:pBdr>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67">
    <w:name w:val="xl67"/>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68">
    <w:name w:val="xl68"/>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69">
    <w:name w:val="xl69"/>
    <w:basedOn w:val="Normal"/>
    <w:rsid w:val="001E2AE3"/>
    <w:pPr>
      <w:pBdr>
        <w:top w:val="single" w:sz="4" w:space="0" w:color="C0C0C0"/>
        <w:bottom w:val="single" w:sz="4" w:space="0" w:color="C0C0C0"/>
      </w:pBd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70">
    <w:name w:val="xl70"/>
    <w:basedOn w:val="Normal"/>
    <w:rsid w:val="001E2AE3"/>
    <w:pPr>
      <w:pBdr>
        <w:top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sz w:val="16"/>
      <w:szCs w:val="16"/>
      <w:lang w:eastAsia="zh-CN" w:bidi="ar-SA"/>
    </w:rPr>
  </w:style>
  <w:style w:type="paragraph" w:customStyle="1" w:styleId="xl71">
    <w:name w:val="xl71"/>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72">
    <w:name w:val="xl72"/>
    <w:basedOn w:val="Normal"/>
    <w:rsid w:val="001E2AE3"/>
    <w:pPr>
      <w:pBdr>
        <w:bottom w:val="single" w:sz="4" w:space="0" w:color="C0C0C0"/>
      </w:pBdr>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73">
    <w:name w:val="xl73"/>
    <w:basedOn w:val="Normal"/>
    <w:rsid w:val="001E2AE3"/>
    <w:pP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74">
    <w:name w:val="xl74"/>
    <w:basedOn w:val="Normal"/>
    <w:rsid w:val="001E2AE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75">
    <w:name w:val="xl75"/>
    <w:basedOn w:val="Normal"/>
    <w:rsid w:val="001E2AE3"/>
    <w:pP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76">
    <w:name w:val="xl76"/>
    <w:basedOn w:val="Normal"/>
    <w:rsid w:val="001E2AE3"/>
    <w:pP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77">
    <w:name w:val="xl77"/>
    <w:basedOn w:val="Normal"/>
    <w:rsid w:val="001E2AE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78">
    <w:name w:val="xl78"/>
    <w:basedOn w:val="Normal"/>
    <w:rsid w:val="001E2AE3"/>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zh-CN" w:bidi="ar-SA"/>
    </w:rPr>
  </w:style>
  <w:style w:type="paragraph" w:customStyle="1" w:styleId="xl79">
    <w:name w:val="xl79"/>
    <w:basedOn w:val="Normal"/>
    <w:rsid w:val="001E2AE3"/>
    <w:pPr>
      <w:pBdr>
        <w:top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80">
    <w:name w:val="xl80"/>
    <w:basedOn w:val="Normal"/>
    <w:rsid w:val="001E2AE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81">
    <w:name w:val="xl81"/>
    <w:basedOn w:val="Normal"/>
    <w:rsid w:val="001E2AE3"/>
    <w:pPr>
      <w:pBdr>
        <w:top w:val="single" w:sz="4" w:space="0" w:color="C0C0C0"/>
        <w:bottom w:val="single" w:sz="4" w:space="0" w:color="C0C0C0"/>
      </w:pBdr>
      <w:spacing w:before="100" w:beforeAutospacing="1" w:after="100" w:afterAutospacing="1" w:line="240" w:lineRule="auto"/>
      <w:textAlignment w:val="center"/>
    </w:pPr>
    <w:rPr>
      <w:rFonts w:ascii="Arial Narrow" w:eastAsia="Times New Roman" w:hAnsi="Arial Narrow" w:cs="Times New Roman"/>
      <w:sz w:val="14"/>
      <w:szCs w:val="14"/>
      <w:lang w:eastAsia="zh-CN" w:bidi="ar-SA"/>
    </w:rPr>
  </w:style>
  <w:style w:type="paragraph" w:customStyle="1" w:styleId="xl82">
    <w:name w:val="xl82"/>
    <w:basedOn w:val="Normal"/>
    <w:rsid w:val="001E2AE3"/>
    <w:pPr>
      <w:spacing w:before="100" w:beforeAutospacing="1" w:after="100" w:afterAutospacing="1" w:line="240" w:lineRule="auto"/>
      <w:textAlignment w:val="center"/>
    </w:pPr>
    <w:rPr>
      <w:rFonts w:ascii="Arial Narrow" w:eastAsia="Times New Roman" w:hAnsi="Arial Narrow" w:cs="Times New Roman"/>
      <w:sz w:val="14"/>
      <w:szCs w:val="14"/>
      <w:lang w:eastAsia="zh-CN" w:bidi="ar-SA"/>
    </w:rPr>
  </w:style>
  <w:style w:type="paragraph" w:customStyle="1" w:styleId="xl83">
    <w:name w:val="xl83"/>
    <w:basedOn w:val="Normal"/>
    <w:rsid w:val="001E2AE3"/>
    <w:pPr>
      <w:pBdr>
        <w:bottom w:val="single" w:sz="4" w:space="0" w:color="C0C0C0"/>
      </w:pBdr>
      <w:spacing w:before="100" w:beforeAutospacing="1" w:after="100" w:afterAutospacing="1" w:line="240" w:lineRule="auto"/>
      <w:textAlignment w:val="center"/>
    </w:pPr>
    <w:rPr>
      <w:rFonts w:ascii="Arial Narrow" w:eastAsia="Times New Roman" w:hAnsi="Arial Narrow" w:cs="Times New Roman"/>
      <w:b/>
      <w:bCs/>
      <w:sz w:val="14"/>
      <w:szCs w:val="14"/>
      <w:lang w:eastAsia="zh-CN" w:bidi="ar-SA"/>
    </w:rPr>
  </w:style>
  <w:style w:type="paragraph" w:customStyle="1" w:styleId="xl84">
    <w:name w:val="xl84"/>
    <w:basedOn w:val="Normal"/>
    <w:rsid w:val="001E2AE3"/>
    <w:pPr>
      <w:pBdr>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85">
    <w:name w:val="xl85"/>
    <w:basedOn w:val="Normal"/>
    <w:rsid w:val="001E2AE3"/>
    <w:pPr>
      <w:pBdr>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86">
    <w:name w:val="xl86"/>
    <w:basedOn w:val="Normal"/>
    <w:rsid w:val="001E2AE3"/>
    <w:pPr>
      <w:pBdr>
        <w:bottom w:val="single" w:sz="4" w:space="0" w:color="C0C0C0"/>
      </w:pBdr>
      <w:spacing w:before="100" w:beforeAutospacing="1" w:after="100" w:afterAutospacing="1" w:line="240" w:lineRule="auto"/>
      <w:jc w:val="right"/>
      <w:textAlignment w:val="center"/>
    </w:pPr>
    <w:rPr>
      <w:rFonts w:ascii="Arial" w:eastAsia="Times New Roman" w:hAnsi="Arial" w:cs="Arial"/>
      <w:b/>
      <w:bCs/>
      <w:sz w:val="16"/>
      <w:szCs w:val="16"/>
      <w:lang w:eastAsia="zh-CN" w:bidi="ar-SA"/>
    </w:rPr>
  </w:style>
  <w:style w:type="paragraph" w:customStyle="1" w:styleId="xl87">
    <w:name w:val="xl87"/>
    <w:basedOn w:val="Normal"/>
    <w:rsid w:val="001E2AE3"/>
    <w:pPr>
      <w:pBdr>
        <w:bottom w:val="single" w:sz="4" w:space="0" w:color="C0C0C0"/>
      </w:pBdr>
      <w:spacing w:before="100" w:beforeAutospacing="1" w:after="100" w:afterAutospacing="1" w:line="240" w:lineRule="auto"/>
      <w:textAlignment w:val="center"/>
    </w:pPr>
    <w:rPr>
      <w:rFonts w:ascii="Arial" w:eastAsia="Times New Roman" w:hAnsi="Arial" w:cs="Arial"/>
      <w:b/>
      <w:bCs/>
      <w:sz w:val="16"/>
      <w:szCs w:val="16"/>
      <w:lang w:eastAsia="zh-CN" w:bidi="ar-SA"/>
    </w:rPr>
  </w:style>
  <w:style w:type="paragraph" w:customStyle="1" w:styleId="xl88">
    <w:name w:val="xl88"/>
    <w:basedOn w:val="Normal"/>
    <w:rsid w:val="001E2AE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89">
    <w:name w:val="xl89"/>
    <w:basedOn w:val="Normal"/>
    <w:rsid w:val="001E2AE3"/>
    <w:pPr>
      <w:spacing w:before="100" w:beforeAutospacing="1" w:after="100" w:afterAutospacing="1" w:line="240" w:lineRule="auto"/>
      <w:textAlignment w:val="center"/>
    </w:pPr>
    <w:rPr>
      <w:rFonts w:ascii="Arial" w:eastAsia="Times New Roman" w:hAnsi="Arial" w:cs="Arial"/>
      <w:b/>
      <w:bCs/>
      <w:sz w:val="24"/>
      <w:szCs w:val="24"/>
      <w:lang w:eastAsia="zh-CN" w:bidi="ar-SA"/>
    </w:rPr>
  </w:style>
  <w:style w:type="paragraph" w:customStyle="1" w:styleId="xl90">
    <w:name w:val="xl90"/>
    <w:basedOn w:val="Normal"/>
    <w:rsid w:val="001E2AE3"/>
    <w:pPr>
      <w:pBdr>
        <w:top w:val="single" w:sz="4" w:space="0" w:color="C0C0C0"/>
        <w:bottom w:val="single" w:sz="4" w:space="0" w:color="C0C0C0"/>
      </w:pBdr>
      <w:spacing w:before="100" w:beforeAutospacing="1" w:after="100" w:afterAutospacing="1" w:line="240" w:lineRule="auto"/>
      <w:textAlignment w:val="center"/>
    </w:pPr>
    <w:rPr>
      <w:rFonts w:ascii="Arial Narrow" w:eastAsia="Times New Roman" w:hAnsi="Arial Narrow" w:cs="Times New Roman"/>
      <w:b/>
      <w:bCs/>
      <w:sz w:val="14"/>
      <w:szCs w:val="14"/>
      <w:lang w:eastAsia="zh-CN" w:bidi="ar-SA"/>
    </w:rPr>
  </w:style>
  <w:style w:type="paragraph" w:customStyle="1" w:styleId="xl91">
    <w:name w:val="xl91"/>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2">
    <w:name w:val="xl92"/>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3">
    <w:name w:val="xl93"/>
    <w:basedOn w:val="Normal"/>
    <w:rsid w:val="001E2AE3"/>
    <w:pPr>
      <w:pBdr>
        <w:top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16"/>
      <w:szCs w:val="16"/>
      <w:lang w:eastAsia="zh-CN" w:bidi="ar-SA"/>
    </w:rPr>
  </w:style>
  <w:style w:type="paragraph" w:customStyle="1" w:styleId="xl94">
    <w:name w:val="xl94"/>
    <w:basedOn w:val="Normal"/>
    <w:rsid w:val="001E2AE3"/>
    <w:pPr>
      <w:pBdr>
        <w:top w:val="single" w:sz="4" w:space="0" w:color="C0C0C0"/>
        <w:bottom w:val="single" w:sz="4" w:space="0" w:color="C0C0C0"/>
      </w:pBdr>
      <w:spacing w:before="100" w:beforeAutospacing="1" w:after="100" w:afterAutospacing="1" w:line="240" w:lineRule="auto"/>
      <w:textAlignment w:val="center"/>
    </w:pPr>
    <w:rPr>
      <w:rFonts w:ascii="Arial" w:eastAsia="Times New Roman" w:hAnsi="Arial" w:cs="Arial"/>
      <w:b/>
      <w:bCs/>
      <w:sz w:val="16"/>
      <w:szCs w:val="16"/>
      <w:lang w:eastAsia="zh-CN" w:bidi="ar-SA"/>
    </w:rPr>
  </w:style>
  <w:style w:type="paragraph" w:customStyle="1" w:styleId="xl95">
    <w:name w:val="xl95"/>
    <w:basedOn w:val="Normal"/>
    <w:rsid w:val="001E2AE3"/>
    <w:pP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6">
    <w:name w:val="xl96"/>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7">
    <w:name w:val="xl97"/>
    <w:basedOn w:val="Normal"/>
    <w:rsid w:val="001E2AE3"/>
    <w:pPr>
      <w:pBdr>
        <w:top w:val="single" w:sz="4" w:space="0" w:color="C0C0C0"/>
        <w:bottom w:val="single" w:sz="8" w:space="0" w:color="000000"/>
      </w:pBdr>
      <w:spacing w:before="100" w:beforeAutospacing="1" w:after="100" w:afterAutospacing="1" w:line="240" w:lineRule="auto"/>
      <w:textAlignment w:val="center"/>
    </w:pPr>
    <w:rPr>
      <w:rFonts w:ascii="Arial Narrow" w:eastAsia="Times New Roman" w:hAnsi="Arial Narrow" w:cs="Times New Roman"/>
      <w:b/>
      <w:bCs/>
      <w:sz w:val="14"/>
      <w:szCs w:val="14"/>
      <w:lang w:eastAsia="zh-CN" w:bidi="ar-SA"/>
    </w:rPr>
  </w:style>
  <w:style w:type="paragraph" w:customStyle="1" w:styleId="xl98">
    <w:name w:val="xl98"/>
    <w:basedOn w:val="Normal"/>
    <w:rsid w:val="001E2AE3"/>
    <w:pPr>
      <w:pBdr>
        <w:top w:val="single" w:sz="4" w:space="0" w:color="C0C0C0"/>
        <w:bottom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9">
    <w:name w:val="xl99"/>
    <w:basedOn w:val="Normal"/>
    <w:rsid w:val="001E2AE3"/>
    <w:pPr>
      <w:pBdr>
        <w:top w:val="single" w:sz="4" w:space="0" w:color="C0C0C0"/>
        <w:bottom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100">
    <w:name w:val="xl100"/>
    <w:basedOn w:val="Normal"/>
    <w:rsid w:val="001E2AE3"/>
    <w:pPr>
      <w:pBdr>
        <w:top w:val="single" w:sz="4" w:space="0" w:color="C0C0C0"/>
        <w:bottom w:val="single" w:sz="8"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zh-CN" w:bidi="ar-SA"/>
    </w:rPr>
  </w:style>
  <w:style w:type="paragraph" w:customStyle="1" w:styleId="xl101">
    <w:name w:val="xl101"/>
    <w:basedOn w:val="Normal"/>
    <w:rsid w:val="001E2AE3"/>
    <w:pPr>
      <w:pBdr>
        <w:top w:val="single" w:sz="4" w:space="0" w:color="C0C0C0"/>
        <w:bottom w:val="single" w:sz="8" w:space="0" w:color="000000"/>
      </w:pBdr>
      <w:spacing w:before="100" w:beforeAutospacing="1" w:after="100" w:afterAutospacing="1" w:line="240" w:lineRule="auto"/>
      <w:textAlignment w:val="center"/>
    </w:pPr>
    <w:rPr>
      <w:rFonts w:ascii="Arial" w:eastAsia="Times New Roman" w:hAnsi="Arial" w:cs="Arial"/>
      <w:b/>
      <w:bCs/>
      <w:sz w:val="16"/>
      <w:szCs w:val="16"/>
      <w:lang w:eastAsia="zh-CN" w:bidi="ar-SA"/>
    </w:rPr>
  </w:style>
  <w:style w:type="paragraph" w:customStyle="1" w:styleId="xl102">
    <w:name w:val="xl102"/>
    <w:basedOn w:val="Normal"/>
    <w:rsid w:val="001E2AE3"/>
    <w:pPr>
      <w:pBdr>
        <w:top w:val="single" w:sz="4" w:space="0" w:color="C0C0C0"/>
        <w:bottom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103">
    <w:name w:val="xl103"/>
    <w:basedOn w:val="Normal"/>
    <w:rsid w:val="001E2AE3"/>
    <w:pPr>
      <w:spacing w:before="100" w:beforeAutospacing="1" w:after="100" w:afterAutospacing="1" w:line="240" w:lineRule="auto"/>
    </w:pPr>
    <w:rPr>
      <w:rFonts w:ascii="Arial" w:eastAsia="Times New Roman" w:hAnsi="Arial" w:cs="Arial"/>
      <w:sz w:val="14"/>
      <w:szCs w:val="14"/>
      <w:lang w:eastAsia="zh-CN" w:bidi="ar-SA"/>
    </w:rPr>
  </w:style>
  <w:style w:type="paragraph" w:customStyle="1" w:styleId="xl104">
    <w:name w:val="xl104"/>
    <w:basedOn w:val="Normal"/>
    <w:rsid w:val="001E2AE3"/>
    <w:pPr>
      <w:spacing w:before="100" w:beforeAutospacing="1" w:after="100" w:afterAutospacing="1" w:line="240" w:lineRule="auto"/>
    </w:pPr>
    <w:rPr>
      <w:rFonts w:ascii="Arial" w:eastAsia="Times New Roman" w:hAnsi="Arial" w:cs="Arial"/>
      <w:sz w:val="14"/>
      <w:szCs w:val="14"/>
      <w:lang w:eastAsia="zh-CN" w:bidi="ar-SA"/>
    </w:rPr>
  </w:style>
  <w:style w:type="paragraph" w:customStyle="1" w:styleId="xl105">
    <w:name w:val="xl105"/>
    <w:basedOn w:val="Normal"/>
    <w:rsid w:val="001E2AE3"/>
    <w:pPr>
      <w:pBdr>
        <w:top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06">
    <w:name w:val="xl106"/>
    <w:basedOn w:val="Normal"/>
    <w:rsid w:val="001E2AE3"/>
    <w:pPr>
      <w:pBdr>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07">
    <w:name w:val="xl107"/>
    <w:basedOn w:val="Normal"/>
    <w:rsid w:val="001E2AE3"/>
    <w:pPr>
      <w:pBdr>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zh-CN" w:bidi="ar-SA"/>
    </w:rPr>
  </w:style>
  <w:style w:type="paragraph" w:customStyle="1" w:styleId="xl108">
    <w:name w:val="xl108"/>
    <w:basedOn w:val="Normal"/>
    <w:rsid w:val="001E2AE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109">
    <w:name w:val="xl109"/>
    <w:basedOn w:val="Normal"/>
    <w:rsid w:val="001E2AE3"/>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10">
    <w:name w:val="xl110"/>
    <w:basedOn w:val="Normal"/>
    <w:rsid w:val="001E2AE3"/>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11">
    <w:name w:val="xl111"/>
    <w:basedOn w:val="Normal"/>
    <w:rsid w:val="001E2AE3"/>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12">
    <w:name w:val="xl112"/>
    <w:basedOn w:val="Normal"/>
    <w:rsid w:val="001E2AE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13">
    <w:name w:val="xl113"/>
    <w:basedOn w:val="Normal"/>
    <w:rsid w:val="001E2AE3"/>
    <w:pPr>
      <w:pBdr>
        <w:top w:val="single" w:sz="8" w:space="0" w:color="auto"/>
      </w:pBdr>
      <w:shd w:val="clear" w:color="000000" w:fill="CCFFCC"/>
      <w:spacing w:before="100" w:beforeAutospacing="1" w:after="100" w:afterAutospacing="1" w:line="240" w:lineRule="auto"/>
      <w:textAlignment w:val="center"/>
    </w:pPr>
    <w:rPr>
      <w:rFonts w:ascii="Arial Narrow" w:eastAsia="Times New Roman" w:hAnsi="Arial Narrow" w:cs="Times New Roman"/>
      <w:sz w:val="14"/>
      <w:szCs w:val="14"/>
      <w:lang w:eastAsia="zh-CN" w:bidi="ar-SA"/>
    </w:rPr>
  </w:style>
  <w:style w:type="paragraph" w:customStyle="1" w:styleId="xl114">
    <w:name w:val="xl114"/>
    <w:basedOn w:val="Normal"/>
    <w:rsid w:val="001E2AE3"/>
    <w:pPr>
      <w:pBdr>
        <w:bottom w:val="single" w:sz="4" w:space="0" w:color="auto"/>
      </w:pBdr>
      <w:spacing w:before="100" w:beforeAutospacing="1" w:after="100" w:afterAutospacing="1" w:line="240" w:lineRule="auto"/>
      <w:textAlignment w:val="center"/>
    </w:pPr>
    <w:rPr>
      <w:rFonts w:ascii="Arial Narrow" w:eastAsia="Times New Roman" w:hAnsi="Arial Narrow" w:cs="Times New Roman"/>
      <w:sz w:val="14"/>
      <w:szCs w:val="14"/>
      <w:lang w:eastAsia="zh-CN" w:bidi="ar-SA"/>
    </w:rPr>
  </w:style>
  <w:style w:type="paragraph" w:customStyle="1" w:styleId="xl115">
    <w:name w:val="xl115"/>
    <w:basedOn w:val="Normal"/>
    <w:rsid w:val="001E2AE3"/>
    <w:pPr>
      <w:pBdr>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zh-CN" w:bidi="ar-SA"/>
    </w:rPr>
  </w:style>
  <w:style w:type="paragraph" w:customStyle="1" w:styleId="xl116">
    <w:name w:val="xl116"/>
    <w:basedOn w:val="Normal"/>
    <w:rsid w:val="001E2AE3"/>
    <w:pPr>
      <w:pBdr>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zh-CN" w:bidi="ar-SA"/>
    </w:rPr>
  </w:style>
  <w:style w:type="paragraph" w:styleId="FootnoteText">
    <w:name w:val="footnote text"/>
    <w:basedOn w:val="Normal"/>
    <w:link w:val="FootnoteTextChar"/>
    <w:uiPriority w:val="99"/>
    <w:unhideWhenUsed/>
    <w:rsid w:val="00645E55"/>
    <w:pPr>
      <w:spacing w:before="0" w:after="0" w:line="240" w:lineRule="auto"/>
    </w:pPr>
  </w:style>
  <w:style w:type="character" w:customStyle="1" w:styleId="FootnoteTextChar">
    <w:name w:val="Footnote Text Char"/>
    <w:basedOn w:val="DefaultParagraphFont"/>
    <w:link w:val="FootnoteText"/>
    <w:uiPriority w:val="99"/>
    <w:rsid w:val="00645E55"/>
    <w:rPr>
      <w:sz w:val="20"/>
      <w:szCs w:val="20"/>
    </w:rPr>
  </w:style>
  <w:style w:type="character" w:styleId="FootnoteReference">
    <w:name w:val="footnote reference"/>
    <w:basedOn w:val="DefaultParagraphFont"/>
    <w:uiPriority w:val="99"/>
    <w:semiHidden/>
    <w:unhideWhenUsed/>
    <w:rsid w:val="00645E55"/>
    <w:rPr>
      <w:vertAlign w:val="superscript"/>
    </w:rPr>
  </w:style>
  <w:style w:type="paragraph" w:styleId="TOC1">
    <w:name w:val="toc 1"/>
    <w:basedOn w:val="Normal"/>
    <w:next w:val="Normal"/>
    <w:autoRedefine/>
    <w:uiPriority w:val="39"/>
    <w:unhideWhenUsed/>
    <w:qFormat/>
    <w:rsid w:val="00653E42"/>
    <w:pPr>
      <w:spacing w:before="120" w:after="120"/>
    </w:pPr>
    <w:rPr>
      <w:rFonts w:cstheme="minorHAnsi"/>
      <w:b/>
      <w:bCs/>
      <w:caps/>
    </w:rPr>
  </w:style>
  <w:style w:type="paragraph" w:styleId="TOC2">
    <w:name w:val="toc 2"/>
    <w:basedOn w:val="Normal"/>
    <w:next w:val="Normal"/>
    <w:autoRedefine/>
    <w:uiPriority w:val="39"/>
    <w:unhideWhenUsed/>
    <w:qFormat/>
    <w:rsid w:val="0019514F"/>
    <w:pPr>
      <w:spacing w:before="0" w:after="0"/>
      <w:ind w:left="200"/>
    </w:pPr>
    <w:rPr>
      <w:rFonts w:cstheme="minorHAnsi"/>
      <w:smallCaps/>
    </w:rPr>
  </w:style>
  <w:style w:type="paragraph" w:styleId="Header">
    <w:name w:val="header"/>
    <w:basedOn w:val="Normal"/>
    <w:link w:val="HeaderChar"/>
    <w:uiPriority w:val="99"/>
    <w:unhideWhenUsed/>
    <w:rsid w:val="00E2300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2300F"/>
    <w:rPr>
      <w:sz w:val="20"/>
      <w:szCs w:val="20"/>
    </w:rPr>
  </w:style>
  <w:style w:type="paragraph" w:styleId="Footer">
    <w:name w:val="footer"/>
    <w:basedOn w:val="Normal"/>
    <w:link w:val="FooterChar"/>
    <w:uiPriority w:val="99"/>
    <w:unhideWhenUsed/>
    <w:rsid w:val="00E2300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2300F"/>
    <w:rPr>
      <w:sz w:val="20"/>
      <w:szCs w:val="20"/>
    </w:rPr>
  </w:style>
  <w:style w:type="paragraph" w:styleId="TOC3">
    <w:name w:val="toc 3"/>
    <w:basedOn w:val="Normal"/>
    <w:next w:val="Normal"/>
    <w:autoRedefine/>
    <w:uiPriority w:val="39"/>
    <w:unhideWhenUsed/>
    <w:qFormat/>
    <w:rsid w:val="00674C36"/>
    <w:pPr>
      <w:spacing w:before="0" w:after="0"/>
      <w:ind w:left="400"/>
    </w:pPr>
    <w:rPr>
      <w:rFonts w:cstheme="minorHAnsi"/>
      <w:i/>
      <w:iCs/>
    </w:rPr>
  </w:style>
  <w:style w:type="paragraph" w:customStyle="1" w:styleId="xl117">
    <w:name w:val="xl117"/>
    <w:basedOn w:val="Normal"/>
    <w:rsid w:val="005C0ADF"/>
    <w:pPr>
      <w:pBdr>
        <w:top w:val="single" w:sz="4" w:space="0" w:color="C0C0C0"/>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18">
    <w:name w:val="xl118"/>
    <w:basedOn w:val="Normal"/>
    <w:rsid w:val="005C0ADF"/>
    <w:pPr>
      <w:pBdr>
        <w:top w:val="single" w:sz="4" w:space="0" w:color="C0C0C0"/>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19">
    <w:name w:val="xl119"/>
    <w:basedOn w:val="Normal"/>
    <w:rsid w:val="005C0AD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120">
    <w:name w:val="xl120"/>
    <w:basedOn w:val="Normal"/>
    <w:rsid w:val="005C0A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21">
    <w:name w:val="xl121"/>
    <w:basedOn w:val="Normal"/>
    <w:rsid w:val="005C0A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22">
    <w:name w:val="xl122"/>
    <w:basedOn w:val="Normal"/>
    <w:rsid w:val="005C0A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23">
    <w:name w:val="xl123"/>
    <w:basedOn w:val="Normal"/>
    <w:rsid w:val="005C0ADF"/>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24">
    <w:name w:val="xl124"/>
    <w:basedOn w:val="Normal"/>
    <w:rsid w:val="005C0ADF"/>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125">
    <w:name w:val="xl125"/>
    <w:basedOn w:val="Normal"/>
    <w:rsid w:val="005C0ADF"/>
    <w:pPr>
      <w:pBdr>
        <w:top w:val="single" w:sz="4" w:space="0" w:color="auto"/>
        <w:bottom w:val="single" w:sz="4" w:space="0" w:color="auto"/>
      </w:pBdr>
      <w:shd w:val="clear" w:color="000000" w:fill="CCFFCC"/>
      <w:spacing w:before="100" w:beforeAutospacing="1" w:after="100" w:afterAutospacing="1" w:line="240" w:lineRule="auto"/>
      <w:jc w:val="right"/>
      <w:textAlignment w:val="center"/>
    </w:pPr>
    <w:rPr>
      <w:rFonts w:ascii="Arial" w:eastAsia="Times New Roman" w:hAnsi="Arial" w:cs="Arial"/>
      <w:sz w:val="16"/>
      <w:szCs w:val="16"/>
      <w:lang w:eastAsia="zh-CN" w:bidi="ar-SA"/>
    </w:rPr>
  </w:style>
  <w:style w:type="paragraph" w:customStyle="1" w:styleId="xl126">
    <w:name w:val="xl126"/>
    <w:basedOn w:val="Normal"/>
    <w:rsid w:val="005C0ADF"/>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27">
    <w:name w:val="xl127"/>
    <w:basedOn w:val="Normal"/>
    <w:rsid w:val="005C0ADF"/>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128">
    <w:name w:val="xl128"/>
    <w:basedOn w:val="Normal"/>
    <w:rsid w:val="005C0ADF"/>
    <w:pP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29">
    <w:name w:val="xl129"/>
    <w:basedOn w:val="Normal"/>
    <w:rsid w:val="005C0ADF"/>
    <w:pPr>
      <w:pBdr>
        <w:top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30">
    <w:name w:val="xl130"/>
    <w:basedOn w:val="Normal"/>
    <w:rsid w:val="005C0ADF"/>
    <w:pPr>
      <w:pBdr>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31">
    <w:name w:val="xl131"/>
    <w:basedOn w:val="Normal"/>
    <w:rsid w:val="005C0ADF"/>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32">
    <w:name w:val="xl132"/>
    <w:basedOn w:val="Normal"/>
    <w:rsid w:val="005C0ADF"/>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33">
    <w:name w:val="xl133"/>
    <w:basedOn w:val="Normal"/>
    <w:rsid w:val="005C0ADF"/>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character" w:styleId="CommentReference">
    <w:name w:val="annotation reference"/>
    <w:basedOn w:val="DefaultParagraphFont"/>
    <w:uiPriority w:val="99"/>
    <w:semiHidden/>
    <w:unhideWhenUsed/>
    <w:rsid w:val="00693A21"/>
    <w:rPr>
      <w:sz w:val="16"/>
      <w:szCs w:val="16"/>
    </w:rPr>
  </w:style>
  <w:style w:type="paragraph" w:styleId="CommentText">
    <w:name w:val="annotation text"/>
    <w:basedOn w:val="Normal"/>
    <w:link w:val="CommentTextChar"/>
    <w:uiPriority w:val="99"/>
    <w:semiHidden/>
    <w:unhideWhenUsed/>
    <w:rsid w:val="00693A21"/>
    <w:pPr>
      <w:spacing w:line="240" w:lineRule="auto"/>
    </w:pPr>
  </w:style>
  <w:style w:type="character" w:customStyle="1" w:styleId="CommentTextChar">
    <w:name w:val="Comment Text Char"/>
    <w:basedOn w:val="DefaultParagraphFont"/>
    <w:link w:val="CommentText"/>
    <w:uiPriority w:val="99"/>
    <w:semiHidden/>
    <w:rsid w:val="00693A21"/>
    <w:rPr>
      <w:sz w:val="20"/>
      <w:szCs w:val="20"/>
    </w:rPr>
  </w:style>
  <w:style w:type="paragraph" w:styleId="CommentSubject">
    <w:name w:val="annotation subject"/>
    <w:basedOn w:val="CommentText"/>
    <w:next w:val="CommentText"/>
    <w:link w:val="CommentSubjectChar"/>
    <w:uiPriority w:val="99"/>
    <w:semiHidden/>
    <w:unhideWhenUsed/>
    <w:rsid w:val="00C8248B"/>
    <w:rPr>
      <w:b/>
      <w:bCs/>
    </w:rPr>
  </w:style>
  <w:style w:type="character" w:customStyle="1" w:styleId="CommentSubjectChar">
    <w:name w:val="Comment Subject Char"/>
    <w:basedOn w:val="CommentTextChar"/>
    <w:link w:val="CommentSubject"/>
    <w:uiPriority w:val="99"/>
    <w:semiHidden/>
    <w:rsid w:val="00C8248B"/>
    <w:rPr>
      <w:b/>
      <w:bCs/>
      <w:sz w:val="20"/>
      <w:szCs w:val="20"/>
    </w:rPr>
  </w:style>
  <w:style w:type="paragraph" w:styleId="Bibliography">
    <w:name w:val="Bibliography"/>
    <w:basedOn w:val="Normal"/>
    <w:next w:val="Normal"/>
    <w:uiPriority w:val="37"/>
    <w:unhideWhenUsed/>
    <w:rsid w:val="009223B2"/>
  </w:style>
  <w:style w:type="paragraph" w:styleId="BlockText">
    <w:name w:val="Block Text"/>
    <w:basedOn w:val="Normal"/>
    <w:uiPriority w:val="99"/>
    <w:semiHidden/>
    <w:unhideWhenUsed/>
    <w:rsid w:val="009223B2"/>
    <w:pPr>
      <w:pBdr>
        <w:top w:val="single" w:sz="2" w:space="10" w:color="F07F09" w:themeColor="accent1" w:shadow="1"/>
        <w:left w:val="single" w:sz="2" w:space="10" w:color="F07F09" w:themeColor="accent1" w:shadow="1"/>
        <w:bottom w:val="single" w:sz="2" w:space="10" w:color="F07F09" w:themeColor="accent1" w:shadow="1"/>
        <w:right w:val="single" w:sz="2" w:space="10" w:color="F07F09" w:themeColor="accent1" w:shadow="1"/>
      </w:pBdr>
      <w:ind w:left="1152" w:right="1152"/>
    </w:pPr>
    <w:rPr>
      <w:i/>
      <w:iCs/>
      <w:color w:val="F07F09" w:themeColor="accent1"/>
    </w:rPr>
  </w:style>
  <w:style w:type="paragraph" w:styleId="BodyText">
    <w:name w:val="Body Text"/>
    <w:basedOn w:val="Normal"/>
    <w:link w:val="BodyTextChar"/>
    <w:uiPriority w:val="99"/>
    <w:semiHidden/>
    <w:unhideWhenUsed/>
    <w:rsid w:val="009223B2"/>
    <w:pPr>
      <w:spacing w:after="120"/>
    </w:pPr>
  </w:style>
  <w:style w:type="character" w:customStyle="1" w:styleId="BodyTextChar">
    <w:name w:val="Body Text Char"/>
    <w:basedOn w:val="DefaultParagraphFont"/>
    <w:link w:val="BodyText"/>
    <w:uiPriority w:val="99"/>
    <w:semiHidden/>
    <w:rsid w:val="009223B2"/>
    <w:rPr>
      <w:sz w:val="20"/>
      <w:szCs w:val="20"/>
    </w:rPr>
  </w:style>
  <w:style w:type="paragraph" w:styleId="BodyText2">
    <w:name w:val="Body Text 2"/>
    <w:basedOn w:val="Normal"/>
    <w:link w:val="BodyText2Char"/>
    <w:uiPriority w:val="99"/>
    <w:semiHidden/>
    <w:unhideWhenUsed/>
    <w:rsid w:val="009223B2"/>
    <w:pPr>
      <w:spacing w:after="120" w:line="480" w:lineRule="auto"/>
    </w:pPr>
  </w:style>
  <w:style w:type="character" w:customStyle="1" w:styleId="BodyText2Char">
    <w:name w:val="Body Text 2 Char"/>
    <w:basedOn w:val="DefaultParagraphFont"/>
    <w:link w:val="BodyText2"/>
    <w:uiPriority w:val="99"/>
    <w:semiHidden/>
    <w:rsid w:val="009223B2"/>
    <w:rPr>
      <w:sz w:val="20"/>
      <w:szCs w:val="20"/>
    </w:rPr>
  </w:style>
  <w:style w:type="paragraph" w:styleId="BodyText3">
    <w:name w:val="Body Text 3"/>
    <w:basedOn w:val="Normal"/>
    <w:link w:val="BodyText3Char"/>
    <w:uiPriority w:val="99"/>
    <w:semiHidden/>
    <w:unhideWhenUsed/>
    <w:rsid w:val="009223B2"/>
    <w:pPr>
      <w:spacing w:after="120"/>
    </w:pPr>
    <w:rPr>
      <w:sz w:val="16"/>
      <w:szCs w:val="16"/>
    </w:rPr>
  </w:style>
  <w:style w:type="character" w:customStyle="1" w:styleId="BodyText3Char">
    <w:name w:val="Body Text 3 Char"/>
    <w:basedOn w:val="DefaultParagraphFont"/>
    <w:link w:val="BodyText3"/>
    <w:uiPriority w:val="99"/>
    <w:semiHidden/>
    <w:rsid w:val="009223B2"/>
    <w:rPr>
      <w:sz w:val="16"/>
      <w:szCs w:val="16"/>
    </w:rPr>
  </w:style>
  <w:style w:type="paragraph" w:styleId="BodyTextFirstIndent">
    <w:name w:val="Body Text First Indent"/>
    <w:basedOn w:val="BodyText"/>
    <w:link w:val="BodyTextFirstIndentChar"/>
    <w:uiPriority w:val="99"/>
    <w:semiHidden/>
    <w:unhideWhenUsed/>
    <w:rsid w:val="009223B2"/>
    <w:pPr>
      <w:spacing w:after="200"/>
      <w:ind w:firstLine="360"/>
    </w:pPr>
  </w:style>
  <w:style w:type="character" w:customStyle="1" w:styleId="BodyTextFirstIndentChar">
    <w:name w:val="Body Text First Indent Char"/>
    <w:basedOn w:val="BodyTextChar"/>
    <w:link w:val="BodyTextFirstIndent"/>
    <w:uiPriority w:val="99"/>
    <w:semiHidden/>
    <w:rsid w:val="009223B2"/>
    <w:rPr>
      <w:sz w:val="20"/>
      <w:szCs w:val="20"/>
    </w:rPr>
  </w:style>
  <w:style w:type="paragraph" w:styleId="BodyTextIndent">
    <w:name w:val="Body Text Indent"/>
    <w:basedOn w:val="Normal"/>
    <w:link w:val="BodyTextIndentChar"/>
    <w:uiPriority w:val="99"/>
    <w:semiHidden/>
    <w:unhideWhenUsed/>
    <w:rsid w:val="009223B2"/>
    <w:pPr>
      <w:spacing w:after="120"/>
      <w:ind w:left="360"/>
    </w:pPr>
  </w:style>
  <w:style w:type="character" w:customStyle="1" w:styleId="BodyTextIndentChar">
    <w:name w:val="Body Text Indent Char"/>
    <w:basedOn w:val="DefaultParagraphFont"/>
    <w:link w:val="BodyTextIndent"/>
    <w:uiPriority w:val="99"/>
    <w:semiHidden/>
    <w:rsid w:val="009223B2"/>
    <w:rPr>
      <w:sz w:val="20"/>
      <w:szCs w:val="20"/>
    </w:rPr>
  </w:style>
  <w:style w:type="paragraph" w:styleId="BodyTextFirstIndent2">
    <w:name w:val="Body Text First Indent 2"/>
    <w:basedOn w:val="BodyTextIndent"/>
    <w:link w:val="BodyTextFirstIndent2Char"/>
    <w:uiPriority w:val="99"/>
    <w:semiHidden/>
    <w:unhideWhenUsed/>
    <w:rsid w:val="009223B2"/>
    <w:pPr>
      <w:spacing w:after="200"/>
      <w:ind w:firstLine="360"/>
    </w:pPr>
  </w:style>
  <w:style w:type="character" w:customStyle="1" w:styleId="BodyTextFirstIndent2Char">
    <w:name w:val="Body Text First Indent 2 Char"/>
    <w:basedOn w:val="BodyTextIndentChar"/>
    <w:link w:val="BodyTextFirstIndent2"/>
    <w:uiPriority w:val="99"/>
    <w:semiHidden/>
    <w:rsid w:val="009223B2"/>
    <w:rPr>
      <w:sz w:val="20"/>
      <w:szCs w:val="20"/>
    </w:rPr>
  </w:style>
  <w:style w:type="paragraph" w:styleId="BodyTextIndent2">
    <w:name w:val="Body Text Indent 2"/>
    <w:basedOn w:val="Normal"/>
    <w:link w:val="BodyTextIndent2Char"/>
    <w:uiPriority w:val="99"/>
    <w:semiHidden/>
    <w:unhideWhenUsed/>
    <w:rsid w:val="009223B2"/>
    <w:pPr>
      <w:spacing w:after="120" w:line="480" w:lineRule="auto"/>
      <w:ind w:left="360"/>
    </w:pPr>
  </w:style>
  <w:style w:type="character" w:customStyle="1" w:styleId="BodyTextIndent2Char">
    <w:name w:val="Body Text Indent 2 Char"/>
    <w:basedOn w:val="DefaultParagraphFont"/>
    <w:link w:val="BodyTextIndent2"/>
    <w:uiPriority w:val="99"/>
    <w:semiHidden/>
    <w:rsid w:val="009223B2"/>
    <w:rPr>
      <w:sz w:val="20"/>
      <w:szCs w:val="20"/>
    </w:rPr>
  </w:style>
  <w:style w:type="paragraph" w:styleId="BodyTextIndent3">
    <w:name w:val="Body Text Indent 3"/>
    <w:basedOn w:val="Normal"/>
    <w:link w:val="BodyTextIndent3Char"/>
    <w:uiPriority w:val="99"/>
    <w:semiHidden/>
    <w:unhideWhenUsed/>
    <w:rsid w:val="009223B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223B2"/>
    <w:rPr>
      <w:sz w:val="16"/>
      <w:szCs w:val="16"/>
    </w:rPr>
  </w:style>
  <w:style w:type="paragraph" w:styleId="Closing">
    <w:name w:val="Closing"/>
    <w:basedOn w:val="Normal"/>
    <w:link w:val="ClosingChar"/>
    <w:uiPriority w:val="99"/>
    <w:semiHidden/>
    <w:unhideWhenUsed/>
    <w:rsid w:val="009223B2"/>
    <w:pPr>
      <w:spacing w:before="0" w:after="0" w:line="240" w:lineRule="auto"/>
      <w:ind w:left="4320"/>
    </w:pPr>
  </w:style>
  <w:style w:type="character" w:customStyle="1" w:styleId="ClosingChar">
    <w:name w:val="Closing Char"/>
    <w:basedOn w:val="DefaultParagraphFont"/>
    <w:link w:val="Closing"/>
    <w:uiPriority w:val="99"/>
    <w:semiHidden/>
    <w:rsid w:val="009223B2"/>
    <w:rPr>
      <w:sz w:val="20"/>
      <w:szCs w:val="20"/>
    </w:rPr>
  </w:style>
  <w:style w:type="paragraph" w:styleId="Date">
    <w:name w:val="Date"/>
    <w:basedOn w:val="Normal"/>
    <w:next w:val="Normal"/>
    <w:link w:val="DateChar"/>
    <w:uiPriority w:val="99"/>
    <w:semiHidden/>
    <w:unhideWhenUsed/>
    <w:rsid w:val="009223B2"/>
  </w:style>
  <w:style w:type="character" w:customStyle="1" w:styleId="DateChar">
    <w:name w:val="Date Char"/>
    <w:basedOn w:val="DefaultParagraphFont"/>
    <w:link w:val="Date"/>
    <w:uiPriority w:val="99"/>
    <w:semiHidden/>
    <w:rsid w:val="009223B2"/>
    <w:rPr>
      <w:sz w:val="20"/>
      <w:szCs w:val="20"/>
    </w:rPr>
  </w:style>
  <w:style w:type="paragraph" w:styleId="DocumentMap">
    <w:name w:val="Document Map"/>
    <w:basedOn w:val="Normal"/>
    <w:link w:val="DocumentMapChar"/>
    <w:uiPriority w:val="99"/>
    <w:semiHidden/>
    <w:unhideWhenUsed/>
    <w:rsid w:val="009223B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23B2"/>
    <w:rPr>
      <w:rFonts w:ascii="Tahoma" w:hAnsi="Tahoma" w:cs="Tahoma"/>
      <w:sz w:val="16"/>
      <w:szCs w:val="16"/>
    </w:rPr>
  </w:style>
  <w:style w:type="paragraph" w:styleId="E-mailSignature">
    <w:name w:val="E-mail Signature"/>
    <w:basedOn w:val="Normal"/>
    <w:link w:val="E-mailSignatureChar"/>
    <w:uiPriority w:val="99"/>
    <w:semiHidden/>
    <w:unhideWhenUsed/>
    <w:rsid w:val="009223B2"/>
    <w:pPr>
      <w:spacing w:before="0" w:after="0" w:line="240" w:lineRule="auto"/>
    </w:pPr>
  </w:style>
  <w:style w:type="character" w:customStyle="1" w:styleId="E-mailSignatureChar">
    <w:name w:val="E-mail Signature Char"/>
    <w:basedOn w:val="DefaultParagraphFont"/>
    <w:link w:val="E-mailSignature"/>
    <w:uiPriority w:val="99"/>
    <w:semiHidden/>
    <w:rsid w:val="009223B2"/>
    <w:rPr>
      <w:sz w:val="20"/>
      <w:szCs w:val="20"/>
    </w:rPr>
  </w:style>
  <w:style w:type="paragraph" w:styleId="EndnoteText">
    <w:name w:val="endnote text"/>
    <w:basedOn w:val="Normal"/>
    <w:link w:val="EndnoteTextChar"/>
    <w:uiPriority w:val="99"/>
    <w:semiHidden/>
    <w:unhideWhenUsed/>
    <w:rsid w:val="009223B2"/>
    <w:pPr>
      <w:spacing w:before="0" w:after="0" w:line="240" w:lineRule="auto"/>
    </w:pPr>
  </w:style>
  <w:style w:type="character" w:customStyle="1" w:styleId="EndnoteTextChar">
    <w:name w:val="Endnote Text Char"/>
    <w:basedOn w:val="DefaultParagraphFont"/>
    <w:link w:val="EndnoteText"/>
    <w:uiPriority w:val="99"/>
    <w:semiHidden/>
    <w:rsid w:val="009223B2"/>
    <w:rPr>
      <w:sz w:val="20"/>
      <w:szCs w:val="20"/>
    </w:rPr>
  </w:style>
  <w:style w:type="paragraph" w:styleId="EnvelopeAddress">
    <w:name w:val="envelope address"/>
    <w:basedOn w:val="Normal"/>
    <w:uiPriority w:val="99"/>
    <w:semiHidden/>
    <w:unhideWhenUsed/>
    <w:rsid w:val="009223B2"/>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223B2"/>
    <w:pPr>
      <w:spacing w:before="0" w:after="0" w:line="240" w:lineRule="auto"/>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9223B2"/>
    <w:pPr>
      <w:spacing w:before="0" w:after="0" w:line="240" w:lineRule="auto"/>
    </w:pPr>
    <w:rPr>
      <w:i/>
      <w:iCs/>
    </w:rPr>
  </w:style>
  <w:style w:type="character" w:customStyle="1" w:styleId="HTMLAddressChar">
    <w:name w:val="HTML Address Char"/>
    <w:basedOn w:val="DefaultParagraphFont"/>
    <w:link w:val="HTMLAddress"/>
    <w:uiPriority w:val="99"/>
    <w:semiHidden/>
    <w:rsid w:val="009223B2"/>
    <w:rPr>
      <w:i/>
      <w:iCs/>
      <w:sz w:val="20"/>
      <w:szCs w:val="20"/>
    </w:rPr>
  </w:style>
  <w:style w:type="paragraph" w:styleId="HTMLPreformatted">
    <w:name w:val="HTML Preformatted"/>
    <w:basedOn w:val="Normal"/>
    <w:link w:val="HTMLPreformattedChar"/>
    <w:uiPriority w:val="99"/>
    <w:semiHidden/>
    <w:unhideWhenUsed/>
    <w:rsid w:val="009223B2"/>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9223B2"/>
    <w:rPr>
      <w:rFonts w:ascii="Consolas" w:hAnsi="Consolas"/>
      <w:sz w:val="20"/>
      <w:szCs w:val="20"/>
    </w:rPr>
  </w:style>
  <w:style w:type="paragraph" w:styleId="Index1">
    <w:name w:val="index 1"/>
    <w:basedOn w:val="Normal"/>
    <w:next w:val="Normal"/>
    <w:autoRedefine/>
    <w:uiPriority w:val="99"/>
    <w:semiHidden/>
    <w:unhideWhenUsed/>
    <w:rsid w:val="009223B2"/>
    <w:pPr>
      <w:spacing w:before="0" w:after="0" w:line="240" w:lineRule="auto"/>
      <w:ind w:left="200" w:hanging="200"/>
    </w:pPr>
  </w:style>
  <w:style w:type="paragraph" w:styleId="Index2">
    <w:name w:val="index 2"/>
    <w:basedOn w:val="Normal"/>
    <w:next w:val="Normal"/>
    <w:autoRedefine/>
    <w:uiPriority w:val="99"/>
    <w:semiHidden/>
    <w:unhideWhenUsed/>
    <w:rsid w:val="009223B2"/>
    <w:pPr>
      <w:spacing w:before="0" w:after="0" w:line="240" w:lineRule="auto"/>
      <w:ind w:left="400" w:hanging="200"/>
    </w:pPr>
  </w:style>
  <w:style w:type="paragraph" w:styleId="Index3">
    <w:name w:val="index 3"/>
    <w:basedOn w:val="Normal"/>
    <w:next w:val="Normal"/>
    <w:autoRedefine/>
    <w:uiPriority w:val="99"/>
    <w:semiHidden/>
    <w:unhideWhenUsed/>
    <w:rsid w:val="009223B2"/>
    <w:pPr>
      <w:spacing w:before="0" w:after="0" w:line="240" w:lineRule="auto"/>
      <w:ind w:left="600" w:hanging="200"/>
    </w:pPr>
  </w:style>
  <w:style w:type="paragraph" w:styleId="Index4">
    <w:name w:val="index 4"/>
    <w:basedOn w:val="Normal"/>
    <w:next w:val="Normal"/>
    <w:autoRedefine/>
    <w:uiPriority w:val="99"/>
    <w:semiHidden/>
    <w:unhideWhenUsed/>
    <w:rsid w:val="009223B2"/>
    <w:pPr>
      <w:spacing w:before="0" w:after="0" w:line="240" w:lineRule="auto"/>
      <w:ind w:left="800" w:hanging="200"/>
    </w:pPr>
  </w:style>
  <w:style w:type="paragraph" w:styleId="Index5">
    <w:name w:val="index 5"/>
    <w:basedOn w:val="Normal"/>
    <w:next w:val="Normal"/>
    <w:autoRedefine/>
    <w:uiPriority w:val="99"/>
    <w:semiHidden/>
    <w:unhideWhenUsed/>
    <w:rsid w:val="009223B2"/>
    <w:pPr>
      <w:spacing w:before="0" w:after="0" w:line="240" w:lineRule="auto"/>
      <w:ind w:left="1000" w:hanging="200"/>
    </w:pPr>
  </w:style>
  <w:style w:type="paragraph" w:styleId="Index6">
    <w:name w:val="index 6"/>
    <w:basedOn w:val="Normal"/>
    <w:next w:val="Normal"/>
    <w:autoRedefine/>
    <w:uiPriority w:val="99"/>
    <w:semiHidden/>
    <w:unhideWhenUsed/>
    <w:rsid w:val="009223B2"/>
    <w:pPr>
      <w:spacing w:before="0" w:after="0" w:line="240" w:lineRule="auto"/>
      <w:ind w:left="1200" w:hanging="200"/>
    </w:pPr>
  </w:style>
  <w:style w:type="paragraph" w:styleId="Index7">
    <w:name w:val="index 7"/>
    <w:basedOn w:val="Normal"/>
    <w:next w:val="Normal"/>
    <w:autoRedefine/>
    <w:uiPriority w:val="99"/>
    <w:semiHidden/>
    <w:unhideWhenUsed/>
    <w:rsid w:val="009223B2"/>
    <w:pPr>
      <w:spacing w:before="0" w:after="0" w:line="240" w:lineRule="auto"/>
      <w:ind w:left="1400" w:hanging="200"/>
    </w:pPr>
  </w:style>
  <w:style w:type="paragraph" w:styleId="Index8">
    <w:name w:val="index 8"/>
    <w:basedOn w:val="Normal"/>
    <w:next w:val="Normal"/>
    <w:autoRedefine/>
    <w:uiPriority w:val="99"/>
    <w:semiHidden/>
    <w:unhideWhenUsed/>
    <w:rsid w:val="009223B2"/>
    <w:pPr>
      <w:spacing w:before="0" w:after="0" w:line="240" w:lineRule="auto"/>
      <w:ind w:left="1600" w:hanging="200"/>
    </w:pPr>
  </w:style>
  <w:style w:type="paragraph" w:styleId="Index9">
    <w:name w:val="index 9"/>
    <w:basedOn w:val="Normal"/>
    <w:next w:val="Normal"/>
    <w:autoRedefine/>
    <w:uiPriority w:val="99"/>
    <w:semiHidden/>
    <w:unhideWhenUsed/>
    <w:rsid w:val="009223B2"/>
    <w:pPr>
      <w:spacing w:before="0" w:after="0" w:line="240" w:lineRule="auto"/>
      <w:ind w:left="1800" w:hanging="200"/>
    </w:pPr>
  </w:style>
  <w:style w:type="paragraph" w:styleId="IndexHeading">
    <w:name w:val="index heading"/>
    <w:basedOn w:val="Normal"/>
    <w:next w:val="Index1"/>
    <w:uiPriority w:val="99"/>
    <w:semiHidden/>
    <w:unhideWhenUsed/>
    <w:rsid w:val="009223B2"/>
    <w:rPr>
      <w:rFonts w:asciiTheme="majorHAnsi" w:eastAsiaTheme="majorEastAsia" w:hAnsiTheme="majorHAnsi" w:cstheme="majorBidi"/>
      <w:b/>
      <w:bCs/>
    </w:rPr>
  </w:style>
  <w:style w:type="paragraph" w:styleId="List">
    <w:name w:val="List"/>
    <w:basedOn w:val="Normal"/>
    <w:uiPriority w:val="99"/>
    <w:semiHidden/>
    <w:unhideWhenUsed/>
    <w:rsid w:val="009223B2"/>
    <w:pPr>
      <w:ind w:left="360" w:hanging="360"/>
      <w:contextualSpacing/>
    </w:pPr>
  </w:style>
  <w:style w:type="paragraph" w:styleId="List2">
    <w:name w:val="List 2"/>
    <w:basedOn w:val="Normal"/>
    <w:uiPriority w:val="99"/>
    <w:semiHidden/>
    <w:unhideWhenUsed/>
    <w:rsid w:val="009223B2"/>
    <w:pPr>
      <w:ind w:left="720" w:hanging="360"/>
      <w:contextualSpacing/>
    </w:pPr>
  </w:style>
  <w:style w:type="paragraph" w:styleId="List3">
    <w:name w:val="List 3"/>
    <w:basedOn w:val="Normal"/>
    <w:uiPriority w:val="99"/>
    <w:semiHidden/>
    <w:unhideWhenUsed/>
    <w:rsid w:val="009223B2"/>
    <w:pPr>
      <w:ind w:left="1080" w:hanging="360"/>
      <w:contextualSpacing/>
    </w:pPr>
  </w:style>
  <w:style w:type="paragraph" w:styleId="List4">
    <w:name w:val="List 4"/>
    <w:basedOn w:val="Normal"/>
    <w:uiPriority w:val="99"/>
    <w:semiHidden/>
    <w:unhideWhenUsed/>
    <w:rsid w:val="009223B2"/>
    <w:pPr>
      <w:ind w:left="1440" w:hanging="360"/>
      <w:contextualSpacing/>
    </w:pPr>
  </w:style>
  <w:style w:type="paragraph" w:styleId="List5">
    <w:name w:val="List 5"/>
    <w:basedOn w:val="Normal"/>
    <w:uiPriority w:val="99"/>
    <w:semiHidden/>
    <w:unhideWhenUsed/>
    <w:rsid w:val="009223B2"/>
    <w:pPr>
      <w:ind w:left="1800" w:hanging="360"/>
      <w:contextualSpacing/>
    </w:pPr>
  </w:style>
  <w:style w:type="paragraph" w:styleId="ListBullet">
    <w:name w:val="List Bullet"/>
    <w:basedOn w:val="Normal"/>
    <w:uiPriority w:val="99"/>
    <w:semiHidden/>
    <w:unhideWhenUsed/>
    <w:rsid w:val="009223B2"/>
    <w:pPr>
      <w:numPr>
        <w:numId w:val="3"/>
      </w:numPr>
      <w:contextualSpacing/>
    </w:pPr>
  </w:style>
  <w:style w:type="paragraph" w:styleId="ListBullet2">
    <w:name w:val="List Bullet 2"/>
    <w:basedOn w:val="Normal"/>
    <w:uiPriority w:val="99"/>
    <w:semiHidden/>
    <w:unhideWhenUsed/>
    <w:rsid w:val="009223B2"/>
    <w:pPr>
      <w:numPr>
        <w:numId w:val="4"/>
      </w:numPr>
      <w:contextualSpacing/>
    </w:pPr>
  </w:style>
  <w:style w:type="paragraph" w:styleId="ListBullet3">
    <w:name w:val="List Bullet 3"/>
    <w:basedOn w:val="Normal"/>
    <w:uiPriority w:val="99"/>
    <w:semiHidden/>
    <w:unhideWhenUsed/>
    <w:rsid w:val="009223B2"/>
    <w:pPr>
      <w:numPr>
        <w:numId w:val="5"/>
      </w:numPr>
      <w:contextualSpacing/>
    </w:pPr>
  </w:style>
  <w:style w:type="paragraph" w:styleId="ListBullet4">
    <w:name w:val="List Bullet 4"/>
    <w:basedOn w:val="Normal"/>
    <w:uiPriority w:val="99"/>
    <w:semiHidden/>
    <w:unhideWhenUsed/>
    <w:rsid w:val="009223B2"/>
    <w:pPr>
      <w:numPr>
        <w:numId w:val="6"/>
      </w:numPr>
      <w:contextualSpacing/>
    </w:pPr>
  </w:style>
  <w:style w:type="paragraph" w:styleId="ListBullet5">
    <w:name w:val="List Bullet 5"/>
    <w:basedOn w:val="Normal"/>
    <w:uiPriority w:val="99"/>
    <w:semiHidden/>
    <w:unhideWhenUsed/>
    <w:rsid w:val="009223B2"/>
    <w:pPr>
      <w:numPr>
        <w:numId w:val="7"/>
      </w:numPr>
      <w:contextualSpacing/>
    </w:pPr>
  </w:style>
  <w:style w:type="paragraph" w:styleId="ListContinue">
    <w:name w:val="List Continue"/>
    <w:basedOn w:val="Normal"/>
    <w:uiPriority w:val="99"/>
    <w:semiHidden/>
    <w:unhideWhenUsed/>
    <w:rsid w:val="009223B2"/>
    <w:pPr>
      <w:spacing w:after="120"/>
      <w:ind w:left="360"/>
      <w:contextualSpacing/>
    </w:pPr>
  </w:style>
  <w:style w:type="paragraph" w:styleId="ListContinue2">
    <w:name w:val="List Continue 2"/>
    <w:basedOn w:val="Normal"/>
    <w:uiPriority w:val="99"/>
    <w:semiHidden/>
    <w:unhideWhenUsed/>
    <w:rsid w:val="009223B2"/>
    <w:pPr>
      <w:spacing w:after="120"/>
      <w:ind w:left="720"/>
      <w:contextualSpacing/>
    </w:pPr>
  </w:style>
  <w:style w:type="paragraph" w:styleId="ListContinue3">
    <w:name w:val="List Continue 3"/>
    <w:basedOn w:val="Normal"/>
    <w:uiPriority w:val="99"/>
    <w:semiHidden/>
    <w:unhideWhenUsed/>
    <w:rsid w:val="009223B2"/>
    <w:pPr>
      <w:spacing w:after="120"/>
      <w:ind w:left="1080"/>
      <w:contextualSpacing/>
    </w:pPr>
  </w:style>
  <w:style w:type="paragraph" w:styleId="ListContinue4">
    <w:name w:val="List Continue 4"/>
    <w:basedOn w:val="Normal"/>
    <w:uiPriority w:val="99"/>
    <w:semiHidden/>
    <w:unhideWhenUsed/>
    <w:rsid w:val="009223B2"/>
    <w:pPr>
      <w:spacing w:after="120"/>
      <w:ind w:left="1440"/>
      <w:contextualSpacing/>
    </w:pPr>
  </w:style>
  <w:style w:type="paragraph" w:styleId="ListContinue5">
    <w:name w:val="List Continue 5"/>
    <w:basedOn w:val="Normal"/>
    <w:uiPriority w:val="99"/>
    <w:semiHidden/>
    <w:unhideWhenUsed/>
    <w:rsid w:val="009223B2"/>
    <w:pPr>
      <w:spacing w:after="120"/>
      <w:ind w:left="1800"/>
      <w:contextualSpacing/>
    </w:pPr>
  </w:style>
  <w:style w:type="paragraph" w:styleId="ListNumber">
    <w:name w:val="List Number"/>
    <w:basedOn w:val="Normal"/>
    <w:uiPriority w:val="99"/>
    <w:semiHidden/>
    <w:unhideWhenUsed/>
    <w:rsid w:val="009223B2"/>
    <w:pPr>
      <w:numPr>
        <w:numId w:val="8"/>
      </w:numPr>
      <w:contextualSpacing/>
    </w:pPr>
  </w:style>
  <w:style w:type="paragraph" w:styleId="ListNumber2">
    <w:name w:val="List Number 2"/>
    <w:basedOn w:val="Normal"/>
    <w:uiPriority w:val="99"/>
    <w:semiHidden/>
    <w:unhideWhenUsed/>
    <w:rsid w:val="009223B2"/>
    <w:pPr>
      <w:numPr>
        <w:numId w:val="9"/>
      </w:numPr>
      <w:contextualSpacing/>
    </w:pPr>
  </w:style>
  <w:style w:type="paragraph" w:styleId="ListNumber3">
    <w:name w:val="List Number 3"/>
    <w:basedOn w:val="Normal"/>
    <w:uiPriority w:val="99"/>
    <w:semiHidden/>
    <w:unhideWhenUsed/>
    <w:rsid w:val="009223B2"/>
    <w:pPr>
      <w:numPr>
        <w:numId w:val="10"/>
      </w:numPr>
      <w:contextualSpacing/>
    </w:pPr>
  </w:style>
  <w:style w:type="paragraph" w:styleId="ListNumber4">
    <w:name w:val="List Number 4"/>
    <w:basedOn w:val="Normal"/>
    <w:uiPriority w:val="99"/>
    <w:semiHidden/>
    <w:unhideWhenUsed/>
    <w:rsid w:val="009223B2"/>
    <w:pPr>
      <w:numPr>
        <w:numId w:val="11"/>
      </w:numPr>
      <w:contextualSpacing/>
    </w:pPr>
  </w:style>
  <w:style w:type="paragraph" w:styleId="ListNumber5">
    <w:name w:val="List Number 5"/>
    <w:basedOn w:val="Normal"/>
    <w:uiPriority w:val="99"/>
    <w:semiHidden/>
    <w:unhideWhenUsed/>
    <w:rsid w:val="009223B2"/>
    <w:pPr>
      <w:numPr>
        <w:numId w:val="12"/>
      </w:numPr>
      <w:contextualSpacing/>
    </w:pPr>
  </w:style>
  <w:style w:type="paragraph" w:styleId="MacroText">
    <w:name w:val="macro"/>
    <w:link w:val="MacroTextChar"/>
    <w:uiPriority w:val="99"/>
    <w:semiHidden/>
    <w:unhideWhenUsed/>
    <w:rsid w:val="009223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223B2"/>
    <w:rPr>
      <w:rFonts w:ascii="Consolas" w:hAnsi="Consolas"/>
      <w:sz w:val="20"/>
      <w:szCs w:val="20"/>
    </w:rPr>
  </w:style>
  <w:style w:type="paragraph" w:styleId="MessageHeader">
    <w:name w:val="Message Header"/>
    <w:basedOn w:val="Normal"/>
    <w:link w:val="MessageHeaderChar"/>
    <w:uiPriority w:val="99"/>
    <w:semiHidden/>
    <w:unhideWhenUsed/>
    <w:rsid w:val="009223B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223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223B2"/>
    <w:rPr>
      <w:rFonts w:ascii="Times New Roman" w:hAnsi="Times New Roman" w:cs="Times New Roman"/>
      <w:sz w:val="24"/>
      <w:szCs w:val="24"/>
    </w:rPr>
  </w:style>
  <w:style w:type="paragraph" w:styleId="NormalIndent">
    <w:name w:val="Normal Indent"/>
    <w:basedOn w:val="Normal"/>
    <w:uiPriority w:val="99"/>
    <w:semiHidden/>
    <w:unhideWhenUsed/>
    <w:rsid w:val="009223B2"/>
    <w:pPr>
      <w:ind w:left="720"/>
    </w:pPr>
  </w:style>
  <w:style w:type="paragraph" w:styleId="NoteHeading">
    <w:name w:val="Note Heading"/>
    <w:basedOn w:val="Normal"/>
    <w:next w:val="Normal"/>
    <w:link w:val="NoteHeadingChar"/>
    <w:uiPriority w:val="99"/>
    <w:semiHidden/>
    <w:unhideWhenUsed/>
    <w:rsid w:val="009223B2"/>
    <w:pPr>
      <w:spacing w:before="0" w:after="0" w:line="240" w:lineRule="auto"/>
    </w:pPr>
  </w:style>
  <w:style w:type="character" w:customStyle="1" w:styleId="NoteHeadingChar">
    <w:name w:val="Note Heading Char"/>
    <w:basedOn w:val="DefaultParagraphFont"/>
    <w:link w:val="NoteHeading"/>
    <w:uiPriority w:val="99"/>
    <w:semiHidden/>
    <w:rsid w:val="009223B2"/>
    <w:rPr>
      <w:sz w:val="20"/>
      <w:szCs w:val="20"/>
    </w:rPr>
  </w:style>
  <w:style w:type="paragraph" w:styleId="PlainText">
    <w:name w:val="Plain Text"/>
    <w:basedOn w:val="Normal"/>
    <w:link w:val="PlainTextChar"/>
    <w:uiPriority w:val="99"/>
    <w:semiHidden/>
    <w:unhideWhenUsed/>
    <w:rsid w:val="009223B2"/>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223B2"/>
    <w:rPr>
      <w:rFonts w:ascii="Consolas" w:hAnsi="Consolas"/>
      <w:sz w:val="21"/>
      <w:szCs w:val="21"/>
    </w:rPr>
  </w:style>
  <w:style w:type="paragraph" w:styleId="Salutation">
    <w:name w:val="Salutation"/>
    <w:basedOn w:val="Normal"/>
    <w:next w:val="Normal"/>
    <w:link w:val="SalutationChar"/>
    <w:uiPriority w:val="99"/>
    <w:semiHidden/>
    <w:unhideWhenUsed/>
    <w:rsid w:val="009223B2"/>
  </w:style>
  <w:style w:type="character" w:customStyle="1" w:styleId="SalutationChar">
    <w:name w:val="Salutation Char"/>
    <w:basedOn w:val="DefaultParagraphFont"/>
    <w:link w:val="Salutation"/>
    <w:uiPriority w:val="99"/>
    <w:semiHidden/>
    <w:rsid w:val="009223B2"/>
    <w:rPr>
      <w:sz w:val="20"/>
      <w:szCs w:val="20"/>
    </w:rPr>
  </w:style>
  <w:style w:type="paragraph" w:styleId="Signature">
    <w:name w:val="Signature"/>
    <w:basedOn w:val="Normal"/>
    <w:link w:val="SignatureChar"/>
    <w:uiPriority w:val="99"/>
    <w:semiHidden/>
    <w:unhideWhenUsed/>
    <w:rsid w:val="009223B2"/>
    <w:pPr>
      <w:spacing w:before="0" w:after="0" w:line="240" w:lineRule="auto"/>
      <w:ind w:left="4320"/>
    </w:pPr>
  </w:style>
  <w:style w:type="character" w:customStyle="1" w:styleId="SignatureChar">
    <w:name w:val="Signature Char"/>
    <w:basedOn w:val="DefaultParagraphFont"/>
    <w:link w:val="Signature"/>
    <w:uiPriority w:val="99"/>
    <w:semiHidden/>
    <w:rsid w:val="009223B2"/>
    <w:rPr>
      <w:sz w:val="20"/>
      <w:szCs w:val="20"/>
    </w:rPr>
  </w:style>
  <w:style w:type="paragraph" w:styleId="TableofAuthorities">
    <w:name w:val="table of authorities"/>
    <w:basedOn w:val="Normal"/>
    <w:next w:val="Normal"/>
    <w:uiPriority w:val="99"/>
    <w:semiHidden/>
    <w:unhideWhenUsed/>
    <w:rsid w:val="009223B2"/>
    <w:pPr>
      <w:spacing w:after="0"/>
      <w:ind w:left="200" w:hanging="200"/>
    </w:pPr>
  </w:style>
  <w:style w:type="paragraph" w:styleId="TableofFigures">
    <w:name w:val="table of figures"/>
    <w:basedOn w:val="Normal"/>
    <w:next w:val="Normal"/>
    <w:uiPriority w:val="99"/>
    <w:semiHidden/>
    <w:unhideWhenUsed/>
    <w:rsid w:val="009223B2"/>
    <w:pPr>
      <w:spacing w:after="0"/>
    </w:pPr>
  </w:style>
  <w:style w:type="paragraph" w:styleId="TOAHeading">
    <w:name w:val="toa heading"/>
    <w:basedOn w:val="Normal"/>
    <w:next w:val="Normal"/>
    <w:uiPriority w:val="99"/>
    <w:semiHidden/>
    <w:unhideWhenUsed/>
    <w:rsid w:val="009223B2"/>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9223B2"/>
    <w:pPr>
      <w:spacing w:before="0" w:after="0"/>
      <w:ind w:left="600"/>
    </w:pPr>
    <w:rPr>
      <w:rFonts w:cstheme="minorHAnsi"/>
      <w:sz w:val="18"/>
      <w:szCs w:val="18"/>
    </w:rPr>
  </w:style>
  <w:style w:type="paragraph" w:styleId="TOC5">
    <w:name w:val="toc 5"/>
    <w:basedOn w:val="Normal"/>
    <w:next w:val="Normal"/>
    <w:autoRedefine/>
    <w:uiPriority w:val="39"/>
    <w:unhideWhenUsed/>
    <w:rsid w:val="009223B2"/>
    <w:pPr>
      <w:spacing w:before="0" w:after="0"/>
      <w:ind w:left="800"/>
    </w:pPr>
    <w:rPr>
      <w:rFonts w:cstheme="minorHAnsi"/>
      <w:sz w:val="18"/>
      <w:szCs w:val="18"/>
    </w:rPr>
  </w:style>
  <w:style w:type="paragraph" w:styleId="TOC6">
    <w:name w:val="toc 6"/>
    <w:basedOn w:val="Normal"/>
    <w:next w:val="Normal"/>
    <w:autoRedefine/>
    <w:uiPriority w:val="39"/>
    <w:unhideWhenUsed/>
    <w:rsid w:val="009223B2"/>
    <w:pPr>
      <w:spacing w:before="0" w:after="0"/>
      <w:ind w:left="1000"/>
    </w:pPr>
    <w:rPr>
      <w:rFonts w:cstheme="minorHAnsi"/>
      <w:sz w:val="18"/>
      <w:szCs w:val="18"/>
    </w:rPr>
  </w:style>
  <w:style w:type="paragraph" w:styleId="TOC7">
    <w:name w:val="toc 7"/>
    <w:basedOn w:val="Normal"/>
    <w:next w:val="Normal"/>
    <w:autoRedefine/>
    <w:uiPriority w:val="39"/>
    <w:unhideWhenUsed/>
    <w:rsid w:val="009223B2"/>
    <w:pPr>
      <w:spacing w:before="0" w:after="0"/>
      <w:ind w:left="1200"/>
    </w:pPr>
    <w:rPr>
      <w:rFonts w:cstheme="minorHAnsi"/>
      <w:sz w:val="18"/>
      <w:szCs w:val="18"/>
    </w:rPr>
  </w:style>
  <w:style w:type="paragraph" w:styleId="TOC8">
    <w:name w:val="toc 8"/>
    <w:basedOn w:val="Normal"/>
    <w:next w:val="Normal"/>
    <w:autoRedefine/>
    <w:uiPriority w:val="39"/>
    <w:unhideWhenUsed/>
    <w:rsid w:val="009223B2"/>
    <w:pPr>
      <w:spacing w:before="0" w:after="0"/>
      <w:ind w:left="1400"/>
    </w:pPr>
    <w:rPr>
      <w:rFonts w:cstheme="minorHAnsi"/>
      <w:sz w:val="18"/>
      <w:szCs w:val="18"/>
    </w:rPr>
  </w:style>
  <w:style w:type="paragraph" w:styleId="TOC9">
    <w:name w:val="toc 9"/>
    <w:basedOn w:val="Normal"/>
    <w:next w:val="Normal"/>
    <w:autoRedefine/>
    <w:uiPriority w:val="39"/>
    <w:unhideWhenUsed/>
    <w:rsid w:val="009223B2"/>
    <w:pPr>
      <w:spacing w:before="0" w:after="0"/>
      <w:ind w:left="1600"/>
    </w:pPr>
    <w:rPr>
      <w:rFonts w:cstheme="minorHAnsi"/>
      <w:sz w:val="18"/>
      <w:szCs w:val="18"/>
    </w:rPr>
  </w:style>
  <w:style w:type="table" w:styleId="TableGrid">
    <w:name w:val="Table Grid"/>
    <w:basedOn w:val="TableNormal"/>
    <w:uiPriority w:val="59"/>
    <w:rsid w:val="00F633E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1B7F2C"/>
    <w:pPr>
      <w:spacing w:before="100" w:beforeAutospacing="1" w:after="100" w:afterAutospacing="1" w:line="240" w:lineRule="auto"/>
      <w:jc w:val="center"/>
    </w:pPr>
    <w:rPr>
      <w:rFonts w:ascii="Times New Roman" w:eastAsia="Times New Roman" w:hAnsi="Times New Roman" w:cs="Times New Roman"/>
      <w:sz w:val="24"/>
      <w:szCs w:val="24"/>
      <w:lang w:bidi="ar-SA"/>
    </w:rPr>
  </w:style>
  <w:style w:type="character" w:styleId="PlaceholderText">
    <w:name w:val="Placeholder Text"/>
    <w:basedOn w:val="DefaultParagraphFont"/>
    <w:uiPriority w:val="99"/>
    <w:semiHidden/>
    <w:rsid w:val="00B00A32"/>
    <w:rPr>
      <w:color w:val="808080"/>
    </w:rPr>
  </w:style>
  <w:style w:type="character" w:customStyle="1" w:styleId="apple-converted-space">
    <w:name w:val="apple-converted-space"/>
    <w:basedOn w:val="DefaultParagraphFont"/>
    <w:rsid w:val="004634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851"/>
    <w:rPr>
      <w:sz w:val="20"/>
      <w:szCs w:val="20"/>
    </w:rPr>
  </w:style>
  <w:style w:type="paragraph" w:styleId="Heading1">
    <w:name w:val="heading 1"/>
    <w:basedOn w:val="Normal"/>
    <w:next w:val="Normal"/>
    <w:link w:val="Heading1Char"/>
    <w:autoRedefine/>
    <w:uiPriority w:val="9"/>
    <w:qFormat/>
    <w:rsid w:val="00F37C3F"/>
    <w:pPr>
      <w:shd w:val="clear" w:color="auto" w:fill="1B587C" w:themeFill="accent3"/>
      <w:spacing w:before="0" w:after="0" w:line="240" w:lineRule="auto"/>
      <w:contextualSpacing/>
      <w:outlineLvl w:val="0"/>
    </w:pPr>
    <w:rPr>
      <w:rFonts w:asciiTheme="majorHAnsi" w:hAnsiTheme="majorHAnsi"/>
      <w:b/>
      <w:bCs/>
      <w: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903E48"/>
    <w:pPr>
      <w:shd w:val="clear" w:color="auto" w:fill="C3E0F2" w:themeFill="accent3" w:themeFillTint="33"/>
      <w:spacing w:before="0" w:after="240" w:line="240" w:lineRule="auto"/>
      <w:outlineLvl w:val="1"/>
    </w:pPr>
    <w:rPr>
      <w:rFonts w:asciiTheme="majorHAnsi" w:hAnsiTheme="majorHAnsi"/>
      <w:caps/>
      <w:color w:val="0D2B3E" w:themeColor="accent3" w:themeShade="80"/>
      <w:spacing w:val="15"/>
      <w:sz w:val="26"/>
      <w:szCs w:val="26"/>
    </w:rPr>
  </w:style>
  <w:style w:type="paragraph" w:styleId="Heading3">
    <w:name w:val="heading 3"/>
    <w:basedOn w:val="Normal"/>
    <w:next w:val="Normal"/>
    <w:link w:val="Heading3Char"/>
    <w:autoRedefine/>
    <w:uiPriority w:val="9"/>
    <w:unhideWhenUsed/>
    <w:qFormat/>
    <w:rsid w:val="005A5114"/>
    <w:pPr>
      <w:framePr w:wrap="around" w:vAnchor="text" w:hAnchor="text" w:y="1"/>
      <w:pBdr>
        <w:top w:val="single" w:sz="6" w:space="2" w:color="761E28" w:themeColor="accent2" w:themeShade="BF"/>
        <w:left w:val="single" w:sz="6" w:space="2" w:color="761E28" w:themeColor="accent2" w:themeShade="BF"/>
      </w:pBdr>
      <w:spacing w:before="300" w:after="120" w:line="240" w:lineRule="auto"/>
      <w:jc w:val="center"/>
      <w:outlineLvl w:val="2"/>
    </w:pPr>
    <w:rPr>
      <w:rFonts w:asciiTheme="majorHAnsi" w:hAnsiTheme="majorHAnsi"/>
      <w:b/>
      <w:caps/>
      <w:color w:val="0D2B3E" w:themeColor="accent3" w:themeShade="80"/>
      <w:spacing w:val="15"/>
      <w:szCs w:val="22"/>
      <w:lang w:eastAsia="zh-CN" w:bidi="ar-SA"/>
    </w:rPr>
  </w:style>
  <w:style w:type="paragraph" w:styleId="Heading4">
    <w:name w:val="heading 4"/>
    <w:basedOn w:val="Normal"/>
    <w:next w:val="Normal"/>
    <w:link w:val="Heading4Char"/>
    <w:uiPriority w:val="9"/>
    <w:unhideWhenUsed/>
    <w:qFormat/>
    <w:rsid w:val="00656D3B"/>
    <w:pPr>
      <w:pBdr>
        <w:top w:val="dotted" w:sz="6" w:space="2" w:color="F07F09" w:themeColor="accent1"/>
        <w:left w:val="dotted" w:sz="6" w:space="2" w:color="F07F09" w:themeColor="accent1"/>
      </w:pBdr>
      <w:spacing w:before="300" w:after="0"/>
      <w:outlineLvl w:val="3"/>
    </w:pPr>
    <w:rPr>
      <w:caps/>
      <w:color w:val="30243C" w:themeColor="accent5" w:themeShade="80"/>
      <w:spacing w:val="10"/>
      <w:sz w:val="22"/>
      <w:szCs w:val="22"/>
    </w:rPr>
  </w:style>
  <w:style w:type="paragraph" w:styleId="Heading5">
    <w:name w:val="heading 5"/>
    <w:basedOn w:val="Normal"/>
    <w:next w:val="Normal"/>
    <w:link w:val="Heading5Char"/>
    <w:autoRedefine/>
    <w:uiPriority w:val="9"/>
    <w:unhideWhenUsed/>
    <w:qFormat/>
    <w:rsid w:val="00494849"/>
    <w:pPr>
      <w:pBdr>
        <w:bottom w:val="single" w:sz="4" w:space="1" w:color="89C2E5" w:themeColor="accent3" w:themeTint="66"/>
      </w:pBdr>
      <w:spacing w:before="300" w:after="0"/>
      <w:outlineLvl w:val="4"/>
    </w:pPr>
    <w:rPr>
      <w:rFonts w:asciiTheme="majorHAnsi" w:hAnsiTheme="majorHAnsi"/>
      <w:caps/>
      <w:color w:val="000000" w:themeColor="text1"/>
      <w:spacing w:val="10"/>
      <w:sz w:val="26"/>
      <w:szCs w:val="22"/>
    </w:rPr>
  </w:style>
  <w:style w:type="paragraph" w:styleId="Heading6">
    <w:name w:val="heading 6"/>
    <w:basedOn w:val="Normal"/>
    <w:next w:val="Normal"/>
    <w:link w:val="Heading6Char"/>
    <w:uiPriority w:val="9"/>
    <w:semiHidden/>
    <w:unhideWhenUsed/>
    <w:qFormat/>
    <w:rsid w:val="00467851"/>
    <w:pPr>
      <w:pBdr>
        <w:bottom w:val="dotted" w:sz="6" w:space="1" w:color="F07F09" w:themeColor="accent1"/>
      </w:pBdr>
      <w:spacing w:before="300" w:after="0"/>
      <w:outlineLvl w:val="5"/>
    </w:pPr>
    <w:rPr>
      <w:caps/>
      <w:color w:val="B35E06" w:themeColor="accent1" w:themeShade="BF"/>
      <w:spacing w:val="10"/>
      <w:sz w:val="22"/>
      <w:szCs w:val="22"/>
    </w:rPr>
  </w:style>
  <w:style w:type="paragraph" w:styleId="Heading7">
    <w:name w:val="heading 7"/>
    <w:basedOn w:val="Normal"/>
    <w:next w:val="Normal"/>
    <w:link w:val="Heading7Char"/>
    <w:uiPriority w:val="9"/>
    <w:semiHidden/>
    <w:unhideWhenUsed/>
    <w:qFormat/>
    <w:rsid w:val="00467851"/>
    <w:pPr>
      <w:spacing w:before="300" w:after="0"/>
      <w:outlineLvl w:val="6"/>
    </w:pPr>
    <w:rPr>
      <w:caps/>
      <w:color w:val="B35E06" w:themeColor="accent1" w:themeShade="BF"/>
      <w:spacing w:val="10"/>
      <w:sz w:val="22"/>
      <w:szCs w:val="22"/>
    </w:rPr>
  </w:style>
  <w:style w:type="paragraph" w:styleId="Heading8">
    <w:name w:val="heading 8"/>
    <w:basedOn w:val="Normal"/>
    <w:next w:val="Normal"/>
    <w:link w:val="Heading8Char"/>
    <w:uiPriority w:val="9"/>
    <w:semiHidden/>
    <w:unhideWhenUsed/>
    <w:qFormat/>
    <w:rsid w:val="0046785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6785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B85"/>
    <w:rPr>
      <w:rFonts w:ascii="Tahoma" w:hAnsi="Tahoma" w:cs="Tahoma"/>
      <w:sz w:val="16"/>
      <w:szCs w:val="16"/>
    </w:rPr>
  </w:style>
  <w:style w:type="paragraph" w:styleId="ListParagraph">
    <w:name w:val="List Paragraph"/>
    <w:basedOn w:val="Normal"/>
    <w:uiPriority w:val="34"/>
    <w:qFormat/>
    <w:rsid w:val="00D92249"/>
    <w:pPr>
      <w:numPr>
        <w:numId w:val="1"/>
      </w:numPr>
      <w:ind w:left="360"/>
      <w:contextualSpacing/>
    </w:pPr>
    <w:rPr>
      <w:sz w:val="24"/>
      <w:szCs w:val="24"/>
    </w:rPr>
  </w:style>
  <w:style w:type="character" w:customStyle="1" w:styleId="Heading1Char">
    <w:name w:val="Heading 1 Char"/>
    <w:basedOn w:val="DefaultParagraphFont"/>
    <w:link w:val="Heading1"/>
    <w:uiPriority w:val="9"/>
    <w:rsid w:val="00F37C3F"/>
    <w:rPr>
      <w:rFonts w:asciiTheme="majorHAnsi" w:hAnsiTheme="majorHAnsi"/>
      <w:b/>
      <w:bCs/>
      <w:caps/>
      <w:color w:val="FFFFFF" w:themeColor="background1"/>
      <w:spacing w:val="15"/>
      <w:sz w:val="28"/>
      <w:shd w:val="clear" w:color="auto" w:fill="1B587C" w:themeFill="accent3"/>
    </w:rPr>
  </w:style>
  <w:style w:type="character" w:customStyle="1" w:styleId="Heading2Char">
    <w:name w:val="Heading 2 Char"/>
    <w:basedOn w:val="DefaultParagraphFont"/>
    <w:link w:val="Heading2"/>
    <w:uiPriority w:val="9"/>
    <w:rsid w:val="00903E48"/>
    <w:rPr>
      <w:rFonts w:asciiTheme="majorHAnsi" w:hAnsiTheme="majorHAnsi"/>
      <w:caps/>
      <w:color w:val="0D2B3E" w:themeColor="accent3" w:themeShade="80"/>
      <w:spacing w:val="15"/>
      <w:sz w:val="26"/>
      <w:szCs w:val="26"/>
      <w:shd w:val="clear" w:color="auto" w:fill="C3E0F2" w:themeFill="accent3" w:themeFillTint="33"/>
    </w:rPr>
  </w:style>
  <w:style w:type="character" w:customStyle="1" w:styleId="Heading3Char">
    <w:name w:val="Heading 3 Char"/>
    <w:basedOn w:val="DefaultParagraphFont"/>
    <w:link w:val="Heading3"/>
    <w:uiPriority w:val="9"/>
    <w:rsid w:val="005A5114"/>
    <w:rPr>
      <w:rFonts w:asciiTheme="majorHAnsi" w:hAnsiTheme="majorHAnsi"/>
      <w:b/>
      <w:caps/>
      <w:color w:val="0D2B3E" w:themeColor="accent3" w:themeShade="80"/>
      <w:spacing w:val="15"/>
      <w:sz w:val="20"/>
      <w:lang w:eastAsia="zh-CN" w:bidi="ar-SA"/>
    </w:rPr>
  </w:style>
  <w:style w:type="character" w:customStyle="1" w:styleId="Heading4Char">
    <w:name w:val="Heading 4 Char"/>
    <w:basedOn w:val="DefaultParagraphFont"/>
    <w:link w:val="Heading4"/>
    <w:uiPriority w:val="9"/>
    <w:rsid w:val="00656D3B"/>
    <w:rPr>
      <w:caps/>
      <w:color w:val="30243C" w:themeColor="accent5" w:themeShade="80"/>
      <w:spacing w:val="10"/>
    </w:rPr>
  </w:style>
  <w:style w:type="character" w:customStyle="1" w:styleId="Heading5Char">
    <w:name w:val="Heading 5 Char"/>
    <w:basedOn w:val="DefaultParagraphFont"/>
    <w:link w:val="Heading5"/>
    <w:uiPriority w:val="9"/>
    <w:rsid w:val="00494849"/>
    <w:rPr>
      <w:rFonts w:asciiTheme="majorHAnsi" w:hAnsiTheme="majorHAnsi"/>
      <w:caps/>
      <w:color w:val="000000" w:themeColor="text1"/>
      <w:spacing w:val="10"/>
      <w:sz w:val="26"/>
    </w:rPr>
  </w:style>
  <w:style w:type="character" w:customStyle="1" w:styleId="Heading6Char">
    <w:name w:val="Heading 6 Char"/>
    <w:basedOn w:val="DefaultParagraphFont"/>
    <w:link w:val="Heading6"/>
    <w:uiPriority w:val="9"/>
    <w:semiHidden/>
    <w:rsid w:val="00467851"/>
    <w:rPr>
      <w:caps/>
      <w:color w:val="B35E06" w:themeColor="accent1" w:themeShade="BF"/>
      <w:spacing w:val="10"/>
    </w:rPr>
  </w:style>
  <w:style w:type="character" w:customStyle="1" w:styleId="Heading7Char">
    <w:name w:val="Heading 7 Char"/>
    <w:basedOn w:val="DefaultParagraphFont"/>
    <w:link w:val="Heading7"/>
    <w:uiPriority w:val="9"/>
    <w:semiHidden/>
    <w:rsid w:val="00467851"/>
    <w:rPr>
      <w:caps/>
      <w:color w:val="B35E06" w:themeColor="accent1" w:themeShade="BF"/>
      <w:spacing w:val="10"/>
    </w:rPr>
  </w:style>
  <w:style w:type="character" w:customStyle="1" w:styleId="Heading8Char">
    <w:name w:val="Heading 8 Char"/>
    <w:basedOn w:val="DefaultParagraphFont"/>
    <w:link w:val="Heading8"/>
    <w:uiPriority w:val="9"/>
    <w:semiHidden/>
    <w:rsid w:val="00467851"/>
    <w:rPr>
      <w:caps/>
      <w:spacing w:val="10"/>
      <w:sz w:val="18"/>
      <w:szCs w:val="18"/>
    </w:rPr>
  </w:style>
  <w:style w:type="character" w:customStyle="1" w:styleId="Heading9Char">
    <w:name w:val="Heading 9 Char"/>
    <w:basedOn w:val="DefaultParagraphFont"/>
    <w:link w:val="Heading9"/>
    <w:uiPriority w:val="9"/>
    <w:semiHidden/>
    <w:rsid w:val="00467851"/>
    <w:rPr>
      <w:i/>
      <w:caps/>
      <w:spacing w:val="10"/>
      <w:sz w:val="18"/>
      <w:szCs w:val="18"/>
    </w:rPr>
  </w:style>
  <w:style w:type="paragraph" w:styleId="Caption">
    <w:name w:val="caption"/>
    <w:basedOn w:val="Normal"/>
    <w:next w:val="Normal"/>
    <w:uiPriority w:val="35"/>
    <w:semiHidden/>
    <w:unhideWhenUsed/>
    <w:qFormat/>
    <w:rsid w:val="00467851"/>
    <w:rPr>
      <w:b/>
      <w:bCs/>
      <w:color w:val="B35E06" w:themeColor="accent1" w:themeShade="BF"/>
      <w:sz w:val="16"/>
      <w:szCs w:val="16"/>
    </w:rPr>
  </w:style>
  <w:style w:type="paragraph" w:styleId="Title">
    <w:name w:val="Title"/>
    <w:basedOn w:val="Normal"/>
    <w:next w:val="Normal"/>
    <w:link w:val="TitleChar"/>
    <w:uiPriority w:val="10"/>
    <w:qFormat/>
    <w:rsid w:val="00467851"/>
    <w:pPr>
      <w:spacing w:before="720"/>
    </w:pPr>
    <w:rPr>
      <w:caps/>
      <w:color w:val="F07F09" w:themeColor="accent1"/>
      <w:spacing w:val="10"/>
      <w:kern w:val="28"/>
      <w:sz w:val="52"/>
      <w:szCs w:val="52"/>
    </w:rPr>
  </w:style>
  <w:style w:type="character" w:customStyle="1" w:styleId="TitleChar">
    <w:name w:val="Title Char"/>
    <w:basedOn w:val="DefaultParagraphFont"/>
    <w:link w:val="Title"/>
    <w:uiPriority w:val="10"/>
    <w:rsid w:val="00467851"/>
    <w:rPr>
      <w:caps/>
      <w:color w:val="F07F09" w:themeColor="accent1"/>
      <w:spacing w:val="10"/>
      <w:kern w:val="28"/>
      <w:sz w:val="52"/>
      <w:szCs w:val="52"/>
    </w:rPr>
  </w:style>
  <w:style w:type="paragraph" w:styleId="Subtitle">
    <w:name w:val="Subtitle"/>
    <w:basedOn w:val="Normal"/>
    <w:next w:val="Normal"/>
    <w:link w:val="SubtitleChar"/>
    <w:uiPriority w:val="11"/>
    <w:qFormat/>
    <w:rsid w:val="0046785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67851"/>
    <w:rPr>
      <w:caps/>
      <w:color w:val="595959" w:themeColor="text1" w:themeTint="A6"/>
      <w:spacing w:val="10"/>
      <w:sz w:val="24"/>
      <w:szCs w:val="24"/>
    </w:rPr>
  </w:style>
  <w:style w:type="character" w:styleId="Strong">
    <w:name w:val="Strong"/>
    <w:uiPriority w:val="22"/>
    <w:qFormat/>
    <w:rsid w:val="00467851"/>
    <w:rPr>
      <w:b/>
      <w:bCs/>
    </w:rPr>
  </w:style>
  <w:style w:type="character" w:styleId="Emphasis">
    <w:name w:val="Emphasis"/>
    <w:uiPriority w:val="20"/>
    <w:qFormat/>
    <w:rsid w:val="00467851"/>
    <w:rPr>
      <w:caps/>
      <w:color w:val="773F04" w:themeColor="accent1" w:themeShade="7F"/>
      <w:spacing w:val="5"/>
    </w:rPr>
  </w:style>
  <w:style w:type="paragraph" w:styleId="NoSpacing">
    <w:name w:val="No Spacing"/>
    <w:basedOn w:val="Normal"/>
    <w:link w:val="NoSpacingChar"/>
    <w:uiPriority w:val="1"/>
    <w:qFormat/>
    <w:rsid w:val="00467851"/>
    <w:pPr>
      <w:spacing w:before="0" w:after="0" w:line="240" w:lineRule="auto"/>
    </w:pPr>
  </w:style>
  <w:style w:type="character" w:customStyle="1" w:styleId="NoSpacingChar">
    <w:name w:val="No Spacing Char"/>
    <w:basedOn w:val="DefaultParagraphFont"/>
    <w:link w:val="NoSpacing"/>
    <w:uiPriority w:val="1"/>
    <w:rsid w:val="00467851"/>
    <w:rPr>
      <w:sz w:val="20"/>
      <w:szCs w:val="20"/>
    </w:rPr>
  </w:style>
  <w:style w:type="paragraph" w:styleId="Quote">
    <w:name w:val="Quote"/>
    <w:basedOn w:val="Normal"/>
    <w:next w:val="Normal"/>
    <w:link w:val="QuoteChar"/>
    <w:uiPriority w:val="29"/>
    <w:qFormat/>
    <w:rsid w:val="00467851"/>
    <w:rPr>
      <w:i/>
      <w:iCs/>
    </w:rPr>
  </w:style>
  <w:style w:type="character" w:customStyle="1" w:styleId="QuoteChar">
    <w:name w:val="Quote Char"/>
    <w:basedOn w:val="DefaultParagraphFont"/>
    <w:link w:val="Quote"/>
    <w:uiPriority w:val="29"/>
    <w:rsid w:val="00467851"/>
    <w:rPr>
      <w:i/>
      <w:iCs/>
      <w:sz w:val="20"/>
      <w:szCs w:val="20"/>
    </w:rPr>
  </w:style>
  <w:style w:type="paragraph" w:styleId="IntenseQuote">
    <w:name w:val="Intense Quote"/>
    <w:basedOn w:val="Normal"/>
    <w:next w:val="Normal"/>
    <w:link w:val="IntenseQuoteChar"/>
    <w:uiPriority w:val="30"/>
    <w:qFormat/>
    <w:rsid w:val="00467851"/>
    <w:pPr>
      <w:pBdr>
        <w:top w:val="single" w:sz="4" w:space="10" w:color="F07F09" w:themeColor="accent1"/>
        <w:left w:val="single" w:sz="4" w:space="10" w:color="F07F09" w:themeColor="accent1"/>
      </w:pBdr>
      <w:spacing w:after="0"/>
      <w:ind w:left="1296" w:right="1152"/>
      <w:jc w:val="both"/>
    </w:pPr>
    <w:rPr>
      <w:i/>
      <w:iCs/>
      <w:color w:val="F07F09" w:themeColor="accent1"/>
    </w:rPr>
  </w:style>
  <w:style w:type="character" w:customStyle="1" w:styleId="IntenseQuoteChar">
    <w:name w:val="Intense Quote Char"/>
    <w:basedOn w:val="DefaultParagraphFont"/>
    <w:link w:val="IntenseQuote"/>
    <w:uiPriority w:val="30"/>
    <w:rsid w:val="00467851"/>
    <w:rPr>
      <w:i/>
      <w:iCs/>
      <w:color w:val="F07F09" w:themeColor="accent1"/>
      <w:sz w:val="20"/>
      <w:szCs w:val="20"/>
    </w:rPr>
  </w:style>
  <w:style w:type="character" w:styleId="SubtleEmphasis">
    <w:name w:val="Subtle Emphasis"/>
    <w:uiPriority w:val="19"/>
    <w:qFormat/>
    <w:rsid w:val="003E0A78"/>
    <w:rPr>
      <w:b/>
      <w:i/>
      <w:iCs/>
      <w:color w:val="000000" w:themeColor="text1"/>
    </w:rPr>
  </w:style>
  <w:style w:type="character" w:styleId="IntenseEmphasis">
    <w:name w:val="Intense Emphasis"/>
    <w:uiPriority w:val="21"/>
    <w:qFormat/>
    <w:rsid w:val="00467851"/>
    <w:rPr>
      <w:b/>
      <w:bCs/>
      <w:caps/>
      <w:color w:val="773F04" w:themeColor="accent1" w:themeShade="7F"/>
      <w:spacing w:val="10"/>
    </w:rPr>
  </w:style>
  <w:style w:type="character" w:styleId="SubtleReference">
    <w:name w:val="Subtle Reference"/>
    <w:uiPriority w:val="31"/>
    <w:qFormat/>
    <w:rsid w:val="00467851"/>
    <w:rPr>
      <w:b/>
      <w:bCs/>
      <w:color w:val="F07F09" w:themeColor="accent1"/>
    </w:rPr>
  </w:style>
  <w:style w:type="character" w:styleId="IntenseReference">
    <w:name w:val="Intense Reference"/>
    <w:uiPriority w:val="32"/>
    <w:qFormat/>
    <w:rsid w:val="00467851"/>
    <w:rPr>
      <w:b/>
      <w:bCs/>
      <w:i/>
      <w:iCs/>
      <w:caps/>
      <w:color w:val="F07F09" w:themeColor="accent1"/>
    </w:rPr>
  </w:style>
  <w:style w:type="character" w:styleId="BookTitle">
    <w:name w:val="Book Title"/>
    <w:uiPriority w:val="33"/>
    <w:qFormat/>
    <w:rsid w:val="00467851"/>
    <w:rPr>
      <w:b/>
      <w:bCs/>
      <w:i/>
      <w:iCs/>
      <w:spacing w:val="9"/>
    </w:rPr>
  </w:style>
  <w:style w:type="paragraph" w:styleId="TOCHeading">
    <w:name w:val="TOC Heading"/>
    <w:basedOn w:val="Heading1"/>
    <w:next w:val="Normal"/>
    <w:uiPriority w:val="39"/>
    <w:unhideWhenUsed/>
    <w:qFormat/>
    <w:rsid w:val="00467851"/>
    <w:pPr>
      <w:outlineLvl w:val="9"/>
    </w:pPr>
  </w:style>
  <w:style w:type="character" w:styleId="Hyperlink">
    <w:name w:val="Hyperlink"/>
    <w:basedOn w:val="DefaultParagraphFont"/>
    <w:uiPriority w:val="99"/>
    <w:unhideWhenUsed/>
    <w:rsid w:val="001E2AE3"/>
    <w:rPr>
      <w:color w:val="0000FF"/>
      <w:u w:val="single"/>
    </w:rPr>
  </w:style>
  <w:style w:type="character" w:styleId="FollowedHyperlink">
    <w:name w:val="FollowedHyperlink"/>
    <w:basedOn w:val="DefaultParagraphFont"/>
    <w:uiPriority w:val="99"/>
    <w:semiHidden/>
    <w:unhideWhenUsed/>
    <w:rsid w:val="001E2AE3"/>
    <w:rPr>
      <w:color w:val="800080"/>
      <w:u w:val="single"/>
    </w:rPr>
  </w:style>
  <w:style w:type="paragraph" w:customStyle="1" w:styleId="font5">
    <w:name w:val="font5"/>
    <w:basedOn w:val="Normal"/>
    <w:rsid w:val="001E2AE3"/>
    <w:pPr>
      <w:spacing w:before="100" w:beforeAutospacing="1" w:after="100" w:afterAutospacing="1" w:line="240" w:lineRule="auto"/>
    </w:pPr>
    <w:rPr>
      <w:rFonts w:ascii="Arial" w:eastAsia="Times New Roman" w:hAnsi="Arial" w:cs="Arial"/>
      <w:sz w:val="14"/>
      <w:szCs w:val="14"/>
      <w:lang w:eastAsia="zh-CN" w:bidi="ar-SA"/>
    </w:rPr>
  </w:style>
  <w:style w:type="paragraph" w:customStyle="1" w:styleId="font6">
    <w:name w:val="font6"/>
    <w:basedOn w:val="Normal"/>
    <w:rsid w:val="001E2AE3"/>
    <w:pPr>
      <w:spacing w:before="100" w:beforeAutospacing="1" w:after="100" w:afterAutospacing="1" w:line="240" w:lineRule="auto"/>
    </w:pPr>
    <w:rPr>
      <w:rFonts w:ascii="Arial" w:eastAsia="Times New Roman" w:hAnsi="Arial" w:cs="Arial"/>
      <w:sz w:val="14"/>
      <w:szCs w:val="14"/>
      <w:lang w:eastAsia="zh-CN" w:bidi="ar-SA"/>
    </w:rPr>
  </w:style>
  <w:style w:type="paragraph" w:customStyle="1" w:styleId="xl66">
    <w:name w:val="xl66"/>
    <w:basedOn w:val="Normal"/>
    <w:rsid w:val="001E2AE3"/>
    <w:pPr>
      <w:pBdr>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67">
    <w:name w:val="xl67"/>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68">
    <w:name w:val="xl68"/>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69">
    <w:name w:val="xl69"/>
    <w:basedOn w:val="Normal"/>
    <w:rsid w:val="001E2AE3"/>
    <w:pPr>
      <w:pBdr>
        <w:top w:val="single" w:sz="4" w:space="0" w:color="C0C0C0"/>
        <w:bottom w:val="single" w:sz="4" w:space="0" w:color="C0C0C0"/>
      </w:pBd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70">
    <w:name w:val="xl70"/>
    <w:basedOn w:val="Normal"/>
    <w:rsid w:val="001E2AE3"/>
    <w:pPr>
      <w:pBdr>
        <w:top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sz w:val="16"/>
      <w:szCs w:val="16"/>
      <w:lang w:eastAsia="zh-CN" w:bidi="ar-SA"/>
    </w:rPr>
  </w:style>
  <w:style w:type="paragraph" w:customStyle="1" w:styleId="xl71">
    <w:name w:val="xl71"/>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72">
    <w:name w:val="xl72"/>
    <w:basedOn w:val="Normal"/>
    <w:rsid w:val="001E2AE3"/>
    <w:pPr>
      <w:pBdr>
        <w:bottom w:val="single" w:sz="4" w:space="0" w:color="C0C0C0"/>
      </w:pBdr>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73">
    <w:name w:val="xl73"/>
    <w:basedOn w:val="Normal"/>
    <w:rsid w:val="001E2AE3"/>
    <w:pP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74">
    <w:name w:val="xl74"/>
    <w:basedOn w:val="Normal"/>
    <w:rsid w:val="001E2AE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75">
    <w:name w:val="xl75"/>
    <w:basedOn w:val="Normal"/>
    <w:rsid w:val="001E2AE3"/>
    <w:pP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76">
    <w:name w:val="xl76"/>
    <w:basedOn w:val="Normal"/>
    <w:rsid w:val="001E2AE3"/>
    <w:pP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77">
    <w:name w:val="xl77"/>
    <w:basedOn w:val="Normal"/>
    <w:rsid w:val="001E2AE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78">
    <w:name w:val="xl78"/>
    <w:basedOn w:val="Normal"/>
    <w:rsid w:val="001E2AE3"/>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zh-CN" w:bidi="ar-SA"/>
    </w:rPr>
  </w:style>
  <w:style w:type="paragraph" w:customStyle="1" w:styleId="xl79">
    <w:name w:val="xl79"/>
    <w:basedOn w:val="Normal"/>
    <w:rsid w:val="001E2AE3"/>
    <w:pPr>
      <w:pBdr>
        <w:top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80">
    <w:name w:val="xl80"/>
    <w:basedOn w:val="Normal"/>
    <w:rsid w:val="001E2AE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81">
    <w:name w:val="xl81"/>
    <w:basedOn w:val="Normal"/>
    <w:rsid w:val="001E2AE3"/>
    <w:pPr>
      <w:pBdr>
        <w:top w:val="single" w:sz="4" w:space="0" w:color="C0C0C0"/>
        <w:bottom w:val="single" w:sz="4" w:space="0" w:color="C0C0C0"/>
      </w:pBdr>
      <w:spacing w:before="100" w:beforeAutospacing="1" w:after="100" w:afterAutospacing="1" w:line="240" w:lineRule="auto"/>
      <w:textAlignment w:val="center"/>
    </w:pPr>
    <w:rPr>
      <w:rFonts w:ascii="Arial Narrow" w:eastAsia="Times New Roman" w:hAnsi="Arial Narrow" w:cs="Times New Roman"/>
      <w:sz w:val="14"/>
      <w:szCs w:val="14"/>
      <w:lang w:eastAsia="zh-CN" w:bidi="ar-SA"/>
    </w:rPr>
  </w:style>
  <w:style w:type="paragraph" w:customStyle="1" w:styleId="xl82">
    <w:name w:val="xl82"/>
    <w:basedOn w:val="Normal"/>
    <w:rsid w:val="001E2AE3"/>
    <w:pPr>
      <w:spacing w:before="100" w:beforeAutospacing="1" w:after="100" w:afterAutospacing="1" w:line="240" w:lineRule="auto"/>
      <w:textAlignment w:val="center"/>
    </w:pPr>
    <w:rPr>
      <w:rFonts w:ascii="Arial Narrow" w:eastAsia="Times New Roman" w:hAnsi="Arial Narrow" w:cs="Times New Roman"/>
      <w:sz w:val="14"/>
      <w:szCs w:val="14"/>
      <w:lang w:eastAsia="zh-CN" w:bidi="ar-SA"/>
    </w:rPr>
  </w:style>
  <w:style w:type="paragraph" w:customStyle="1" w:styleId="xl83">
    <w:name w:val="xl83"/>
    <w:basedOn w:val="Normal"/>
    <w:rsid w:val="001E2AE3"/>
    <w:pPr>
      <w:pBdr>
        <w:bottom w:val="single" w:sz="4" w:space="0" w:color="C0C0C0"/>
      </w:pBdr>
      <w:spacing w:before="100" w:beforeAutospacing="1" w:after="100" w:afterAutospacing="1" w:line="240" w:lineRule="auto"/>
      <w:textAlignment w:val="center"/>
    </w:pPr>
    <w:rPr>
      <w:rFonts w:ascii="Arial Narrow" w:eastAsia="Times New Roman" w:hAnsi="Arial Narrow" w:cs="Times New Roman"/>
      <w:b/>
      <w:bCs/>
      <w:sz w:val="14"/>
      <w:szCs w:val="14"/>
      <w:lang w:eastAsia="zh-CN" w:bidi="ar-SA"/>
    </w:rPr>
  </w:style>
  <w:style w:type="paragraph" w:customStyle="1" w:styleId="xl84">
    <w:name w:val="xl84"/>
    <w:basedOn w:val="Normal"/>
    <w:rsid w:val="001E2AE3"/>
    <w:pPr>
      <w:pBdr>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85">
    <w:name w:val="xl85"/>
    <w:basedOn w:val="Normal"/>
    <w:rsid w:val="001E2AE3"/>
    <w:pPr>
      <w:pBdr>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86">
    <w:name w:val="xl86"/>
    <w:basedOn w:val="Normal"/>
    <w:rsid w:val="001E2AE3"/>
    <w:pPr>
      <w:pBdr>
        <w:bottom w:val="single" w:sz="4" w:space="0" w:color="C0C0C0"/>
      </w:pBdr>
      <w:spacing w:before="100" w:beforeAutospacing="1" w:after="100" w:afterAutospacing="1" w:line="240" w:lineRule="auto"/>
      <w:jc w:val="right"/>
      <w:textAlignment w:val="center"/>
    </w:pPr>
    <w:rPr>
      <w:rFonts w:ascii="Arial" w:eastAsia="Times New Roman" w:hAnsi="Arial" w:cs="Arial"/>
      <w:b/>
      <w:bCs/>
      <w:sz w:val="16"/>
      <w:szCs w:val="16"/>
      <w:lang w:eastAsia="zh-CN" w:bidi="ar-SA"/>
    </w:rPr>
  </w:style>
  <w:style w:type="paragraph" w:customStyle="1" w:styleId="xl87">
    <w:name w:val="xl87"/>
    <w:basedOn w:val="Normal"/>
    <w:rsid w:val="001E2AE3"/>
    <w:pPr>
      <w:pBdr>
        <w:bottom w:val="single" w:sz="4" w:space="0" w:color="C0C0C0"/>
      </w:pBdr>
      <w:spacing w:before="100" w:beforeAutospacing="1" w:after="100" w:afterAutospacing="1" w:line="240" w:lineRule="auto"/>
      <w:textAlignment w:val="center"/>
    </w:pPr>
    <w:rPr>
      <w:rFonts w:ascii="Arial" w:eastAsia="Times New Roman" w:hAnsi="Arial" w:cs="Arial"/>
      <w:b/>
      <w:bCs/>
      <w:sz w:val="16"/>
      <w:szCs w:val="16"/>
      <w:lang w:eastAsia="zh-CN" w:bidi="ar-SA"/>
    </w:rPr>
  </w:style>
  <w:style w:type="paragraph" w:customStyle="1" w:styleId="xl88">
    <w:name w:val="xl88"/>
    <w:basedOn w:val="Normal"/>
    <w:rsid w:val="001E2AE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89">
    <w:name w:val="xl89"/>
    <w:basedOn w:val="Normal"/>
    <w:rsid w:val="001E2AE3"/>
    <w:pPr>
      <w:spacing w:before="100" w:beforeAutospacing="1" w:after="100" w:afterAutospacing="1" w:line="240" w:lineRule="auto"/>
      <w:textAlignment w:val="center"/>
    </w:pPr>
    <w:rPr>
      <w:rFonts w:ascii="Arial" w:eastAsia="Times New Roman" w:hAnsi="Arial" w:cs="Arial"/>
      <w:b/>
      <w:bCs/>
      <w:sz w:val="24"/>
      <w:szCs w:val="24"/>
      <w:lang w:eastAsia="zh-CN" w:bidi="ar-SA"/>
    </w:rPr>
  </w:style>
  <w:style w:type="paragraph" w:customStyle="1" w:styleId="xl90">
    <w:name w:val="xl90"/>
    <w:basedOn w:val="Normal"/>
    <w:rsid w:val="001E2AE3"/>
    <w:pPr>
      <w:pBdr>
        <w:top w:val="single" w:sz="4" w:space="0" w:color="C0C0C0"/>
        <w:bottom w:val="single" w:sz="4" w:space="0" w:color="C0C0C0"/>
      </w:pBdr>
      <w:spacing w:before="100" w:beforeAutospacing="1" w:after="100" w:afterAutospacing="1" w:line="240" w:lineRule="auto"/>
      <w:textAlignment w:val="center"/>
    </w:pPr>
    <w:rPr>
      <w:rFonts w:ascii="Arial Narrow" w:eastAsia="Times New Roman" w:hAnsi="Arial Narrow" w:cs="Times New Roman"/>
      <w:b/>
      <w:bCs/>
      <w:sz w:val="14"/>
      <w:szCs w:val="14"/>
      <w:lang w:eastAsia="zh-CN" w:bidi="ar-SA"/>
    </w:rPr>
  </w:style>
  <w:style w:type="paragraph" w:customStyle="1" w:styleId="xl91">
    <w:name w:val="xl91"/>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2">
    <w:name w:val="xl92"/>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3">
    <w:name w:val="xl93"/>
    <w:basedOn w:val="Normal"/>
    <w:rsid w:val="001E2AE3"/>
    <w:pPr>
      <w:pBdr>
        <w:top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16"/>
      <w:szCs w:val="16"/>
      <w:lang w:eastAsia="zh-CN" w:bidi="ar-SA"/>
    </w:rPr>
  </w:style>
  <w:style w:type="paragraph" w:customStyle="1" w:styleId="xl94">
    <w:name w:val="xl94"/>
    <w:basedOn w:val="Normal"/>
    <w:rsid w:val="001E2AE3"/>
    <w:pPr>
      <w:pBdr>
        <w:top w:val="single" w:sz="4" w:space="0" w:color="C0C0C0"/>
        <w:bottom w:val="single" w:sz="4" w:space="0" w:color="C0C0C0"/>
      </w:pBdr>
      <w:spacing w:before="100" w:beforeAutospacing="1" w:after="100" w:afterAutospacing="1" w:line="240" w:lineRule="auto"/>
      <w:textAlignment w:val="center"/>
    </w:pPr>
    <w:rPr>
      <w:rFonts w:ascii="Arial" w:eastAsia="Times New Roman" w:hAnsi="Arial" w:cs="Arial"/>
      <w:b/>
      <w:bCs/>
      <w:sz w:val="16"/>
      <w:szCs w:val="16"/>
      <w:lang w:eastAsia="zh-CN" w:bidi="ar-SA"/>
    </w:rPr>
  </w:style>
  <w:style w:type="paragraph" w:customStyle="1" w:styleId="xl95">
    <w:name w:val="xl95"/>
    <w:basedOn w:val="Normal"/>
    <w:rsid w:val="001E2AE3"/>
    <w:pP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6">
    <w:name w:val="xl96"/>
    <w:basedOn w:val="Normal"/>
    <w:rsid w:val="001E2AE3"/>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7">
    <w:name w:val="xl97"/>
    <w:basedOn w:val="Normal"/>
    <w:rsid w:val="001E2AE3"/>
    <w:pPr>
      <w:pBdr>
        <w:top w:val="single" w:sz="4" w:space="0" w:color="C0C0C0"/>
        <w:bottom w:val="single" w:sz="8" w:space="0" w:color="000000"/>
      </w:pBdr>
      <w:spacing w:before="100" w:beforeAutospacing="1" w:after="100" w:afterAutospacing="1" w:line="240" w:lineRule="auto"/>
      <w:textAlignment w:val="center"/>
    </w:pPr>
    <w:rPr>
      <w:rFonts w:ascii="Arial Narrow" w:eastAsia="Times New Roman" w:hAnsi="Arial Narrow" w:cs="Times New Roman"/>
      <w:b/>
      <w:bCs/>
      <w:sz w:val="14"/>
      <w:szCs w:val="14"/>
      <w:lang w:eastAsia="zh-CN" w:bidi="ar-SA"/>
    </w:rPr>
  </w:style>
  <w:style w:type="paragraph" w:customStyle="1" w:styleId="xl98">
    <w:name w:val="xl98"/>
    <w:basedOn w:val="Normal"/>
    <w:rsid w:val="001E2AE3"/>
    <w:pPr>
      <w:pBdr>
        <w:top w:val="single" w:sz="4" w:space="0" w:color="C0C0C0"/>
        <w:bottom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99">
    <w:name w:val="xl99"/>
    <w:basedOn w:val="Normal"/>
    <w:rsid w:val="001E2AE3"/>
    <w:pPr>
      <w:pBdr>
        <w:top w:val="single" w:sz="4" w:space="0" w:color="C0C0C0"/>
        <w:bottom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100">
    <w:name w:val="xl100"/>
    <w:basedOn w:val="Normal"/>
    <w:rsid w:val="001E2AE3"/>
    <w:pPr>
      <w:pBdr>
        <w:top w:val="single" w:sz="4" w:space="0" w:color="C0C0C0"/>
        <w:bottom w:val="single" w:sz="8"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zh-CN" w:bidi="ar-SA"/>
    </w:rPr>
  </w:style>
  <w:style w:type="paragraph" w:customStyle="1" w:styleId="xl101">
    <w:name w:val="xl101"/>
    <w:basedOn w:val="Normal"/>
    <w:rsid w:val="001E2AE3"/>
    <w:pPr>
      <w:pBdr>
        <w:top w:val="single" w:sz="4" w:space="0" w:color="C0C0C0"/>
        <w:bottom w:val="single" w:sz="8" w:space="0" w:color="000000"/>
      </w:pBdr>
      <w:spacing w:before="100" w:beforeAutospacing="1" w:after="100" w:afterAutospacing="1" w:line="240" w:lineRule="auto"/>
      <w:textAlignment w:val="center"/>
    </w:pPr>
    <w:rPr>
      <w:rFonts w:ascii="Arial" w:eastAsia="Times New Roman" w:hAnsi="Arial" w:cs="Arial"/>
      <w:b/>
      <w:bCs/>
      <w:sz w:val="16"/>
      <w:szCs w:val="16"/>
      <w:lang w:eastAsia="zh-CN" w:bidi="ar-SA"/>
    </w:rPr>
  </w:style>
  <w:style w:type="paragraph" w:customStyle="1" w:styleId="xl102">
    <w:name w:val="xl102"/>
    <w:basedOn w:val="Normal"/>
    <w:rsid w:val="001E2AE3"/>
    <w:pPr>
      <w:pBdr>
        <w:top w:val="single" w:sz="4" w:space="0" w:color="C0C0C0"/>
        <w:bottom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zh-CN" w:bidi="ar-SA"/>
    </w:rPr>
  </w:style>
  <w:style w:type="paragraph" w:customStyle="1" w:styleId="xl103">
    <w:name w:val="xl103"/>
    <w:basedOn w:val="Normal"/>
    <w:rsid w:val="001E2AE3"/>
    <w:pPr>
      <w:spacing w:before="100" w:beforeAutospacing="1" w:after="100" w:afterAutospacing="1" w:line="240" w:lineRule="auto"/>
    </w:pPr>
    <w:rPr>
      <w:rFonts w:ascii="Arial" w:eastAsia="Times New Roman" w:hAnsi="Arial" w:cs="Arial"/>
      <w:sz w:val="14"/>
      <w:szCs w:val="14"/>
      <w:lang w:eastAsia="zh-CN" w:bidi="ar-SA"/>
    </w:rPr>
  </w:style>
  <w:style w:type="paragraph" w:customStyle="1" w:styleId="xl104">
    <w:name w:val="xl104"/>
    <w:basedOn w:val="Normal"/>
    <w:rsid w:val="001E2AE3"/>
    <w:pPr>
      <w:spacing w:before="100" w:beforeAutospacing="1" w:after="100" w:afterAutospacing="1" w:line="240" w:lineRule="auto"/>
    </w:pPr>
    <w:rPr>
      <w:rFonts w:ascii="Arial" w:eastAsia="Times New Roman" w:hAnsi="Arial" w:cs="Arial"/>
      <w:sz w:val="14"/>
      <w:szCs w:val="14"/>
      <w:lang w:eastAsia="zh-CN" w:bidi="ar-SA"/>
    </w:rPr>
  </w:style>
  <w:style w:type="paragraph" w:customStyle="1" w:styleId="xl105">
    <w:name w:val="xl105"/>
    <w:basedOn w:val="Normal"/>
    <w:rsid w:val="001E2AE3"/>
    <w:pPr>
      <w:pBdr>
        <w:top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06">
    <w:name w:val="xl106"/>
    <w:basedOn w:val="Normal"/>
    <w:rsid w:val="001E2AE3"/>
    <w:pPr>
      <w:pBdr>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07">
    <w:name w:val="xl107"/>
    <w:basedOn w:val="Normal"/>
    <w:rsid w:val="001E2AE3"/>
    <w:pPr>
      <w:pBdr>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zh-CN" w:bidi="ar-SA"/>
    </w:rPr>
  </w:style>
  <w:style w:type="paragraph" w:customStyle="1" w:styleId="xl108">
    <w:name w:val="xl108"/>
    <w:basedOn w:val="Normal"/>
    <w:rsid w:val="001E2AE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109">
    <w:name w:val="xl109"/>
    <w:basedOn w:val="Normal"/>
    <w:rsid w:val="001E2AE3"/>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10">
    <w:name w:val="xl110"/>
    <w:basedOn w:val="Normal"/>
    <w:rsid w:val="001E2AE3"/>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11">
    <w:name w:val="xl111"/>
    <w:basedOn w:val="Normal"/>
    <w:rsid w:val="001E2AE3"/>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12">
    <w:name w:val="xl112"/>
    <w:basedOn w:val="Normal"/>
    <w:rsid w:val="001E2AE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13">
    <w:name w:val="xl113"/>
    <w:basedOn w:val="Normal"/>
    <w:rsid w:val="001E2AE3"/>
    <w:pPr>
      <w:pBdr>
        <w:top w:val="single" w:sz="8" w:space="0" w:color="auto"/>
      </w:pBdr>
      <w:shd w:val="clear" w:color="000000" w:fill="CCFFCC"/>
      <w:spacing w:before="100" w:beforeAutospacing="1" w:after="100" w:afterAutospacing="1" w:line="240" w:lineRule="auto"/>
      <w:textAlignment w:val="center"/>
    </w:pPr>
    <w:rPr>
      <w:rFonts w:ascii="Arial Narrow" w:eastAsia="Times New Roman" w:hAnsi="Arial Narrow" w:cs="Times New Roman"/>
      <w:sz w:val="14"/>
      <w:szCs w:val="14"/>
      <w:lang w:eastAsia="zh-CN" w:bidi="ar-SA"/>
    </w:rPr>
  </w:style>
  <w:style w:type="paragraph" w:customStyle="1" w:styleId="xl114">
    <w:name w:val="xl114"/>
    <w:basedOn w:val="Normal"/>
    <w:rsid w:val="001E2AE3"/>
    <w:pPr>
      <w:pBdr>
        <w:bottom w:val="single" w:sz="4" w:space="0" w:color="auto"/>
      </w:pBdr>
      <w:spacing w:before="100" w:beforeAutospacing="1" w:after="100" w:afterAutospacing="1" w:line="240" w:lineRule="auto"/>
      <w:textAlignment w:val="center"/>
    </w:pPr>
    <w:rPr>
      <w:rFonts w:ascii="Arial Narrow" w:eastAsia="Times New Roman" w:hAnsi="Arial Narrow" w:cs="Times New Roman"/>
      <w:sz w:val="14"/>
      <w:szCs w:val="14"/>
      <w:lang w:eastAsia="zh-CN" w:bidi="ar-SA"/>
    </w:rPr>
  </w:style>
  <w:style w:type="paragraph" w:customStyle="1" w:styleId="xl115">
    <w:name w:val="xl115"/>
    <w:basedOn w:val="Normal"/>
    <w:rsid w:val="001E2AE3"/>
    <w:pPr>
      <w:pBdr>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zh-CN" w:bidi="ar-SA"/>
    </w:rPr>
  </w:style>
  <w:style w:type="paragraph" w:customStyle="1" w:styleId="xl116">
    <w:name w:val="xl116"/>
    <w:basedOn w:val="Normal"/>
    <w:rsid w:val="001E2AE3"/>
    <w:pPr>
      <w:pBdr>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zh-CN" w:bidi="ar-SA"/>
    </w:rPr>
  </w:style>
  <w:style w:type="paragraph" w:styleId="FootnoteText">
    <w:name w:val="footnote text"/>
    <w:basedOn w:val="Normal"/>
    <w:link w:val="FootnoteTextChar"/>
    <w:uiPriority w:val="99"/>
    <w:unhideWhenUsed/>
    <w:rsid w:val="00645E55"/>
    <w:pPr>
      <w:spacing w:before="0" w:after="0" w:line="240" w:lineRule="auto"/>
    </w:pPr>
  </w:style>
  <w:style w:type="character" w:customStyle="1" w:styleId="FootnoteTextChar">
    <w:name w:val="Footnote Text Char"/>
    <w:basedOn w:val="DefaultParagraphFont"/>
    <w:link w:val="FootnoteText"/>
    <w:uiPriority w:val="99"/>
    <w:rsid w:val="00645E55"/>
    <w:rPr>
      <w:sz w:val="20"/>
      <w:szCs w:val="20"/>
    </w:rPr>
  </w:style>
  <w:style w:type="character" w:styleId="FootnoteReference">
    <w:name w:val="footnote reference"/>
    <w:basedOn w:val="DefaultParagraphFont"/>
    <w:uiPriority w:val="99"/>
    <w:semiHidden/>
    <w:unhideWhenUsed/>
    <w:rsid w:val="00645E55"/>
    <w:rPr>
      <w:vertAlign w:val="superscript"/>
    </w:rPr>
  </w:style>
  <w:style w:type="paragraph" w:styleId="TOC1">
    <w:name w:val="toc 1"/>
    <w:basedOn w:val="Normal"/>
    <w:next w:val="Normal"/>
    <w:autoRedefine/>
    <w:uiPriority w:val="39"/>
    <w:unhideWhenUsed/>
    <w:qFormat/>
    <w:rsid w:val="00653E42"/>
    <w:pPr>
      <w:spacing w:before="120" w:after="120"/>
    </w:pPr>
    <w:rPr>
      <w:rFonts w:cstheme="minorHAnsi"/>
      <w:b/>
      <w:bCs/>
      <w:caps/>
    </w:rPr>
  </w:style>
  <w:style w:type="paragraph" w:styleId="TOC2">
    <w:name w:val="toc 2"/>
    <w:basedOn w:val="Normal"/>
    <w:next w:val="Normal"/>
    <w:autoRedefine/>
    <w:uiPriority w:val="39"/>
    <w:unhideWhenUsed/>
    <w:qFormat/>
    <w:rsid w:val="0019514F"/>
    <w:pPr>
      <w:spacing w:before="0" w:after="0"/>
      <w:ind w:left="200"/>
    </w:pPr>
    <w:rPr>
      <w:rFonts w:cstheme="minorHAnsi"/>
      <w:smallCaps/>
    </w:rPr>
  </w:style>
  <w:style w:type="paragraph" w:styleId="Header">
    <w:name w:val="header"/>
    <w:basedOn w:val="Normal"/>
    <w:link w:val="HeaderChar"/>
    <w:uiPriority w:val="99"/>
    <w:unhideWhenUsed/>
    <w:rsid w:val="00E2300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2300F"/>
    <w:rPr>
      <w:sz w:val="20"/>
      <w:szCs w:val="20"/>
    </w:rPr>
  </w:style>
  <w:style w:type="paragraph" w:styleId="Footer">
    <w:name w:val="footer"/>
    <w:basedOn w:val="Normal"/>
    <w:link w:val="FooterChar"/>
    <w:uiPriority w:val="99"/>
    <w:unhideWhenUsed/>
    <w:rsid w:val="00E2300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2300F"/>
    <w:rPr>
      <w:sz w:val="20"/>
      <w:szCs w:val="20"/>
    </w:rPr>
  </w:style>
  <w:style w:type="paragraph" w:styleId="TOC3">
    <w:name w:val="toc 3"/>
    <w:basedOn w:val="Normal"/>
    <w:next w:val="Normal"/>
    <w:autoRedefine/>
    <w:uiPriority w:val="39"/>
    <w:unhideWhenUsed/>
    <w:qFormat/>
    <w:rsid w:val="00674C36"/>
    <w:pPr>
      <w:spacing w:before="0" w:after="0"/>
      <w:ind w:left="400"/>
    </w:pPr>
    <w:rPr>
      <w:rFonts w:cstheme="minorHAnsi"/>
      <w:i/>
      <w:iCs/>
    </w:rPr>
  </w:style>
  <w:style w:type="paragraph" w:customStyle="1" w:styleId="xl117">
    <w:name w:val="xl117"/>
    <w:basedOn w:val="Normal"/>
    <w:rsid w:val="005C0ADF"/>
    <w:pPr>
      <w:pBdr>
        <w:top w:val="single" w:sz="4" w:space="0" w:color="C0C0C0"/>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18">
    <w:name w:val="xl118"/>
    <w:basedOn w:val="Normal"/>
    <w:rsid w:val="005C0ADF"/>
    <w:pPr>
      <w:pBdr>
        <w:top w:val="single" w:sz="4" w:space="0" w:color="C0C0C0"/>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19">
    <w:name w:val="xl119"/>
    <w:basedOn w:val="Normal"/>
    <w:rsid w:val="005C0AD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120">
    <w:name w:val="xl120"/>
    <w:basedOn w:val="Normal"/>
    <w:rsid w:val="005C0A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21">
    <w:name w:val="xl121"/>
    <w:basedOn w:val="Normal"/>
    <w:rsid w:val="005C0A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22">
    <w:name w:val="xl122"/>
    <w:basedOn w:val="Normal"/>
    <w:rsid w:val="005C0A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23">
    <w:name w:val="xl123"/>
    <w:basedOn w:val="Normal"/>
    <w:rsid w:val="005C0ADF"/>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24">
    <w:name w:val="xl124"/>
    <w:basedOn w:val="Normal"/>
    <w:rsid w:val="005C0ADF"/>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16"/>
      <w:szCs w:val="16"/>
      <w:lang w:eastAsia="zh-CN" w:bidi="ar-SA"/>
    </w:rPr>
  </w:style>
  <w:style w:type="paragraph" w:customStyle="1" w:styleId="xl125">
    <w:name w:val="xl125"/>
    <w:basedOn w:val="Normal"/>
    <w:rsid w:val="005C0ADF"/>
    <w:pPr>
      <w:pBdr>
        <w:top w:val="single" w:sz="4" w:space="0" w:color="auto"/>
        <w:bottom w:val="single" w:sz="4" w:space="0" w:color="auto"/>
      </w:pBdr>
      <w:shd w:val="clear" w:color="000000" w:fill="CCFFCC"/>
      <w:spacing w:before="100" w:beforeAutospacing="1" w:after="100" w:afterAutospacing="1" w:line="240" w:lineRule="auto"/>
      <w:jc w:val="right"/>
      <w:textAlignment w:val="center"/>
    </w:pPr>
    <w:rPr>
      <w:rFonts w:ascii="Arial" w:eastAsia="Times New Roman" w:hAnsi="Arial" w:cs="Arial"/>
      <w:sz w:val="16"/>
      <w:szCs w:val="16"/>
      <w:lang w:eastAsia="zh-CN" w:bidi="ar-SA"/>
    </w:rPr>
  </w:style>
  <w:style w:type="paragraph" w:customStyle="1" w:styleId="xl126">
    <w:name w:val="xl126"/>
    <w:basedOn w:val="Normal"/>
    <w:rsid w:val="005C0ADF"/>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27">
    <w:name w:val="xl127"/>
    <w:basedOn w:val="Normal"/>
    <w:rsid w:val="005C0ADF"/>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bidi="ar-SA"/>
    </w:rPr>
  </w:style>
  <w:style w:type="paragraph" w:customStyle="1" w:styleId="xl128">
    <w:name w:val="xl128"/>
    <w:basedOn w:val="Normal"/>
    <w:rsid w:val="005C0ADF"/>
    <w:pPr>
      <w:spacing w:before="100" w:beforeAutospacing="1" w:after="100" w:afterAutospacing="1" w:line="240" w:lineRule="auto"/>
      <w:textAlignment w:val="center"/>
    </w:pPr>
    <w:rPr>
      <w:rFonts w:ascii="Arial" w:eastAsia="Times New Roman" w:hAnsi="Arial" w:cs="Arial"/>
      <w:sz w:val="16"/>
      <w:szCs w:val="16"/>
      <w:lang w:eastAsia="zh-CN" w:bidi="ar-SA"/>
    </w:rPr>
  </w:style>
  <w:style w:type="paragraph" w:customStyle="1" w:styleId="xl129">
    <w:name w:val="xl129"/>
    <w:basedOn w:val="Normal"/>
    <w:rsid w:val="005C0ADF"/>
    <w:pPr>
      <w:pBdr>
        <w:top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30">
    <w:name w:val="xl130"/>
    <w:basedOn w:val="Normal"/>
    <w:rsid w:val="005C0ADF"/>
    <w:pPr>
      <w:pBdr>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31">
    <w:name w:val="xl131"/>
    <w:basedOn w:val="Normal"/>
    <w:rsid w:val="005C0ADF"/>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32">
    <w:name w:val="xl132"/>
    <w:basedOn w:val="Normal"/>
    <w:rsid w:val="005C0ADF"/>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paragraph" w:customStyle="1" w:styleId="xl133">
    <w:name w:val="xl133"/>
    <w:basedOn w:val="Normal"/>
    <w:rsid w:val="005C0ADF"/>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bidi="ar-SA"/>
    </w:rPr>
  </w:style>
  <w:style w:type="character" w:styleId="CommentReference">
    <w:name w:val="annotation reference"/>
    <w:basedOn w:val="DefaultParagraphFont"/>
    <w:uiPriority w:val="99"/>
    <w:semiHidden/>
    <w:unhideWhenUsed/>
    <w:rsid w:val="00693A21"/>
    <w:rPr>
      <w:sz w:val="16"/>
      <w:szCs w:val="16"/>
    </w:rPr>
  </w:style>
  <w:style w:type="paragraph" w:styleId="CommentText">
    <w:name w:val="annotation text"/>
    <w:basedOn w:val="Normal"/>
    <w:link w:val="CommentTextChar"/>
    <w:uiPriority w:val="99"/>
    <w:semiHidden/>
    <w:unhideWhenUsed/>
    <w:rsid w:val="00693A21"/>
    <w:pPr>
      <w:spacing w:line="240" w:lineRule="auto"/>
    </w:pPr>
  </w:style>
  <w:style w:type="character" w:customStyle="1" w:styleId="CommentTextChar">
    <w:name w:val="Comment Text Char"/>
    <w:basedOn w:val="DefaultParagraphFont"/>
    <w:link w:val="CommentText"/>
    <w:uiPriority w:val="99"/>
    <w:semiHidden/>
    <w:rsid w:val="00693A21"/>
    <w:rPr>
      <w:sz w:val="20"/>
      <w:szCs w:val="20"/>
    </w:rPr>
  </w:style>
  <w:style w:type="paragraph" w:styleId="CommentSubject">
    <w:name w:val="annotation subject"/>
    <w:basedOn w:val="CommentText"/>
    <w:next w:val="CommentText"/>
    <w:link w:val="CommentSubjectChar"/>
    <w:uiPriority w:val="99"/>
    <w:semiHidden/>
    <w:unhideWhenUsed/>
    <w:rsid w:val="00C8248B"/>
    <w:rPr>
      <w:b/>
      <w:bCs/>
    </w:rPr>
  </w:style>
  <w:style w:type="character" w:customStyle="1" w:styleId="CommentSubjectChar">
    <w:name w:val="Comment Subject Char"/>
    <w:basedOn w:val="CommentTextChar"/>
    <w:link w:val="CommentSubject"/>
    <w:uiPriority w:val="99"/>
    <w:semiHidden/>
    <w:rsid w:val="00C8248B"/>
    <w:rPr>
      <w:b/>
      <w:bCs/>
      <w:sz w:val="20"/>
      <w:szCs w:val="20"/>
    </w:rPr>
  </w:style>
  <w:style w:type="paragraph" w:styleId="Bibliography">
    <w:name w:val="Bibliography"/>
    <w:basedOn w:val="Normal"/>
    <w:next w:val="Normal"/>
    <w:uiPriority w:val="37"/>
    <w:unhideWhenUsed/>
    <w:rsid w:val="009223B2"/>
  </w:style>
  <w:style w:type="paragraph" w:styleId="BlockText">
    <w:name w:val="Block Text"/>
    <w:basedOn w:val="Normal"/>
    <w:uiPriority w:val="99"/>
    <w:semiHidden/>
    <w:unhideWhenUsed/>
    <w:rsid w:val="009223B2"/>
    <w:pPr>
      <w:pBdr>
        <w:top w:val="single" w:sz="2" w:space="10" w:color="F07F09" w:themeColor="accent1" w:shadow="1"/>
        <w:left w:val="single" w:sz="2" w:space="10" w:color="F07F09" w:themeColor="accent1" w:shadow="1"/>
        <w:bottom w:val="single" w:sz="2" w:space="10" w:color="F07F09" w:themeColor="accent1" w:shadow="1"/>
        <w:right w:val="single" w:sz="2" w:space="10" w:color="F07F09" w:themeColor="accent1" w:shadow="1"/>
      </w:pBdr>
      <w:ind w:left="1152" w:right="1152"/>
    </w:pPr>
    <w:rPr>
      <w:i/>
      <w:iCs/>
      <w:color w:val="F07F09" w:themeColor="accent1"/>
    </w:rPr>
  </w:style>
  <w:style w:type="paragraph" w:styleId="BodyText">
    <w:name w:val="Body Text"/>
    <w:basedOn w:val="Normal"/>
    <w:link w:val="BodyTextChar"/>
    <w:uiPriority w:val="99"/>
    <w:semiHidden/>
    <w:unhideWhenUsed/>
    <w:rsid w:val="009223B2"/>
    <w:pPr>
      <w:spacing w:after="120"/>
    </w:pPr>
  </w:style>
  <w:style w:type="character" w:customStyle="1" w:styleId="BodyTextChar">
    <w:name w:val="Body Text Char"/>
    <w:basedOn w:val="DefaultParagraphFont"/>
    <w:link w:val="BodyText"/>
    <w:uiPriority w:val="99"/>
    <w:semiHidden/>
    <w:rsid w:val="009223B2"/>
    <w:rPr>
      <w:sz w:val="20"/>
      <w:szCs w:val="20"/>
    </w:rPr>
  </w:style>
  <w:style w:type="paragraph" w:styleId="BodyText2">
    <w:name w:val="Body Text 2"/>
    <w:basedOn w:val="Normal"/>
    <w:link w:val="BodyText2Char"/>
    <w:uiPriority w:val="99"/>
    <w:semiHidden/>
    <w:unhideWhenUsed/>
    <w:rsid w:val="009223B2"/>
    <w:pPr>
      <w:spacing w:after="120" w:line="480" w:lineRule="auto"/>
    </w:pPr>
  </w:style>
  <w:style w:type="character" w:customStyle="1" w:styleId="BodyText2Char">
    <w:name w:val="Body Text 2 Char"/>
    <w:basedOn w:val="DefaultParagraphFont"/>
    <w:link w:val="BodyText2"/>
    <w:uiPriority w:val="99"/>
    <w:semiHidden/>
    <w:rsid w:val="009223B2"/>
    <w:rPr>
      <w:sz w:val="20"/>
      <w:szCs w:val="20"/>
    </w:rPr>
  </w:style>
  <w:style w:type="paragraph" w:styleId="BodyText3">
    <w:name w:val="Body Text 3"/>
    <w:basedOn w:val="Normal"/>
    <w:link w:val="BodyText3Char"/>
    <w:uiPriority w:val="99"/>
    <w:semiHidden/>
    <w:unhideWhenUsed/>
    <w:rsid w:val="009223B2"/>
    <w:pPr>
      <w:spacing w:after="120"/>
    </w:pPr>
    <w:rPr>
      <w:sz w:val="16"/>
      <w:szCs w:val="16"/>
    </w:rPr>
  </w:style>
  <w:style w:type="character" w:customStyle="1" w:styleId="BodyText3Char">
    <w:name w:val="Body Text 3 Char"/>
    <w:basedOn w:val="DefaultParagraphFont"/>
    <w:link w:val="BodyText3"/>
    <w:uiPriority w:val="99"/>
    <w:semiHidden/>
    <w:rsid w:val="009223B2"/>
    <w:rPr>
      <w:sz w:val="16"/>
      <w:szCs w:val="16"/>
    </w:rPr>
  </w:style>
  <w:style w:type="paragraph" w:styleId="BodyTextFirstIndent">
    <w:name w:val="Body Text First Indent"/>
    <w:basedOn w:val="BodyText"/>
    <w:link w:val="BodyTextFirstIndentChar"/>
    <w:uiPriority w:val="99"/>
    <w:semiHidden/>
    <w:unhideWhenUsed/>
    <w:rsid w:val="009223B2"/>
    <w:pPr>
      <w:spacing w:after="200"/>
      <w:ind w:firstLine="360"/>
    </w:pPr>
  </w:style>
  <w:style w:type="character" w:customStyle="1" w:styleId="BodyTextFirstIndentChar">
    <w:name w:val="Body Text First Indent Char"/>
    <w:basedOn w:val="BodyTextChar"/>
    <w:link w:val="BodyTextFirstIndent"/>
    <w:uiPriority w:val="99"/>
    <w:semiHidden/>
    <w:rsid w:val="009223B2"/>
    <w:rPr>
      <w:sz w:val="20"/>
      <w:szCs w:val="20"/>
    </w:rPr>
  </w:style>
  <w:style w:type="paragraph" w:styleId="BodyTextIndent">
    <w:name w:val="Body Text Indent"/>
    <w:basedOn w:val="Normal"/>
    <w:link w:val="BodyTextIndentChar"/>
    <w:uiPriority w:val="99"/>
    <w:semiHidden/>
    <w:unhideWhenUsed/>
    <w:rsid w:val="009223B2"/>
    <w:pPr>
      <w:spacing w:after="120"/>
      <w:ind w:left="360"/>
    </w:pPr>
  </w:style>
  <w:style w:type="character" w:customStyle="1" w:styleId="BodyTextIndentChar">
    <w:name w:val="Body Text Indent Char"/>
    <w:basedOn w:val="DefaultParagraphFont"/>
    <w:link w:val="BodyTextIndent"/>
    <w:uiPriority w:val="99"/>
    <w:semiHidden/>
    <w:rsid w:val="009223B2"/>
    <w:rPr>
      <w:sz w:val="20"/>
      <w:szCs w:val="20"/>
    </w:rPr>
  </w:style>
  <w:style w:type="paragraph" w:styleId="BodyTextFirstIndent2">
    <w:name w:val="Body Text First Indent 2"/>
    <w:basedOn w:val="BodyTextIndent"/>
    <w:link w:val="BodyTextFirstIndent2Char"/>
    <w:uiPriority w:val="99"/>
    <w:semiHidden/>
    <w:unhideWhenUsed/>
    <w:rsid w:val="009223B2"/>
    <w:pPr>
      <w:spacing w:after="200"/>
      <w:ind w:firstLine="360"/>
    </w:pPr>
  </w:style>
  <w:style w:type="character" w:customStyle="1" w:styleId="BodyTextFirstIndent2Char">
    <w:name w:val="Body Text First Indent 2 Char"/>
    <w:basedOn w:val="BodyTextIndentChar"/>
    <w:link w:val="BodyTextFirstIndent2"/>
    <w:uiPriority w:val="99"/>
    <w:semiHidden/>
    <w:rsid w:val="009223B2"/>
    <w:rPr>
      <w:sz w:val="20"/>
      <w:szCs w:val="20"/>
    </w:rPr>
  </w:style>
  <w:style w:type="paragraph" w:styleId="BodyTextIndent2">
    <w:name w:val="Body Text Indent 2"/>
    <w:basedOn w:val="Normal"/>
    <w:link w:val="BodyTextIndent2Char"/>
    <w:uiPriority w:val="99"/>
    <w:semiHidden/>
    <w:unhideWhenUsed/>
    <w:rsid w:val="009223B2"/>
    <w:pPr>
      <w:spacing w:after="120" w:line="480" w:lineRule="auto"/>
      <w:ind w:left="360"/>
    </w:pPr>
  </w:style>
  <w:style w:type="character" w:customStyle="1" w:styleId="BodyTextIndent2Char">
    <w:name w:val="Body Text Indent 2 Char"/>
    <w:basedOn w:val="DefaultParagraphFont"/>
    <w:link w:val="BodyTextIndent2"/>
    <w:uiPriority w:val="99"/>
    <w:semiHidden/>
    <w:rsid w:val="009223B2"/>
    <w:rPr>
      <w:sz w:val="20"/>
      <w:szCs w:val="20"/>
    </w:rPr>
  </w:style>
  <w:style w:type="paragraph" w:styleId="BodyTextIndent3">
    <w:name w:val="Body Text Indent 3"/>
    <w:basedOn w:val="Normal"/>
    <w:link w:val="BodyTextIndent3Char"/>
    <w:uiPriority w:val="99"/>
    <w:semiHidden/>
    <w:unhideWhenUsed/>
    <w:rsid w:val="009223B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223B2"/>
    <w:rPr>
      <w:sz w:val="16"/>
      <w:szCs w:val="16"/>
    </w:rPr>
  </w:style>
  <w:style w:type="paragraph" w:styleId="Closing">
    <w:name w:val="Closing"/>
    <w:basedOn w:val="Normal"/>
    <w:link w:val="ClosingChar"/>
    <w:uiPriority w:val="99"/>
    <w:semiHidden/>
    <w:unhideWhenUsed/>
    <w:rsid w:val="009223B2"/>
    <w:pPr>
      <w:spacing w:before="0" w:after="0" w:line="240" w:lineRule="auto"/>
      <w:ind w:left="4320"/>
    </w:pPr>
  </w:style>
  <w:style w:type="character" w:customStyle="1" w:styleId="ClosingChar">
    <w:name w:val="Closing Char"/>
    <w:basedOn w:val="DefaultParagraphFont"/>
    <w:link w:val="Closing"/>
    <w:uiPriority w:val="99"/>
    <w:semiHidden/>
    <w:rsid w:val="009223B2"/>
    <w:rPr>
      <w:sz w:val="20"/>
      <w:szCs w:val="20"/>
    </w:rPr>
  </w:style>
  <w:style w:type="paragraph" w:styleId="Date">
    <w:name w:val="Date"/>
    <w:basedOn w:val="Normal"/>
    <w:next w:val="Normal"/>
    <w:link w:val="DateChar"/>
    <w:uiPriority w:val="99"/>
    <w:semiHidden/>
    <w:unhideWhenUsed/>
    <w:rsid w:val="009223B2"/>
  </w:style>
  <w:style w:type="character" w:customStyle="1" w:styleId="DateChar">
    <w:name w:val="Date Char"/>
    <w:basedOn w:val="DefaultParagraphFont"/>
    <w:link w:val="Date"/>
    <w:uiPriority w:val="99"/>
    <w:semiHidden/>
    <w:rsid w:val="009223B2"/>
    <w:rPr>
      <w:sz w:val="20"/>
      <w:szCs w:val="20"/>
    </w:rPr>
  </w:style>
  <w:style w:type="paragraph" w:styleId="DocumentMap">
    <w:name w:val="Document Map"/>
    <w:basedOn w:val="Normal"/>
    <w:link w:val="DocumentMapChar"/>
    <w:uiPriority w:val="99"/>
    <w:semiHidden/>
    <w:unhideWhenUsed/>
    <w:rsid w:val="009223B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23B2"/>
    <w:rPr>
      <w:rFonts w:ascii="Tahoma" w:hAnsi="Tahoma" w:cs="Tahoma"/>
      <w:sz w:val="16"/>
      <w:szCs w:val="16"/>
    </w:rPr>
  </w:style>
  <w:style w:type="paragraph" w:styleId="E-mailSignature">
    <w:name w:val="E-mail Signature"/>
    <w:basedOn w:val="Normal"/>
    <w:link w:val="E-mailSignatureChar"/>
    <w:uiPriority w:val="99"/>
    <w:semiHidden/>
    <w:unhideWhenUsed/>
    <w:rsid w:val="009223B2"/>
    <w:pPr>
      <w:spacing w:before="0" w:after="0" w:line="240" w:lineRule="auto"/>
    </w:pPr>
  </w:style>
  <w:style w:type="character" w:customStyle="1" w:styleId="E-mailSignatureChar">
    <w:name w:val="E-mail Signature Char"/>
    <w:basedOn w:val="DefaultParagraphFont"/>
    <w:link w:val="E-mailSignature"/>
    <w:uiPriority w:val="99"/>
    <w:semiHidden/>
    <w:rsid w:val="009223B2"/>
    <w:rPr>
      <w:sz w:val="20"/>
      <w:szCs w:val="20"/>
    </w:rPr>
  </w:style>
  <w:style w:type="paragraph" w:styleId="EndnoteText">
    <w:name w:val="endnote text"/>
    <w:basedOn w:val="Normal"/>
    <w:link w:val="EndnoteTextChar"/>
    <w:uiPriority w:val="99"/>
    <w:semiHidden/>
    <w:unhideWhenUsed/>
    <w:rsid w:val="009223B2"/>
    <w:pPr>
      <w:spacing w:before="0" w:after="0" w:line="240" w:lineRule="auto"/>
    </w:pPr>
  </w:style>
  <w:style w:type="character" w:customStyle="1" w:styleId="EndnoteTextChar">
    <w:name w:val="Endnote Text Char"/>
    <w:basedOn w:val="DefaultParagraphFont"/>
    <w:link w:val="EndnoteText"/>
    <w:uiPriority w:val="99"/>
    <w:semiHidden/>
    <w:rsid w:val="009223B2"/>
    <w:rPr>
      <w:sz w:val="20"/>
      <w:szCs w:val="20"/>
    </w:rPr>
  </w:style>
  <w:style w:type="paragraph" w:styleId="EnvelopeAddress">
    <w:name w:val="envelope address"/>
    <w:basedOn w:val="Normal"/>
    <w:uiPriority w:val="99"/>
    <w:semiHidden/>
    <w:unhideWhenUsed/>
    <w:rsid w:val="009223B2"/>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223B2"/>
    <w:pPr>
      <w:spacing w:before="0" w:after="0" w:line="240" w:lineRule="auto"/>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9223B2"/>
    <w:pPr>
      <w:spacing w:before="0" w:after="0" w:line="240" w:lineRule="auto"/>
    </w:pPr>
    <w:rPr>
      <w:i/>
      <w:iCs/>
    </w:rPr>
  </w:style>
  <w:style w:type="character" w:customStyle="1" w:styleId="HTMLAddressChar">
    <w:name w:val="HTML Address Char"/>
    <w:basedOn w:val="DefaultParagraphFont"/>
    <w:link w:val="HTMLAddress"/>
    <w:uiPriority w:val="99"/>
    <w:semiHidden/>
    <w:rsid w:val="009223B2"/>
    <w:rPr>
      <w:i/>
      <w:iCs/>
      <w:sz w:val="20"/>
      <w:szCs w:val="20"/>
    </w:rPr>
  </w:style>
  <w:style w:type="paragraph" w:styleId="HTMLPreformatted">
    <w:name w:val="HTML Preformatted"/>
    <w:basedOn w:val="Normal"/>
    <w:link w:val="HTMLPreformattedChar"/>
    <w:uiPriority w:val="99"/>
    <w:semiHidden/>
    <w:unhideWhenUsed/>
    <w:rsid w:val="009223B2"/>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9223B2"/>
    <w:rPr>
      <w:rFonts w:ascii="Consolas" w:hAnsi="Consolas"/>
      <w:sz w:val="20"/>
      <w:szCs w:val="20"/>
    </w:rPr>
  </w:style>
  <w:style w:type="paragraph" w:styleId="Index1">
    <w:name w:val="index 1"/>
    <w:basedOn w:val="Normal"/>
    <w:next w:val="Normal"/>
    <w:autoRedefine/>
    <w:uiPriority w:val="99"/>
    <w:semiHidden/>
    <w:unhideWhenUsed/>
    <w:rsid w:val="009223B2"/>
    <w:pPr>
      <w:spacing w:before="0" w:after="0" w:line="240" w:lineRule="auto"/>
      <w:ind w:left="200" w:hanging="200"/>
    </w:pPr>
  </w:style>
  <w:style w:type="paragraph" w:styleId="Index2">
    <w:name w:val="index 2"/>
    <w:basedOn w:val="Normal"/>
    <w:next w:val="Normal"/>
    <w:autoRedefine/>
    <w:uiPriority w:val="99"/>
    <w:semiHidden/>
    <w:unhideWhenUsed/>
    <w:rsid w:val="009223B2"/>
    <w:pPr>
      <w:spacing w:before="0" w:after="0" w:line="240" w:lineRule="auto"/>
      <w:ind w:left="400" w:hanging="200"/>
    </w:pPr>
  </w:style>
  <w:style w:type="paragraph" w:styleId="Index3">
    <w:name w:val="index 3"/>
    <w:basedOn w:val="Normal"/>
    <w:next w:val="Normal"/>
    <w:autoRedefine/>
    <w:uiPriority w:val="99"/>
    <w:semiHidden/>
    <w:unhideWhenUsed/>
    <w:rsid w:val="009223B2"/>
    <w:pPr>
      <w:spacing w:before="0" w:after="0" w:line="240" w:lineRule="auto"/>
      <w:ind w:left="600" w:hanging="200"/>
    </w:pPr>
  </w:style>
  <w:style w:type="paragraph" w:styleId="Index4">
    <w:name w:val="index 4"/>
    <w:basedOn w:val="Normal"/>
    <w:next w:val="Normal"/>
    <w:autoRedefine/>
    <w:uiPriority w:val="99"/>
    <w:semiHidden/>
    <w:unhideWhenUsed/>
    <w:rsid w:val="009223B2"/>
    <w:pPr>
      <w:spacing w:before="0" w:after="0" w:line="240" w:lineRule="auto"/>
      <w:ind w:left="800" w:hanging="200"/>
    </w:pPr>
  </w:style>
  <w:style w:type="paragraph" w:styleId="Index5">
    <w:name w:val="index 5"/>
    <w:basedOn w:val="Normal"/>
    <w:next w:val="Normal"/>
    <w:autoRedefine/>
    <w:uiPriority w:val="99"/>
    <w:semiHidden/>
    <w:unhideWhenUsed/>
    <w:rsid w:val="009223B2"/>
    <w:pPr>
      <w:spacing w:before="0" w:after="0" w:line="240" w:lineRule="auto"/>
      <w:ind w:left="1000" w:hanging="200"/>
    </w:pPr>
  </w:style>
  <w:style w:type="paragraph" w:styleId="Index6">
    <w:name w:val="index 6"/>
    <w:basedOn w:val="Normal"/>
    <w:next w:val="Normal"/>
    <w:autoRedefine/>
    <w:uiPriority w:val="99"/>
    <w:semiHidden/>
    <w:unhideWhenUsed/>
    <w:rsid w:val="009223B2"/>
    <w:pPr>
      <w:spacing w:before="0" w:after="0" w:line="240" w:lineRule="auto"/>
      <w:ind w:left="1200" w:hanging="200"/>
    </w:pPr>
  </w:style>
  <w:style w:type="paragraph" w:styleId="Index7">
    <w:name w:val="index 7"/>
    <w:basedOn w:val="Normal"/>
    <w:next w:val="Normal"/>
    <w:autoRedefine/>
    <w:uiPriority w:val="99"/>
    <w:semiHidden/>
    <w:unhideWhenUsed/>
    <w:rsid w:val="009223B2"/>
    <w:pPr>
      <w:spacing w:before="0" w:after="0" w:line="240" w:lineRule="auto"/>
      <w:ind w:left="1400" w:hanging="200"/>
    </w:pPr>
  </w:style>
  <w:style w:type="paragraph" w:styleId="Index8">
    <w:name w:val="index 8"/>
    <w:basedOn w:val="Normal"/>
    <w:next w:val="Normal"/>
    <w:autoRedefine/>
    <w:uiPriority w:val="99"/>
    <w:semiHidden/>
    <w:unhideWhenUsed/>
    <w:rsid w:val="009223B2"/>
    <w:pPr>
      <w:spacing w:before="0" w:after="0" w:line="240" w:lineRule="auto"/>
      <w:ind w:left="1600" w:hanging="200"/>
    </w:pPr>
  </w:style>
  <w:style w:type="paragraph" w:styleId="Index9">
    <w:name w:val="index 9"/>
    <w:basedOn w:val="Normal"/>
    <w:next w:val="Normal"/>
    <w:autoRedefine/>
    <w:uiPriority w:val="99"/>
    <w:semiHidden/>
    <w:unhideWhenUsed/>
    <w:rsid w:val="009223B2"/>
    <w:pPr>
      <w:spacing w:before="0" w:after="0" w:line="240" w:lineRule="auto"/>
      <w:ind w:left="1800" w:hanging="200"/>
    </w:pPr>
  </w:style>
  <w:style w:type="paragraph" w:styleId="IndexHeading">
    <w:name w:val="index heading"/>
    <w:basedOn w:val="Normal"/>
    <w:next w:val="Index1"/>
    <w:uiPriority w:val="99"/>
    <w:semiHidden/>
    <w:unhideWhenUsed/>
    <w:rsid w:val="009223B2"/>
    <w:rPr>
      <w:rFonts w:asciiTheme="majorHAnsi" w:eastAsiaTheme="majorEastAsia" w:hAnsiTheme="majorHAnsi" w:cstheme="majorBidi"/>
      <w:b/>
      <w:bCs/>
    </w:rPr>
  </w:style>
  <w:style w:type="paragraph" w:styleId="List">
    <w:name w:val="List"/>
    <w:basedOn w:val="Normal"/>
    <w:uiPriority w:val="99"/>
    <w:semiHidden/>
    <w:unhideWhenUsed/>
    <w:rsid w:val="009223B2"/>
    <w:pPr>
      <w:ind w:left="360" w:hanging="360"/>
      <w:contextualSpacing/>
    </w:pPr>
  </w:style>
  <w:style w:type="paragraph" w:styleId="List2">
    <w:name w:val="List 2"/>
    <w:basedOn w:val="Normal"/>
    <w:uiPriority w:val="99"/>
    <w:semiHidden/>
    <w:unhideWhenUsed/>
    <w:rsid w:val="009223B2"/>
    <w:pPr>
      <w:ind w:left="720" w:hanging="360"/>
      <w:contextualSpacing/>
    </w:pPr>
  </w:style>
  <w:style w:type="paragraph" w:styleId="List3">
    <w:name w:val="List 3"/>
    <w:basedOn w:val="Normal"/>
    <w:uiPriority w:val="99"/>
    <w:semiHidden/>
    <w:unhideWhenUsed/>
    <w:rsid w:val="009223B2"/>
    <w:pPr>
      <w:ind w:left="1080" w:hanging="360"/>
      <w:contextualSpacing/>
    </w:pPr>
  </w:style>
  <w:style w:type="paragraph" w:styleId="List4">
    <w:name w:val="List 4"/>
    <w:basedOn w:val="Normal"/>
    <w:uiPriority w:val="99"/>
    <w:semiHidden/>
    <w:unhideWhenUsed/>
    <w:rsid w:val="009223B2"/>
    <w:pPr>
      <w:ind w:left="1440" w:hanging="360"/>
      <w:contextualSpacing/>
    </w:pPr>
  </w:style>
  <w:style w:type="paragraph" w:styleId="List5">
    <w:name w:val="List 5"/>
    <w:basedOn w:val="Normal"/>
    <w:uiPriority w:val="99"/>
    <w:semiHidden/>
    <w:unhideWhenUsed/>
    <w:rsid w:val="009223B2"/>
    <w:pPr>
      <w:ind w:left="1800" w:hanging="360"/>
      <w:contextualSpacing/>
    </w:pPr>
  </w:style>
  <w:style w:type="paragraph" w:styleId="ListBullet">
    <w:name w:val="List Bullet"/>
    <w:basedOn w:val="Normal"/>
    <w:uiPriority w:val="99"/>
    <w:semiHidden/>
    <w:unhideWhenUsed/>
    <w:rsid w:val="009223B2"/>
    <w:pPr>
      <w:numPr>
        <w:numId w:val="3"/>
      </w:numPr>
      <w:contextualSpacing/>
    </w:pPr>
  </w:style>
  <w:style w:type="paragraph" w:styleId="ListBullet2">
    <w:name w:val="List Bullet 2"/>
    <w:basedOn w:val="Normal"/>
    <w:uiPriority w:val="99"/>
    <w:semiHidden/>
    <w:unhideWhenUsed/>
    <w:rsid w:val="009223B2"/>
    <w:pPr>
      <w:numPr>
        <w:numId w:val="4"/>
      </w:numPr>
      <w:contextualSpacing/>
    </w:pPr>
  </w:style>
  <w:style w:type="paragraph" w:styleId="ListBullet3">
    <w:name w:val="List Bullet 3"/>
    <w:basedOn w:val="Normal"/>
    <w:uiPriority w:val="99"/>
    <w:semiHidden/>
    <w:unhideWhenUsed/>
    <w:rsid w:val="009223B2"/>
    <w:pPr>
      <w:numPr>
        <w:numId w:val="5"/>
      </w:numPr>
      <w:contextualSpacing/>
    </w:pPr>
  </w:style>
  <w:style w:type="paragraph" w:styleId="ListBullet4">
    <w:name w:val="List Bullet 4"/>
    <w:basedOn w:val="Normal"/>
    <w:uiPriority w:val="99"/>
    <w:semiHidden/>
    <w:unhideWhenUsed/>
    <w:rsid w:val="009223B2"/>
    <w:pPr>
      <w:numPr>
        <w:numId w:val="6"/>
      </w:numPr>
      <w:contextualSpacing/>
    </w:pPr>
  </w:style>
  <w:style w:type="paragraph" w:styleId="ListBullet5">
    <w:name w:val="List Bullet 5"/>
    <w:basedOn w:val="Normal"/>
    <w:uiPriority w:val="99"/>
    <w:semiHidden/>
    <w:unhideWhenUsed/>
    <w:rsid w:val="009223B2"/>
    <w:pPr>
      <w:numPr>
        <w:numId w:val="7"/>
      </w:numPr>
      <w:contextualSpacing/>
    </w:pPr>
  </w:style>
  <w:style w:type="paragraph" w:styleId="ListContinue">
    <w:name w:val="List Continue"/>
    <w:basedOn w:val="Normal"/>
    <w:uiPriority w:val="99"/>
    <w:semiHidden/>
    <w:unhideWhenUsed/>
    <w:rsid w:val="009223B2"/>
    <w:pPr>
      <w:spacing w:after="120"/>
      <w:ind w:left="360"/>
      <w:contextualSpacing/>
    </w:pPr>
  </w:style>
  <w:style w:type="paragraph" w:styleId="ListContinue2">
    <w:name w:val="List Continue 2"/>
    <w:basedOn w:val="Normal"/>
    <w:uiPriority w:val="99"/>
    <w:semiHidden/>
    <w:unhideWhenUsed/>
    <w:rsid w:val="009223B2"/>
    <w:pPr>
      <w:spacing w:after="120"/>
      <w:ind w:left="720"/>
      <w:contextualSpacing/>
    </w:pPr>
  </w:style>
  <w:style w:type="paragraph" w:styleId="ListContinue3">
    <w:name w:val="List Continue 3"/>
    <w:basedOn w:val="Normal"/>
    <w:uiPriority w:val="99"/>
    <w:semiHidden/>
    <w:unhideWhenUsed/>
    <w:rsid w:val="009223B2"/>
    <w:pPr>
      <w:spacing w:after="120"/>
      <w:ind w:left="1080"/>
      <w:contextualSpacing/>
    </w:pPr>
  </w:style>
  <w:style w:type="paragraph" w:styleId="ListContinue4">
    <w:name w:val="List Continue 4"/>
    <w:basedOn w:val="Normal"/>
    <w:uiPriority w:val="99"/>
    <w:semiHidden/>
    <w:unhideWhenUsed/>
    <w:rsid w:val="009223B2"/>
    <w:pPr>
      <w:spacing w:after="120"/>
      <w:ind w:left="1440"/>
      <w:contextualSpacing/>
    </w:pPr>
  </w:style>
  <w:style w:type="paragraph" w:styleId="ListContinue5">
    <w:name w:val="List Continue 5"/>
    <w:basedOn w:val="Normal"/>
    <w:uiPriority w:val="99"/>
    <w:semiHidden/>
    <w:unhideWhenUsed/>
    <w:rsid w:val="009223B2"/>
    <w:pPr>
      <w:spacing w:after="120"/>
      <w:ind w:left="1800"/>
      <w:contextualSpacing/>
    </w:pPr>
  </w:style>
  <w:style w:type="paragraph" w:styleId="ListNumber">
    <w:name w:val="List Number"/>
    <w:basedOn w:val="Normal"/>
    <w:uiPriority w:val="99"/>
    <w:semiHidden/>
    <w:unhideWhenUsed/>
    <w:rsid w:val="009223B2"/>
    <w:pPr>
      <w:numPr>
        <w:numId w:val="8"/>
      </w:numPr>
      <w:contextualSpacing/>
    </w:pPr>
  </w:style>
  <w:style w:type="paragraph" w:styleId="ListNumber2">
    <w:name w:val="List Number 2"/>
    <w:basedOn w:val="Normal"/>
    <w:uiPriority w:val="99"/>
    <w:semiHidden/>
    <w:unhideWhenUsed/>
    <w:rsid w:val="009223B2"/>
    <w:pPr>
      <w:numPr>
        <w:numId w:val="9"/>
      </w:numPr>
      <w:contextualSpacing/>
    </w:pPr>
  </w:style>
  <w:style w:type="paragraph" w:styleId="ListNumber3">
    <w:name w:val="List Number 3"/>
    <w:basedOn w:val="Normal"/>
    <w:uiPriority w:val="99"/>
    <w:semiHidden/>
    <w:unhideWhenUsed/>
    <w:rsid w:val="009223B2"/>
    <w:pPr>
      <w:numPr>
        <w:numId w:val="10"/>
      </w:numPr>
      <w:contextualSpacing/>
    </w:pPr>
  </w:style>
  <w:style w:type="paragraph" w:styleId="ListNumber4">
    <w:name w:val="List Number 4"/>
    <w:basedOn w:val="Normal"/>
    <w:uiPriority w:val="99"/>
    <w:semiHidden/>
    <w:unhideWhenUsed/>
    <w:rsid w:val="009223B2"/>
    <w:pPr>
      <w:numPr>
        <w:numId w:val="11"/>
      </w:numPr>
      <w:contextualSpacing/>
    </w:pPr>
  </w:style>
  <w:style w:type="paragraph" w:styleId="ListNumber5">
    <w:name w:val="List Number 5"/>
    <w:basedOn w:val="Normal"/>
    <w:uiPriority w:val="99"/>
    <w:semiHidden/>
    <w:unhideWhenUsed/>
    <w:rsid w:val="009223B2"/>
    <w:pPr>
      <w:numPr>
        <w:numId w:val="12"/>
      </w:numPr>
      <w:contextualSpacing/>
    </w:pPr>
  </w:style>
  <w:style w:type="paragraph" w:styleId="MacroText">
    <w:name w:val="macro"/>
    <w:link w:val="MacroTextChar"/>
    <w:uiPriority w:val="99"/>
    <w:semiHidden/>
    <w:unhideWhenUsed/>
    <w:rsid w:val="009223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223B2"/>
    <w:rPr>
      <w:rFonts w:ascii="Consolas" w:hAnsi="Consolas"/>
      <w:sz w:val="20"/>
      <w:szCs w:val="20"/>
    </w:rPr>
  </w:style>
  <w:style w:type="paragraph" w:styleId="MessageHeader">
    <w:name w:val="Message Header"/>
    <w:basedOn w:val="Normal"/>
    <w:link w:val="MessageHeaderChar"/>
    <w:uiPriority w:val="99"/>
    <w:semiHidden/>
    <w:unhideWhenUsed/>
    <w:rsid w:val="009223B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223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223B2"/>
    <w:rPr>
      <w:rFonts w:ascii="Times New Roman" w:hAnsi="Times New Roman" w:cs="Times New Roman"/>
      <w:sz w:val="24"/>
      <w:szCs w:val="24"/>
    </w:rPr>
  </w:style>
  <w:style w:type="paragraph" w:styleId="NormalIndent">
    <w:name w:val="Normal Indent"/>
    <w:basedOn w:val="Normal"/>
    <w:uiPriority w:val="99"/>
    <w:semiHidden/>
    <w:unhideWhenUsed/>
    <w:rsid w:val="009223B2"/>
    <w:pPr>
      <w:ind w:left="720"/>
    </w:pPr>
  </w:style>
  <w:style w:type="paragraph" w:styleId="NoteHeading">
    <w:name w:val="Note Heading"/>
    <w:basedOn w:val="Normal"/>
    <w:next w:val="Normal"/>
    <w:link w:val="NoteHeadingChar"/>
    <w:uiPriority w:val="99"/>
    <w:semiHidden/>
    <w:unhideWhenUsed/>
    <w:rsid w:val="009223B2"/>
    <w:pPr>
      <w:spacing w:before="0" w:after="0" w:line="240" w:lineRule="auto"/>
    </w:pPr>
  </w:style>
  <w:style w:type="character" w:customStyle="1" w:styleId="NoteHeadingChar">
    <w:name w:val="Note Heading Char"/>
    <w:basedOn w:val="DefaultParagraphFont"/>
    <w:link w:val="NoteHeading"/>
    <w:uiPriority w:val="99"/>
    <w:semiHidden/>
    <w:rsid w:val="009223B2"/>
    <w:rPr>
      <w:sz w:val="20"/>
      <w:szCs w:val="20"/>
    </w:rPr>
  </w:style>
  <w:style w:type="paragraph" w:styleId="PlainText">
    <w:name w:val="Plain Text"/>
    <w:basedOn w:val="Normal"/>
    <w:link w:val="PlainTextChar"/>
    <w:uiPriority w:val="99"/>
    <w:semiHidden/>
    <w:unhideWhenUsed/>
    <w:rsid w:val="009223B2"/>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223B2"/>
    <w:rPr>
      <w:rFonts w:ascii="Consolas" w:hAnsi="Consolas"/>
      <w:sz w:val="21"/>
      <w:szCs w:val="21"/>
    </w:rPr>
  </w:style>
  <w:style w:type="paragraph" w:styleId="Salutation">
    <w:name w:val="Salutation"/>
    <w:basedOn w:val="Normal"/>
    <w:next w:val="Normal"/>
    <w:link w:val="SalutationChar"/>
    <w:uiPriority w:val="99"/>
    <w:semiHidden/>
    <w:unhideWhenUsed/>
    <w:rsid w:val="009223B2"/>
  </w:style>
  <w:style w:type="character" w:customStyle="1" w:styleId="SalutationChar">
    <w:name w:val="Salutation Char"/>
    <w:basedOn w:val="DefaultParagraphFont"/>
    <w:link w:val="Salutation"/>
    <w:uiPriority w:val="99"/>
    <w:semiHidden/>
    <w:rsid w:val="009223B2"/>
    <w:rPr>
      <w:sz w:val="20"/>
      <w:szCs w:val="20"/>
    </w:rPr>
  </w:style>
  <w:style w:type="paragraph" w:styleId="Signature">
    <w:name w:val="Signature"/>
    <w:basedOn w:val="Normal"/>
    <w:link w:val="SignatureChar"/>
    <w:uiPriority w:val="99"/>
    <w:semiHidden/>
    <w:unhideWhenUsed/>
    <w:rsid w:val="009223B2"/>
    <w:pPr>
      <w:spacing w:before="0" w:after="0" w:line="240" w:lineRule="auto"/>
      <w:ind w:left="4320"/>
    </w:pPr>
  </w:style>
  <w:style w:type="character" w:customStyle="1" w:styleId="SignatureChar">
    <w:name w:val="Signature Char"/>
    <w:basedOn w:val="DefaultParagraphFont"/>
    <w:link w:val="Signature"/>
    <w:uiPriority w:val="99"/>
    <w:semiHidden/>
    <w:rsid w:val="009223B2"/>
    <w:rPr>
      <w:sz w:val="20"/>
      <w:szCs w:val="20"/>
    </w:rPr>
  </w:style>
  <w:style w:type="paragraph" w:styleId="TableofAuthorities">
    <w:name w:val="table of authorities"/>
    <w:basedOn w:val="Normal"/>
    <w:next w:val="Normal"/>
    <w:uiPriority w:val="99"/>
    <w:semiHidden/>
    <w:unhideWhenUsed/>
    <w:rsid w:val="009223B2"/>
    <w:pPr>
      <w:spacing w:after="0"/>
      <w:ind w:left="200" w:hanging="200"/>
    </w:pPr>
  </w:style>
  <w:style w:type="paragraph" w:styleId="TableofFigures">
    <w:name w:val="table of figures"/>
    <w:basedOn w:val="Normal"/>
    <w:next w:val="Normal"/>
    <w:uiPriority w:val="99"/>
    <w:semiHidden/>
    <w:unhideWhenUsed/>
    <w:rsid w:val="009223B2"/>
    <w:pPr>
      <w:spacing w:after="0"/>
    </w:pPr>
  </w:style>
  <w:style w:type="paragraph" w:styleId="TOAHeading">
    <w:name w:val="toa heading"/>
    <w:basedOn w:val="Normal"/>
    <w:next w:val="Normal"/>
    <w:uiPriority w:val="99"/>
    <w:semiHidden/>
    <w:unhideWhenUsed/>
    <w:rsid w:val="009223B2"/>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9223B2"/>
    <w:pPr>
      <w:spacing w:before="0" w:after="0"/>
      <w:ind w:left="600"/>
    </w:pPr>
    <w:rPr>
      <w:rFonts w:cstheme="minorHAnsi"/>
      <w:sz w:val="18"/>
      <w:szCs w:val="18"/>
    </w:rPr>
  </w:style>
  <w:style w:type="paragraph" w:styleId="TOC5">
    <w:name w:val="toc 5"/>
    <w:basedOn w:val="Normal"/>
    <w:next w:val="Normal"/>
    <w:autoRedefine/>
    <w:uiPriority w:val="39"/>
    <w:unhideWhenUsed/>
    <w:rsid w:val="009223B2"/>
    <w:pPr>
      <w:spacing w:before="0" w:after="0"/>
      <w:ind w:left="800"/>
    </w:pPr>
    <w:rPr>
      <w:rFonts w:cstheme="minorHAnsi"/>
      <w:sz w:val="18"/>
      <w:szCs w:val="18"/>
    </w:rPr>
  </w:style>
  <w:style w:type="paragraph" w:styleId="TOC6">
    <w:name w:val="toc 6"/>
    <w:basedOn w:val="Normal"/>
    <w:next w:val="Normal"/>
    <w:autoRedefine/>
    <w:uiPriority w:val="39"/>
    <w:unhideWhenUsed/>
    <w:rsid w:val="009223B2"/>
    <w:pPr>
      <w:spacing w:before="0" w:after="0"/>
      <w:ind w:left="1000"/>
    </w:pPr>
    <w:rPr>
      <w:rFonts w:cstheme="minorHAnsi"/>
      <w:sz w:val="18"/>
      <w:szCs w:val="18"/>
    </w:rPr>
  </w:style>
  <w:style w:type="paragraph" w:styleId="TOC7">
    <w:name w:val="toc 7"/>
    <w:basedOn w:val="Normal"/>
    <w:next w:val="Normal"/>
    <w:autoRedefine/>
    <w:uiPriority w:val="39"/>
    <w:unhideWhenUsed/>
    <w:rsid w:val="009223B2"/>
    <w:pPr>
      <w:spacing w:before="0" w:after="0"/>
      <w:ind w:left="1200"/>
    </w:pPr>
    <w:rPr>
      <w:rFonts w:cstheme="minorHAnsi"/>
      <w:sz w:val="18"/>
      <w:szCs w:val="18"/>
    </w:rPr>
  </w:style>
  <w:style w:type="paragraph" w:styleId="TOC8">
    <w:name w:val="toc 8"/>
    <w:basedOn w:val="Normal"/>
    <w:next w:val="Normal"/>
    <w:autoRedefine/>
    <w:uiPriority w:val="39"/>
    <w:unhideWhenUsed/>
    <w:rsid w:val="009223B2"/>
    <w:pPr>
      <w:spacing w:before="0" w:after="0"/>
      <w:ind w:left="1400"/>
    </w:pPr>
    <w:rPr>
      <w:rFonts w:cstheme="minorHAnsi"/>
      <w:sz w:val="18"/>
      <w:szCs w:val="18"/>
    </w:rPr>
  </w:style>
  <w:style w:type="paragraph" w:styleId="TOC9">
    <w:name w:val="toc 9"/>
    <w:basedOn w:val="Normal"/>
    <w:next w:val="Normal"/>
    <w:autoRedefine/>
    <w:uiPriority w:val="39"/>
    <w:unhideWhenUsed/>
    <w:rsid w:val="009223B2"/>
    <w:pPr>
      <w:spacing w:before="0" w:after="0"/>
      <w:ind w:left="1600"/>
    </w:pPr>
    <w:rPr>
      <w:rFonts w:cstheme="minorHAnsi"/>
      <w:sz w:val="18"/>
      <w:szCs w:val="18"/>
    </w:rPr>
  </w:style>
  <w:style w:type="table" w:styleId="TableGrid">
    <w:name w:val="Table Grid"/>
    <w:basedOn w:val="TableNormal"/>
    <w:uiPriority w:val="59"/>
    <w:rsid w:val="00F633E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1B7F2C"/>
    <w:pPr>
      <w:spacing w:before="100" w:beforeAutospacing="1" w:after="100" w:afterAutospacing="1" w:line="240" w:lineRule="auto"/>
      <w:jc w:val="center"/>
    </w:pPr>
    <w:rPr>
      <w:rFonts w:ascii="Times New Roman" w:eastAsia="Times New Roman" w:hAnsi="Times New Roman" w:cs="Times New Roman"/>
      <w:sz w:val="24"/>
      <w:szCs w:val="24"/>
      <w:lang w:bidi="ar-SA"/>
    </w:rPr>
  </w:style>
  <w:style w:type="character" w:styleId="PlaceholderText">
    <w:name w:val="Placeholder Text"/>
    <w:basedOn w:val="DefaultParagraphFont"/>
    <w:uiPriority w:val="99"/>
    <w:semiHidden/>
    <w:rsid w:val="00B00A32"/>
    <w:rPr>
      <w:color w:val="808080"/>
    </w:rPr>
  </w:style>
  <w:style w:type="character" w:customStyle="1" w:styleId="apple-converted-space">
    <w:name w:val="apple-converted-space"/>
    <w:basedOn w:val="DefaultParagraphFont"/>
    <w:rsid w:val="00463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484">
      <w:bodyDiv w:val="1"/>
      <w:marLeft w:val="0"/>
      <w:marRight w:val="0"/>
      <w:marTop w:val="0"/>
      <w:marBottom w:val="0"/>
      <w:divBdr>
        <w:top w:val="none" w:sz="0" w:space="0" w:color="auto"/>
        <w:left w:val="none" w:sz="0" w:space="0" w:color="auto"/>
        <w:bottom w:val="none" w:sz="0" w:space="0" w:color="auto"/>
        <w:right w:val="none" w:sz="0" w:space="0" w:color="auto"/>
      </w:divBdr>
    </w:div>
    <w:div w:id="23025570">
      <w:bodyDiv w:val="1"/>
      <w:marLeft w:val="0"/>
      <w:marRight w:val="0"/>
      <w:marTop w:val="0"/>
      <w:marBottom w:val="0"/>
      <w:divBdr>
        <w:top w:val="none" w:sz="0" w:space="0" w:color="auto"/>
        <w:left w:val="none" w:sz="0" w:space="0" w:color="auto"/>
        <w:bottom w:val="none" w:sz="0" w:space="0" w:color="auto"/>
        <w:right w:val="none" w:sz="0" w:space="0" w:color="auto"/>
      </w:divBdr>
    </w:div>
    <w:div w:id="27724986">
      <w:bodyDiv w:val="1"/>
      <w:marLeft w:val="0"/>
      <w:marRight w:val="0"/>
      <w:marTop w:val="0"/>
      <w:marBottom w:val="0"/>
      <w:divBdr>
        <w:top w:val="none" w:sz="0" w:space="0" w:color="auto"/>
        <w:left w:val="none" w:sz="0" w:space="0" w:color="auto"/>
        <w:bottom w:val="none" w:sz="0" w:space="0" w:color="auto"/>
        <w:right w:val="none" w:sz="0" w:space="0" w:color="auto"/>
      </w:divBdr>
    </w:div>
    <w:div w:id="31073870">
      <w:bodyDiv w:val="1"/>
      <w:marLeft w:val="0"/>
      <w:marRight w:val="0"/>
      <w:marTop w:val="0"/>
      <w:marBottom w:val="0"/>
      <w:divBdr>
        <w:top w:val="none" w:sz="0" w:space="0" w:color="auto"/>
        <w:left w:val="none" w:sz="0" w:space="0" w:color="auto"/>
        <w:bottom w:val="none" w:sz="0" w:space="0" w:color="auto"/>
        <w:right w:val="none" w:sz="0" w:space="0" w:color="auto"/>
      </w:divBdr>
    </w:div>
    <w:div w:id="31733652">
      <w:bodyDiv w:val="1"/>
      <w:marLeft w:val="0"/>
      <w:marRight w:val="0"/>
      <w:marTop w:val="0"/>
      <w:marBottom w:val="0"/>
      <w:divBdr>
        <w:top w:val="none" w:sz="0" w:space="0" w:color="auto"/>
        <w:left w:val="none" w:sz="0" w:space="0" w:color="auto"/>
        <w:bottom w:val="none" w:sz="0" w:space="0" w:color="auto"/>
        <w:right w:val="none" w:sz="0" w:space="0" w:color="auto"/>
      </w:divBdr>
    </w:div>
    <w:div w:id="34089181">
      <w:bodyDiv w:val="1"/>
      <w:marLeft w:val="0"/>
      <w:marRight w:val="0"/>
      <w:marTop w:val="0"/>
      <w:marBottom w:val="0"/>
      <w:divBdr>
        <w:top w:val="none" w:sz="0" w:space="0" w:color="auto"/>
        <w:left w:val="none" w:sz="0" w:space="0" w:color="auto"/>
        <w:bottom w:val="none" w:sz="0" w:space="0" w:color="auto"/>
        <w:right w:val="none" w:sz="0" w:space="0" w:color="auto"/>
      </w:divBdr>
    </w:div>
    <w:div w:id="35667348">
      <w:bodyDiv w:val="1"/>
      <w:marLeft w:val="0"/>
      <w:marRight w:val="0"/>
      <w:marTop w:val="0"/>
      <w:marBottom w:val="0"/>
      <w:divBdr>
        <w:top w:val="none" w:sz="0" w:space="0" w:color="auto"/>
        <w:left w:val="none" w:sz="0" w:space="0" w:color="auto"/>
        <w:bottom w:val="none" w:sz="0" w:space="0" w:color="auto"/>
        <w:right w:val="none" w:sz="0" w:space="0" w:color="auto"/>
      </w:divBdr>
    </w:div>
    <w:div w:id="46805159">
      <w:bodyDiv w:val="1"/>
      <w:marLeft w:val="0"/>
      <w:marRight w:val="0"/>
      <w:marTop w:val="0"/>
      <w:marBottom w:val="0"/>
      <w:divBdr>
        <w:top w:val="none" w:sz="0" w:space="0" w:color="auto"/>
        <w:left w:val="none" w:sz="0" w:space="0" w:color="auto"/>
        <w:bottom w:val="none" w:sz="0" w:space="0" w:color="auto"/>
        <w:right w:val="none" w:sz="0" w:space="0" w:color="auto"/>
      </w:divBdr>
    </w:div>
    <w:div w:id="51002038">
      <w:bodyDiv w:val="1"/>
      <w:marLeft w:val="0"/>
      <w:marRight w:val="0"/>
      <w:marTop w:val="0"/>
      <w:marBottom w:val="0"/>
      <w:divBdr>
        <w:top w:val="none" w:sz="0" w:space="0" w:color="auto"/>
        <w:left w:val="none" w:sz="0" w:space="0" w:color="auto"/>
        <w:bottom w:val="none" w:sz="0" w:space="0" w:color="auto"/>
        <w:right w:val="none" w:sz="0" w:space="0" w:color="auto"/>
      </w:divBdr>
    </w:div>
    <w:div w:id="51003951">
      <w:bodyDiv w:val="1"/>
      <w:marLeft w:val="0"/>
      <w:marRight w:val="0"/>
      <w:marTop w:val="0"/>
      <w:marBottom w:val="0"/>
      <w:divBdr>
        <w:top w:val="none" w:sz="0" w:space="0" w:color="auto"/>
        <w:left w:val="none" w:sz="0" w:space="0" w:color="auto"/>
        <w:bottom w:val="none" w:sz="0" w:space="0" w:color="auto"/>
        <w:right w:val="none" w:sz="0" w:space="0" w:color="auto"/>
      </w:divBdr>
    </w:div>
    <w:div w:id="56250386">
      <w:bodyDiv w:val="1"/>
      <w:marLeft w:val="0"/>
      <w:marRight w:val="0"/>
      <w:marTop w:val="0"/>
      <w:marBottom w:val="0"/>
      <w:divBdr>
        <w:top w:val="none" w:sz="0" w:space="0" w:color="auto"/>
        <w:left w:val="none" w:sz="0" w:space="0" w:color="auto"/>
        <w:bottom w:val="none" w:sz="0" w:space="0" w:color="auto"/>
        <w:right w:val="none" w:sz="0" w:space="0" w:color="auto"/>
      </w:divBdr>
    </w:div>
    <w:div w:id="68305922">
      <w:bodyDiv w:val="1"/>
      <w:marLeft w:val="0"/>
      <w:marRight w:val="0"/>
      <w:marTop w:val="0"/>
      <w:marBottom w:val="0"/>
      <w:divBdr>
        <w:top w:val="none" w:sz="0" w:space="0" w:color="auto"/>
        <w:left w:val="none" w:sz="0" w:space="0" w:color="auto"/>
        <w:bottom w:val="none" w:sz="0" w:space="0" w:color="auto"/>
        <w:right w:val="none" w:sz="0" w:space="0" w:color="auto"/>
      </w:divBdr>
    </w:div>
    <w:div w:id="69471370">
      <w:bodyDiv w:val="1"/>
      <w:marLeft w:val="0"/>
      <w:marRight w:val="0"/>
      <w:marTop w:val="0"/>
      <w:marBottom w:val="0"/>
      <w:divBdr>
        <w:top w:val="none" w:sz="0" w:space="0" w:color="auto"/>
        <w:left w:val="none" w:sz="0" w:space="0" w:color="auto"/>
        <w:bottom w:val="none" w:sz="0" w:space="0" w:color="auto"/>
        <w:right w:val="none" w:sz="0" w:space="0" w:color="auto"/>
      </w:divBdr>
    </w:div>
    <w:div w:id="78059995">
      <w:bodyDiv w:val="1"/>
      <w:marLeft w:val="0"/>
      <w:marRight w:val="0"/>
      <w:marTop w:val="0"/>
      <w:marBottom w:val="0"/>
      <w:divBdr>
        <w:top w:val="none" w:sz="0" w:space="0" w:color="auto"/>
        <w:left w:val="none" w:sz="0" w:space="0" w:color="auto"/>
        <w:bottom w:val="none" w:sz="0" w:space="0" w:color="auto"/>
        <w:right w:val="none" w:sz="0" w:space="0" w:color="auto"/>
      </w:divBdr>
    </w:div>
    <w:div w:id="78329759">
      <w:bodyDiv w:val="1"/>
      <w:marLeft w:val="0"/>
      <w:marRight w:val="0"/>
      <w:marTop w:val="0"/>
      <w:marBottom w:val="0"/>
      <w:divBdr>
        <w:top w:val="none" w:sz="0" w:space="0" w:color="auto"/>
        <w:left w:val="none" w:sz="0" w:space="0" w:color="auto"/>
        <w:bottom w:val="none" w:sz="0" w:space="0" w:color="auto"/>
        <w:right w:val="none" w:sz="0" w:space="0" w:color="auto"/>
      </w:divBdr>
    </w:div>
    <w:div w:id="78983725">
      <w:bodyDiv w:val="1"/>
      <w:marLeft w:val="0"/>
      <w:marRight w:val="0"/>
      <w:marTop w:val="0"/>
      <w:marBottom w:val="0"/>
      <w:divBdr>
        <w:top w:val="none" w:sz="0" w:space="0" w:color="auto"/>
        <w:left w:val="none" w:sz="0" w:space="0" w:color="auto"/>
        <w:bottom w:val="none" w:sz="0" w:space="0" w:color="auto"/>
        <w:right w:val="none" w:sz="0" w:space="0" w:color="auto"/>
      </w:divBdr>
    </w:div>
    <w:div w:id="79912087">
      <w:bodyDiv w:val="1"/>
      <w:marLeft w:val="0"/>
      <w:marRight w:val="0"/>
      <w:marTop w:val="0"/>
      <w:marBottom w:val="0"/>
      <w:divBdr>
        <w:top w:val="none" w:sz="0" w:space="0" w:color="auto"/>
        <w:left w:val="none" w:sz="0" w:space="0" w:color="auto"/>
        <w:bottom w:val="none" w:sz="0" w:space="0" w:color="auto"/>
        <w:right w:val="none" w:sz="0" w:space="0" w:color="auto"/>
      </w:divBdr>
    </w:div>
    <w:div w:id="84886979">
      <w:bodyDiv w:val="1"/>
      <w:marLeft w:val="0"/>
      <w:marRight w:val="0"/>
      <w:marTop w:val="0"/>
      <w:marBottom w:val="0"/>
      <w:divBdr>
        <w:top w:val="none" w:sz="0" w:space="0" w:color="auto"/>
        <w:left w:val="none" w:sz="0" w:space="0" w:color="auto"/>
        <w:bottom w:val="none" w:sz="0" w:space="0" w:color="auto"/>
        <w:right w:val="none" w:sz="0" w:space="0" w:color="auto"/>
      </w:divBdr>
    </w:div>
    <w:div w:id="86005189">
      <w:bodyDiv w:val="1"/>
      <w:marLeft w:val="0"/>
      <w:marRight w:val="0"/>
      <w:marTop w:val="0"/>
      <w:marBottom w:val="0"/>
      <w:divBdr>
        <w:top w:val="none" w:sz="0" w:space="0" w:color="auto"/>
        <w:left w:val="none" w:sz="0" w:space="0" w:color="auto"/>
        <w:bottom w:val="none" w:sz="0" w:space="0" w:color="auto"/>
        <w:right w:val="none" w:sz="0" w:space="0" w:color="auto"/>
      </w:divBdr>
    </w:div>
    <w:div w:id="88818761">
      <w:bodyDiv w:val="1"/>
      <w:marLeft w:val="0"/>
      <w:marRight w:val="0"/>
      <w:marTop w:val="0"/>
      <w:marBottom w:val="0"/>
      <w:divBdr>
        <w:top w:val="none" w:sz="0" w:space="0" w:color="auto"/>
        <w:left w:val="none" w:sz="0" w:space="0" w:color="auto"/>
        <w:bottom w:val="none" w:sz="0" w:space="0" w:color="auto"/>
        <w:right w:val="none" w:sz="0" w:space="0" w:color="auto"/>
      </w:divBdr>
    </w:div>
    <w:div w:id="89199816">
      <w:bodyDiv w:val="1"/>
      <w:marLeft w:val="0"/>
      <w:marRight w:val="0"/>
      <w:marTop w:val="0"/>
      <w:marBottom w:val="0"/>
      <w:divBdr>
        <w:top w:val="none" w:sz="0" w:space="0" w:color="auto"/>
        <w:left w:val="none" w:sz="0" w:space="0" w:color="auto"/>
        <w:bottom w:val="none" w:sz="0" w:space="0" w:color="auto"/>
        <w:right w:val="none" w:sz="0" w:space="0" w:color="auto"/>
      </w:divBdr>
    </w:div>
    <w:div w:id="93327069">
      <w:bodyDiv w:val="1"/>
      <w:marLeft w:val="0"/>
      <w:marRight w:val="0"/>
      <w:marTop w:val="0"/>
      <w:marBottom w:val="0"/>
      <w:divBdr>
        <w:top w:val="none" w:sz="0" w:space="0" w:color="auto"/>
        <w:left w:val="none" w:sz="0" w:space="0" w:color="auto"/>
        <w:bottom w:val="none" w:sz="0" w:space="0" w:color="auto"/>
        <w:right w:val="none" w:sz="0" w:space="0" w:color="auto"/>
      </w:divBdr>
    </w:div>
    <w:div w:id="96994104">
      <w:bodyDiv w:val="1"/>
      <w:marLeft w:val="0"/>
      <w:marRight w:val="0"/>
      <w:marTop w:val="0"/>
      <w:marBottom w:val="0"/>
      <w:divBdr>
        <w:top w:val="none" w:sz="0" w:space="0" w:color="auto"/>
        <w:left w:val="none" w:sz="0" w:space="0" w:color="auto"/>
        <w:bottom w:val="none" w:sz="0" w:space="0" w:color="auto"/>
        <w:right w:val="none" w:sz="0" w:space="0" w:color="auto"/>
      </w:divBdr>
    </w:div>
    <w:div w:id="104084522">
      <w:bodyDiv w:val="1"/>
      <w:marLeft w:val="0"/>
      <w:marRight w:val="0"/>
      <w:marTop w:val="0"/>
      <w:marBottom w:val="0"/>
      <w:divBdr>
        <w:top w:val="none" w:sz="0" w:space="0" w:color="auto"/>
        <w:left w:val="none" w:sz="0" w:space="0" w:color="auto"/>
        <w:bottom w:val="none" w:sz="0" w:space="0" w:color="auto"/>
        <w:right w:val="none" w:sz="0" w:space="0" w:color="auto"/>
      </w:divBdr>
    </w:div>
    <w:div w:id="110437972">
      <w:bodyDiv w:val="1"/>
      <w:marLeft w:val="0"/>
      <w:marRight w:val="0"/>
      <w:marTop w:val="0"/>
      <w:marBottom w:val="0"/>
      <w:divBdr>
        <w:top w:val="none" w:sz="0" w:space="0" w:color="auto"/>
        <w:left w:val="none" w:sz="0" w:space="0" w:color="auto"/>
        <w:bottom w:val="none" w:sz="0" w:space="0" w:color="auto"/>
        <w:right w:val="none" w:sz="0" w:space="0" w:color="auto"/>
      </w:divBdr>
    </w:div>
    <w:div w:id="111440806">
      <w:bodyDiv w:val="1"/>
      <w:marLeft w:val="0"/>
      <w:marRight w:val="0"/>
      <w:marTop w:val="0"/>
      <w:marBottom w:val="0"/>
      <w:divBdr>
        <w:top w:val="none" w:sz="0" w:space="0" w:color="auto"/>
        <w:left w:val="none" w:sz="0" w:space="0" w:color="auto"/>
        <w:bottom w:val="none" w:sz="0" w:space="0" w:color="auto"/>
        <w:right w:val="none" w:sz="0" w:space="0" w:color="auto"/>
      </w:divBdr>
    </w:div>
    <w:div w:id="113409118">
      <w:bodyDiv w:val="1"/>
      <w:marLeft w:val="0"/>
      <w:marRight w:val="0"/>
      <w:marTop w:val="0"/>
      <w:marBottom w:val="0"/>
      <w:divBdr>
        <w:top w:val="none" w:sz="0" w:space="0" w:color="auto"/>
        <w:left w:val="none" w:sz="0" w:space="0" w:color="auto"/>
        <w:bottom w:val="none" w:sz="0" w:space="0" w:color="auto"/>
        <w:right w:val="none" w:sz="0" w:space="0" w:color="auto"/>
      </w:divBdr>
    </w:div>
    <w:div w:id="116488739">
      <w:bodyDiv w:val="1"/>
      <w:marLeft w:val="0"/>
      <w:marRight w:val="0"/>
      <w:marTop w:val="0"/>
      <w:marBottom w:val="0"/>
      <w:divBdr>
        <w:top w:val="none" w:sz="0" w:space="0" w:color="auto"/>
        <w:left w:val="none" w:sz="0" w:space="0" w:color="auto"/>
        <w:bottom w:val="none" w:sz="0" w:space="0" w:color="auto"/>
        <w:right w:val="none" w:sz="0" w:space="0" w:color="auto"/>
      </w:divBdr>
    </w:div>
    <w:div w:id="117382833">
      <w:bodyDiv w:val="1"/>
      <w:marLeft w:val="0"/>
      <w:marRight w:val="0"/>
      <w:marTop w:val="0"/>
      <w:marBottom w:val="0"/>
      <w:divBdr>
        <w:top w:val="none" w:sz="0" w:space="0" w:color="auto"/>
        <w:left w:val="none" w:sz="0" w:space="0" w:color="auto"/>
        <w:bottom w:val="none" w:sz="0" w:space="0" w:color="auto"/>
        <w:right w:val="none" w:sz="0" w:space="0" w:color="auto"/>
      </w:divBdr>
    </w:div>
    <w:div w:id="120461820">
      <w:bodyDiv w:val="1"/>
      <w:marLeft w:val="0"/>
      <w:marRight w:val="0"/>
      <w:marTop w:val="0"/>
      <w:marBottom w:val="0"/>
      <w:divBdr>
        <w:top w:val="none" w:sz="0" w:space="0" w:color="auto"/>
        <w:left w:val="none" w:sz="0" w:space="0" w:color="auto"/>
        <w:bottom w:val="none" w:sz="0" w:space="0" w:color="auto"/>
        <w:right w:val="none" w:sz="0" w:space="0" w:color="auto"/>
      </w:divBdr>
    </w:div>
    <w:div w:id="121848998">
      <w:bodyDiv w:val="1"/>
      <w:marLeft w:val="0"/>
      <w:marRight w:val="0"/>
      <w:marTop w:val="0"/>
      <w:marBottom w:val="0"/>
      <w:divBdr>
        <w:top w:val="none" w:sz="0" w:space="0" w:color="auto"/>
        <w:left w:val="none" w:sz="0" w:space="0" w:color="auto"/>
        <w:bottom w:val="none" w:sz="0" w:space="0" w:color="auto"/>
        <w:right w:val="none" w:sz="0" w:space="0" w:color="auto"/>
      </w:divBdr>
    </w:div>
    <w:div w:id="125709072">
      <w:bodyDiv w:val="1"/>
      <w:marLeft w:val="0"/>
      <w:marRight w:val="0"/>
      <w:marTop w:val="0"/>
      <w:marBottom w:val="0"/>
      <w:divBdr>
        <w:top w:val="none" w:sz="0" w:space="0" w:color="auto"/>
        <w:left w:val="none" w:sz="0" w:space="0" w:color="auto"/>
        <w:bottom w:val="none" w:sz="0" w:space="0" w:color="auto"/>
        <w:right w:val="none" w:sz="0" w:space="0" w:color="auto"/>
      </w:divBdr>
    </w:div>
    <w:div w:id="127356498">
      <w:bodyDiv w:val="1"/>
      <w:marLeft w:val="0"/>
      <w:marRight w:val="0"/>
      <w:marTop w:val="0"/>
      <w:marBottom w:val="0"/>
      <w:divBdr>
        <w:top w:val="none" w:sz="0" w:space="0" w:color="auto"/>
        <w:left w:val="none" w:sz="0" w:space="0" w:color="auto"/>
        <w:bottom w:val="none" w:sz="0" w:space="0" w:color="auto"/>
        <w:right w:val="none" w:sz="0" w:space="0" w:color="auto"/>
      </w:divBdr>
    </w:div>
    <w:div w:id="129321152">
      <w:bodyDiv w:val="1"/>
      <w:marLeft w:val="0"/>
      <w:marRight w:val="0"/>
      <w:marTop w:val="0"/>
      <w:marBottom w:val="0"/>
      <w:divBdr>
        <w:top w:val="none" w:sz="0" w:space="0" w:color="auto"/>
        <w:left w:val="none" w:sz="0" w:space="0" w:color="auto"/>
        <w:bottom w:val="none" w:sz="0" w:space="0" w:color="auto"/>
        <w:right w:val="none" w:sz="0" w:space="0" w:color="auto"/>
      </w:divBdr>
    </w:div>
    <w:div w:id="141775356">
      <w:bodyDiv w:val="1"/>
      <w:marLeft w:val="0"/>
      <w:marRight w:val="0"/>
      <w:marTop w:val="0"/>
      <w:marBottom w:val="0"/>
      <w:divBdr>
        <w:top w:val="none" w:sz="0" w:space="0" w:color="auto"/>
        <w:left w:val="none" w:sz="0" w:space="0" w:color="auto"/>
        <w:bottom w:val="none" w:sz="0" w:space="0" w:color="auto"/>
        <w:right w:val="none" w:sz="0" w:space="0" w:color="auto"/>
      </w:divBdr>
    </w:div>
    <w:div w:id="148206737">
      <w:bodyDiv w:val="1"/>
      <w:marLeft w:val="0"/>
      <w:marRight w:val="0"/>
      <w:marTop w:val="0"/>
      <w:marBottom w:val="0"/>
      <w:divBdr>
        <w:top w:val="none" w:sz="0" w:space="0" w:color="auto"/>
        <w:left w:val="none" w:sz="0" w:space="0" w:color="auto"/>
        <w:bottom w:val="none" w:sz="0" w:space="0" w:color="auto"/>
        <w:right w:val="none" w:sz="0" w:space="0" w:color="auto"/>
      </w:divBdr>
    </w:div>
    <w:div w:id="150028794">
      <w:bodyDiv w:val="1"/>
      <w:marLeft w:val="0"/>
      <w:marRight w:val="0"/>
      <w:marTop w:val="0"/>
      <w:marBottom w:val="0"/>
      <w:divBdr>
        <w:top w:val="none" w:sz="0" w:space="0" w:color="auto"/>
        <w:left w:val="none" w:sz="0" w:space="0" w:color="auto"/>
        <w:bottom w:val="none" w:sz="0" w:space="0" w:color="auto"/>
        <w:right w:val="none" w:sz="0" w:space="0" w:color="auto"/>
      </w:divBdr>
    </w:div>
    <w:div w:id="151457291">
      <w:bodyDiv w:val="1"/>
      <w:marLeft w:val="0"/>
      <w:marRight w:val="0"/>
      <w:marTop w:val="0"/>
      <w:marBottom w:val="0"/>
      <w:divBdr>
        <w:top w:val="none" w:sz="0" w:space="0" w:color="auto"/>
        <w:left w:val="none" w:sz="0" w:space="0" w:color="auto"/>
        <w:bottom w:val="none" w:sz="0" w:space="0" w:color="auto"/>
        <w:right w:val="none" w:sz="0" w:space="0" w:color="auto"/>
      </w:divBdr>
    </w:div>
    <w:div w:id="155074367">
      <w:bodyDiv w:val="1"/>
      <w:marLeft w:val="0"/>
      <w:marRight w:val="0"/>
      <w:marTop w:val="0"/>
      <w:marBottom w:val="0"/>
      <w:divBdr>
        <w:top w:val="none" w:sz="0" w:space="0" w:color="auto"/>
        <w:left w:val="none" w:sz="0" w:space="0" w:color="auto"/>
        <w:bottom w:val="none" w:sz="0" w:space="0" w:color="auto"/>
        <w:right w:val="none" w:sz="0" w:space="0" w:color="auto"/>
      </w:divBdr>
    </w:div>
    <w:div w:id="158812757">
      <w:bodyDiv w:val="1"/>
      <w:marLeft w:val="0"/>
      <w:marRight w:val="0"/>
      <w:marTop w:val="0"/>
      <w:marBottom w:val="0"/>
      <w:divBdr>
        <w:top w:val="none" w:sz="0" w:space="0" w:color="auto"/>
        <w:left w:val="none" w:sz="0" w:space="0" w:color="auto"/>
        <w:bottom w:val="none" w:sz="0" w:space="0" w:color="auto"/>
        <w:right w:val="none" w:sz="0" w:space="0" w:color="auto"/>
      </w:divBdr>
    </w:div>
    <w:div w:id="166330854">
      <w:bodyDiv w:val="1"/>
      <w:marLeft w:val="0"/>
      <w:marRight w:val="0"/>
      <w:marTop w:val="0"/>
      <w:marBottom w:val="0"/>
      <w:divBdr>
        <w:top w:val="none" w:sz="0" w:space="0" w:color="auto"/>
        <w:left w:val="none" w:sz="0" w:space="0" w:color="auto"/>
        <w:bottom w:val="none" w:sz="0" w:space="0" w:color="auto"/>
        <w:right w:val="none" w:sz="0" w:space="0" w:color="auto"/>
      </w:divBdr>
    </w:div>
    <w:div w:id="167717204">
      <w:bodyDiv w:val="1"/>
      <w:marLeft w:val="0"/>
      <w:marRight w:val="0"/>
      <w:marTop w:val="0"/>
      <w:marBottom w:val="0"/>
      <w:divBdr>
        <w:top w:val="none" w:sz="0" w:space="0" w:color="auto"/>
        <w:left w:val="none" w:sz="0" w:space="0" w:color="auto"/>
        <w:bottom w:val="none" w:sz="0" w:space="0" w:color="auto"/>
        <w:right w:val="none" w:sz="0" w:space="0" w:color="auto"/>
      </w:divBdr>
    </w:div>
    <w:div w:id="171602742">
      <w:bodyDiv w:val="1"/>
      <w:marLeft w:val="0"/>
      <w:marRight w:val="0"/>
      <w:marTop w:val="0"/>
      <w:marBottom w:val="0"/>
      <w:divBdr>
        <w:top w:val="none" w:sz="0" w:space="0" w:color="auto"/>
        <w:left w:val="none" w:sz="0" w:space="0" w:color="auto"/>
        <w:bottom w:val="none" w:sz="0" w:space="0" w:color="auto"/>
        <w:right w:val="none" w:sz="0" w:space="0" w:color="auto"/>
      </w:divBdr>
    </w:div>
    <w:div w:id="175272132">
      <w:bodyDiv w:val="1"/>
      <w:marLeft w:val="0"/>
      <w:marRight w:val="0"/>
      <w:marTop w:val="0"/>
      <w:marBottom w:val="0"/>
      <w:divBdr>
        <w:top w:val="none" w:sz="0" w:space="0" w:color="auto"/>
        <w:left w:val="none" w:sz="0" w:space="0" w:color="auto"/>
        <w:bottom w:val="none" w:sz="0" w:space="0" w:color="auto"/>
        <w:right w:val="none" w:sz="0" w:space="0" w:color="auto"/>
      </w:divBdr>
    </w:div>
    <w:div w:id="177236999">
      <w:bodyDiv w:val="1"/>
      <w:marLeft w:val="0"/>
      <w:marRight w:val="0"/>
      <w:marTop w:val="0"/>
      <w:marBottom w:val="0"/>
      <w:divBdr>
        <w:top w:val="none" w:sz="0" w:space="0" w:color="auto"/>
        <w:left w:val="none" w:sz="0" w:space="0" w:color="auto"/>
        <w:bottom w:val="none" w:sz="0" w:space="0" w:color="auto"/>
        <w:right w:val="none" w:sz="0" w:space="0" w:color="auto"/>
      </w:divBdr>
    </w:div>
    <w:div w:id="192113728">
      <w:bodyDiv w:val="1"/>
      <w:marLeft w:val="0"/>
      <w:marRight w:val="0"/>
      <w:marTop w:val="0"/>
      <w:marBottom w:val="0"/>
      <w:divBdr>
        <w:top w:val="none" w:sz="0" w:space="0" w:color="auto"/>
        <w:left w:val="none" w:sz="0" w:space="0" w:color="auto"/>
        <w:bottom w:val="none" w:sz="0" w:space="0" w:color="auto"/>
        <w:right w:val="none" w:sz="0" w:space="0" w:color="auto"/>
      </w:divBdr>
    </w:div>
    <w:div w:id="193344811">
      <w:bodyDiv w:val="1"/>
      <w:marLeft w:val="0"/>
      <w:marRight w:val="0"/>
      <w:marTop w:val="0"/>
      <w:marBottom w:val="0"/>
      <w:divBdr>
        <w:top w:val="none" w:sz="0" w:space="0" w:color="auto"/>
        <w:left w:val="none" w:sz="0" w:space="0" w:color="auto"/>
        <w:bottom w:val="none" w:sz="0" w:space="0" w:color="auto"/>
        <w:right w:val="none" w:sz="0" w:space="0" w:color="auto"/>
      </w:divBdr>
    </w:div>
    <w:div w:id="197474161">
      <w:bodyDiv w:val="1"/>
      <w:marLeft w:val="0"/>
      <w:marRight w:val="0"/>
      <w:marTop w:val="0"/>
      <w:marBottom w:val="0"/>
      <w:divBdr>
        <w:top w:val="none" w:sz="0" w:space="0" w:color="auto"/>
        <w:left w:val="none" w:sz="0" w:space="0" w:color="auto"/>
        <w:bottom w:val="none" w:sz="0" w:space="0" w:color="auto"/>
        <w:right w:val="none" w:sz="0" w:space="0" w:color="auto"/>
      </w:divBdr>
    </w:div>
    <w:div w:id="199323958">
      <w:bodyDiv w:val="1"/>
      <w:marLeft w:val="0"/>
      <w:marRight w:val="0"/>
      <w:marTop w:val="0"/>
      <w:marBottom w:val="0"/>
      <w:divBdr>
        <w:top w:val="none" w:sz="0" w:space="0" w:color="auto"/>
        <w:left w:val="none" w:sz="0" w:space="0" w:color="auto"/>
        <w:bottom w:val="none" w:sz="0" w:space="0" w:color="auto"/>
        <w:right w:val="none" w:sz="0" w:space="0" w:color="auto"/>
      </w:divBdr>
    </w:div>
    <w:div w:id="202986778">
      <w:bodyDiv w:val="1"/>
      <w:marLeft w:val="0"/>
      <w:marRight w:val="0"/>
      <w:marTop w:val="0"/>
      <w:marBottom w:val="0"/>
      <w:divBdr>
        <w:top w:val="none" w:sz="0" w:space="0" w:color="auto"/>
        <w:left w:val="none" w:sz="0" w:space="0" w:color="auto"/>
        <w:bottom w:val="none" w:sz="0" w:space="0" w:color="auto"/>
        <w:right w:val="none" w:sz="0" w:space="0" w:color="auto"/>
      </w:divBdr>
    </w:div>
    <w:div w:id="213085863">
      <w:bodyDiv w:val="1"/>
      <w:marLeft w:val="0"/>
      <w:marRight w:val="0"/>
      <w:marTop w:val="0"/>
      <w:marBottom w:val="0"/>
      <w:divBdr>
        <w:top w:val="none" w:sz="0" w:space="0" w:color="auto"/>
        <w:left w:val="none" w:sz="0" w:space="0" w:color="auto"/>
        <w:bottom w:val="none" w:sz="0" w:space="0" w:color="auto"/>
        <w:right w:val="none" w:sz="0" w:space="0" w:color="auto"/>
      </w:divBdr>
    </w:div>
    <w:div w:id="213086469">
      <w:bodyDiv w:val="1"/>
      <w:marLeft w:val="0"/>
      <w:marRight w:val="0"/>
      <w:marTop w:val="0"/>
      <w:marBottom w:val="0"/>
      <w:divBdr>
        <w:top w:val="none" w:sz="0" w:space="0" w:color="auto"/>
        <w:left w:val="none" w:sz="0" w:space="0" w:color="auto"/>
        <w:bottom w:val="none" w:sz="0" w:space="0" w:color="auto"/>
        <w:right w:val="none" w:sz="0" w:space="0" w:color="auto"/>
      </w:divBdr>
    </w:div>
    <w:div w:id="213155633">
      <w:bodyDiv w:val="1"/>
      <w:marLeft w:val="0"/>
      <w:marRight w:val="0"/>
      <w:marTop w:val="0"/>
      <w:marBottom w:val="0"/>
      <w:divBdr>
        <w:top w:val="none" w:sz="0" w:space="0" w:color="auto"/>
        <w:left w:val="none" w:sz="0" w:space="0" w:color="auto"/>
        <w:bottom w:val="none" w:sz="0" w:space="0" w:color="auto"/>
        <w:right w:val="none" w:sz="0" w:space="0" w:color="auto"/>
      </w:divBdr>
    </w:div>
    <w:div w:id="214396644">
      <w:bodyDiv w:val="1"/>
      <w:marLeft w:val="0"/>
      <w:marRight w:val="0"/>
      <w:marTop w:val="0"/>
      <w:marBottom w:val="0"/>
      <w:divBdr>
        <w:top w:val="none" w:sz="0" w:space="0" w:color="auto"/>
        <w:left w:val="none" w:sz="0" w:space="0" w:color="auto"/>
        <w:bottom w:val="none" w:sz="0" w:space="0" w:color="auto"/>
        <w:right w:val="none" w:sz="0" w:space="0" w:color="auto"/>
      </w:divBdr>
    </w:div>
    <w:div w:id="216085331">
      <w:bodyDiv w:val="1"/>
      <w:marLeft w:val="0"/>
      <w:marRight w:val="0"/>
      <w:marTop w:val="0"/>
      <w:marBottom w:val="0"/>
      <w:divBdr>
        <w:top w:val="none" w:sz="0" w:space="0" w:color="auto"/>
        <w:left w:val="none" w:sz="0" w:space="0" w:color="auto"/>
        <w:bottom w:val="none" w:sz="0" w:space="0" w:color="auto"/>
        <w:right w:val="none" w:sz="0" w:space="0" w:color="auto"/>
      </w:divBdr>
    </w:div>
    <w:div w:id="230703245">
      <w:bodyDiv w:val="1"/>
      <w:marLeft w:val="0"/>
      <w:marRight w:val="0"/>
      <w:marTop w:val="0"/>
      <w:marBottom w:val="0"/>
      <w:divBdr>
        <w:top w:val="none" w:sz="0" w:space="0" w:color="auto"/>
        <w:left w:val="none" w:sz="0" w:space="0" w:color="auto"/>
        <w:bottom w:val="none" w:sz="0" w:space="0" w:color="auto"/>
        <w:right w:val="none" w:sz="0" w:space="0" w:color="auto"/>
      </w:divBdr>
    </w:div>
    <w:div w:id="231039490">
      <w:bodyDiv w:val="1"/>
      <w:marLeft w:val="0"/>
      <w:marRight w:val="0"/>
      <w:marTop w:val="0"/>
      <w:marBottom w:val="0"/>
      <w:divBdr>
        <w:top w:val="none" w:sz="0" w:space="0" w:color="auto"/>
        <w:left w:val="none" w:sz="0" w:space="0" w:color="auto"/>
        <w:bottom w:val="none" w:sz="0" w:space="0" w:color="auto"/>
        <w:right w:val="none" w:sz="0" w:space="0" w:color="auto"/>
      </w:divBdr>
    </w:div>
    <w:div w:id="236402398">
      <w:bodyDiv w:val="1"/>
      <w:marLeft w:val="0"/>
      <w:marRight w:val="0"/>
      <w:marTop w:val="0"/>
      <w:marBottom w:val="0"/>
      <w:divBdr>
        <w:top w:val="none" w:sz="0" w:space="0" w:color="auto"/>
        <w:left w:val="none" w:sz="0" w:space="0" w:color="auto"/>
        <w:bottom w:val="none" w:sz="0" w:space="0" w:color="auto"/>
        <w:right w:val="none" w:sz="0" w:space="0" w:color="auto"/>
      </w:divBdr>
    </w:div>
    <w:div w:id="240339500">
      <w:bodyDiv w:val="1"/>
      <w:marLeft w:val="0"/>
      <w:marRight w:val="0"/>
      <w:marTop w:val="0"/>
      <w:marBottom w:val="0"/>
      <w:divBdr>
        <w:top w:val="none" w:sz="0" w:space="0" w:color="auto"/>
        <w:left w:val="none" w:sz="0" w:space="0" w:color="auto"/>
        <w:bottom w:val="none" w:sz="0" w:space="0" w:color="auto"/>
        <w:right w:val="none" w:sz="0" w:space="0" w:color="auto"/>
      </w:divBdr>
    </w:div>
    <w:div w:id="245572756">
      <w:bodyDiv w:val="1"/>
      <w:marLeft w:val="0"/>
      <w:marRight w:val="0"/>
      <w:marTop w:val="0"/>
      <w:marBottom w:val="0"/>
      <w:divBdr>
        <w:top w:val="none" w:sz="0" w:space="0" w:color="auto"/>
        <w:left w:val="none" w:sz="0" w:space="0" w:color="auto"/>
        <w:bottom w:val="none" w:sz="0" w:space="0" w:color="auto"/>
        <w:right w:val="none" w:sz="0" w:space="0" w:color="auto"/>
      </w:divBdr>
    </w:div>
    <w:div w:id="250892477">
      <w:bodyDiv w:val="1"/>
      <w:marLeft w:val="0"/>
      <w:marRight w:val="0"/>
      <w:marTop w:val="0"/>
      <w:marBottom w:val="0"/>
      <w:divBdr>
        <w:top w:val="none" w:sz="0" w:space="0" w:color="auto"/>
        <w:left w:val="none" w:sz="0" w:space="0" w:color="auto"/>
        <w:bottom w:val="none" w:sz="0" w:space="0" w:color="auto"/>
        <w:right w:val="none" w:sz="0" w:space="0" w:color="auto"/>
      </w:divBdr>
    </w:div>
    <w:div w:id="254870166">
      <w:bodyDiv w:val="1"/>
      <w:marLeft w:val="0"/>
      <w:marRight w:val="0"/>
      <w:marTop w:val="0"/>
      <w:marBottom w:val="0"/>
      <w:divBdr>
        <w:top w:val="none" w:sz="0" w:space="0" w:color="auto"/>
        <w:left w:val="none" w:sz="0" w:space="0" w:color="auto"/>
        <w:bottom w:val="none" w:sz="0" w:space="0" w:color="auto"/>
        <w:right w:val="none" w:sz="0" w:space="0" w:color="auto"/>
      </w:divBdr>
    </w:div>
    <w:div w:id="255749694">
      <w:bodyDiv w:val="1"/>
      <w:marLeft w:val="0"/>
      <w:marRight w:val="0"/>
      <w:marTop w:val="0"/>
      <w:marBottom w:val="0"/>
      <w:divBdr>
        <w:top w:val="none" w:sz="0" w:space="0" w:color="auto"/>
        <w:left w:val="none" w:sz="0" w:space="0" w:color="auto"/>
        <w:bottom w:val="none" w:sz="0" w:space="0" w:color="auto"/>
        <w:right w:val="none" w:sz="0" w:space="0" w:color="auto"/>
      </w:divBdr>
    </w:div>
    <w:div w:id="258762697">
      <w:bodyDiv w:val="1"/>
      <w:marLeft w:val="0"/>
      <w:marRight w:val="0"/>
      <w:marTop w:val="0"/>
      <w:marBottom w:val="0"/>
      <w:divBdr>
        <w:top w:val="none" w:sz="0" w:space="0" w:color="auto"/>
        <w:left w:val="none" w:sz="0" w:space="0" w:color="auto"/>
        <w:bottom w:val="none" w:sz="0" w:space="0" w:color="auto"/>
        <w:right w:val="none" w:sz="0" w:space="0" w:color="auto"/>
      </w:divBdr>
    </w:div>
    <w:div w:id="266349339">
      <w:bodyDiv w:val="1"/>
      <w:marLeft w:val="0"/>
      <w:marRight w:val="0"/>
      <w:marTop w:val="0"/>
      <w:marBottom w:val="0"/>
      <w:divBdr>
        <w:top w:val="none" w:sz="0" w:space="0" w:color="auto"/>
        <w:left w:val="none" w:sz="0" w:space="0" w:color="auto"/>
        <w:bottom w:val="none" w:sz="0" w:space="0" w:color="auto"/>
        <w:right w:val="none" w:sz="0" w:space="0" w:color="auto"/>
      </w:divBdr>
    </w:div>
    <w:div w:id="267585255">
      <w:bodyDiv w:val="1"/>
      <w:marLeft w:val="0"/>
      <w:marRight w:val="0"/>
      <w:marTop w:val="0"/>
      <w:marBottom w:val="0"/>
      <w:divBdr>
        <w:top w:val="none" w:sz="0" w:space="0" w:color="auto"/>
        <w:left w:val="none" w:sz="0" w:space="0" w:color="auto"/>
        <w:bottom w:val="none" w:sz="0" w:space="0" w:color="auto"/>
        <w:right w:val="none" w:sz="0" w:space="0" w:color="auto"/>
      </w:divBdr>
    </w:div>
    <w:div w:id="275454042">
      <w:bodyDiv w:val="1"/>
      <w:marLeft w:val="0"/>
      <w:marRight w:val="0"/>
      <w:marTop w:val="0"/>
      <w:marBottom w:val="0"/>
      <w:divBdr>
        <w:top w:val="none" w:sz="0" w:space="0" w:color="auto"/>
        <w:left w:val="none" w:sz="0" w:space="0" w:color="auto"/>
        <w:bottom w:val="none" w:sz="0" w:space="0" w:color="auto"/>
        <w:right w:val="none" w:sz="0" w:space="0" w:color="auto"/>
      </w:divBdr>
    </w:div>
    <w:div w:id="276446715">
      <w:bodyDiv w:val="1"/>
      <w:marLeft w:val="0"/>
      <w:marRight w:val="0"/>
      <w:marTop w:val="0"/>
      <w:marBottom w:val="0"/>
      <w:divBdr>
        <w:top w:val="none" w:sz="0" w:space="0" w:color="auto"/>
        <w:left w:val="none" w:sz="0" w:space="0" w:color="auto"/>
        <w:bottom w:val="none" w:sz="0" w:space="0" w:color="auto"/>
        <w:right w:val="none" w:sz="0" w:space="0" w:color="auto"/>
      </w:divBdr>
    </w:div>
    <w:div w:id="298993287">
      <w:bodyDiv w:val="1"/>
      <w:marLeft w:val="0"/>
      <w:marRight w:val="0"/>
      <w:marTop w:val="0"/>
      <w:marBottom w:val="0"/>
      <w:divBdr>
        <w:top w:val="none" w:sz="0" w:space="0" w:color="auto"/>
        <w:left w:val="none" w:sz="0" w:space="0" w:color="auto"/>
        <w:bottom w:val="none" w:sz="0" w:space="0" w:color="auto"/>
        <w:right w:val="none" w:sz="0" w:space="0" w:color="auto"/>
      </w:divBdr>
    </w:div>
    <w:div w:id="307132393">
      <w:bodyDiv w:val="1"/>
      <w:marLeft w:val="0"/>
      <w:marRight w:val="0"/>
      <w:marTop w:val="0"/>
      <w:marBottom w:val="0"/>
      <w:divBdr>
        <w:top w:val="none" w:sz="0" w:space="0" w:color="auto"/>
        <w:left w:val="none" w:sz="0" w:space="0" w:color="auto"/>
        <w:bottom w:val="none" w:sz="0" w:space="0" w:color="auto"/>
        <w:right w:val="none" w:sz="0" w:space="0" w:color="auto"/>
      </w:divBdr>
    </w:div>
    <w:div w:id="313027436">
      <w:bodyDiv w:val="1"/>
      <w:marLeft w:val="0"/>
      <w:marRight w:val="0"/>
      <w:marTop w:val="0"/>
      <w:marBottom w:val="0"/>
      <w:divBdr>
        <w:top w:val="none" w:sz="0" w:space="0" w:color="auto"/>
        <w:left w:val="none" w:sz="0" w:space="0" w:color="auto"/>
        <w:bottom w:val="none" w:sz="0" w:space="0" w:color="auto"/>
        <w:right w:val="none" w:sz="0" w:space="0" w:color="auto"/>
      </w:divBdr>
    </w:div>
    <w:div w:id="326633348">
      <w:bodyDiv w:val="1"/>
      <w:marLeft w:val="0"/>
      <w:marRight w:val="0"/>
      <w:marTop w:val="0"/>
      <w:marBottom w:val="0"/>
      <w:divBdr>
        <w:top w:val="none" w:sz="0" w:space="0" w:color="auto"/>
        <w:left w:val="none" w:sz="0" w:space="0" w:color="auto"/>
        <w:bottom w:val="none" w:sz="0" w:space="0" w:color="auto"/>
        <w:right w:val="none" w:sz="0" w:space="0" w:color="auto"/>
      </w:divBdr>
    </w:div>
    <w:div w:id="329140864">
      <w:bodyDiv w:val="1"/>
      <w:marLeft w:val="0"/>
      <w:marRight w:val="0"/>
      <w:marTop w:val="0"/>
      <w:marBottom w:val="0"/>
      <w:divBdr>
        <w:top w:val="none" w:sz="0" w:space="0" w:color="auto"/>
        <w:left w:val="none" w:sz="0" w:space="0" w:color="auto"/>
        <w:bottom w:val="none" w:sz="0" w:space="0" w:color="auto"/>
        <w:right w:val="none" w:sz="0" w:space="0" w:color="auto"/>
      </w:divBdr>
    </w:div>
    <w:div w:id="329984708">
      <w:bodyDiv w:val="1"/>
      <w:marLeft w:val="0"/>
      <w:marRight w:val="0"/>
      <w:marTop w:val="0"/>
      <w:marBottom w:val="0"/>
      <w:divBdr>
        <w:top w:val="none" w:sz="0" w:space="0" w:color="auto"/>
        <w:left w:val="none" w:sz="0" w:space="0" w:color="auto"/>
        <w:bottom w:val="none" w:sz="0" w:space="0" w:color="auto"/>
        <w:right w:val="none" w:sz="0" w:space="0" w:color="auto"/>
      </w:divBdr>
    </w:div>
    <w:div w:id="338385634">
      <w:bodyDiv w:val="1"/>
      <w:marLeft w:val="0"/>
      <w:marRight w:val="0"/>
      <w:marTop w:val="0"/>
      <w:marBottom w:val="0"/>
      <w:divBdr>
        <w:top w:val="none" w:sz="0" w:space="0" w:color="auto"/>
        <w:left w:val="none" w:sz="0" w:space="0" w:color="auto"/>
        <w:bottom w:val="none" w:sz="0" w:space="0" w:color="auto"/>
        <w:right w:val="none" w:sz="0" w:space="0" w:color="auto"/>
      </w:divBdr>
    </w:div>
    <w:div w:id="347368559">
      <w:bodyDiv w:val="1"/>
      <w:marLeft w:val="0"/>
      <w:marRight w:val="0"/>
      <w:marTop w:val="0"/>
      <w:marBottom w:val="0"/>
      <w:divBdr>
        <w:top w:val="none" w:sz="0" w:space="0" w:color="auto"/>
        <w:left w:val="none" w:sz="0" w:space="0" w:color="auto"/>
        <w:bottom w:val="none" w:sz="0" w:space="0" w:color="auto"/>
        <w:right w:val="none" w:sz="0" w:space="0" w:color="auto"/>
      </w:divBdr>
    </w:div>
    <w:div w:id="350038042">
      <w:bodyDiv w:val="1"/>
      <w:marLeft w:val="0"/>
      <w:marRight w:val="0"/>
      <w:marTop w:val="0"/>
      <w:marBottom w:val="0"/>
      <w:divBdr>
        <w:top w:val="none" w:sz="0" w:space="0" w:color="auto"/>
        <w:left w:val="none" w:sz="0" w:space="0" w:color="auto"/>
        <w:bottom w:val="none" w:sz="0" w:space="0" w:color="auto"/>
        <w:right w:val="none" w:sz="0" w:space="0" w:color="auto"/>
      </w:divBdr>
    </w:div>
    <w:div w:id="354117054">
      <w:bodyDiv w:val="1"/>
      <w:marLeft w:val="0"/>
      <w:marRight w:val="0"/>
      <w:marTop w:val="0"/>
      <w:marBottom w:val="0"/>
      <w:divBdr>
        <w:top w:val="none" w:sz="0" w:space="0" w:color="auto"/>
        <w:left w:val="none" w:sz="0" w:space="0" w:color="auto"/>
        <w:bottom w:val="none" w:sz="0" w:space="0" w:color="auto"/>
        <w:right w:val="none" w:sz="0" w:space="0" w:color="auto"/>
      </w:divBdr>
    </w:div>
    <w:div w:id="357702164">
      <w:bodyDiv w:val="1"/>
      <w:marLeft w:val="0"/>
      <w:marRight w:val="0"/>
      <w:marTop w:val="0"/>
      <w:marBottom w:val="0"/>
      <w:divBdr>
        <w:top w:val="none" w:sz="0" w:space="0" w:color="auto"/>
        <w:left w:val="none" w:sz="0" w:space="0" w:color="auto"/>
        <w:bottom w:val="none" w:sz="0" w:space="0" w:color="auto"/>
        <w:right w:val="none" w:sz="0" w:space="0" w:color="auto"/>
      </w:divBdr>
    </w:div>
    <w:div w:id="358818804">
      <w:bodyDiv w:val="1"/>
      <w:marLeft w:val="0"/>
      <w:marRight w:val="0"/>
      <w:marTop w:val="0"/>
      <w:marBottom w:val="0"/>
      <w:divBdr>
        <w:top w:val="none" w:sz="0" w:space="0" w:color="auto"/>
        <w:left w:val="none" w:sz="0" w:space="0" w:color="auto"/>
        <w:bottom w:val="none" w:sz="0" w:space="0" w:color="auto"/>
        <w:right w:val="none" w:sz="0" w:space="0" w:color="auto"/>
      </w:divBdr>
    </w:div>
    <w:div w:id="364868606">
      <w:bodyDiv w:val="1"/>
      <w:marLeft w:val="0"/>
      <w:marRight w:val="0"/>
      <w:marTop w:val="0"/>
      <w:marBottom w:val="0"/>
      <w:divBdr>
        <w:top w:val="none" w:sz="0" w:space="0" w:color="auto"/>
        <w:left w:val="none" w:sz="0" w:space="0" w:color="auto"/>
        <w:bottom w:val="none" w:sz="0" w:space="0" w:color="auto"/>
        <w:right w:val="none" w:sz="0" w:space="0" w:color="auto"/>
      </w:divBdr>
    </w:div>
    <w:div w:id="377558202">
      <w:bodyDiv w:val="1"/>
      <w:marLeft w:val="0"/>
      <w:marRight w:val="0"/>
      <w:marTop w:val="0"/>
      <w:marBottom w:val="0"/>
      <w:divBdr>
        <w:top w:val="none" w:sz="0" w:space="0" w:color="auto"/>
        <w:left w:val="none" w:sz="0" w:space="0" w:color="auto"/>
        <w:bottom w:val="none" w:sz="0" w:space="0" w:color="auto"/>
        <w:right w:val="none" w:sz="0" w:space="0" w:color="auto"/>
      </w:divBdr>
    </w:div>
    <w:div w:id="385877959">
      <w:bodyDiv w:val="1"/>
      <w:marLeft w:val="0"/>
      <w:marRight w:val="0"/>
      <w:marTop w:val="0"/>
      <w:marBottom w:val="0"/>
      <w:divBdr>
        <w:top w:val="none" w:sz="0" w:space="0" w:color="auto"/>
        <w:left w:val="none" w:sz="0" w:space="0" w:color="auto"/>
        <w:bottom w:val="none" w:sz="0" w:space="0" w:color="auto"/>
        <w:right w:val="none" w:sz="0" w:space="0" w:color="auto"/>
      </w:divBdr>
    </w:div>
    <w:div w:id="386607733">
      <w:bodyDiv w:val="1"/>
      <w:marLeft w:val="0"/>
      <w:marRight w:val="0"/>
      <w:marTop w:val="0"/>
      <w:marBottom w:val="0"/>
      <w:divBdr>
        <w:top w:val="none" w:sz="0" w:space="0" w:color="auto"/>
        <w:left w:val="none" w:sz="0" w:space="0" w:color="auto"/>
        <w:bottom w:val="none" w:sz="0" w:space="0" w:color="auto"/>
        <w:right w:val="none" w:sz="0" w:space="0" w:color="auto"/>
      </w:divBdr>
    </w:div>
    <w:div w:id="390080855">
      <w:bodyDiv w:val="1"/>
      <w:marLeft w:val="0"/>
      <w:marRight w:val="0"/>
      <w:marTop w:val="0"/>
      <w:marBottom w:val="0"/>
      <w:divBdr>
        <w:top w:val="none" w:sz="0" w:space="0" w:color="auto"/>
        <w:left w:val="none" w:sz="0" w:space="0" w:color="auto"/>
        <w:bottom w:val="none" w:sz="0" w:space="0" w:color="auto"/>
        <w:right w:val="none" w:sz="0" w:space="0" w:color="auto"/>
      </w:divBdr>
    </w:div>
    <w:div w:id="392511503">
      <w:bodyDiv w:val="1"/>
      <w:marLeft w:val="0"/>
      <w:marRight w:val="0"/>
      <w:marTop w:val="0"/>
      <w:marBottom w:val="0"/>
      <w:divBdr>
        <w:top w:val="none" w:sz="0" w:space="0" w:color="auto"/>
        <w:left w:val="none" w:sz="0" w:space="0" w:color="auto"/>
        <w:bottom w:val="none" w:sz="0" w:space="0" w:color="auto"/>
        <w:right w:val="none" w:sz="0" w:space="0" w:color="auto"/>
      </w:divBdr>
    </w:div>
    <w:div w:id="393745405">
      <w:bodyDiv w:val="1"/>
      <w:marLeft w:val="0"/>
      <w:marRight w:val="0"/>
      <w:marTop w:val="0"/>
      <w:marBottom w:val="0"/>
      <w:divBdr>
        <w:top w:val="none" w:sz="0" w:space="0" w:color="auto"/>
        <w:left w:val="none" w:sz="0" w:space="0" w:color="auto"/>
        <w:bottom w:val="none" w:sz="0" w:space="0" w:color="auto"/>
        <w:right w:val="none" w:sz="0" w:space="0" w:color="auto"/>
      </w:divBdr>
    </w:div>
    <w:div w:id="398599501">
      <w:bodyDiv w:val="1"/>
      <w:marLeft w:val="0"/>
      <w:marRight w:val="0"/>
      <w:marTop w:val="0"/>
      <w:marBottom w:val="0"/>
      <w:divBdr>
        <w:top w:val="none" w:sz="0" w:space="0" w:color="auto"/>
        <w:left w:val="none" w:sz="0" w:space="0" w:color="auto"/>
        <w:bottom w:val="none" w:sz="0" w:space="0" w:color="auto"/>
        <w:right w:val="none" w:sz="0" w:space="0" w:color="auto"/>
      </w:divBdr>
    </w:div>
    <w:div w:id="400954319">
      <w:bodyDiv w:val="1"/>
      <w:marLeft w:val="0"/>
      <w:marRight w:val="0"/>
      <w:marTop w:val="0"/>
      <w:marBottom w:val="0"/>
      <w:divBdr>
        <w:top w:val="none" w:sz="0" w:space="0" w:color="auto"/>
        <w:left w:val="none" w:sz="0" w:space="0" w:color="auto"/>
        <w:bottom w:val="none" w:sz="0" w:space="0" w:color="auto"/>
        <w:right w:val="none" w:sz="0" w:space="0" w:color="auto"/>
      </w:divBdr>
    </w:div>
    <w:div w:id="404382789">
      <w:bodyDiv w:val="1"/>
      <w:marLeft w:val="0"/>
      <w:marRight w:val="0"/>
      <w:marTop w:val="0"/>
      <w:marBottom w:val="0"/>
      <w:divBdr>
        <w:top w:val="none" w:sz="0" w:space="0" w:color="auto"/>
        <w:left w:val="none" w:sz="0" w:space="0" w:color="auto"/>
        <w:bottom w:val="none" w:sz="0" w:space="0" w:color="auto"/>
        <w:right w:val="none" w:sz="0" w:space="0" w:color="auto"/>
      </w:divBdr>
    </w:div>
    <w:div w:id="409086653">
      <w:bodyDiv w:val="1"/>
      <w:marLeft w:val="0"/>
      <w:marRight w:val="0"/>
      <w:marTop w:val="0"/>
      <w:marBottom w:val="0"/>
      <w:divBdr>
        <w:top w:val="none" w:sz="0" w:space="0" w:color="auto"/>
        <w:left w:val="none" w:sz="0" w:space="0" w:color="auto"/>
        <w:bottom w:val="none" w:sz="0" w:space="0" w:color="auto"/>
        <w:right w:val="none" w:sz="0" w:space="0" w:color="auto"/>
      </w:divBdr>
    </w:div>
    <w:div w:id="416290502">
      <w:bodyDiv w:val="1"/>
      <w:marLeft w:val="0"/>
      <w:marRight w:val="0"/>
      <w:marTop w:val="0"/>
      <w:marBottom w:val="0"/>
      <w:divBdr>
        <w:top w:val="none" w:sz="0" w:space="0" w:color="auto"/>
        <w:left w:val="none" w:sz="0" w:space="0" w:color="auto"/>
        <w:bottom w:val="none" w:sz="0" w:space="0" w:color="auto"/>
        <w:right w:val="none" w:sz="0" w:space="0" w:color="auto"/>
      </w:divBdr>
    </w:div>
    <w:div w:id="420491250">
      <w:bodyDiv w:val="1"/>
      <w:marLeft w:val="0"/>
      <w:marRight w:val="0"/>
      <w:marTop w:val="0"/>
      <w:marBottom w:val="0"/>
      <w:divBdr>
        <w:top w:val="none" w:sz="0" w:space="0" w:color="auto"/>
        <w:left w:val="none" w:sz="0" w:space="0" w:color="auto"/>
        <w:bottom w:val="none" w:sz="0" w:space="0" w:color="auto"/>
        <w:right w:val="none" w:sz="0" w:space="0" w:color="auto"/>
      </w:divBdr>
    </w:div>
    <w:div w:id="422143345">
      <w:bodyDiv w:val="1"/>
      <w:marLeft w:val="0"/>
      <w:marRight w:val="0"/>
      <w:marTop w:val="0"/>
      <w:marBottom w:val="0"/>
      <w:divBdr>
        <w:top w:val="none" w:sz="0" w:space="0" w:color="auto"/>
        <w:left w:val="none" w:sz="0" w:space="0" w:color="auto"/>
        <w:bottom w:val="none" w:sz="0" w:space="0" w:color="auto"/>
        <w:right w:val="none" w:sz="0" w:space="0" w:color="auto"/>
      </w:divBdr>
    </w:div>
    <w:div w:id="425347919">
      <w:bodyDiv w:val="1"/>
      <w:marLeft w:val="0"/>
      <w:marRight w:val="0"/>
      <w:marTop w:val="0"/>
      <w:marBottom w:val="0"/>
      <w:divBdr>
        <w:top w:val="none" w:sz="0" w:space="0" w:color="auto"/>
        <w:left w:val="none" w:sz="0" w:space="0" w:color="auto"/>
        <w:bottom w:val="none" w:sz="0" w:space="0" w:color="auto"/>
        <w:right w:val="none" w:sz="0" w:space="0" w:color="auto"/>
      </w:divBdr>
    </w:div>
    <w:div w:id="425618225">
      <w:bodyDiv w:val="1"/>
      <w:marLeft w:val="0"/>
      <w:marRight w:val="0"/>
      <w:marTop w:val="0"/>
      <w:marBottom w:val="0"/>
      <w:divBdr>
        <w:top w:val="none" w:sz="0" w:space="0" w:color="auto"/>
        <w:left w:val="none" w:sz="0" w:space="0" w:color="auto"/>
        <w:bottom w:val="none" w:sz="0" w:space="0" w:color="auto"/>
        <w:right w:val="none" w:sz="0" w:space="0" w:color="auto"/>
      </w:divBdr>
    </w:div>
    <w:div w:id="436023697">
      <w:bodyDiv w:val="1"/>
      <w:marLeft w:val="0"/>
      <w:marRight w:val="0"/>
      <w:marTop w:val="0"/>
      <w:marBottom w:val="0"/>
      <w:divBdr>
        <w:top w:val="none" w:sz="0" w:space="0" w:color="auto"/>
        <w:left w:val="none" w:sz="0" w:space="0" w:color="auto"/>
        <w:bottom w:val="none" w:sz="0" w:space="0" w:color="auto"/>
        <w:right w:val="none" w:sz="0" w:space="0" w:color="auto"/>
      </w:divBdr>
    </w:div>
    <w:div w:id="441343377">
      <w:bodyDiv w:val="1"/>
      <w:marLeft w:val="0"/>
      <w:marRight w:val="0"/>
      <w:marTop w:val="0"/>
      <w:marBottom w:val="0"/>
      <w:divBdr>
        <w:top w:val="none" w:sz="0" w:space="0" w:color="auto"/>
        <w:left w:val="none" w:sz="0" w:space="0" w:color="auto"/>
        <w:bottom w:val="none" w:sz="0" w:space="0" w:color="auto"/>
        <w:right w:val="none" w:sz="0" w:space="0" w:color="auto"/>
      </w:divBdr>
    </w:div>
    <w:div w:id="448548618">
      <w:bodyDiv w:val="1"/>
      <w:marLeft w:val="0"/>
      <w:marRight w:val="0"/>
      <w:marTop w:val="0"/>
      <w:marBottom w:val="0"/>
      <w:divBdr>
        <w:top w:val="none" w:sz="0" w:space="0" w:color="auto"/>
        <w:left w:val="none" w:sz="0" w:space="0" w:color="auto"/>
        <w:bottom w:val="none" w:sz="0" w:space="0" w:color="auto"/>
        <w:right w:val="none" w:sz="0" w:space="0" w:color="auto"/>
      </w:divBdr>
    </w:div>
    <w:div w:id="450511292">
      <w:bodyDiv w:val="1"/>
      <w:marLeft w:val="0"/>
      <w:marRight w:val="0"/>
      <w:marTop w:val="0"/>
      <w:marBottom w:val="0"/>
      <w:divBdr>
        <w:top w:val="none" w:sz="0" w:space="0" w:color="auto"/>
        <w:left w:val="none" w:sz="0" w:space="0" w:color="auto"/>
        <w:bottom w:val="none" w:sz="0" w:space="0" w:color="auto"/>
        <w:right w:val="none" w:sz="0" w:space="0" w:color="auto"/>
      </w:divBdr>
    </w:div>
    <w:div w:id="450560692">
      <w:bodyDiv w:val="1"/>
      <w:marLeft w:val="0"/>
      <w:marRight w:val="0"/>
      <w:marTop w:val="0"/>
      <w:marBottom w:val="0"/>
      <w:divBdr>
        <w:top w:val="none" w:sz="0" w:space="0" w:color="auto"/>
        <w:left w:val="none" w:sz="0" w:space="0" w:color="auto"/>
        <w:bottom w:val="none" w:sz="0" w:space="0" w:color="auto"/>
        <w:right w:val="none" w:sz="0" w:space="0" w:color="auto"/>
      </w:divBdr>
    </w:div>
    <w:div w:id="456527520">
      <w:bodyDiv w:val="1"/>
      <w:marLeft w:val="0"/>
      <w:marRight w:val="0"/>
      <w:marTop w:val="0"/>
      <w:marBottom w:val="0"/>
      <w:divBdr>
        <w:top w:val="none" w:sz="0" w:space="0" w:color="auto"/>
        <w:left w:val="none" w:sz="0" w:space="0" w:color="auto"/>
        <w:bottom w:val="none" w:sz="0" w:space="0" w:color="auto"/>
        <w:right w:val="none" w:sz="0" w:space="0" w:color="auto"/>
      </w:divBdr>
    </w:div>
    <w:div w:id="461390840">
      <w:bodyDiv w:val="1"/>
      <w:marLeft w:val="0"/>
      <w:marRight w:val="0"/>
      <w:marTop w:val="0"/>
      <w:marBottom w:val="0"/>
      <w:divBdr>
        <w:top w:val="none" w:sz="0" w:space="0" w:color="auto"/>
        <w:left w:val="none" w:sz="0" w:space="0" w:color="auto"/>
        <w:bottom w:val="none" w:sz="0" w:space="0" w:color="auto"/>
        <w:right w:val="none" w:sz="0" w:space="0" w:color="auto"/>
      </w:divBdr>
    </w:div>
    <w:div w:id="463159672">
      <w:bodyDiv w:val="1"/>
      <w:marLeft w:val="0"/>
      <w:marRight w:val="0"/>
      <w:marTop w:val="0"/>
      <w:marBottom w:val="0"/>
      <w:divBdr>
        <w:top w:val="none" w:sz="0" w:space="0" w:color="auto"/>
        <w:left w:val="none" w:sz="0" w:space="0" w:color="auto"/>
        <w:bottom w:val="none" w:sz="0" w:space="0" w:color="auto"/>
        <w:right w:val="none" w:sz="0" w:space="0" w:color="auto"/>
      </w:divBdr>
    </w:div>
    <w:div w:id="466748060">
      <w:bodyDiv w:val="1"/>
      <w:marLeft w:val="0"/>
      <w:marRight w:val="0"/>
      <w:marTop w:val="0"/>
      <w:marBottom w:val="0"/>
      <w:divBdr>
        <w:top w:val="none" w:sz="0" w:space="0" w:color="auto"/>
        <w:left w:val="none" w:sz="0" w:space="0" w:color="auto"/>
        <w:bottom w:val="none" w:sz="0" w:space="0" w:color="auto"/>
        <w:right w:val="none" w:sz="0" w:space="0" w:color="auto"/>
      </w:divBdr>
    </w:div>
    <w:div w:id="474183164">
      <w:bodyDiv w:val="1"/>
      <w:marLeft w:val="0"/>
      <w:marRight w:val="0"/>
      <w:marTop w:val="0"/>
      <w:marBottom w:val="0"/>
      <w:divBdr>
        <w:top w:val="none" w:sz="0" w:space="0" w:color="auto"/>
        <w:left w:val="none" w:sz="0" w:space="0" w:color="auto"/>
        <w:bottom w:val="none" w:sz="0" w:space="0" w:color="auto"/>
        <w:right w:val="none" w:sz="0" w:space="0" w:color="auto"/>
      </w:divBdr>
    </w:div>
    <w:div w:id="479150815">
      <w:bodyDiv w:val="1"/>
      <w:marLeft w:val="0"/>
      <w:marRight w:val="0"/>
      <w:marTop w:val="0"/>
      <w:marBottom w:val="0"/>
      <w:divBdr>
        <w:top w:val="none" w:sz="0" w:space="0" w:color="auto"/>
        <w:left w:val="none" w:sz="0" w:space="0" w:color="auto"/>
        <w:bottom w:val="none" w:sz="0" w:space="0" w:color="auto"/>
        <w:right w:val="none" w:sz="0" w:space="0" w:color="auto"/>
      </w:divBdr>
    </w:div>
    <w:div w:id="482892849">
      <w:bodyDiv w:val="1"/>
      <w:marLeft w:val="0"/>
      <w:marRight w:val="0"/>
      <w:marTop w:val="0"/>
      <w:marBottom w:val="0"/>
      <w:divBdr>
        <w:top w:val="none" w:sz="0" w:space="0" w:color="auto"/>
        <w:left w:val="none" w:sz="0" w:space="0" w:color="auto"/>
        <w:bottom w:val="none" w:sz="0" w:space="0" w:color="auto"/>
        <w:right w:val="none" w:sz="0" w:space="0" w:color="auto"/>
      </w:divBdr>
    </w:div>
    <w:div w:id="498421540">
      <w:bodyDiv w:val="1"/>
      <w:marLeft w:val="0"/>
      <w:marRight w:val="0"/>
      <w:marTop w:val="0"/>
      <w:marBottom w:val="0"/>
      <w:divBdr>
        <w:top w:val="none" w:sz="0" w:space="0" w:color="auto"/>
        <w:left w:val="none" w:sz="0" w:space="0" w:color="auto"/>
        <w:bottom w:val="none" w:sz="0" w:space="0" w:color="auto"/>
        <w:right w:val="none" w:sz="0" w:space="0" w:color="auto"/>
      </w:divBdr>
    </w:div>
    <w:div w:id="499394755">
      <w:bodyDiv w:val="1"/>
      <w:marLeft w:val="0"/>
      <w:marRight w:val="0"/>
      <w:marTop w:val="0"/>
      <w:marBottom w:val="0"/>
      <w:divBdr>
        <w:top w:val="none" w:sz="0" w:space="0" w:color="auto"/>
        <w:left w:val="none" w:sz="0" w:space="0" w:color="auto"/>
        <w:bottom w:val="none" w:sz="0" w:space="0" w:color="auto"/>
        <w:right w:val="none" w:sz="0" w:space="0" w:color="auto"/>
      </w:divBdr>
    </w:div>
    <w:div w:id="505053030">
      <w:bodyDiv w:val="1"/>
      <w:marLeft w:val="0"/>
      <w:marRight w:val="0"/>
      <w:marTop w:val="0"/>
      <w:marBottom w:val="0"/>
      <w:divBdr>
        <w:top w:val="none" w:sz="0" w:space="0" w:color="auto"/>
        <w:left w:val="none" w:sz="0" w:space="0" w:color="auto"/>
        <w:bottom w:val="none" w:sz="0" w:space="0" w:color="auto"/>
        <w:right w:val="none" w:sz="0" w:space="0" w:color="auto"/>
      </w:divBdr>
    </w:div>
    <w:div w:id="506136513">
      <w:bodyDiv w:val="1"/>
      <w:marLeft w:val="0"/>
      <w:marRight w:val="0"/>
      <w:marTop w:val="0"/>
      <w:marBottom w:val="0"/>
      <w:divBdr>
        <w:top w:val="none" w:sz="0" w:space="0" w:color="auto"/>
        <w:left w:val="none" w:sz="0" w:space="0" w:color="auto"/>
        <w:bottom w:val="none" w:sz="0" w:space="0" w:color="auto"/>
        <w:right w:val="none" w:sz="0" w:space="0" w:color="auto"/>
      </w:divBdr>
    </w:div>
    <w:div w:id="512065223">
      <w:bodyDiv w:val="1"/>
      <w:marLeft w:val="0"/>
      <w:marRight w:val="0"/>
      <w:marTop w:val="0"/>
      <w:marBottom w:val="0"/>
      <w:divBdr>
        <w:top w:val="none" w:sz="0" w:space="0" w:color="auto"/>
        <w:left w:val="none" w:sz="0" w:space="0" w:color="auto"/>
        <w:bottom w:val="none" w:sz="0" w:space="0" w:color="auto"/>
        <w:right w:val="none" w:sz="0" w:space="0" w:color="auto"/>
      </w:divBdr>
    </w:div>
    <w:div w:id="512233258">
      <w:bodyDiv w:val="1"/>
      <w:marLeft w:val="0"/>
      <w:marRight w:val="0"/>
      <w:marTop w:val="0"/>
      <w:marBottom w:val="0"/>
      <w:divBdr>
        <w:top w:val="none" w:sz="0" w:space="0" w:color="auto"/>
        <w:left w:val="none" w:sz="0" w:space="0" w:color="auto"/>
        <w:bottom w:val="none" w:sz="0" w:space="0" w:color="auto"/>
        <w:right w:val="none" w:sz="0" w:space="0" w:color="auto"/>
      </w:divBdr>
    </w:div>
    <w:div w:id="517887458">
      <w:bodyDiv w:val="1"/>
      <w:marLeft w:val="0"/>
      <w:marRight w:val="0"/>
      <w:marTop w:val="0"/>
      <w:marBottom w:val="0"/>
      <w:divBdr>
        <w:top w:val="none" w:sz="0" w:space="0" w:color="auto"/>
        <w:left w:val="none" w:sz="0" w:space="0" w:color="auto"/>
        <w:bottom w:val="none" w:sz="0" w:space="0" w:color="auto"/>
        <w:right w:val="none" w:sz="0" w:space="0" w:color="auto"/>
      </w:divBdr>
    </w:div>
    <w:div w:id="518204377">
      <w:bodyDiv w:val="1"/>
      <w:marLeft w:val="0"/>
      <w:marRight w:val="0"/>
      <w:marTop w:val="0"/>
      <w:marBottom w:val="0"/>
      <w:divBdr>
        <w:top w:val="none" w:sz="0" w:space="0" w:color="auto"/>
        <w:left w:val="none" w:sz="0" w:space="0" w:color="auto"/>
        <w:bottom w:val="none" w:sz="0" w:space="0" w:color="auto"/>
        <w:right w:val="none" w:sz="0" w:space="0" w:color="auto"/>
      </w:divBdr>
    </w:div>
    <w:div w:id="531771792">
      <w:bodyDiv w:val="1"/>
      <w:marLeft w:val="0"/>
      <w:marRight w:val="0"/>
      <w:marTop w:val="0"/>
      <w:marBottom w:val="0"/>
      <w:divBdr>
        <w:top w:val="none" w:sz="0" w:space="0" w:color="auto"/>
        <w:left w:val="none" w:sz="0" w:space="0" w:color="auto"/>
        <w:bottom w:val="none" w:sz="0" w:space="0" w:color="auto"/>
        <w:right w:val="none" w:sz="0" w:space="0" w:color="auto"/>
      </w:divBdr>
    </w:div>
    <w:div w:id="532041182">
      <w:bodyDiv w:val="1"/>
      <w:marLeft w:val="0"/>
      <w:marRight w:val="0"/>
      <w:marTop w:val="0"/>
      <w:marBottom w:val="0"/>
      <w:divBdr>
        <w:top w:val="none" w:sz="0" w:space="0" w:color="auto"/>
        <w:left w:val="none" w:sz="0" w:space="0" w:color="auto"/>
        <w:bottom w:val="none" w:sz="0" w:space="0" w:color="auto"/>
        <w:right w:val="none" w:sz="0" w:space="0" w:color="auto"/>
      </w:divBdr>
    </w:div>
    <w:div w:id="540435370">
      <w:bodyDiv w:val="1"/>
      <w:marLeft w:val="0"/>
      <w:marRight w:val="0"/>
      <w:marTop w:val="0"/>
      <w:marBottom w:val="0"/>
      <w:divBdr>
        <w:top w:val="none" w:sz="0" w:space="0" w:color="auto"/>
        <w:left w:val="none" w:sz="0" w:space="0" w:color="auto"/>
        <w:bottom w:val="none" w:sz="0" w:space="0" w:color="auto"/>
        <w:right w:val="none" w:sz="0" w:space="0" w:color="auto"/>
      </w:divBdr>
    </w:div>
    <w:div w:id="542864068">
      <w:bodyDiv w:val="1"/>
      <w:marLeft w:val="0"/>
      <w:marRight w:val="0"/>
      <w:marTop w:val="0"/>
      <w:marBottom w:val="0"/>
      <w:divBdr>
        <w:top w:val="none" w:sz="0" w:space="0" w:color="auto"/>
        <w:left w:val="none" w:sz="0" w:space="0" w:color="auto"/>
        <w:bottom w:val="none" w:sz="0" w:space="0" w:color="auto"/>
        <w:right w:val="none" w:sz="0" w:space="0" w:color="auto"/>
      </w:divBdr>
    </w:div>
    <w:div w:id="548104933">
      <w:bodyDiv w:val="1"/>
      <w:marLeft w:val="0"/>
      <w:marRight w:val="0"/>
      <w:marTop w:val="0"/>
      <w:marBottom w:val="0"/>
      <w:divBdr>
        <w:top w:val="none" w:sz="0" w:space="0" w:color="auto"/>
        <w:left w:val="none" w:sz="0" w:space="0" w:color="auto"/>
        <w:bottom w:val="none" w:sz="0" w:space="0" w:color="auto"/>
        <w:right w:val="none" w:sz="0" w:space="0" w:color="auto"/>
      </w:divBdr>
    </w:div>
    <w:div w:id="551383412">
      <w:bodyDiv w:val="1"/>
      <w:marLeft w:val="0"/>
      <w:marRight w:val="0"/>
      <w:marTop w:val="0"/>
      <w:marBottom w:val="0"/>
      <w:divBdr>
        <w:top w:val="none" w:sz="0" w:space="0" w:color="auto"/>
        <w:left w:val="none" w:sz="0" w:space="0" w:color="auto"/>
        <w:bottom w:val="none" w:sz="0" w:space="0" w:color="auto"/>
        <w:right w:val="none" w:sz="0" w:space="0" w:color="auto"/>
      </w:divBdr>
    </w:div>
    <w:div w:id="556355634">
      <w:bodyDiv w:val="1"/>
      <w:marLeft w:val="0"/>
      <w:marRight w:val="0"/>
      <w:marTop w:val="0"/>
      <w:marBottom w:val="0"/>
      <w:divBdr>
        <w:top w:val="none" w:sz="0" w:space="0" w:color="auto"/>
        <w:left w:val="none" w:sz="0" w:space="0" w:color="auto"/>
        <w:bottom w:val="none" w:sz="0" w:space="0" w:color="auto"/>
        <w:right w:val="none" w:sz="0" w:space="0" w:color="auto"/>
      </w:divBdr>
    </w:div>
    <w:div w:id="562250882">
      <w:bodyDiv w:val="1"/>
      <w:marLeft w:val="0"/>
      <w:marRight w:val="0"/>
      <w:marTop w:val="0"/>
      <w:marBottom w:val="0"/>
      <w:divBdr>
        <w:top w:val="none" w:sz="0" w:space="0" w:color="auto"/>
        <w:left w:val="none" w:sz="0" w:space="0" w:color="auto"/>
        <w:bottom w:val="none" w:sz="0" w:space="0" w:color="auto"/>
        <w:right w:val="none" w:sz="0" w:space="0" w:color="auto"/>
      </w:divBdr>
    </w:div>
    <w:div w:id="562567974">
      <w:bodyDiv w:val="1"/>
      <w:marLeft w:val="0"/>
      <w:marRight w:val="0"/>
      <w:marTop w:val="0"/>
      <w:marBottom w:val="0"/>
      <w:divBdr>
        <w:top w:val="none" w:sz="0" w:space="0" w:color="auto"/>
        <w:left w:val="none" w:sz="0" w:space="0" w:color="auto"/>
        <w:bottom w:val="none" w:sz="0" w:space="0" w:color="auto"/>
        <w:right w:val="none" w:sz="0" w:space="0" w:color="auto"/>
      </w:divBdr>
    </w:div>
    <w:div w:id="563492109">
      <w:bodyDiv w:val="1"/>
      <w:marLeft w:val="0"/>
      <w:marRight w:val="0"/>
      <w:marTop w:val="0"/>
      <w:marBottom w:val="0"/>
      <w:divBdr>
        <w:top w:val="none" w:sz="0" w:space="0" w:color="auto"/>
        <w:left w:val="none" w:sz="0" w:space="0" w:color="auto"/>
        <w:bottom w:val="none" w:sz="0" w:space="0" w:color="auto"/>
        <w:right w:val="none" w:sz="0" w:space="0" w:color="auto"/>
      </w:divBdr>
    </w:div>
    <w:div w:id="568658290">
      <w:bodyDiv w:val="1"/>
      <w:marLeft w:val="0"/>
      <w:marRight w:val="0"/>
      <w:marTop w:val="0"/>
      <w:marBottom w:val="0"/>
      <w:divBdr>
        <w:top w:val="none" w:sz="0" w:space="0" w:color="auto"/>
        <w:left w:val="none" w:sz="0" w:space="0" w:color="auto"/>
        <w:bottom w:val="none" w:sz="0" w:space="0" w:color="auto"/>
        <w:right w:val="none" w:sz="0" w:space="0" w:color="auto"/>
      </w:divBdr>
    </w:div>
    <w:div w:id="574896803">
      <w:bodyDiv w:val="1"/>
      <w:marLeft w:val="0"/>
      <w:marRight w:val="0"/>
      <w:marTop w:val="0"/>
      <w:marBottom w:val="0"/>
      <w:divBdr>
        <w:top w:val="none" w:sz="0" w:space="0" w:color="auto"/>
        <w:left w:val="none" w:sz="0" w:space="0" w:color="auto"/>
        <w:bottom w:val="none" w:sz="0" w:space="0" w:color="auto"/>
        <w:right w:val="none" w:sz="0" w:space="0" w:color="auto"/>
      </w:divBdr>
    </w:div>
    <w:div w:id="577786798">
      <w:bodyDiv w:val="1"/>
      <w:marLeft w:val="0"/>
      <w:marRight w:val="0"/>
      <w:marTop w:val="0"/>
      <w:marBottom w:val="0"/>
      <w:divBdr>
        <w:top w:val="none" w:sz="0" w:space="0" w:color="auto"/>
        <w:left w:val="none" w:sz="0" w:space="0" w:color="auto"/>
        <w:bottom w:val="none" w:sz="0" w:space="0" w:color="auto"/>
        <w:right w:val="none" w:sz="0" w:space="0" w:color="auto"/>
      </w:divBdr>
    </w:div>
    <w:div w:id="582573626">
      <w:bodyDiv w:val="1"/>
      <w:marLeft w:val="0"/>
      <w:marRight w:val="0"/>
      <w:marTop w:val="0"/>
      <w:marBottom w:val="0"/>
      <w:divBdr>
        <w:top w:val="none" w:sz="0" w:space="0" w:color="auto"/>
        <w:left w:val="none" w:sz="0" w:space="0" w:color="auto"/>
        <w:bottom w:val="none" w:sz="0" w:space="0" w:color="auto"/>
        <w:right w:val="none" w:sz="0" w:space="0" w:color="auto"/>
      </w:divBdr>
    </w:div>
    <w:div w:id="586158394">
      <w:bodyDiv w:val="1"/>
      <w:marLeft w:val="0"/>
      <w:marRight w:val="0"/>
      <w:marTop w:val="0"/>
      <w:marBottom w:val="0"/>
      <w:divBdr>
        <w:top w:val="none" w:sz="0" w:space="0" w:color="auto"/>
        <w:left w:val="none" w:sz="0" w:space="0" w:color="auto"/>
        <w:bottom w:val="none" w:sz="0" w:space="0" w:color="auto"/>
        <w:right w:val="none" w:sz="0" w:space="0" w:color="auto"/>
      </w:divBdr>
    </w:div>
    <w:div w:id="597715126">
      <w:bodyDiv w:val="1"/>
      <w:marLeft w:val="0"/>
      <w:marRight w:val="0"/>
      <w:marTop w:val="0"/>
      <w:marBottom w:val="0"/>
      <w:divBdr>
        <w:top w:val="none" w:sz="0" w:space="0" w:color="auto"/>
        <w:left w:val="none" w:sz="0" w:space="0" w:color="auto"/>
        <w:bottom w:val="none" w:sz="0" w:space="0" w:color="auto"/>
        <w:right w:val="none" w:sz="0" w:space="0" w:color="auto"/>
      </w:divBdr>
    </w:div>
    <w:div w:id="602539696">
      <w:bodyDiv w:val="1"/>
      <w:marLeft w:val="0"/>
      <w:marRight w:val="0"/>
      <w:marTop w:val="0"/>
      <w:marBottom w:val="0"/>
      <w:divBdr>
        <w:top w:val="none" w:sz="0" w:space="0" w:color="auto"/>
        <w:left w:val="none" w:sz="0" w:space="0" w:color="auto"/>
        <w:bottom w:val="none" w:sz="0" w:space="0" w:color="auto"/>
        <w:right w:val="none" w:sz="0" w:space="0" w:color="auto"/>
      </w:divBdr>
    </w:div>
    <w:div w:id="603804357">
      <w:bodyDiv w:val="1"/>
      <w:marLeft w:val="0"/>
      <w:marRight w:val="0"/>
      <w:marTop w:val="0"/>
      <w:marBottom w:val="0"/>
      <w:divBdr>
        <w:top w:val="none" w:sz="0" w:space="0" w:color="auto"/>
        <w:left w:val="none" w:sz="0" w:space="0" w:color="auto"/>
        <w:bottom w:val="none" w:sz="0" w:space="0" w:color="auto"/>
        <w:right w:val="none" w:sz="0" w:space="0" w:color="auto"/>
      </w:divBdr>
    </w:div>
    <w:div w:id="606040739">
      <w:bodyDiv w:val="1"/>
      <w:marLeft w:val="0"/>
      <w:marRight w:val="0"/>
      <w:marTop w:val="0"/>
      <w:marBottom w:val="0"/>
      <w:divBdr>
        <w:top w:val="none" w:sz="0" w:space="0" w:color="auto"/>
        <w:left w:val="none" w:sz="0" w:space="0" w:color="auto"/>
        <w:bottom w:val="none" w:sz="0" w:space="0" w:color="auto"/>
        <w:right w:val="none" w:sz="0" w:space="0" w:color="auto"/>
      </w:divBdr>
    </w:div>
    <w:div w:id="607389146">
      <w:bodyDiv w:val="1"/>
      <w:marLeft w:val="0"/>
      <w:marRight w:val="0"/>
      <w:marTop w:val="0"/>
      <w:marBottom w:val="0"/>
      <w:divBdr>
        <w:top w:val="none" w:sz="0" w:space="0" w:color="auto"/>
        <w:left w:val="none" w:sz="0" w:space="0" w:color="auto"/>
        <w:bottom w:val="none" w:sz="0" w:space="0" w:color="auto"/>
        <w:right w:val="none" w:sz="0" w:space="0" w:color="auto"/>
      </w:divBdr>
    </w:div>
    <w:div w:id="611933677">
      <w:bodyDiv w:val="1"/>
      <w:marLeft w:val="0"/>
      <w:marRight w:val="0"/>
      <w:marTop w:val="0"/>
      <w:marBottom w:val="0"/>
      <w:divBdr>
        <w:top w:val="none" w:sz="0" w:space="0" w:color="auto"/>
        <w:left w:val="none" w:sz="0" w:space="0" w:color="auto"/>
        <w:bottom w:val="none" w:sz="0" w:space="0" w:color="auto"/>
        <w:right w:val="none" w:sz="0" w:space="0" w:color="auto"/>
      </w:divBdr>
    </w:div>
    <w:div w:id="613246615">
      <w:bodyDiv w:val="1"/>
      <w:marLeft w:val="0"/>
      <w:marRight w:val="0"/>
      <w:marTop w:val="0"/>
      <w:marBottom w:val="0"/>
      <w:divBdr>
        <w:top w:val="none" w:sz="0" w:space="0" w:color="auto"/>
        <w:left w:val="none" w:sz="0" w:space="0" w:color="auto"/>
        <w:bottom w:val="none" w:sz="0" w:space="0" w:color="auto"/>
        <w:right w:val="none" w:sz="0" w:space="0" w:color="auto"/>
      </w:divBdr>
    </w:div>
    <w:div w:id="622152447">
      <w:bodyDiv w:val="1"/>
      <w:marLeft w:val="0"/>
      <w:marRight w:val="0"/>
      <w:marTop w:val="0"/>
      <w:marBottom w:val="0"/>
      <w:divBdr>
        <w:top w:val="none" w:sz="0" w:space="0" w:color="auto"/>
        <w:left w:val="none" w:sz="0" w:space="0" w:color="auto"/>
        <w:bottom w:val="none" w:sz="0" w:space="0" w:color="auto"/>
        <w:right w:val="none" w:sz="0" w:space="0" w:color="auto"/>
      </w:divBdr>
    </w:div>
    <w:div w:id="622926147">
      <w:bodyDiv w:val="1"/>
      <w:marLeft w:val="0"/>
      <w:marRight w:val="0"/>
      <w:marTop w:val="0"/>
      <w:marBottom w:val="0"/>
      <w:divBdr>
        <w:top w:val="none" w:sz="0" w:space="0" w:color="auto"/>
        <w:left w:val="none" w:sz="0" w:space="0" w:color="auto"/>
        <w:bottom w:val="none" w:sz="0" w:space="0" w:color="auto"/>
        <w:right w:val="none" w:sz="0" w:space="0" w:color="auto"/>
      </w:divBdr>
    </w:div>
    <w:div w:id="630328083">
      <w:bodyDiv w:val="1"/>
      <w:marLeft w:val="0"/>
      <w:marRight w:val="0"/>
      <w:marTop w:val="0"/>
      <w:marBottom w:val="0"/>
      <w:divBdr>
        <w:top w:val="none" w:sz="0" w:space="0" w:color="auto"/>
        <w:left w:val="none" w:sz="0" w:space="0" w:color="auto"/>
        <w:bottom w:val="none" w:sz="0" w:space="0" w:color="auto"/>
        <w:right w:val="none" w:sz="0" w:space="0" w:color="auto"/>
      </w:divBdr>
    </w:div>
    <w:div w:id="631177238">
      <w:bodyDiv w:val="1"/>
      <w:marLeft w:val="0"/>
      <w:marRight w:val="0"/>
      <w:marTop w:val="0"/>
      <w:marBottom w:val="0"/>
      <w:divBdr>
        <w:top w:val="none" w:sz="0" w:space="0" w:color="auto"/>
        <w:left w:val="none" w:sz="0" w:space="0" w:color="auto"/>
        <w:bottom w:val="none" w:sz="0" w:space="0" w:color="auto"/>
        <w:right w:val="none" w:sz="0" w:space="0" w:color="auto"/>
      </w:divBdr>
    </w:div>
    <w:div w:id="631594393">
      <w:bodyDiv w:val="1"/>
      <w:marLeft w:val="0"/>
      <w:marRight w:val="0"/>
      <w:marTop w:val="0"/>
      <w:marBottom w:val="0"/>
      <w:divBdr>
        <w:top w:val="none" w:sz="0" w:space="0" w:color="auto"/>
        <w:left w:val="none" w:sz="0" w:space="0" w:color="auto"/>
        <w:bottom w:val="none" w:sz="0" w:space="0" w:color="auto"/>
        <w:right w:val="none" w:sz="0" w:space="0" w:color="auto"/>
      </w:divBdr>
    </w:div>
    <w:div w:id="633025130">
      <w:bodyDiv w:val="1"/>
      <w:marLeft w:val="0"/>
      <w:marRight w:val="0"/>
      <w:marTop w:val="0"/>
      <w:marBottom w:val="0"/>
      <w:divBdr>
        <w:top w:val="none" w:sz="0" w:space="0" w:color="auto"/>
        <w:left w:val="none" w:sz="0" w:space="0" w:color="auto"/>
        <w:bottom w:val="none" w:sz="0" w:space="0" w:color="auto"/>
        <w:right w:val="none" w:sz="0" w:space="0" w:color="auto"/>
      </w:divBdr>
    </w:div>
    <w:div w:id="640043267">
      <w:bodyDiv w:val="1"/>
      <w:marLeft w:val="0"/>
      <w:marRight w:val="0"/>
      <w:marTop w:val="0"/>
      <w:marBottom w:val="0"/>
      <w:divBdr>
        <w:top w:val="none" w:sz="0" w:space="0" w:color="auto"/>
        <w:left w:val="none" w:sz="0" w:space="0" w:color="auto"/>
        <w:bottom w:val="none" w:sz="0" w:space="0" w:color="auto"/>
        <w:right w:val="none" w:sz="0" w:space="0" w:color="auto"/>
      </w:divBdr>
    </w:div>
    <w:div w:id="640228698">
      <w:bodyDiv w:val="1"/>
      <w:marLeft w:val="0"/>
      <w:marRight w:val="0"/>
      <w:marTop w:val="0"/>
      <w:marBottom w:val="0"/>
      <w:divBdr>
        <w:top w:val="none" w:sz="0" w:space="0" w:color="auto"/>
        <w:left w:val="none" w:sz="0" w:space="0" w:color="auto"/>
        <w:bottom w:val="none" w:sz="0" w:space="0" w:color="auto"/>
        <w:right w:val="none" w:sz="0" w:space="0" w:color="auto"/>
      </w:divBdr>
    </w:div>
    <w:div w:id="646935948">
      <w:bodyDiv w:val="1"/>
      <w:marLeft w:val="0"/>
      <w:marRight w:val="0"/>
      <w:marTop w:val="0"/>
      <w:marBottom w:val="0"/>
      <w:divBdr>
        <w:top w:val="none" w:sz="0" w:space="0" w:color="auto"/>
        <w:left w:val="none" w:sz="0" w:space="0" w:color="auto"/>
        <w:bottom w:val="none" w:sz="0" w:space="0" w:color="auto"/>
        <w:right w:val="none" w:sz="0" w:space="0" w:color="auto"/>
      </w:divBdr>
    </w:div>
    <w:div w:id="647393254">
      <w:bodyDiv w:val="1"/>
      <w:marLeft w:val="0"/>
      <w:marRight w:val="0"/>
      <w:marTop w:val="0"/>
      <w:marBottom w:val="0"/>
      <w:divBdr>
        <w:top w:val="none" w:sz="0" w:space="0" w:color="auto"/>
        <w:left w:val="none" w:sz="0" w:space="0" w:color="auto"/>
        <w:bottom w:val="none" w:sz="0" w:space="0" w:color="auto"/>
        <w:right w:val="none" w:sz="0" w:space="0" w:color="auto"/>
      </w:divBdr>
    </w:div>
    <w:div w:id="663700087">
      <w:bodyDiv w:val="1"/>
      <w:marLeft w:val="0"/>
      <w:marRight w:val="0"/>
      <w:marTop w:val="0"/>
      <w:marBottom w:val="0"/>
      <w:divBdr>
        <w:top w:val="none" w:sz="0" w:space="0" w:color="auto"/>
        <w:left w:val="none" w:sz="0" w:space="0" w:color="auto"/>
        <w:bottom w:val="none" w:sz="0" w:space="0" w:color="auto"/>
        <w:right w:val="none" w:sz="0" w:space="0" w:color="auto"/>
      </w:divBdr>
    </w:div>
    <w:div w:id="667900041">
      <w:bodyDiv w:val="1"/>
      <w:marLeft w:val="0"/>
      <w:marRight w:val="0"/>
      <w:marTop w:val="0"/>
      <w:marBottom w:val="0"/>
      <w:divBdr>
        <w:top w:val="none" w:sz="0" w:space="0" w:color="auto"/>
        <w:left w:val="none" w:sz="0" w:space="0" w:color="auto"/>
        <w:bottom w:val="none" w:sz="0" w:space="0" w:color="auto"/>
        <w:right w:val="none" w:sz="0" w:space="0" w:color="auto"/>
      </w:divBdr>
    </w:div>
    <w:div w:id="671372627">
      <w:bodyDiv w:val="1"/>
      <w:marLeft w:val="0"/>
      <w:marRight w:val="0"/>
      <w:marTop w:val="0"/>
      <w:marBottom w:val="0"/>
      <w:divBdr>
        <w:top w:val="none" w:sz="0" w:space="0" w:color="auto"/>
        <w:left w:val="none" w:sz="0" w:space="0" w:color="auto"/>
        <w:bottom w:val="none" w:sz="0" w:space="0" w:color="auto"/>
        <w:right w:val="none" w:sz="0" w:space="0" w:color="auto"/>
      </w:divBdr>
    </w:div>
    <w:div w:id="677466221">
      <w:bodyDiv w:val="1"/>
      <w:marLeft w:val="0"/>
      <w:marRight w:val="0"/>
      <w:marTop w:val="0"/>
      <w:marBottom w:val="0"/>
      <w:divBdr>
        <w:top w:val="none" w:sz="0" w:space="0" w:color="auto"/>
        <w:left w:val="none" w:sz="0" w:space="0" w:color="auto"/>
        <w:bottom w:val="none" w:sz="0" w:space="0" w:color="auto"/>
        <w:right w:val="none" w:sz="0" w:space="0" w:color="auto"/>
      </w:divBdr>
    </w:div>
    <w:div w:id="680158748">
      <w:bodyDiv w:val="1"/>
      <w:marLeft w:val="0"/>
      <w:marRight w:val="0"/>
      <w:marTop w:val="0"/>
      <w:marBottom w:val="0"/>
      <w:divBdr>
        <w:top w:val="none" w:sz="0" w:space="0" w:color="auto"/>
        <w:left w:val="none" w:sz="0" w:space="0" w:color="auto"/>
        <w:bottom w:val="none" w:sz="0" w:space="0" w:color="auto"/>
        <w:right w:val="none" w:sz="0" w:space="0" w:color="auto"/>
      </w:divBdr>
    </w:div>
    <w:div w:id="681132067">
      <w:bodyDiv w:val="1"/>
      <w:marLeft w:val="0"/>
      <w:marRight w:val="0"/>
      <w:marTop w:val="0"/>
      <w:marBottom w:val="0"/>
      <w:divBdr>
        <w:top w:val="none" w:sz="0" w:space="0" w:color="auto"/>
        <w:left w:val="none" w:sz="0" w:space="0" w:color="auto"/>
        <w:bottom w:val="none" w:sz="0" w:space="0" w:color="auto"/>
        <w:right w:val="none" w:sz="0" w:space="0" w:color="auto"/>
      </w:divBdr>
    </w:div>
    <w:div w:id="681589748">
      <w:bodyDiv w:val="1"/>
      <w:marLeft w:val="0"/>
      <w:marRight w:val="0"/>
      <w:marTop w:val="0"/>
      <w:marBottom w:val="0"/>
      <w:divBdr>
        <w:top w:val="none" w:sz="0" w:space="0" w:color="auto"/>
        <w:left w:val="none" w:sz="0" w:space="0" w:color="auto"/>
        <w:bottom w:val="none" w:sz="0" w:space="0" w:color="auto"/>
        <w:right w:val="none" w:sz="0" w:space="0" w:color="auto"/>
      </w:divBdr>
    </w:div>
    <w:div w:id="683284271">
      <w:bodyDiv w:val="1"/>
      <w:marLeft w:val="0"/>
      <w:marRight w:val="0"/>
      <w:marTop w:val="0"/>
      <w:marBottom w:val="0"/>
      <w:divBdr>
        <w:top w:val="none" w:sz="0" w:space="0" w:color="auto"/>
        <w:left w:val="none" w:sz="0" w:space="0" w:color="auto"/>
        <w:bottom w:val="none" w:sz="0" w:space="0" w:color="auto"/>
        <w:right w:val="none" w:sz="0" w:space="0" w:color="auto"/>
      </w:divBdr>
    </w:div>
    <w:div w:id="691801686">
      <w:bodyDiv w:val="1"/>
      <w:marLeft w:val="0"/>
      <w:marRight w:val="0"/>
      <w:marTop w:val="0"/>
      <w:marBottom w:val="0"/>
      <w:divBdr>
        <w:top w:val="none" w:sz="0" w:space="0" w:color="auto"/>
        <w:left w:val="none" w:sz="0" w:space="0" w:color="auto"/>
        <w:bottom w:val="none" w:sz="0" w:space="0" w:color="auto"/>
        <w:right w:val="none" w:sz="0" w:space="0" w:color="auto"/>
      </w:divBdr>
    </w:div>
    <w:div w:id="692220420">
      <w:bodyDiv w:val="1"/>
      <w:marLeft w:val="0"/>
      <w:marRight w:val="0"/>
      <w:marTop w:val="0"/>
      <w:marBottom w:val="0"/>
      <w:divBdr>
        <w:top w:val="none" w:sz="0" w:space="0" w:color="auto"/>
        <w:left w:val="none" w:sz="0" w:space="0" w:color="auto"/>
        <w:bottom w:val="none" w:sz="0" w:space="0" w:color="auto"/>
        <w:right w:val="none" w:sz="0" w:space="0" w:color="auto"/>
      </w:divBdr>
    </w:div>
    <w:div w:id="693769291">
      <w:bodyDiv w:val="1"/>
      <w:marLeft w:val="0"/>
      <w:marRight w:val="0"/>
      <w:marTop w:val="0"/>
      <w:marBottom w:val="0"/>
      <w:divBdr>
        <w:top w:val="none" w:sz="0" w:space="0" w:color="auto"/>
        <w:left w:val="none" w:sz="0" w:space="0" w:color="auto"/>
        <w:bottom w:val="none" w:sz="0" w:space="0" w:color="auto"/>
        <w:right w:val="none" w:sz="0" w:space="0" w:color="auto"/>
      </w:divBdr>
    </w:div>
    <w:div w:id="696152778">
      <w:bodyDiv w:val="1"/>
      <w:marLeft w:val="0"/>
      <w:marRight w:val="0"/>
      <w:marTop w:val="0"/>
      <w:marBottom w:val="0"/>
      <w:divBdr>
        <w:top w:val="none" w:sz="0" w:space="0" w:color="auto"/>
        <w:left w:val="none" w:sz="0" w:space="0" w:color="auto"/>
        <w:bottom w:val="none" w:sz="0" w:space="0" w:color="auto"/>
        <w:right w:val="none" w:sz="0" w:space="0" w:color="auto"/>
      </w:divBdr>
    </w:div>
    <w:div w:id="697924883">
      <w:bodyDiv w:val="1"/>
      <w:marLeft w:val="0"/>
      <w:marRight w:val="0"/>
      <w:marTop w:val="0"/>
      <w:marBottom w:val="0"/>
      <w:divBdr>
        <w:top w:val="none" w:sz="0" w:space="0" w:color="auto"/>
        <w:left w:val="none" w:sz="0" w:space="0" w:color="auto"/>
        <w:bottom w:val="none" w:sz="0" w:space="0" w:color="auto"/>
        <w:right w:val="none" w:sz="0" w:space="0" w:color="auto"/>
      </w:divBdr>
    </w:div>
    <w:div w:id="705954670">
      <w:bodyDiv w:val="1"/>
      <w:marLeft w:val="0"/>
      <w:marRight w:val="0"/>
      <w:marTop w:val="0"/>
      <w:marBottom w:val="0"/>
      <w:divBdr>
        <w:top w:val="none" w:sz="0" w:space="0" w:color="auto"/>
        <w:left w:val="none" w:sz="0" w:space="0" w:color="auto"/>
        <w:bottom w:val="none" w:sz="0" w:space="0" w:color="auto"/>
        <w:right w:val="none" w:sz="0" w:space="0" w:color="auto"/>
      </w:divBdr>
    </w:div>
    <w:div w:id="709888301">
      <w:bodyDiv w:val="1"/>
      <w:marLeft w:val="0"/>
      <w:marRight w:val="0"/>
      <w:marTop w:val="0"/>
      <w:marBottom w:val="0"/>
      <w:divBdr>
        <w:top w:val="none" w:sz="0" w:space="0" w:color="auto"/>
        <w:left w:val="none" w:sz="0" w:space="0" w:color="auto"/>
        <w:bottom w:val="none" w:sz="0" w:space="0" w:color="auto"/>
        <w:right w:val="none" w:sz="0" w:space="0" w:color="auto"/>
      </w:divBdr>
    </w:div>
    <w:div w:id="710106668">
      <w:bodyDiv w:val="1"/>
      <w:marLeft w:val="0"/>
      <w:marRight w:val="0"/>
      <w:marTop w:val="0"/>
      <w:marBottom w:val="0"/>
      <w:divBdr>
        <w:top w:val="none" w:sz="0" w:space="0" w:color="auto"/>
        <w:left w:val="none" w:sz="0" w:space="0" w:color="auto"/>
        <w:bottom w:val="none" w:sz="0" w:space="0" w:color="auto"/>
        <w:right w:val="none" w:sz="0" w:space="0" w:color="auto"/>
      </w:divBdr>
    </w:div>
    <w:div w:id="713313602">
      <w:bodyDiv w:val="1"/>
      <w:marLeft w:val="0"/>
      <w:marRight w:val="0"/>
      <w:marTop w:val="0"/>
      <w:marBottom w:val="0"/>
      <w:divBdr>
        <w:top w:val="none" w:sz="0" w:space="0" w:color="auto"/>
        <w:left w:val="none" w:sz="0" w:space="0" w:color="auto"/>
        <w:bottom w:val="none" w:sz="0" w:space="0" w:color="auto"/>
        <w:right w:val="none" w:sz="0" w:space="0" w:color="auto"/>
      </w:divBdr>
    </w:div>
    <w:div w:id="714083177">
      <w:bodyDiv w:val="1"/>
      <w:marLeft w:val="0"/>
      <w:marRight w:val="0"/>
      <w:marTop w:val="0"/>
      <w:marBottom w:val="0"/>
      <w:divBdr>
        <w:top w:val="none" w:sz="0" w:space="0" w:color="auto"/>
        <w:left w:val="none" w:sz="0" w:space="0" w:color="auto"/>
        <w:bottom w:val="none" w:sz="0" w:space="0" w:color="auto"/>
        <w:right w:val="none" w:sz="0" w:space="0" w:color="auto"/>
      </w:divBdr>
    </w:div>
    <w:div w:id="717048235">
      <w:bodyDiv w:val="1"/>
      <w:marLeft w:val="0"/>
      <w:marRight w:val="0"/>
      <w:marTop w:val="0"/>
      <w:marBottom w:val="0"/>
      <w:divBdr>
        <w:top w:val="none" w:sz="0" w:space="0" w:color="auto"/>
        <w:left w:val="none" w:sz="0" w:space="0" w:color="auto"/>
        <w:bottom w:val="none" w:sz="0" w:space="0" w:color="auto"/>
        <w:right w:val="none" w:sz="0" w:space="0" w:color="auto"/>
      </w:divBdr>
    </w:div>
    <w:div w:id="719019664">
      <w:bodyDiv w:val="1"/>
      <w:marLeft w:val="0"/>
      <w:marRight w:val="0"/>
      <w:marTop w:val="0"/>
      <w:marBottom w:val="0"/>
      <w:divBdr>
        <w:top w:val="none" w:sz="0" w:space="0" w:color="auto"/>
        <w:left w:val="none" w:sz="0" w:space="0" w:color="auto"/>
        <w:bottom w:val="none" w:sz="0" w:space="0" w:color="auto"/>
        <w:right w:val="none" w:sz="0" w:space="0" w:color="auto"/>
      </w:divBdr>
    </w:div>
    <w:div w:id="720515789">
      <w:bodyDiv w:val="1"/>
      <w:marLeft w:val="0"/>
      <w:marRight w:val="0"/>
      <w:marTop w:val="0"/>
      <w:marBottom w:val="0"/>
      <w:divBdr>
        <w:top w:val="none" w:sz="0" w:space="0" w:color="auto"/>
        <w:left w:val="none" w:sz="0" w:space="0" w:color="auto"/>
        <w:bottom w:val="none" w:sz="0" w:space="0" w:color="auto"/>
        <w:right w:val="none" w:sz="0" w:space="0" w:color="auto"/>
      </w:divBdr>
    </w:div>
    <w:div w:id="725950217">
      <w:bodyDiv w:val="1"/>
      <w:marLeft w:val="0"/>
      <w:marRight w:val="0"/>
      <w:marTop w:val="0"/>
      <w:marBottom w:val="0"/>
      <w:divBdr>
        <w:top w:val="none" w:sz="0" w:space="0" w:color="auto"/>
        <w:left w:val="none" w:sz="0" w:space="0" w:color="auto"/>
        <w:bottom w:val="none" w:sz="0" w:space="0" w:color="auto"/>
        <w:right w:val="none" w:sz="0" w:space="0" w:color="auto"/>
      </w:divBdr>
    </w:div>
    <w:div w:id="734620606">
      <w:bodyDiv w:val="1"/>
      <w:marLeft w:val="0"/>
      <w:marRight w:val="0"/>
      <w:marTop w:val="0"/>
      <w:marBottom w:val="0"/>
      <w:divBdr>
        <w:top w:val="none" w:sz="0" w:space="0" w:color="auto"/>
        <w:left w:val="none" w:sz="0" w:space="0" w:color="auto"/>
        <w:bottom w:val="none" w:sz="0" w:space="0" w:color="auto"/>
        <w:right w:val="none" w:sz="0" w:space="0" w:color="auto"/>
      </w:divBdr>
    </w:div>
    <w:div w:id="735249029">
      <w:bodyDiv w:val="1"/>
      <w:marLeft w:val="0"/>
      <w:marRight w:val="0"/>
      <w:marTop w:val="0"/>
      <w:marBottom w:val="0"/>
      <w:divBdr>
        <w:top w:val="none" w:sz="0" w:space="0" w:color="auto"/>
        <w:left w:val="none" w:sz="0" w:space="0" w:color="auto"/>
        <w:bottom w:val="none" w:sz="0" w:space="0" w:color="auto"/>
        <w:right w:val="none" w:sz="0" w:space="0" w:color="auto"/>
      </w:divBdr>
    </w:div>
    <w:div w:id="736250301">
      <w:bodyDiv w:val="1"/>
      <w:marLeft w:val="0"/>
      <w:marRight w:val="0"/>
      <w:marTop w:val="0"/>
      <w:marBottom w:val="0"/>
      <w:divBdr>
        <w:top w:val="none" w:sz="0" w:space="0" w:color="auto"/>
        <w:left w:val="none" w:sz="0" w:space="0" w:color="auto"/>
        <w:bottom w:val="none" w:sz="0" w:space="0" w:color="auto"/>
        <w:right w:val="none" w:sz="0" w:space="0" w:color="auto"/>
      </w:divBdr>
    </w:div>
    <w:div w:id="739601767">
      <w:bodyDiv w:val="1"/>
      <w:marLeft w:val="0"/>
      <w:marRight w:val="0"/>
      <w:marTop w:val="0"/>
      <w:marBottom w:val="0"/>
      <w:divBdr>
        <w:top w:val="none" w:sz="0" w:space="0" w:color="auto"/>
        <w:left w:val="none" w:sz="0" w:space="0" w:color="auto"/>
        <w:bottom w:val="none" w:sz="0" w:space="0" w:color="auto"/>
        <w:right w:val="none" w:sz="0" w:space="0" w:color="auto"/>
      </w:divBdr>
    </w:div>
    <w:div w:id="741875904">
      <w:bodyDiv w:val="1"/>
      <w:marLeft w:val="0"/>
      <w:marRight w:val="0"/>
      <w:marTop w:val="0"/>
      <w:marBottom w:val="0"/>
      <w:divBdr>
        <w:top w:val="none" w:sz="0" w:space="0" w:color="auto"/>
        <w:left w:val="none" w:sz="0" w:space="0" w:color="auto"/>
        <w:bottom w:val="none" w:sz="0" w:space="0" w:color="auto"/>
        <w:right w:val="none" w:sz="0" w:space="0" w:color="auto"/>
      </w:divBdr>
    </w:div>
    <w:div w:id="748964047">
      <w:bodyDiv w:val="1"/>
      <w:marLeft w:val="0"/>
      <w:marRight w:val="0"/>
      <w:marTop w:val="0"/>
      <w:marBottom w:val="0"/>
      <w:divBdr>
        <w:top w:val="none" w:sz="0" w:space="0" w:color="auto"/>
        <w:left w:val="none" w:sz="0" w:space="0" w:color="auto"/>
        <w:bottom w:val="none" w:sz="0" w:space="0" w:color="auto"/>
        <w:right w:val="none" w:sz="0" w:space="0" w:color="auto"/>
      </w:divBdr>
    </w:div>
    <w:div w:id="752819622">
      <w:bodyDiv w:val="1"/>
      <w:marLeft w:val="0"/>
      <w:marRight w:val="0"/>
      <w:marTop w:val="0"/>
      <w:marBottom w:val="0"/>
      <w:divBdr>
        <w:top w:val="none" w:sz="0" w:space="0" w:color="auto"/>
        <w:left w:val="none" w:sz="0" w:space="0" w:color="auto"/>
        <w:bottom w:val="none" w:sz="0" w:space="0" w:color="auto"/>
        <w:right w:val="none" w:sz="0" w:space="0" w:color="auto"/>
      </w:divBdr>
    </w:div>
    <w:div w:id="753622391">
      <w:bodyDiv w:val="1"/>
      <w:marLeft w:val="0"/>
      <w:marRight w:val="0"/>
      <w:marTop w:val="0"/>
      <w:marBottom w:val="0"/>
      <w:divBdr>
        <w:top w:val="none" w:sz="0" w:space="0" w:color="auto"/>
        <w:left w:val="none" w:sz="0" w:space="0" w:color="auto"/>
        <w:bottom w:val="none" w:sz="0" w:space="0" w:color="auto"/>
        <w:right w:val="none" w:sz="0" w:space="0" w:color="auto"/>
      </w:divBdr>
    </w:div>
    <w:div w:id="754909529">
      <w:bodyDiv w:val="1"/>
      <w:marLeft w:val="0"/>
      <w:marRight w:val="0"/>
      <w:marTop w:val="0"/>
      <w:marBottom w:val="0"/>
      <w:divBdr>
        <w:top w:val="none" w:sz="0" w:space="0" w:color="auto"/>
        <w:left w:val="none" w:sz="0" w:space="0" w:color="auto"/>
        <w:bottom w:val="none" w:sz="0" w:space="0" w:color="auto"/>
        <w:right w:val="none" w:sz="0" w:space="0" w:color="auto"/>
      </w:divBdr>
    </w:div>
    <w:div w:id="758218166">
      <w:bodyDiv w:val="1"/>
      <w:marLeft w:val="0"/>
      <w:marRight w:val="0"/>
      <w:marTop w:val="0"/>
      <w:marBottom w:val="0"/>
      <w:divBdr>
        <w:top w:val="none" w:sz="0" w:space="0" w:color="auto"/>
        <w:left w:val="none" w:sz="0" w:space="0" w:color="auto"/>
        <w:bottom w:val="none" w:sz="0" w:space="0" w:color="auto"/>
        <w:right w:val="none" w:sz="0" w:space="0" w:color="auto"/>
      </w:divBdr>
    </w:div>
    <w:div w:id="763887913">
      <w:bodyDiv w:val="1"/>
      <w:marLeft w:val="0"/>
      <w:marRight w:val="0"/>
      <w:marTop w:val="0"/>
      <w:marBottom w:val="0"/>
      <w:divBdr>
        <w:top w:val="none" w:sz="0" w:space="0" w:color="auto"/>
        <w:left w:val="none" w:sz="0" w:space="0" w:color="auto"/>
        <w:bottom w:val="none" w:sz="0" w:space="0" w:color="auto"/>
        <w:right w:val="none" w:sz="0" w:space="0" w:color="auto"/>
      </w:divBdr>
    </w:div>
    <w:div w:id="767233080">
      <w:bodyDiv w:val="1"/>
      <w:marLeft w:val="0"/>
      <w:marRight w:val="0"/>
      <w:marTop w:val="0"/>
      <w:marBottom w:val="0"/>
      <w:divBdr>
        <w:top w:val="none" w:sz="0" w:space="0" w:color="auto"/>
        <w:left w:val="none" w:sz="0" w:space="0" w:color="auto"/>
        <w:bottom w:val="none" w:sz="0" w:space="0" w:color="auto"/>
        <w:right w:val="none" w:sz="0" w:space="0" w:color="auto"/>
      </w:divBdr>
    </w:div>
    <w:div w:id="768086158">
      <w:bodyDiv w:val="1"/>
      <w:marLeft w:val="0"/>
      <w:marRight w:val="0"/>
      <w:marTop w:val="0"/>
      <w:marBottom w:val="0"/>
      <w:divBdr>
        <w:top w:val="none" w:sz="0" w:space="0" w:color="auto"/>
        <w:left w:val="none" w:sz="0" w:space="0" w:color="auto"/>
        <w:bottom w:val="none" w:sz="0" w:space="0" w:color="auto"/>
        <w:right w:val="none" w:sz="0" w:space="0" w:color="auto"/>
      </w:divBdr>
    </w:div>
    <w:div w:id="768700111">
      <w:bodyDiv w:val="1"/>
      <w:marLeft w:val="0"/>
      <w:marRight w:val="0"/>
      <w:marTop w:val="0"/>
      <w:marBottom w:val="0"/>
      <w:divBdr>
        <w:top w:val="none" w:sz="0" w:space="0" w:color="auto"/>
        <w:left w:val="none" w:sz="0" w:space="0" w:color="auto"/>
        <w:bottom w:val="none" w:sz="0" w:space="0" w:color="auto"/>
        <w:right w:val="none" w:sz="0" w:space="0" w:color="auto"/>
      </w:divBdr>
    </w:div>
    <w:div w:id="770205696">
      <w:bodyDiv w:val="1"/>
      <w:marLeft w:val="0"/>
      <w:marRight w:val="0"/>
      <w:marTop w:val="0"/>
      <w:marBottom w:val="0"/>
      <w:divBdr>
        <w:top w:val="none" w:sz="0" w:space="0" w:color="auto"/>
        <w:left w:val="none" w:sz="0" w:space="0" w:color="auto"/>
        <w:bottom w:val="none" w:sz="0" w:space="0" w:color="auto"/>
        <w:right w:val="none" w:sz="0" w:space="0" w:color="auto"/>
      </w:divBdr>
    </w:div>
    <w:div w:id="781807501">
      <w:bodyDiv w:val="1"/>
      <w:marLeft w:val="0"/>
      <w:marRight w:val="0"/>
      <w:marTop w:val="0"/>
      <w:marBottom w:val="0"/>
      <w:divBdr>
        <w:top w:val="none" w:sz="0" w:space="0" w:color="auto"/>
        <w:left w:val="none" w:sz="0" w:space="0" w:color="auto"/>
        <w:bottom w:val="none" w:sz="0" w:space="0" w:color="auto"/>
        <w:right w:val="none" w:sz="0" w:space="0" w:color="auto"/>
      </w:divBdr>
    </w:div>
    <w:div w:id="782729179">
      <w:bodyDiv w:val="1"/>
      <w:marLeft w:val="0"/>
      <w:marRight w:val="0"/>
      <w:marTop w:val="0"/>
      <w:marBottom w:val="0"/>
      <w:divBdr>
        <w:top w:val="none" w:sz="0" w:space="0" w:color="auto"/>
        <w:left w:val="none" w:sz="0" w:space="0" w:color="auto"/>
        <w:bottom w:val="none" w:sz="0" w:space="0" w:color="auto"/>
        <w:right w:val="none" w:sz="0" w:space="0" w:color="auto"/>
      </w:divBdr>
    </w:div>
    <w:div w:id="785077720">
      <w:bodyDiv w:val="1"/>
      <w:marLeft w:val="0"/>
      <w:marRight w:val="0"/>
      <w:marTop w:val="0"/>
      <w:marBottom w:val="0"/>
      <w:divBdr>
        <w:top w:val="none" w:sz="0" w:space="0" w:color="auto"/>
        <w:left w:val="none" w:sz="0" w:space="0" w:color="auto"/>
        <w:bottom w:val="none" w:sz="0" w:space="0" w:color="auto"/>
        <w:right w:val="none" w:sz="0" w:space="0" w:color="auto"/>
      </w:divBdr>
    </w:div>
    <w:div w:id="786197785">
      <w:bodyDiv w:val="1"/>
      <w:marLeft w:val="0"/>
      <w:marRight w:val="0"/>
      <w:marTop w:val="0"/>
      <w:marBottom w:val="0"/>
      <w:divBdr>
        <w:top w:val="none" w:sz="0" w:space="0" w:color="auto"/>
        <w:left w:val="none" w:sz="0" w:space="0" w:color="auto"/>
        <w:bottom w:val="none" w:sz="0" w:space="0" w:color="auto"/>
        <w:right w:val="none" w:sz="0" w:space="0" w:color="auto"/>
      </w:divBdr>
    </w:div>
    <w:div w:id="788469670">
      <w:bodyDiv w:val="1"/>
      <w:marLeft w:val="0"/>
      <w:marRight w:val="0"/>
      <w:marTop w:val="0"/>
      <w:marBottom w:val="0"/>
      <w:divBdr>
        <w:top w:val="none" w:sz="0" w:space="0" w:color="auto"/>
        <w:left w:val="none" w:sz="0" w:space="0" w:color="auto"/>
        <w:bottom w:val="none" w:sz="0" w:space="0" w:color="auto"/>
        <w:right w:val="none" w:sz="0" w:space="0" w:color="auto"/>
      </w:divBdr>
    </w:div>
    <w:div w:id="794056504">
      <w:bodyDiv w:val="1"/>
      <w:marLeft w:val="0"/>
      <w:marRight w:val="0"/>
      <w:marTop w:val="0"/>
      <w:marBottom w:val="0"/>
      <w:divBdr>
        <w:top w:val="none" w:sz="0" w:space="0" w:color="auto"/>
        <w:left w:val="none" w:sz="0" w:space="0" w:color="auto"/>
        <w:bottom w:val="none" w:sz="0" w:space="0" w:color="auto"/>
        <w:right w:val="none" w:sz="0" w:space="0" w:color="auto"/>
      </w:divBdr>
    </w:div>
    <w:div w:id="799958618">
      <w:bodyDiv w:val="1"/>
      <w:marLeft w:val="0"/>
      <w:marRight w:val="0"/>
      <w:marTop w:val="0"/>
      <w:marBottom w:val="0"/>
      <w:divBdr>
        <w:top w:val="none" w:sz="0" w:space="0" w:color="auto"/>
        <w:left w:val="none" w:sz="0" w:space="0" w:color="auto"/>
        <w:bottom w:val="none" w:sz="0" w:space="0" w:color="auto"/>
        <w:right w:val="none" w:sz="0" w:space="0" w:color="auto"/>
      </w:divBdr>
    </w:div>
    <w:div w:id="811092897">
      <w:bodyDiv w:val="1"/>
      <w:marLeft w:val="0"/>
      <w:marRight w:val="0"/>
      <w:marTop w:val="0"/>
      <w:marBottom w:val="0"/>
      <w:divBdr>
        <w:top w:val="none" w:sz="0" w:space="0" w:color="auto"/>
        <w:left w:val="none" w:sz="0" w:space="0" w:color="auto"/>
        <w:bottom w:val="none" w:sz="0" w:space="0" w:color="auto"/>
        <w:right w:val="none" w:sz="0" w:space="0" w:color="auto"/>
      </w:divBdr>
    </w:div>
    <w:div w:id="813988997">
      <w:bodyDiv w:val="1"/>
      <w:marLeft w:val="0"/>
      <w:marRight w:val="0"/>
      <w:marTop w:val="0"/>
      <w:marBottom w:val="0"/>
      <w:divBdr>
        <w:top w:val="none" w:sz="0" w:space="0" w:color="auto"/>
        <w:left w:val="none" w:sz="0" w:space="0" w:color="auto"/>
        <w:bottom w:val="none" w:sz="0" w:space="0" w:color="auto"/>
        <w:right w:val="none" w:sz="0" w:space="0" w:color="auto"/>
      </w:divBdr>
    </w:div>
    <w:div w:id="817723665">
      <w:bodyDiv w:val="1"/>
      <w:marLeft w:val="0"/>
      <w:marRight w:val="0"/>
      <w:marTop w:val="0"/>
      <w:marBottom w:val="0"/>
      <w:divBdr>
        <w:top w:val="none" w:sz="0" w:space="0" w:color="auto"/>
        <w:left w:val="none" w:sz="0" w:space="0" w:color="auto"/>
        <w:bottom w:val="none" w:sz="0" w:space="0" w:color="auto"/>
        <w:right w:val="none" w:sz="0" w:space="0" w:color="auto"/>
      </w:divBdr>
    </w:div>
    <w:div w:id="820849734">
      <w:bodyDiv w:val="1"/>
      <w:marLeft w:val="0"/>
      <w:marRight w:val="0"/>
      <w:marTop w:val="0"/>
      <w:marBottom w:val="0"/>
      <w:divBdr>
        <w:top w:val="none" w:sz="0" w:space="0" w:color="auto"/>
        <w:left w:val="none" w:sz="0" w:space="0" w:color="auto"/>
        <w:bottom w:val="none" w:sz="0" w:space="0" w:color="auto"/>
        <w:right w:val="none" w:sz="0" w:space="0" w:color="auto"/>
      </w:divBdr>
    </w:div>
    <w:div w:id="823818777">
      <w:bodyDiv w:val="1"/>
      <w:marLeft w:val="0"/>
      <w:marRight w:val="0"/>
      <w:marTop w:val="0"/>
      <w:marBottom w:val="0"/>
      <w:divBdr>
        <w:top w:val="none" w:sz="0" w:space="0" w:color="auto"/>
        <w:left w:val="none" w:sz="0" w:space="0" w:color="auto"/>
        <w:bottom w:val="none" w:sz="0" w:space="0" w:color="auto"/>
        <w:right w:val="none" w:sz="0" w:space="0" w:color="auto"/>
      </w:divBdr>
    </w:div>
    <w:div w:id="835463539">
      <w:bodyDiv w:val="1"/>
      <w:marLeft w:val="0"/>
      <w:marRight w:val="0"/>
      <w:marTop w:val="0"/>
      <w:marBottom w:val="0"/>
      <w:divBdr>
        <w:top w:val="none" w:sz="0" w:space="0" w:color="auto"/>
        <w:left w:val="none" w:sz="0" w:space="0" w:color="auto"/>
        <w:bottom w:val="none" w:sz="0" w:space="0" w:color="auto"/>
        <w:right w:val="none" w:sz="0" w:space="0" w:color="auto"/>
      </w:divBdr>
    </w:div>
    <w:div w:id="841437744">
      <w:bodyDiv w:val="1"/>
      <w:marLeft w:val="0"/>
      <w:marRight w:val="0"/>
      <w:marTop w:val="0"/>
      <w:marBottom w:val="0"/>
      <w:divBdr>
        <w:top w:val="none" w:sz="0" w:space="0" w:color="auto"/>
        <w:left w:val="none" w:sz="0" w:space="0" w:color="auto"/>
        <w:bottom w:val="none" w:sz="0" w:space="0" w:color="auto"/>
        <w:right w:val="none" w:sz="0" w:space="0" w:color="auto"/>
      </w:divBdr>
    </w:div>
    <w:div w:id="842358706">
      <w:bodyDiv w:val="1"/>
      <w:marLeft w:val="0"/>
      <w:marRight w:val="0"/>
      <w:marTop w:val="0"/>
      <w:marBottom w:val="0"/>
      <w:divBdr>
        <w:top w:val="none" w:sz="0" w:space="0" w:color="auto"/>
        <w:left w:val="none" w:sz="0" w:space="0" w:color="auto"/>
        <w:bottom w:val="none" w:sz="0" w:space="0" w:color="auto"/>
        <w:right w:val="none" w:sz="0" w:space="0" w:color="auto"/>
      </w:divBdr>
    </w:div>
    <w:div w:id="842548604">
      <w:bodyDiv w:val="1"/>
      <w:marLeft w:val="0"/>
      <w:marRight w:val="0"/>
      <w:marTop w:val="0"/>
      <w:marBottom w:val="0"/>
      <w:divBdr>
        <w:top w:val="none" w:sz="0" w:space="0" w:color="auto"/>
        <w:left w:val="none" w:sz="0" w:space="0" w:color="auto"/>
        <w:bottom w:val="none" w:sz="0" w:space="0" w:color="auto"/>
        <w:right w:val="none" w:sz="0" w:space="0" w:color="auto"/>
      </w:divBdr>
    </w:div>
    <w:div w:id="842743063">
      <w:bodyDiv w:val="1"/>
      <w:marLeft w:val="0"/>
      <w:marRight w:val="0"/>
      <w:marTop w:val="0"/>
      <w:marBottom w:val="0"/>
      <w:divBdr>
        <w:top w:val="none" w:sz="0" w:space="0" w:color="auto"/>
        <w:left w:val="none" w:sz="0" w:space="0" w:color="auto"/>
        <w:bottom w:val="none" w:sz="0" w:space="0" w:color="auto"/>
        <w:right w:val="none" w:sz="0" w:space="0" w:color="auto"/>
      </w:divBdr>
    </w:div>
    <w:div w:id="843545091">
      <w:bodyDiv w:val="1"/>
      <w:marLeft w:val="0"/>
      <w:marRight w:val="0"/>
      <w:marTop w:val="0"/>
      <w:marBottom w:val="0"/>
      <w:divBdr>
        <w:top w:val="none" w:sz="0" w:space="0" w:color="auto"/>
        <w:left w:val="none" w:sz="0" w:space="0" w:color="auto"/>
        <w:bottom w:val="none" w:sz="0" w:space="0" w:color="auto"/>
        <w:right w:val="none" w:sz="0" w:space="0" w:color="auto"/>
      </w:divBdr>
    </w:div>
    <w:div w:id="846293159">
      <w:bodyDiv w:val="1"/>
      <w:marLeft w:val="0"/>
      <w:marRight w:val="0"/>
      <w:marTop w:val="0"/>
      <w:marBottom w:val="0"/>
      <w:divBdr>
        <w:top w:val="none" w:sz="0" w:space="0" w:color="auto"/>
        <w:left w:val="none" w:sz="0" w:space="0" w:color="auto"/>
        <w:bottom w:val="none" w:sz="0" w:space="0" w:color="auto"/>
        <w:right w:val="none" w:sz="0" w:space="0" w:color="auto"/>
      </w:divBdr>
    </w:div>
    <w:div w:id="848838987">
      <w:bodyDiv w:val="1"/>
      <w:marLeft w:val="0"/>
      <w:marRight w:val="0"/>
      <w:marTop w:val="0"/>
      <w:marBottom w:val="0"/>
      <w:divBdr>
        <w:top w:val="none" w:sz="0" w:space="0" w:color="auto"/>
        <w:left w:val="none" w:sz="0" w:space="0" w:color="auto"/>
        <w:bottom w:val="none" w:sz="0" w:space="0" w:color="auto"/>
        <w:right w:val="none" w:sz="0" w:space="0" w:color="auto"/>
      </w:divBdr>
    </w:div>
    <w:div w:id="854002478">
      <w:bodyDiv w:val="1"/>
      <w:marLeft w:val="0"/>
      <w:marRight w:val="0"/>
      <w:marTop w:val="0"/>
      <w:marBottom w:val="0"/>
      <w:divBdr>
        <w:top w:val="none" w:sz="0" w:space="0" w:color="auto"/>
        <w:left w:val="none" w:sz="0" w:space="0" w:color="auto"/>
        <w:bottom w:val="none" w:sz="0" w:space="0" w:color="auto"/>
        <w:right w:val="none" w:sz="0" w:space="0" w:color="auto"/>
      </w:divBdr>
    </w:div>
    <w:div w:id="856237163">
      <w:bodyDiv w:val="1"/>
      <w:marLeft w:val="0"/>
      <w:marRight w:val="0"/>
      <w:marTop w:val="0"/>
      <w:marBottom w:val="0"/>
      <w:divBdr>
        <w:top w:val="none" w:sz="0" w:space="0" w:color="auto"/>
        <w:left w:val="none" w:sz="0" w:space="0" w:color="auto"/>
        <w:bottom w:val="none" w:sz="0" w:space="0" w:color="auto"/>
        <w:right w:val="none" w:sz="0" w:space="0" w:color="auto"/>
      </w:divBdr>
    </w:div>
    <w:div w:id="861623820">
      <w:bodyDiv w:val="1"/>
      <w:marLeft w:val="0"/>
      <w:marRight w:val="0"/>
      <w:marTop w:val="0"/>
      <w:marBottom w:val="0"/>
      <w:divBdr>
        <w:top w:val="none" w:sz="0" w:space="0" w:color="auto"/>
        <w:left w:val="none" w:sz="0" w:space="0" w:color="auto"/>
        <w:bottom w:val="none" w:sz="0" w:space="0" w:color="auto"/>
        <w:right w:val="none" w:sz="0" w:space="0" w:color="auto"/>
      </w:divBdr>
    </w:div>
    <w:div w:id="871260412">
      <w:bodyDiv w:val="1"/>
      <w:marLeft w:val="0"/>
      <w:marRight w:val="0"/>
      <w:marTop w:val="0"/>
      <w:marBottom w:val="0"/>
      <w:divBdr>
        <w:top w:val="none" w:sz="0" w:space="0" w:color="auto"/>
        <w:left w:val="none" w:sz="0" w:space="0" w:color="auto"/>
        <w:bottom w:val="none" w:sz="0" w:space="0" w:color="auto"/>
        <w:right w:val="none" w:sz="0" w:space="0" w:color="auto"/>
      </w:divBdr>
    </w:div>
    <w:div w:id="883366557">
      <w:bodyDiv w:val="1"/>
      <w:marLeft w:val="0"/>
      <w:marRight w:val="0"/>
      <w:marTop w:val="0"/>
      <w:marBottom w:val="0"/>
      <w:divBdr>
        <w:top w:val="none" w:sz="0" w:space="0" w:color="auto"/>
        <w:left w:val="none" w:sz="0" w:space="0" w:color="auto"/>
        <w:bottom w:val="none" w:sz="0" w:space="0" w:color="auto"/>
        <w:right w:val="none" w:sz="0" w:space="0" w:color="auto"/>
      </w:divBdr>
    </w:div>
    <w:div w:id="884608551">
      <w:bodyDiv w:val="1"/>
      <w:marLeft w:val="0"/>
      <w:marRight w:val="0"/>
      <w:marTop w:val="0"/>
      <w:marBottom w:val="0"/>
      <w:divBdr>
        <w:top w:val="none" w:sz="0" w:space="0" w:color="auto"/>
        <w:left w:val="none" w:sz="0" w:space="0" w:color="auto"/>
        <w:bottom w:val="none" w:sz="0" w:space="0" w:color="auto"/>
        <w:right w:val="none" w:sz="0" w:space="0" w:color="auto"/>
      </w:divBdr>
    </w:div>
    <w:div w:id="884827159">
      <w:bodyDiv w:val="1"/>
      <w:marLeft w:val="0"/>
      <w:marRight w:val="0"/>
      <w:marTop w:val="0"/>
      <w:marBottom w:val="0"/>
      <w:divBdr>
        <w:top w:val="none" w:sz="0" w:space="0" w:color="auto"/>
        <w:left w:val="none" w:sz="0" w:space="0" w:color="auto"/>
        <w:bottom w:val="none" w:sz="0" w:space="0" w:color="auto"/>
        <w:right w:val="none" w:sz="0" w:space="0" w:color="auto"/>
      </w:divBdr>
    </w:div>
    <w:div w:id="892355285">
      <w:bodyDiv w:val="1"/>
      <w:marLeft w:val="0"/>
      <w:marRight w:val="0"/>
      <w:marTop w:val="0"/>
      <w:marBottom w:val="0"/>
      <w:divBdr>
        <w:top w:val="none" w:sz="0" w:space="0" w:color="auto"/>
        <w:left w:val="none" w:sz="0" w:space="0" w:color="auto"/>
        <w:bottom w:val="none" w:sz="0" w:space="0" w:color="auto"/>
        <w:right w:val="none" w:sz="0" w:space="0" w:color="auto"/>
      </w:divBdr>
    </w:div>
    <w:div w:id="898783629">
      <w:bodyDiv w:val="1"/>
      <w:marLeft w:val="0"/>
      <w:marRight w:val="0"/>
      <w:marTop w:val="0"/>
      <w:marBottom w:val="0"/>
      <w:divBdr>
        <w:top w:val="none" w:sz="0" w:space="0" w:color="auto"/>
        <w:left w:val="none" w:sz="0" w:space="0" w:color="auto"/>
        <w:bottom w:val="none" w:sz="0" w:space="0" w:color="auto"/>
        <w:right w:val="none" w:sz="0" w:space="0" w:color="auto"/>
      </w:divBdr>
    </w:div>
    <w:div w:id="902373474">
      <w:bodyDiv w:val="1"/>
      <w:marLeft w:val="0"/>
      <w:marRight w:val="0"/>
      <w:marTop w:val="0"/>
      <w:marBottom w:val="0"/>
      <w:divBdr>
        <w:top w:val="none" w:sz="0" w:space="0" w:color="auto"/>
        <w:left w:val="none" w:sz="0" w:space="0" w:color="auto"/>
        <w:bottom w:val="none" w:sz="0" w:space="0" w:color="auto"/>
        <w:right w:val="none" w:sz="0" w:space="0" w:color="auto"/>
      </w:divBdr>
    </w:div>
    <w:div w:id="912157499">
      <w:bodyDiv w:val="1"/>
      <w:marLeft w:val="0"/>
      <w:marRight w:val="0"/>
      <w:marTop w:val="0"/>
      <w:marBottom w:val="0"/>
      <w:divBdr>
        <w:top w:val="none" w:sz="0" w:space="0" w:color="auto"/>
        <w:left w:val="none" w:sz="0" w:space="0" w:color="auto"/>
        <w:bottom w:val="none" w:sz="0" w:space="0" w:color="auto"/>
        <w:right w:val="none" w:sz="0" w:space="0" w:color="auto"/>
      </w:divBdr>
    </w:div>
    <w:div w:id="915164610">
      <w:bodyDiv w:val="1"/>
      <w:marLeft w:val="0"/>
      <w:marRight w:val="0"/>
      <w:marTop w:val="0"/>
      <w:marBottom w:val="0"/>
      <w:divBdr>
        <w:top w:val="none" w:sz="0" w:space="0" w:color="auto"/>
        <w:left w:val="none" w:sz="0" w:space="0" w:color="auto"/>
        <w:bottom w:val="none" w:sz="0" w:space="0" w:color="auto"/>
        <w:right w:val="none" w:sz="0" w:space="0" w:color="auto"/>
      </w:divBdr>
    </w:div>
    <w:div w:id="918323084">
      <w:bodyDiv w:val="1"/>
      <w:marLeft w:val="0"/>
      <w:marRight w:val="0"/>
      <w:marTop w:val="0"/>
      <w:marBottom w:val="0"/>
      <w:divBdr>
        <w:top w:val="none" w:sz="0" w:space="0" w:color="auto"/>
        <w:left w:val="none" w:sz="0" w:space="0" w:color="auto"/>
        <w:bottom w:val="none" w:sz="0" w:space="0" w:color="auto"/>
        <w:right w:val="none" w:sz="0" w:space="0" w:color="auto"/>
      </w:divBdr>
    </w:div>
    <w:div w:id="919220004">
      <w:bodyDiv w:val="1"/>
      <w:marLeft w:val="0"/>
      <w:marRight w:val="0"/>
      <w:marTop w:val="0"/>
      <w:marBottom w:val="0"/>
      <w:divBdr>
        <w:top w:val="none" w:sz="0" w:space="0" w:color="auto"/>
        <w:left w:val="none" w:sz="0" w:space="0" w:color="auto"/>
        <w:bottom w:val="none" w:sz="0" w:space="0" w:color="auto"/>
        <w:right w:val="none" w:sz="0" w:space="0" w:color="auto"/>
      </w:divBdr>
    </w:div>
    <w:div w:id="923687261">
      <w:bodyDiv w:val="1"/>
      <w:marLeft w:val="0"/>
      <w:marRight w:val="0"/>
      <w:marTop w:val="0"/>
      <w:marBottom w:val="0"/>
      <w:divBdr>
        <w:top w:val="none" w:sz="0" w:space="0" w:color="auto"/>
        <w:left w:val="none" w:sz="0" w:space="0" w:color="auto"/>
        <w:bottom w:val="none" w:sz="0" w:space="0" w:color="auto"/>
        <w:right w:val="none" w:sz="0" w:space="0" w:color="auto"/>
      </w:divBdr>
    </w:div>
    <w:div w:id="924076804">
      <w:bodyDiv w:val="1"/>
      <w:marLeft w:val="0"/>
      <w:marRight w:val="0"/>
      <w:marTop w:val="0"/>
      <w:marBottom w:val="0"/>
      <w:divBdr>
        <w:top w:val="none" w:sz="0" w:space="0" w:color="auto"/>
        <w:left w:val="none" w:sz="0" w:space="0" w:color="auto"/>
        <w:bottom w:val="none" w:sz="0" w:space="0" w:color="auto"/>
        <w:right w:val="none" w:sz="0" w:space="0" w:color="auto"/>
      </w:divBdr>
    </w:div>
    <w:div w:id="925460432">
      <w:bodyDiv w:val="1"/>
      <w:marLeft w:val="0"/>
      <w:marRight w:val="0"/>
      <w:marTop w:val="0"/>
      <w:marBottom w:val="0"/>
      <w:divBdr>
        <w:top w:val="none" w:sz="0" w:space="0" w:color="auto"/>
        <w:left w:val="none" w:sz="0" w:space="0" w:color="auto"/>
        <w:bottom w:val="none" w:sz="0" w:space="0" w:color="auto"/>
        <w:right w:val="none" w:sz="0" w:space="0" w:color="auto"/>
      </w:divBdr>
    </w:div>
    <w:div w:id="926496461">
      <w:bodyDiv w:val="1"/>
      <w:marLeft w:val="0"/>
      <w:marRight w:val="0"/>
      <w:marTop w:val="0"/>
      <w:marBottom w:val="0"/>
      <w:divBdr>
        <w:top w:val="none" w:sz="0" w:space="0" w:color="auto"/>
        <w:left w:val="none" w:sz="0" w:space="0" w:color="auto"/>
        <w:bottom w:val="none" w:sz="0" w:space="0" w:color="auto"/>
        <w:right w:val="none" w:sz="0" w:space="0" w:color="auto"/>
      </w:divBdr>
    </w:div>
    <w:div w:id="929585307">
      <w:bodyDiv w:val="1"/>
      <w:marLeft w:val="0"/>
      <w:marRight w:val="0"/>
      <w:marTop w:val="0"/>
      <w:marBottom w:val="0"/>
      <w:divBdr>
        <w:top w:val="none" w:sz="0" w:space="0" w:color="auto"/>
        <w:left w:val="none" w:sz="0" w:space="0" w:color="auto"/>
        <w:bottom w:val="none" w:sz="0" w:space="0" w:color="auto"/>
        <w:right w:val="none" w:sz="0" w:space="0" w:color="auto"/>
      </w:divBdr>
    </w:div>
    <w:div w:id="934091380">
      <w:bodyDiv w:val="1"/>
      <w:marLeft w:val="0"/>
      <w:marRight w:val="0"/>
      <w:marTop w:val="0"/>
      <w:marBottom w:val="0"/>
      <w:divBdr>
        <w:top w:val="none" w:sz="0" w:space="0" w:color="auto"/>
        <w:left w:val="none" w:sz="0" w:space="0" w:color="auto"/>
        <w:bottom w:val="none" w:sz="0" w:space="0" w:color="auto"/>
        <w:right w:val="none" w:sz="0" w:space="0" w:color="auto"/>
      </w:divBdr>
    </w:div>
    <w:div w:id="934746978">
      <w:bodyDiv w:val="1"/>
      <w:marLeft w:val="0"/>
      <w:marRight w:val="0"/>
      <w:marTop w:val="0"/>
      <w:marBottom w:val="0"/>
      <w:divBdr>
        <w:top w:val="none" w:sz="0" w:space="0" w:color="auto"/>
        <w:left w:val="none" w:sz="0" w:space="0" w:color="auto"/>
        <w:bottom w:val="none" w:sz="0" w:space="0" w:color="auto"/>
        <w:right w:val="none" w:sz="0" w:space="0" w:color="auto"/>
      </w:divBdr>
    </w:div>
    <w:div w:id="940070973">
      <w:bodyDiv w:val="1"/>
      <w:marLeft w:val="0"/>
      <w:marRight w:val="0"/>
      <w:marTop w:val="0"/>
      <w:marBottom w:val="0"/>
      <w:divBdr>
        <w:top w:val="none" w:sz="0" w:space="0" w:color="auto"/>
        <w:left w:val="none" w:sz="0" w:space="0" w:color="auto"/>
        <w:bottom w:val="none" w:sz="0" w:space="0" w:color="auto"/>
        <w:right w:val="none" w:sz="0" w:space="0" w:color="auto"/>
      </w:divBdr>
    </w:div>
    <w:div w:id="940914876">
      <w:bodyDiv w:val="1"/>
      <w:marLeft w:val="0"/>
      <w:marRight w:val="0"/>
      <w:marTop w:val="0"/>
      <w:marBottom w:val="0"/>
      <w:divBdr>
        <w:top w:val="none" w:sz="0" w:space="0" w:color="auto"/>
        <w:left w:val="none" w:sz="0" w:space="0" w:color="auto"/>
        <w:bottom w:val="none" w:sz="0" w:space="0" w:color="auto"/>
        <w:right w:val="none" w:sz="0" w:space="0" w:color="auto"/>
      </w:divBdr>
    </w:div>
    <w:div w:id="944076893">
      <w:bodyDiv w:val="1"/>
      <w:marLeft w:val="0"/>
      <w:marRight w:val="0"/>
      <w:marTop w:val="0"/>
      <w:marBottom w:val="0"/>
      <w:divBdr>
        <w:top w:val="none" w:sz="0" w:space="0" w:color="auto"/>
        <w:left w:val="none" w:sz="0" w:space="0" w:color="auto"/>
        <w:bottom w:val="none" w:sz="0" w:space="0" w:color="auto"/>
        <w:right w:val="none" w:sz="0" w:space="0" w:color="auto"/>
      </w:divBdr>
    </w:div>
    <w:div w:id="948318377">
      <w:bodyDiv w:val="1"/>
      <w:marLeft w:val="0"/>
      <w:marRight w:val="0"/>
      <w:marTop w:val="0"/>
      <w:marBottom w:val="0"/>
      <w:divBdr>
        <w:top w:val="none" w:sz="0" w:space="0" w:color="auto"/>
        <w:left w:val="none" w:sz="0" w:space="0" w:color="auto"/>
        <w:bottom w:val="none" w:sz="0" w:space="0" w:color="auto"/>
        <w:right w:val="none" w:sz="0" w:space="0" w:color="auto"/>
      </w:divBdr>
    </w:div>
    <w:div w:id="949774443">
      <w:bodyDiv w:val="1"/>
      <w:marLeft w:val="0"/>
      <w:marRight w:val="0"/>
      <w:marTop w:val="0"/>
      <w:marBottom w:val="0"/>
      <w:divBdr>
        <w:top w:val="none" w:sz="0" w:space="0" w:color="auto"/>
        <w:left w:val="none" w:sz="0" w:space="0" w:color="auto"/>
        <w:bottom w:val="none" w:sz="0" w:space="0" w:color="auto"/>
        <w:right w:val="none" w:sz="0" w:space="0" w:color="auto"/>
      </w:divBdr>
    </w:div>
    <w:div w:id="951402662">
      <w:bodyDiv w:val="1"/>
      <w:marLeft w:val="0"/>
      <w:marRight w:val="0"/>
      <w:marTop w:val="0"/>
      <w:marBottom w:val="0"/>
      <w:divBdr>
        <w:top w:val="none" w:sz="0" w:space="0" w:color="auto"/>
        <w:left w:val="none" w:sz="0" w:space="0" w:color="auto"/>
        <w:bottom w:val="none" w:sz="0" w:space="0" w:color="auto"/>
        <w:right w:val="none" w:sz="0" w:space="0" w:color="auto"/>
      </w:divBdr>
    </w:div>
    <w:div w:id="954947912">
      <w:bodyDiv w:val="1"/>
      <w:marLeft w:val="0"/>
      <w:marRight w:val="0"/>
      <w:marTop w:val="0"/>
      <w:marBottom w:val="0"/>
      <w:divBdr>
        <w:top w:val="none" w:sz="0" w:space="0" w:color="auto"/>
        <w:left w:val="none" w:sz="0" w:space="0" w:color="auto"/>
        <w:bottom w:val="none" w:sz="0" w:space="0" w:color="auto"/>
        <w:right w:val="none" w:sz="0" w:space="0" w:color="auto"/>
      </w:divBdr>
    </w:div>
    <w:div w:id="961158054">
      <w:bodyDiv w:val="1"/>
      <w:marLeft w:val="0"/>
      <w:marRight w:val="0"/>
      <w:marTop w:val="0"/>
      <w:marBottom w:val="0"/>
      <w:divBdr>
        <w:top w:val="none" w:sz="0" w:space="0" w:color="auto"/>
        <w:left w:val="none" w:sz="0" w:space="0" w:color="auto"/>
        <w:bottom w:val="none" w:sz="0" w:space="0" w:color="auto"/>
        <w:right w:val="none" w:sz="0" w:space="0" w:color="auto"/>
      </w:divBdr>
    </w:div>
    <w:div w:id="963072821">
      <w:bodyDiv w:val="1"/>
      <w:marLeft w:val="0"/>
      <w:marRight w:val="0"/>
      <w:marTop w:val="0"/>
      <w:marBottom w:val="0"/>
      <w:divBdr>
        <w:top w:val="none" w:sz="0" w:space="0" w:color="auto"/>
        <w:left w:val="none" w:sz="0" w:space="0" w:color="auto"/>
        <w:bottom w:val="none" w:sz="0" w:space="0" w:color="auto"/>
        <w:right w:val="none" w:sz="0" w:space="0" w:color="auto"/>
      </w:divBdr>
    </w:div>
    <w:div w:id="964309293">
      <w:bodyDiv w:val="1"/>
      <w:marLeft w:val="0"/>
      <w:marRight w:val="0"/>
      <w:marTop w:val="0"/>
      <w:marBottom w:val="0"/>
      <w:divBdr>
        <w:top w:val="none" w:sz="0" w:space="0" w:color="auto"/>
        <w:left w:val="none" w:sz="0" w:space="0" w:color="auto"/>
        <w:bottom w:val="none" w:sz="0" w:space="0" w:color="auto"/>
        <w:right w:val="none" w:sz="0" w:space="0" w:color="auto"/>
      </w:divBdr>
    </w:div>
    <w:div w:id="968165292">
      <w:bodyDiv w:val="1"/>
      <w:marLeft w:val="0"/>
      <w:marRight w:val="0"/>
      <w:marTop w:val="0"/>
      <w:marBottom w:val="0"/>
      <w:divBdr>
        <w:top w:val="none" w:sz="0" w:space="0" w:color="auto"/>
        <w:left w:val="none" w:sz="0" w:space="0" w:color="auto"/>
        <w:bottom w:val="none" w:sz="0" w:space="0" w:color="auto"/>
        <w:right w:val="none" w:sz="0" w:space="0" w:color="auto"/>
      </w:divBdr>
    </w:div>
    <w:div w:id="972100547">
      <w:bodyDiv w:val="1"/>
      <w:marLeft w:val="0"/>
      <w:marRight w:val="0"/>
      <w:marTop w:val="0"/>
      <w:marBottom w:val="0"/>
      <w:divBdr>
        <w:top w:val="none" w:sz="0" w:space="0" w:color="auto"/>
        <w:left w:val="none" w:sz="0" w:space="0" w:color="auto"/>
        <w:bottom w:val="none" w:sz="0" w:space="0" w:color="auto"/>
        <w:right w:val="none" w:sz="0" w:space="0" w:color="auto"/>
      </w:divBdr>
    </w:div>
    <w:div w:id="977612335">
      <w:bodyDiv w:val="1"/>
      <w:marLeft w:val="0"/>
      <w:marRight w:val="0"/>
      <w:marTop w:val="0"/>
      <w:marBottom w:val="0"/>
      <w:divBdr>
        <w:top w:val="none" w:sz="0" w:space="0" w:color="auto"/>
        <w:left w:val="none" w:sz="0" w:space="0" w:color="auto"/>
        <w:bottom w:val="none" w:sz="0" w:space="0" w:color="auto"/>
        <w:right w:val="none" w:sz="0" w:space="0" w:color="auto"/>
      </w:divBdr>
    </w:div>
    <w:div w:id="979532658">
      <w:bodyDiv w:val="1"/>
      <w:marLeft w:val="0"/>
      <w:marRight w:val="0"/>
      <w:marTop w:val="0"/>
      <w:marBottom w:val="0"/>
      <w:divBdr>
        <w:top w:val="none" w:sz="0" w:space="0" w:color="auto"/>
        <w:left w:val="none" w:sz="0" w:space="0" w:color="auto"/>
        <w:bottom w:val="none" w:sz="0" w:space="0" w:color="auto"/>
        <w:right w:val="none" w:sz="0" w:space="0" w:color="auto"/>
      </w:divBdr>
    </w:div>
    <w:div w:id="986863418">
      <w:bodyDiv w:val="1"/>
      <w:marLeft w:val="0"/>
      <w:marRight w:val="0"/>
      <w:marTop w:val="0"/>
      <w:marBottom w:val="0"/>
      <w:divBdr>
        <w:top w:val="none" w:sz="0" w:space="0" w:color="auto"/>
        <w:left w:val="none" w:sz="0" w:space="0" w:color="auto"/>
        <w:bottom w:val="none" w:sz="0" w:space="0" w:color="auto"/>
        <w:right w:val="none" w:sz="0" w:space="0" w:color="auto"/>
      </w:divBdr>
    </w:div>
    <w:div w:id="989746280">
      <w:bodyDiv w:val="1"/>
      <w:marLeft w:val="0"/>
      <w:marRight w:val="0"/>
      <w:marTop w:val="0"/>
      <w:marBottom w:val="0"/>
      <w:divBdr>
        <w:top w:val="none" w:sz="0" w:space="0" w:color="auto"/>
        <w:left w:val="none" w:sz="0" w:space="0" w:color="auto"/>
        <w:bottom w:val="none" w:sz="0" w:space="0" w:color="auto"/>
        <w:right w:val="none" w:sz="0" w:space="0" w:color="auto"/>
      </w:divBdr>
    </w:div>
    <w:div w:id="989865596">
      <w:bodyDiv w:val="1"/>
      <w:marLeft w:val="0"/>
      <w:marRight w:val="0"/>
      <w:marTop w:val="0"/>
      <w:marBottom w:val="0"/>
      <w:divBdr>
        <w:top w:val="none" w:sz="0" w:space="0" w:color="auto"/>
        <w:left w:val="none" w:sz="0" w:space="0" w:color="auto"/>
        <w:bottom w:val="none" w:sz="0" w:space="0" w:color="auto"/>
        <w:right w:val="none" w:sz="0" w:space="0" w:color="auto"/>
      </w:divBdr>
    </w:div>
    <w:div w:id="990214716">
      <w:bodyDiv w:val="1"/>
      <w:marLeft w:val="0"/>
      <w:marRight w:val="0"/>
      <w:marTop w:val="0"/>
      <w:marBottom w:val="0"/>
      <w:divBdr>
        <w:top w:val="none" w:sz="0" w:space="0" w:color="auto"/>
        <w:left w:val="none" w:sz="0" w:space="0" w:color="auto"/>
        <w:bottom w:val="none" w:sz="0" w:space="0" w:color="auto"/>
        <w:right w:val="none" w:sz="0" w:space="0" w:color="auto"/>
      </w:divBdr>
    </w:div>
    <w:div w:id="992297304">
      <w:bodyDiv w:val="1"/>
      <w:marLeft w:val="0"/>
      <w:marRight w:val="0"/>
      <w:marTop w:val="0"/>
      <w:marBottom w:val="0"/>
      <w:divBdr>
        <w:top w:val="none" w:sz="0" w:space="0" w:color="auto"/>
        <w:left w:val="none" w:sz="0" w:space="0" w:color="auto"/>
        <w:bottom w:val="none" w:sz="0" w:space="0" w:color="auto"/>
        <w:right w:val="none" w:sz="0" w:space="0" w:color="auto"/>
      </w:divBdr>
    </w:div>
    <w:div w:id="995692525">
      <w:bodyDiv w:val="1"/>
      <w:marLeft w:val="0"/>
      <w:marRight w:val="0"/>
      <w:marTop w:val="0"/>
      <w:marBottom w:val="0"/>
      <w:divBdr>
        <w:top w:val="none" w:sz="0" w:space="0" w:color="auto"/>
        <w:left w:val="none" w:sz="0" w:space="0" w:color="auto"/>
        <w:bottom w:val="none" w:sz="0" w:space="0" w:color="auto"/>
        <w:right w:val="none" w:sz="0" w:space="0" w:color="auto"/>
      </w:divBdr>
    </w:div>
    <w:div w:id="999188158">
      <w:bodyDiv w:val="1"/>
      <w:marLeft w:val="0"/>
      <w:marRight w:val="0"/>
      <w:marTop w:val="0"/>
      <w:marBottom w:val="0"/>
      <w:divBdr>
        <w:top w:val="none" w:sz="0" w:space="0" w:color="auto"/>
        <w:left w:val="none" w:sz="0" w:space="0" w:color="auto"/>
        <w:bottom w:val="none" w:sz="0" w:space="0" w:color="auto"/>
        <w:right w:val="none" w:sz="0" w:space="0" w:color="auto"/>
      </w:divBdr>
    </w:div>
    <w:div w:id="1001851894">
      <w:bodyDiv w:val="1"/>
      <w:marLeft w:val="0"/>
      <w:marRight w:val="0"/>
      <w:marTop w:val="0"/>
      <w:marBottom w:val="0"/>
      <w:divBdr>
        <w:top w:val="none" w:sz="0" w:space="0" w:color="auto"/>
        <w:left w:val="none" w:sz="0" w:space="0" w:color="auto"/>
        <w:bottom w:val="none" w:sz="0" w:space="0" w:color="auto"/>
        <w:right w:val="none" w:sz="0" w:space="0" w:color="auto"/>
      </w:divBdr>
    </w:div>
    <w:div w:id="1003240663">
      <w:bodyDiv w:val="1"/>
      <w:marLeft w:val="0"/>
      <w:marRight w:val="0"/>
      <w:marTop w:val="0"/>
      <w:marBottom w:val="0"/>
      <w:divBdr>
        <w:top w:val="none" w:sz="0" w:space="0" w:color="auto"/>
        <w:left w:val="none" w:sz="0" w:space="0" w:color="auto"/>
        <w:bottom w:val="none" w:sz="0" w:space="0" w:color="auto"/>
        <w:right w:val="none" w:sz="0" w:space="0" w:color="auto"/>
      </w:divBdr>
    </w:div>
    <w:div w:id="1012680185">
      <w:bodyDiv w:val="1"/>
      <w:marLeft w:val="0"/>
      <w:marRight w:val="0"/>
      <w:marTop w:val="0"/>
      <w:marBottom w:val="0"/>
      <w:divBdr>
        <w:top w:val="none" w:sz="0" w:space="0" w:color="auto"/>
        <w:left w:val="none" w:sz="0" w:space="0" w:color="auto"/>
        <w:bottom w:val="none" w:sz="0" w:space="0" w:color="auto"/>
        <w:right w:val="none" w:sz="0" w:space="0" w:color="auto"/>
      </w:divBdr>
    </w:div>
    <w:div w:id="1021396518">
      <w:bodyDiv w:val="1"/>
      <w:marLeft w:val="0"/>
      <w:marRight w:val="0"/>
      <w:marTop w:val="0"/>
      <w:marBottom w:val="0"/>
      <w:divBdr>
        <w:top w:val="none" w:sz="0" w:space="0" w:color="auto"/>
        <w:left w:val="none" w:sz="0" w:space="0" w:color="auto"/>
        <w:bottom w:val="none" w:sz="0" w:space="0" w:color="auto"/>
        <w:right w:val="none" w:sz="0" w:space="0" w:color="auto"/>
      </w:divBdr>
    </w:div>
    <w:div w:id="1039208379">
      <w:bodyDiv w:val="1"/>
      <w:marLeft w:val="0"/>
      <w:marRight w:val="0"/>
      <w:marTop w:val="0"/>
      <w:marBottom w:val="0"/>
      <w:divBdr>
        <w:top w:val="none" w:sz="0" w:space="0" w:color="auto"/>
        <w:left w:val="none" w:sz="0" w:space="0" w:color="auto"/>
        <w:bottom w:val="none" w:sz="0" w:space="0" w:color="auto"/>
        <w:right w:val="none" w:sz="0" w:space="0" w:color="auto"/>
      </w:divBdr>
    </w:div>
    <w:div w:id="1040398242">
      <w:bodyDiv w:val="1"/>
      <w:marLeft w:val="0"/>
      <w:marRight w:val="0"/>
      <w:marTop w:val="0"/>
      <w:marBottom w:val="0"/>
      <w:divBdr>
        <w:top w:val="none" w:sz="0" w:space="0" w:color="auto"/>
        <w:left w:val="none" w:sz="0" w:space="0" w:color="auto"/>
        <w:bottom w:val="none" w:sz="0" w:space="0" w:color="auto"/>
        <w:right w:val="none" w:sz="0" w:space="0" w:color="auto"/>
      </w:divBdr>
    </w:div>
    <w:div w:id="1044015675">
      <w:bodyDiv w:val="1"/>
      <w:marLeft w:val="0"/>
      <w:marRight w:val="0"/>
      <w:marTop w:val="0"/>
      <w:marBottom w:val="0"/>
      <w:divBdr>
        <w:top w:val="none" w:sz="0" w:space="0" w:color="auto"/>
        <w:left w:val="none" w:sz="0" w:space="0" w:color="auto"/>
        <w:bottom w:val="none" w:sz="0" w:space="0" w:color="auto"/>
        <w:right w:val="none" w:sz="0" w:space="0" w:color="auto"/>
      </w:divBdr>
    </w:div>
    <w:div w:id="1049500979">
      <w:bodyDiv w:val="1"/>
      <w:marLeft w:val="0"/>
      <w:marRight w:val="0"/>
      <w:marTop w:val="0"/>
      <w:marBottom w:val="0"/>
      <w:divBdr>
        <w:top w:val="none" w:sz="0" w:space="0" w:color="auto"/>
        <w:left w:val="none" w:sz="0" w:space="0" w:color="auto"/>
        <w:bottom w:val="none" w:sz="0" w:space="0" w:color="auto"/>
        <w:right w:val="none" w:sz="0" w:space="0" w:color="auto"/>
      </w:divBdr>
    </w:div>
    <w:div w:id="1049722191">
      <w:bodyDiv w:val="1"/>
      <w:marLeft w:val="0"/>
      <w:marRight w:val="0"/>
      <w:marTop w:val="0"/>
      <w:marBottom w:val="0"/>
      <w:divBdr>
        <w:top w:val="none" w:sz="0" w:space="0" w:color="auto"/>
        <w:left w:val="none" w:sz="0" w:space="0" w:color="auto"/>
        <w:bottom w:val="none" w:sz="0" w:space="0" w:color="auto"/>
        <w:right w:val="none" w:sz="0" w:space="0" w:color="auto"/>
      </w:divBdr>
    </w:div>
    <w:div w:id="1055010084">
      <w:bodyDiv w:val="1"/>
      <w:marLeft w:val="0"/>
      <w:marRight w:val="0"/>
      <w:marTop w:val="0"/>
      <w:marBottom w:val="0"/>
      <w:divBdr>
        <w:top w:val="none" w:sz="0" w:space="0" w:color="auto"/>
        <w:left w:val="none" w:sz="0" w:space="0" w:color="auto"/>
        <w:bottom w:val="none" w:sz="0" w:space="0" w:color="auto"/>
        <w:right w:val="none" w:sz="0" w:space="0" w:color="auto"/>
      </w:divBdr>
    </w:div>
    <w:div w:id="1056582697">
      <w:bodyDiv w:val="1"/>
      <w:marLeft w:val="0"/>
      <w:marRight w:val="0"/>
      <w:marTop w:val="0"/>
      <w:marBottom w:val="0"/>
      <w:divBdr>
        <w:top w:val="none" w:sz="0" w:space="0" w:color="auto"/>
        <w:left w:val="none" w:sz="0" w:space="0" w:color="auto"/>
        <w:bottom w:val="none" w:sz="0" w:space="0" w:color="auto"/>
        <w:right w:val="none" w:sz="0" w:space="0" w:color="auto"/>
      </w:divBdr>
    </w:div>
    <w:div w:id="1063986996">
      <w:bodyDiv w:val="1"/>
      <w:marLeft w:val="0"/>
      <w:marRight w:val="0"/>
      <w:marTop w:val="0"/>
      <w:marBottom w:val="0"/>
      <w:divBdr>
        <w:top w:val="none" w:sz="0" w:space="0" w:color="auto"/>
        <w:left w:val="none" w:sz="0" w:space="0" w:color="auto"/>
        <w:bottom w:val="none" w:sz="0" w:space="0" w:color="auto"/>
        <w:right w:val="none" w:sz="0" w:space="0" w:color="auto"/>
      </w:divBdr>
    </w:div>
    <w:div w:id="1071972665">
      <w:bodyDiv w:val="1"/>
      <w:marLeft w:val="0"/>
      <w:marRight w:val="0"/>
      <w:marTop w:val="0"/>
      <w:marBottom w:val="0"/>
      <w:divBdr>
        <w:top w:val="none" w:sz="0" w:space="0" w:color="auto"/>
        <w:left w:val="none" w:sz="0" w:space="0" w:color="auto"/>
        <w:bottom w:val="none" w:sz="0" w:space="0" w:color="auto"/>
        <w:right w:val="none" w:sz="0" w:space="0" w:color="auto"/>
      </w:divBdr>
    </w:div>
    <w:div w:id="1074670704">
      <w:bodyDiv w:val="1"/>
      <w:marLeft w:val="0"/>
      <w:marRight w:val="0"/>
      <w:marTop w:val="0"/>
      <w:marBottom w:val="0"/>
      <w:divBdr>
        <w:top w:val="none" w:sz="0" w:space="0" w:color="auto"/>
        <w:left w:val="none" w:sz="0" w:space="0" w:color="auto"/>
        <w:bottom w:val="none" w:sz="0" w:space="0" w:color="auto"/>
        <w:right w:val="none" w:sz="0" w:space="0" w:color="auto"/>
      </w:divBdr>
    </w:div>
    <w:div w:id="1087340330">
      <w:bodyDiv w:val="1"/>
      <w:marLeft w:val="0"/>
      <w:marRight w:val="0"/>
      <w:marTop w:val="0"/>
      <w:marBottom w:val="0"/>
      <w:divBdr>
        <w:top w:val="none" w:sz="0" w:space="0" w:color="auto"/>
        <w:left w:val="none" w:sz="0" w:space="0" w:color="auto"/>
        <w:bottom w:val="none" w:sz="0" w:space="0" w:color="auto"/>
        <w:right w:val="none" w:sz="0" w:space="0" w:color="auto"/>
      </w:divBdr>
    </w:div>
    <w:div w:id="1091659113">
      <w:bodyDiv w:val="1"/>
      <w:marLeft w:val="0"/>
      <w:marRight w:val="0"/>
      <w:marTop w:val="0"/>
      <w:marBottom w:val="0"/>
      <w:divBdr>
        <w:top w:val="none" w:sz="0" w:space="0" w:color="auto"/>
        <w:left w:val="none" w:sz="0" w:space="0" w:color="auto"/>
        <w:bottom w:val="none" w:sz="0" w:space="0" w:color="auto"/>
        <w:right w:val="none" w:sz="0" w:space="0" w:color="auto"/>
      </w:divBdr>
    </w:div>
    <w:div w:id="1094324742">
      <w:bodyDiv w:val="1"/>
      <w:marLeft w:val="0"/>
      <w:marRight w:val="0"/>
      <w:marTop w:val="0"/>
      <w:marBottom w:val="0"/>
      <w:divBdr>
        <w:top w:val="none" w:sz="0" w:space="0" w:color="auto"/>
        <w:left w:val="none" w:sz="0" w:space="0" w:color="auto"/>
        <w:bottom w:val="none" w:sz="0" w:space="0" w:color="auto"/>
        <w:right w:val="none" w:sz="0" w:space="0" w:color="auto"/>
      </w:divBdr>
    </w:div>
    <w:div w:id="1101805071">
      <w:bodyDiv w:val="1"/>
      <w:marLeft w:val="0"/>
      <w:marRight w:val="0"/>
      <w:marTop w:val="0"/>
      <w:marBottom w:val="0"/>
      <w:divBdr>
        <w:top w:val="none" w:sz="0" w:space="0" w:color="auto"/>
        <w:left w:val="none" w:sz="0" w:space="0" w:color="auto"/>
        <w:bottom w:val="none" w:sz="0" w:space="0" w:color="auto"/>
        <w:right w:val="none" w:sz="0" w:space="0" w:color="auto"/>
      </w:divBdr>
    </w:div>
    <w:div w:id="1106458443">
      <w:bodyDiv w:val="1"/>
      <w:marLeft w:val="0"/>
      <w:marRight w:val="0"/>
      <w:marTop w:val="0"/>
      <w:marBottom w:val="0"/>
      <w:divBdr>
        <w:top w:val="none" w:sz="0" w:space="0" w:color="auto"/>
        <w:left w:val="none" w:sz="0" w:space="0" w:color="auto"/>
        <w:bottom w:val="none" w:sz="0" w:space="0" w:color="auto"/>
        <w:right w:val="none" w:sz="0" w:space="0" w:color="auto"/>
      </w:divBdr>
    </w:div>
    <w:div w:id="1108543642">
      <w:bodyDiv w:val="1"/>
      <w:marLeft w:val="0"/>
      <w:marRight w:val="0"/>
      <w:marTop w:val="0"/>
      <w:marBottom w:val="0"/>
      <w:divBdr>
        <w:top w:val="none" w:sz="0" w:space="0" w:color="auto"/>
        <w:left w:val="none" w:sz="0" w:space="0" w:color="auto"/>
        <w:bottom w:val="none" w:sz="0" w:space="0" w:color="auto"/>
        <w:right w:val="none" w:sz="0" w:space="0" w:color="auto"/>
      </w:divBdr>
    </w:div>
    <w:div w:id="1108696342">
      <w:bodyDiv w:val="1"/>
      <w:marLeft w:val="0"/>
      <w:marRight w:val="0"/>
      <w:marTop w:val="0"/>
      <w:marBottom w:val="0"/>
      <w:divBdr>
        <w:top w:val="none" w:sz="0" w:space="0" w:color="auto"/>
        <w:left w:val="none" w:sz="0" w:space="0" w:color="auto"/>
        <w:bottom w:val="none" w:sz="0" w:space="0" w:color="auto"/>
        <w:right w:val="none" w:sz="0" w:space="0" w:color="auto"/>
      </w:divBdr>
    </w:div>
    <w:div w:id="1117412963">
      <w:bodyDiv w:val="1"/>
      <w:marLeft w:val="0"/>
      <w:marRight w:val="0"/>
      <w:marTop w:val="0"/>
      <w:marBottom w:val="0"/>
      <w:divBdr>
        <w:top w:val="none" w:sz="0" w:space="0" w:color="auto"/>
        <w:left w:val="none" w:sz="0" w:space="0" w:color="auto"/>
        <w:bottom w:val="none" w:sz="0" w:space="0" w:color="auto"/>
        <w:right w:val="none" w:sz="0" w:space="0" w:color="auto"/>
      </w:divBdr>
    </w:div>
    <w:div w:id="1121725337">
      <w:bodyDiv w:val="1"/>
      <w:marLeft w:val="0"/>
      <w:marRight w:val="0"/>
      <w:marTop w:val="0"/>
      <w:marBottom w:val="0"/>
      <w:divBdr>
        <w:top w:val="none" w:sz="0" w:space="0" w:color="auto"/>
        <w:left w:val="none" w:sz="0" w:space="0" w:color="auto"/>
        <w:bottom w:val="none" w:sz="0" w:space="0" w:color="auto"/>
        <w:right w:val="none" w:sz="0" w:space="0" w:color="auto"/>
      </w:divBdr>
    </w:div>
    <w:div w:id="1139492679">
      <w:bodyDiv w:val="1"/>
      <w:marLeft w:val="0"/>
      <w:marRight w:val="0"/>
      <w:marTop w:val="0"/>
      <w:marBottom w:val="0"/>
      <w:divBdr>
        <w:top w:val="none" w:sz="0" w:space="0" w:color="auto"/>
        <w:left w:val="none" w:sz="0" w:space="0" w:color="auto"/>
        <w:bottom w:val="none" w:sz="0" w:space="0" w:color="auto"/>
        <w:right w:val="none" w:sz="0" w:space="0" w:color="auto"/>
      </w:divBdr>
    </w:div>
    <w:div w:id="1142887705">
      <w:bodyDiv w:val="1"/>
      <w:marLeft w:val="0"/>
      <w:marRight w:val="0"/>
      <w:marTop w:val="0"/>
      <w:marBottom w:val="0"/>
      <w:divBdr>
        <w:top w:val="none" w:sz="0" w:space="0" w:color="auto"/>
        <w:left w:val="none" w:sz="0" w:space="0" w:color="auto"/>
        <w:bottom w:val="none" w:sz="0" w:space="0" w:color="auto"/>
        <w:right w:val="none" w:sz="0" w:space="0" w:color="auto"/>
      </w:divBdr>
    </w:div>
    <w:div w:id="1151412832">
      <w:bodyDiv w:val="1"/>
      <w:marLeft w:val="0"/>
      <w:marRight w:val="0"/>
      <w:marTop w:val="0"/>
      <w:marBottom w:val="0"/>
      <w:divBdr>
        <w:top w:val="none" w:sz="0" w:space="0" w:color="auto"/>
        <w:left w:val="none" w:sz="0" w:space="0" w:color="auto"/>
        <w:bottom w:val="none" w:sz="0" w:space="0" w:color="auto"/>
        <w:right w:val="none" w:sz="0" w:space="0" w:color="auto"/>
      </w:divBdr>
    </w:div>
    <w:div w:id="1151481060">
      <w:bodyDiv w:val="1"/>
      <w:marLeft w:val="0"/>
      <w:marRight w:val="0"/>
      <w:marTop w:val="0"/>
      <w:marBottom w:val="0"/>
      <w:divBdr>
        <w:top w:val="none" w:sz="0" w:space="0" w:color="auto"/>
        <w:left w:val="none" w:sz="0" w:space="0" w:color="auto"/>
        <w:bottom w:val="none" w:sz="0" w:space="0" w:color="auto"/>
        <w:right w:val="none" w:sz="0" w:space="0" w:color="auto"/>
      </w:divBdr>
    </w:div>
    <w:div w:id="1152023516">
      <w:bodyDiv w:val="1"/>
      <w:marLeft w:val="0"/>
      <w:marRight w:val="0"/>
      <w:marTop w:val="0"/>
      <w:marBottom w:val="0"/>
      <w:divBdr>
        <w:top w:val="none" w:sz="0" w:space="0" w:color="auto"/>
        <w:left w:val="none" w:sz="0" w:space="0" w:color="auto"/>
        <w:bottom w:val="none" w:sz="0" w:space="0" w:color="auto"/>
        <w:right w:val="none" w:sz="0" w:space="0" w:color="auto"/>
      </w:divBdr>
    </w:div>
    <w:div w:id="1155143346">
      <w:bodyDiv w:val="1"/>
      <w:marLeft w:val="0"/>
      <w:marRight w:val="0"/>
      <w:marTop w:val="0"/>
      <w:marBottom w:val="0"/>
      <w:divBdr>
        <w:top w:val="none" w:sz="0" w:space="0" w:color="auto"/>
        <w:left w:val="none" w:sz="0" w:space="0" w:color="auto"/>
        <w:bottom w:val="none" w:sz="0" w:space="0" w:color="auto"/>
        <w:right w:val="none" w:sz="0" w:space="0" w:color="auto"/>
      </w:divBdr>
    </w:div>
    <w:div w:id="1166433893">
      <w:bodyDiv w:val="1"/>
      <w:marLeft w:val="0"/>
      <w:marRight w:val="0"/>
      <w:marTop w:val="0"/>
      <w:marBottom w:val="0"/>
      <w:divBdr>
        <w:top w:val="none" w:sz="0" w:space="0" w:color="auto"/>
        <w:left w:val="none" w:sz="0" w:space="0" w:color="auto"/>
        <w:bottom w:val="none" w:sz="0" w:space="0" w:color="auto"/>
        <w:right w:val="none" w:sz="0" w:space="0" w:color="auto"/>
      </w:divBdr>
    </w:div>
    <w:div w:id="1173912688">
      <w:bodyDiv w:val="1"/>
      <w:marLeft w:val="0"/>
      <w:marRight w:val="0"/>
      <w:marTop w:val="0"/>
      <w:marBottom w:val="0"/>
      <w:divBdr>
        <w:top w:val="none" w:sz="0" w:space="0" w:color="auto"/>
        <w:left w:val="none" w:sz="0" w:space="0" w:color="auto"/>
        <w:bottom w:val="none" w:sz="0" w:space="0" w:color="auto"/>
        <w:right w:val="none" w:sz="0" w:space="0" w:color="auto"/>
      </w:divBdr>
    </w:div>
    <w:div w:id="1182429802">
      <w:bodyDiv w:val="1"/>
      <w:marLeft w:val="0"/>
      <w:marRight w:val="0"/>
      <w:marTop w:val="0"/>
      <w:marBottom w:val="0"/>
      <w:divBdr>
        <w:top w:val="none" w:sz="0" w:space="0" w:color="auto"/>
        <w:left w:val="none" w:sz="0" w:space="0" w:color="auto"/>
        <w:bottom w:val="none" w:sz="0" w:space="0" w:color="auto"/>
        <w:right w:val="none" w:sz="0" w:space="0" w:color="auto"/>
      </w:divBdr>
    </w:div>
    <w:div w:id="1184049487">
      <w:bodyDiv w:val="1"/>
      <w:marLeft w:val="0"/>
      <w:marRight w:val="0"/>
      <w:marTop w:val="0"/>
      <w:marBottom w:val="0"/>
      <w:divBdr>
        <w:top w:val="none" w:sz="0" w:space="0" w:color="auto"/>
        <w:left w:val="none" w:sz="0" w:space="0" w:color="auto"/>
        <w:bottom w:val="none" w:sz="0" w:space="0" w:color="auto"/>
        <w:right w:val="none" w:sz="0" w:space="0" w:color="auto"/>
      </w:divBdr>
    </w:div>
    <w:div w:id="1187597574">
      <w:bodyDiv w:val="1"/>
      <w:marLeft w:val="0"/>
      <w:marRight w:val="0"/>
      <w:marTop w:val="0"/>
      <w:marBottom w:val="0"/>
      <w:divBdr>
        <w:top w:val="none" w:sz="0" w:space="0" w:color="auto"/>
        <w:left w:val="none" w:sz="0" w:space="0" w:color="auto"/>
        <w:bottom w:val="none" w:sz="0" w:space="0" w:color="auto"/>
        <w:right w:val="none" w:sz="0" w:space="0" w:color="auto"/>
      </w:divBdr>
    </w:div>
    <w:div w:id="1188057182">
      <w:bodyDiv w:val="1"/>
      <w:marLeft w:val="0"/>
      <w:marRight w:val="0"/>
      <w:marTop w:val="0"/>
      <w:marBottom w:val="0"/>
      <w:divBdr>
        <w:top w:val="none" w:sz="0" w:space="0" w:color="auto"/>
        <w:left w:val="none" w:sz="0" w:space="0" w:color="auto"/>
        <w:bottom w:val="none" w:sz="0" w:space="0" w:color="auto"/>
        <w:right w:val="none" w:sz="0" w:space="0" w:color="auto"/>
      </w:divBdr>
    </w:div>
    <w:div w:id="1189106417">
      <w:bodyDiv w:val="1"/>
      <w:marLeft w:val="0"/>
      <w:marRight w:val="0"/>
      <w:marTop w:val="0"/>
      <w:marBottom w:val="0"/>
      <w:divBdr>
        <w:top w:val="none" w:sz="0" w:space="0" w:color="auto"/>
        <w:left w:val="none" w:sz="0" w:space="0" w:color="auto"/>
        <w:bottom w:val="none" w:sz="0" w:space="0" w:color="auto"/>
        <w:right w:val="none" w:sz="0" w:space="0" w:color="auto"/>
      </w:divBdr>
    </w:div>
    <w:div w:id="1189487872">
      <w:bodyDiv w:val="1"/>
      <w:marLeft w:val="0"/>
      <w:marRight w:val="0"/>
      <w:marTop w:val="0"/>
      <w:marBottom w:val="0"/>
      <w:divBdr>
        <w:top w:val="none" w:sz="0" w:space="0" w:color="auto"/>
        <w:left w:val="none" w:sz="0" w:space="0" w:color="auto"/>
        <w:bottom w:val="none" w:sz="0" w:space="0" w:color="auto"/>
        <w:right w:val="none" w:sz="0" w:space="0" w:color="auto"/>
      </w:divBdr>
    </w:div>
    <w:div w:id="1191455792">
      <w:bodyDiv w:val="1"/>
      <w:marLeft w:val="0"/>
      <w:marRight w:val="0"/>
      <w:marTop w:val="0"/>
      <w:marBottom w:val="0"/>
      <w:divBdr>
        <w:top w:val="none" w:sz="0" w:space="0" w:color="auto"/>
        <w:left w:val="none" w:sz="0" w:space="0" w:color="auto"/>
        <w:bottom w:val="none" w:sz="0" w:space="0" w:color="auto"/>
        <w:right w:val="none" w:sz="0" w:space="0" w:color="auto"/>
      </w:divBdr>
    </w:div>
    <w:div w:id="1192383118">
      <w:bodyDiv w:val="1"/>
      <w:marLeft w:val="0"/>
      <w:marRight w:val="0"/>
      <w:marTop w:val="0"/>
      <w:marBottom w:val="0"/>
      <w:divBdr>
        <w:top w:val="none" w:sz="0" w:space="0" w:color="auto"/>
        <w:left w:val="none" w:sz="0" w:space="0" w:color="auto"/>
        <w:bottom w:val="none" w:sz="0" w:space="0" w:color="auto"/>
        <w:right w:val="none" w:sz="0" w:space="0" w:color="auto"/>
      </w:divBdr>
    </w:div>
    <w:div w:id="1196308776">
      <w:bodyDiv w:val="1"/>
      <w:marLeft w:val="0"/>
      <w:marRight w:val="0"/>
      <w:marTop w:val="0"/>
      <w:marBottom w:val="0"/>
      <w:divBdr>
        <w:top w:val="none" w:sz="0" w:space="0" w:color="auto"/>
        <w:left w:val="none" w:sz="0" w:space="0" w:color="auto"/>
        <w:bottom w:val="none" w:sz="0" w:space="0" w:color="auto"/>
        <w:right w:val="none" w:sz="0" w:space="0" w:color="auto"/>
      </w:divBdr>
    </w:div>
    <w:div w:id="1196654269">
      <w:bodyDiv w:val="1"/>
      <w:marLeft w:val="0"/>
      <w:marRight w:val="0"/>
      <w:marTop w:val="0"/>
      <w:marBottom w:val="0"/>
      <w:divBdr>
        <w:top w:val="none" w:sz="0" w:space="0" w:color="auto"/>
        <w:left w:val="none" w:sz="0" w:space="0" w:color="auto"/>
        <w:bottom w:val="none" w:sz="0" w:space="0" w:color="auto"/>
        <w:right w:val="none" w:sz="0" w:space="0" w:color="auto"/>
      </w:divBdr>
    </w:div>
    <w:div w:id="1206482460">
      <w:bodyDiv w:val="1"/>
      <w:marLeft w:val="0"/>
      <w:marRight w:val="0"/>
      <w:marTop w:val="0"/>
      <w:marBottom w:val="0"/>
      <w:divBdr>
        <w:top w:val="none" w:sz="0" w:space="0" w:color="auto"/>
        <w:left w:val="none" w:sz="0" w:space="0" w:color="auto"/>
        <w:bottom w:val="none" w:sz="0" w:space="0" w:color="auto"/>
        <w:right w:val="none" w:sz="0" w:space="0" w:color="auto"/>
      </w:divBdr>
    </w:div>
    <w:div w:id="1214731025">
      <w:bodyDiv w:val="1"/>
      <w:marLeft w:val="0"/>
      <w:marRight w:val="0"/>
      <w:marTop w:val="0"/>
      <w:marBottom w:val="0"/>
      <w:divBdr>
        <w:top w:val="none" w:sz="0" w:space="0" w:color="auto"/>
        <w:left w:val="none" w:sz="0" w:space="0" w:color="auto"/>
        <w:bottom w:val="none" w:sz="0" w:space="0" w:color="auto"/>
        <w:right w:val="none" w:sz="0" w:space="0" w:color="auto"/>
      </w:divBdr>
    </w:div>
    <w:div w:id="1220164663">
      <w:bodyDiv w:val="1"/>
      <w:marLeft w:val="0"/>
      <w:marRight w:val="0"/>
      <w:marTop w:val="0"/>
      <w:marBottom w:val="0"/>
      <w:divBdr>
        <w:top w:val="none" w:sz="0" w:space="0" w:color="auto"/>
        <w:left w:val="none" w:sz="0" w:space="0" w:color="auto"/>
        <w:bottom w:val="none" w:sz="0" w:space="0" w:color="auto"/>
        <w:right w:val="none" w:sz="0" w:space="0" w:color="auto"/>
      </w:divBdr>
    </w:div>
    <w:div w:id="1222011669">
      <w:bodyDiv w:val="1"/>
      <w:marLeft w:val="0"/>
      <w:marRight w:val="0"/>
      <w:marTop w:val="0"/>
      <w:marBottom w:val="0"/>
      <w:divBdr>
        <w:top w:val="none" w:sz="0" w:space="0" w:color="auto"/>
        <w:left w:val="none" w:sz="0" w:space="0" w:color="auto"/>
        <w:bottom w:val="none" w:sz="0" w:space="0" w:color="auto"/>
        <w:right w:val="none" w:sz="0" w:space="0" w:color="auto"/>
      </w:divBdr>
    </w:div>
    <w:div w:id="1226332419">
      <w:bodyDiv w:val="1"/>
      <w:marLeft w:val="0"/>
      <w:marRight w:val="0"/>
      <w:marTop w:val="0"/>
      <w:marBottom w:val="0"/>
      <w:divBdr>
        <w:top w:val="none" w:sz="0" w:space="0" w:color="auto"/>
        <w:left w:val="none" w:sz="0" w:space="0" w:color="auto"/>
        <w:bottom w:val="none" w:sz="0" w:space="0" w:color="auto"/>
        <w:right w:val="none" w:sz="0" w:space="0" w:color="auto"/>
      </w:divBdr>
    </w:div>
    <w:div w:id="1228300805">
      <w:bodyDiv w:val="1"/>
      <w:marLeft w:val="0"/>
      <w:marRight w:val="0"/>
      <w:marTop w:val="0"/>
      <w:marBottom w:val="0"/>
      <w:divBdr>
        <w:top w:val="none" w:sz="0" w:space="0" w:color="auto"/>
        <w:left w:val="none" w:sz="0" w:space="0" w:color="auto"/>
        <w:bottom w:val="none" w:sz="0" w:space="0" w:color="auto"/>
        <w:right w:val="none" w:sz="0" w:space="0" w:color="auto"/>
      </w:divBdr>
    </w:div>
    <w:div w:id="1231385196">
      <w:bodyDiv w:val="1"/>
      <w:marLeft w:val="0"/>
      <w:marRight w:val="0"/>
      <w:marTop w:val="0"/>
      <w:marBottom w:val="0"/>
      <w:divBdr>
        <w:top w:val="none" w:sz="0" w:space="0" w:color="auto"/>
        <w:left w:val="none" w:sz="0" w:space="0" w:color="auto"/>
        <w:bottom w:val="none" w:sz="0" w:space="0" w:color="auto"/>
        <w:right w:val="none" w:sz="0" w:space="0" w:color="auto"/>
      </w:divBdr>
    </w:div>
    <w:div w:id="1232086000">
      <w:bodyDiv w:val="1"/>
      <w:marLeft w:val="0"/>
      <w:marRight w:val="0"/>
      <w:marTop w:val="0"/>
      <w:marBottom w:val="0"/>
      <w:divBdr>
        <w:top w:val="none" w:sz="0" w:space="0" w:color="auto"/>
        <w:left w:val="none" w:sz="0" w:space="0" w:color="auto"/>
        <w:bottom w:val="none" w:sz="0" w:space="0" w:color="auto"/>
        <w:right w:val="none" w:sz="0" w:space="0" w:color="auto"/>
      </w:divBdr>
    </w:div>
    <w:div w:id="1233740278">
      <w:bodyDiv w:val="1"/>
      <w:marLeft w:val="0"/>
      <w:marRight w:val="0"/>
      <w:marTop w:val="0"/>
      <w:marBottom w:val="0"/>
      <w:divBdr>
        <w:top w:val="none" w:sz="0" w:space="0" w:color="auto"/>
        <w:left w:val="none" w:sz="0" w:space="0" w:color="auto"/>
        <w:bottom w:val="none" w:sz="0" w:space="0" w:color="auto"/>
        <w:right w:val="none" w:sz="0" w:space="0" w:color="auto"/>
      </w:divBdr>
    </w:div>
    <w:div w:id="1241330837">
      <w:bodyDiv w:val="1"/>
      <w:marLeft w:val="0"/>
      <w:marRight w:val="0"/>
      <w:marTop w:val="0"/>
      <w:marBottom w:val="0"/>
      <w:divBdr>
        <w:top w:val="none" w:sz="0" w:space="0" w:color="auto"/>
        <w:left w:val="none" w:sz="0" w:space="0" w:color="auto"/>
        <w:bottom w:val="none" w:sz="0" w:space="0" w:color="auto"/>
        <w:right w:val="none" w:sz="0" w:space="0" w:color="auto"/>
      </w:divBdr>
    </w:div>
    <w:div w:id="1250041089">
      <w:bodyDiv w:val="1"/>
      <w:marLeft w:val="0"/>
      <w:marRight w:val="0"/>
      <w:marTop w:val="0"/>
      <w:marBottom w:val="0"/>
      <w:divBdr>
        <w:top w:val="none" w:sz="0" w:space="0" w:color="auto"/>
        <w:left w:val="none" w:sz="0" w:space="0" w:color="auto"/>
        <w:bottom w:val="none" w:sz="0" w:space="0" w:color="auto"/>
        <w:right w:val="none" w:sz="0" w:space="0" w:color="auto"/>
      </w:divBdr>
    </w:div>
    <w:div w:id="1250313512">
      <w:bodyDiv w:val="1"/>
      <w:marLeft w:val="0"/>
      <w:marRight w:val="0"/>
      <w:marTop w:val="0"/>
      <w:marBottom w:val="0"/>
      <w:divBdr>
        <w:top w:val="none" w:sz="0" w:space="0" w:color="auto"/>
        <w:left w:val="none" w:sz="0" w:space="0" w:color="auto"/>
        <w:bottom w:val="none" w:sz="0" w:space="0" w:color="auto"/>
        <w:right w:val="none" w:sz="0" w:space="0" w:color="auto"/>
      </w:divBdr>
    </w:div>
    <w:div w:id="1250843746">
      <w:bodyDiv w:val="1"/>
      <w:marLeft w:val="0"/>
      <w:marRight w:val="0"/>
      <w:marTop w:val="0"/>
      <w:marBottom w:val="0"/>
      <w:divBdr>
        <w:top w:val="none" w:sz="0" w:space="0" w:color="auto"/>
        <w:left w:val="none" w:sz="0" w:space="0" w:color="auto"/>
        <w:bottom w:val="none" w:sz="0" w:space="0" w:color="auto"/>
        <w:right w:val="none" w:sz="0" w:space="0" w:color="auto"/>
      </w:divBdr>
    </w:div>
    <w:div w:id="1250848507">
      <w:bodyDiv w:val="1"/>
      <w:marLeft w:val="0"/>
      <w:marRight w:val="0"/>
      <w:marTop w:val="0"/>
      <w:marBottom w:val="0"/>
      <w:divBdr>
        <w:top w:val="none" w:sz="0" w:space="0" w:color="auto"/>
        <w:left w:val="none" w:sz="0" w:space="0" w:color="auto"/>
        <w:bottom w:val="none" w:sz="0" w:space="0" w:color="auto"/>
        <w:right w:val="none" w:sz="0" w:space="0" w:color="auto"/>
      </w:divBdr>
    </w:div>
    <w:div w:id="1254902083">
      <w:bodyDiv w:val="1"/>
      <w:marLeft w:val="0"/>
      <w:marRight w:val="0"/>
      <w:marTop w:val="0"/>
      <w:marBottom w:val="0"/>
      <w:divBdr>
        <w:top w:val="none" w:sz="0" w:space="0" w:color="auto"/>
        <w:left w:val="none" w:sz="0" w:space="0" w:color="auto"/>
        <w:bottom w:val="none" w:sz="0" w:space="0" w:color="auto"/>
        <w:right w:val="none" w:sz="0" w:space="0" w:color="auto"/>
      </w:divBdr>
    </w:div>
    <w:div w:id="1255892959">
      <w:bodyDiv w:val="1"/>
      <w:marLeft w:val="0"/>
      <w:marRight w:val="0"/>
      <w:marTop w:val="0"/>
      <w:marBottom w:val="0"/>
      <w:divBdr>
        <w:top w:val="none" w:sz="0" w:space="0" w:color="auto"/>
        <w:left w:val="none" w:sz="0" w:space="0" w:color="auto"/>
        <w:bottom w:val="none" w:sz="0" w:space="0" w:color="auto"/>
        <w:right w:val="none" w:sz="0" w:space="0" w:color="auto"/>
      </w:divBdr>
    </w:div>
    <w:div w:id="1258753827">
      <w:bodyDiv w:val="1"/>
      <w:marLeft w:val="0"/>
      <w:marRight w:val="0"/>
      <w:marTop w:val="0"/>
      <w:marBottom w:val="0"/>
      <w:divBdr>
        <w:top w:val="none" w:sz="0" w:space="0" w:color="auto"/>
        <w:left w:val="none" w:sz="0" w:space="0" w:color="auto"/>
        <w:bottom w:val="none" w:sz="0" w:space="0" w:color="auto"/>
        <w:right w:val="none" w:sz="0" w:space="0" w:color="auto"/>
      </w:divBdr>
    </w:div>
    <w:div w:id="1265960765">
      <w:bodyDiv w:val="1"/>
      <w:marLeft w:val="0"/>
      <w:marRight w:val="0"/>
      <w:marTop w:val="0"/>
      <w:marBottom w:val="0"/>
      <w:divBdr>
        <w:top w:val="none" w:sz="0" w:space="0" w:color="auto"/>
        <w:left w:val="none" w:sz="0" w:space="0" w:color="auto"/>
        <w:bottom w:val="none" w:sz="0" w:space="0" w:color="auto"/>
        <w:right w:val="none" w:sz="0" w:space="0" w:color="auto"/>
      </w:divBdr>
    </w:div>
    <w:div w:id="1270963932">
      <w:bodyDiv w:val="1"/>
      <w:marLeft w:val="0"/>
      <w:marRight w:val="0"/>
      <w:marTop w:val="0"/>
      <w:marBottom w:val="0"/>
      <w:divBdr>
        <w:top w:val="none" w:sz="0" w:space="0" w:color="auto"/>
        <w:left w:val="none" w:sz="0" w:space="0" w:color="auto"/>
        <w:bottom w:val="none" w:sz="0" w:space="0" w:color="auto"/>
        <w:right w:val="none" w:sz="0" w:space="0" w:color="auto"/>
      </w:divBdr>
    </w:div>
    <w:div w:id="1272782474">
      <w:bodyDiv w:val="1"/>
      <w:marLeft w:val="0"/>
      <w:marRight w:val="0"/>
      <w:marTop w:val="0"/>
      <w:marBottom w:val="0"/>
      <w:divBdr>
        <w:top w:val="none" w:sz="0" w:space="0" w:color="auto"/>
        <w:left w:val="none" w:sz="0" w:space="0" w:color="auto"/>
        <w:bottom w:val="none" w:sz="0" w:space="0" w:color="auto"/>
        <w:right w:val="none" w:sz="0" w:space="0" w:color="auto"/>
      </w:divBdr>
    </w:div>
    <w:div w:id="1273517709">
      <w:bodyDiv w:val="1"/>
      <w:marLeft w:val="0"/>
      <w:marRight w:val="0"/>
      <w:marTop w:val="0"/>
      <w:marBottom w:val="0"/>
      <w:divBdr>
        <w:top w:val="none" w:sz="0" w:space="0" w:color="auto"/>
        <w:left w:val="none" w:sz="0" w:space="0" w:color="auto"/>
        <w:bottom w:val="none" w:sz="0" w:space="0" w:color="auto"/>
        <w:right w:val="none" w:sz="0" w:space="0" w:color="auto"/>
      </w:divBdr>
    </w:div>
    <w:div w:id="1278373832">
      <w:bodyDiv w:val="1"/>
      <w:marLeft w:val="0"/>
      <w:marRight w:val="0"/>
      <w:marTop w:val="0"/>
      <w:marBottom w:val="0"/>
      <w:divBdr>
        <w:top w:val="none" w:sz="0" w:space="0" w:color="auto"/>
        <w:left w:val="none" w:sz="0" w:space="0" w:color="auto"/>
        <w:bottom w:val="none" w:sz="0" w:space="0" w:color="auto"/>
        <w:right w:val="none" w:sz="0" w:space="0" w:color="auto"/>
      </w:divBdr>
    </w:div>
    <w:div w:id="1279490036">
      <w:bodyDiv w:val="1"/>
      <w:marLeft w:val="0"/>
      <w:marRight w:val="0"/>
      <w:marTop w:val="0"/>
      <w:marBottom w:val="0"/>
      <w:divBdr>
        <w:top w:val="none" w:sz="0" w:space="0" w:color="auto"/>
        <w:left w:val="none" w:sz="0" w:space="0" w:color="auto"/>
        <w:bottom w:val="none" w:sz="0" w:space="0" w:color="auto"/>
        <w:right w:val="none" w:sz="0" w:space="0" w:color="auto"/>
      </w:divBdr>
    </w:div>
    <w:div w:id="1283805128">
      <w:bodyDiv w:val="1"/>
      <w:marLeft w:val="0"/>
      <w:marRight w:val="0"/>
      <w:marTop w:val="0"/>
      <w:marBottom w:val="0"/>
      <w:divBdr>
        <w:top w:val="none" w:sz="0" w:space="0" w:color="auto"/>
        <w:left w:val="none" w:sz="0" w:space="0" w:color="auto"/>
        <w:bottom w:val="none" w:sz="0" w:space="0" w:color="auto"/>
        <w:right w:val="none" w:sz="0" w:space="0" w:color="auto"/>
      </w:divBdr>
    </w:div>
    <w:div w:id="1285234055">
      <w:bodyDiv w:val="1"/>
      <w:marLeft w:val="0"/>
      <w:marRight w:val="0"/>
      <w:marTop w:val="0"/>
      <w:marBottom w:val="0"/>
      <w:divBdr>
        <w:top w:val="none" w:sz="0" w:space="0" w:color="auto"/>
        <w:left w:val="none" w:sz="0" w:space="0" w:color="auto"/>
        <w:bottom w:val="none" w:sz="0" w:space="0" w:color="auto"/>
        <w:right w:val="none" w:sz="0" w:space="0" w:color="auto"/>
      </w:divBdr>
    </w:div>
    <w:div w:id="1285693700">
      <w:bodyDiv w:val="1"/>
      <w:marLeft w:val="0"/>
      <w:marRight w:val="0"/>
      <w:marTop w:val="0"/>
      <w:marBottom w:val="0"/>
      <w:divBdr>
        <w:top w:val="none" w:sz="0" w:space="0" w:color="auto"/>
        <w:left w:val="none" w:sz="0" w:space="0" w:color="auto"/>
        <w:bottom w:val="none" w:sz="0" w:space="0" w:color="auto"/>
        <w:right w:val="none" w:sz="0" w:space="0" w:color="auto"/>
      </w:divBdr>
    </w:div>
    <w:div w:id="1285963371">
      <w:bodyDiv w:val="1"/>
      <w:marLeft w:val="0"/>
      <w:marRight w:val="0"/>
      <w:marTop w:val="0"/>
      <w:marBottom w:val="0"/>
      <w:divBdr>
        <w:top w:val="none" w:sz="0" w:space="0" w:color="auto"/>
        <w:left w:val="none" w:sz="0" w:space="0" w:color="auto"/>
        <w:bottom w:val="none" w:sz="0" w:space="0" w:color="auto"/>
        <w:right w:val="none" w:sz="0" w:space="0" w:color="auto"/>
      </w:divBdr>
    </w:div>
    <w:div w:id="1297613098">
      <w:bodyDiv w:val="1"/>
      <w:marLeft w:val="0"/>
      <w:marRight w:val="0"/>
      <w:marTop w:val="0"/>
      <w:marBottom w:val="0"/>
      <w:divBdr>
        <w:top w:val="none" w:sz="0" w:space="0" w:color="auto"/>
        <w:left w:val="none" w:sz="0" w:space="0" w:color="auto"/>
        <w:bottom w:val="none" w:sz="0" w:space="0" w:color="auto"/>
        <w:right w:val="none" w:sz="0" w:space="0" w:color="auto"/>
      </w:divBdr>
    </w:div>
    <w:div w:id="1307078738">
      <w:bodyDiv w:val="1"/>
      <w:marLeft w:val="0"/>
      <w:marRight w:val="0"/>
      <w:marTop w:val="0"/>
      <w:marBottom w:val="0"/>
      <w:divBdr>
        <w:top w:val="none" w:sz="0" w:space="0" w:color="auto"/>
        <w:left w:val="none" w:sz="0" w:space="0" w:color="auto"/>
        <w:bottom w:val="none" w:sz="0" w:space="0" w:color="auto"/>
        <w:right w:val="none" w:sz="0" w:space="0" w:color="auto"/>
      </w:divBdr>
    </w:div>
    <w:div w:id="1310670738">
      <w:bodyDiv w:val="1"/>
      <w:marLeft w:val="0"/>
      <w:marRight w:val="0"/>
      <w:marTop w:val="0"/>
      <w:marBottom w:val="0"/>
      <w:divBdr>
        <w:top w:val="none" w:sz="0" w:space="0" w:color="auto"/>
        <w:left w:val="none" w:sz="0" w:space="0" w:color="auto"/>
        <w:bottom w:val="none" w:sz="0" w:space="0" w:color="auto"/>
        <w:right w:val="none" w:sz="0" w:space="0" w:color="auto"/>
      </w:divBdr>
    </w:div>
    <w:div w:id="1312635250">
      <w:bodyDiv w:val="1"/>
      <w:marLeft w:val="0"/>
      <w:marRight w:val="0"/>
      <w:marTop w:val="0"/>
      <w:marBottom w:val="0"/>
      <w:divBdr>
        <w:top w:val="none" w:sz="0" w:space="0" w:color="auto"/>
        <w:left w:val="none" w:sz="0" w:space="0" w:color="auto"/>
        <w:bottom w:val="none" w:sz="0" w:space="0" w:color="auto"/>
        <w:right w:val="none" w:sz="0" w:space="0" w:color="auto"/>
      </w:divBdr>
    </w:div>
    <w:div w:id="1313293286">
      <w:bodyDiv w:val="1"/>
      <w:marLeft w:val="0"/>
      <w:marRight w:val="0"/>
      <w:marTop w:val="0"/>
      <w:marBottom w:val="0"/>
      <w:divBdr>
        <w:top w:val="none" w:sz="0" w:space="0" w:color="auto"/>
        <w:left w:val="none" w:sz="0" w:space="0" w:color="auto"/>
        <w:bottom w:val="none" w:sz="0" w:space="0" w:color="auto"/>
        <w:right w:val="none" w:sz="0" w:space="0" w:color="auto"/>
      </w:divBdr>
    </w:div>
    <w:div w:id="1323897136">
      <w:bodyDiv w:val="1"/>
      <w:marLeft w:val="0"/>
      <w:marRight w:val="0"/>
      <w:marTop w:val="0"/>
      <w:marBottom w:val="0"/>
      <w:divBdr>
        <w:top w:val="none" w:sz="0" w:space="0" w:color="auto"/>
        <w:left w:val="none" w:sz="0" w:space="0" w:color="auto"/>
        <w:bottom w:val="none" w:sz="0" w:space="0" w:color="auto"/>
        <w:right w:val="none" w:sz="0" w:space="0" w:color="auto"/>
      </w:divBdr>
    </w:div>
    <w:div w:id="1340502941">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44744833">
      <w:bodyDiv w:val="1"/>
      <w:marLeft w:val="0"/>
      <w:marRight w:val="0"/>
      <w:marTop w:val="0"/>
      <w:marBottom w:val="0"/>
      <w:divBdr>
        <w:top w:val="none" w:sz="0" w:space="0" w:color="auto"/>
        <w:left w:val="none" w:sz="0" w:space="0" w:color="auto"/>
        <w:bottom w:val="none" w:sz="0" w:space="0" w:color="auto"/>
        <w:right w:val="none" w:sz="0" w:space="0" w:color="auto"/>
      </w:divBdr>
    </w:div>
    <w:div w:id="1348942768">
      <w:bodyDiv w:val="1"/>
      <w:marLeft w:val="0"/>
      <w:marRight w:val="0"/>
      <w:marTop w:val="0"/>
      <w:marBottom w:val="0"/>
      <w:divBdr>
        <w:top w:val="none" w:sz="0" w:space="0" w:color="auto"/>
        <w:left w:val="none" w:sz="0" w:space="0" w:color="auto"/>
        <w:bottom w:val="none" w:sz="0" w:space="0" w:color="auto"/>
        <w:right w:val="none" w:sz="0" w:space="0" w:color="auto"/>
      </w:divBdr>
    </w:div>
    <w:div w:id="1349213563">
      <w:bodyDiv w:val="1"/>
      <w:marLeft w:val="0"/>
      <w:marRight w:val="0"/>
      <w:marTop w:val="0"/>
      <w:marBottom w:val="0"/>
      <w:divBdr>
        <w:top w:val="none" w:sz="0" w:space="0" w:color="auto"/>
        <w:left w:val="none" w:sz="0" w:space="0" w:color="auto"/>
        <w:bottom w:val="none" w:sz="0" w:space="0" w:color="auto"/>
        <w:right w:val="none" w:sz="0" w:space="0" w:color="auto"/>
      </w:divBdr>
    </w:div>
    <w:div w:id="1359156995">
      <w:bodyDiv w:val="1"/>
      <w:marLeft w:val="0"/>
      <w:marRight w:val="0"/>
      <w:marTop w:val="0"/>
      <w:marBottom w:val="0"/>
      <w:divBdr>
        <w:top w:val="none" w:sz="0" w:space="0" w:color="auto"/>
        <w:left w:val="none" w:sz="0" w:space="0" w:color="auto"/>
        <w:bottom w:val="none" w:sz="0" w:space="0" w:color="auto"/>
        <w:right w:val="none" w:sz="0" w:space="0" w:color="auto"/>
      </w:divBdr>
    </w:div>
    <w:div w:id="1364287633">
      <w:bodyDiv w:val="1"/>
      <w:marLeft w:val="0"/>
      <w:marRight w:val="0"/>
      <w:marTop w:val="0"/>
      <w:marBottom w:val="0"/>
      <w:divBdr>
        <w:top w:val="none" w:sz="0" w:space="0" w:color="auto"/>
        <w:left w:val="none" w:sz="0" w:space="0" w:color="auto"/>
        <w:bottom w:val="none" w:sz="0" w:space="0" w:color="auto"/>
        <w:right w:val="none" w:sz="0" w:space="0" w:color="auto"/>
      </w:divBdr>
    </w:div>
    <w:div w:id="1365788737">
      <w:bodyDiv w:val="1"/>
      <w:marLeft w:val="0"/>
      <w:marRight w:val="0"/>
      <w:marTop w:val="0"/>
      <w:marBottom w:val="0"/>
      <w:divBdr>
        <w:top w:val="none" w:sz="0" w:space="0" w:color="auto"/>
        <w:left w:val="none" w:sz="0" w:space="0" w:color="auto"/>
        <w:bottom w:val="none" w:sz="0" w:space="0" w:color="auto"/>
        <w:right w:val="none" w:sz="0" w:space="0" w:color="auto"/>
      </w:divBdr>
    </w:div>
    <w:div w:id="1367026100">
      <w:bodyDiv w:val="1"/>
      <w:marLeft w:val="0"/>
      <w:marRight w:val="0"/>
      <w:marTop w:val="0"/>
      <w:marBottom w:val="0"/>
      <w:divBdr>
        <w:top w:val="none" w:sz="0" w:space="0" w:color="auto"/>
        <w:left w:val="none" w:sz="0" w:space="0" w:color="auto"/>
        <w:bottom w:val="none" w:sz="0" w:space="0" w:color="auto"/>
        <w:right w:val="none" w:sz="0" w:space="0" w:color="auto"/>
      </w:divBdr>
    </w:div>
    <w:div w:id="1367099066">
      <w:bodyDiv w:val="1"/>
      <w:marLeft w:val="0"/>
      <w:marRight w:val="0"/>
      <w:marTop w:val="0"/>
      <w:marBottom w:val="0"/>
      <w:divBdr>
        <w:top w:val="none" w:sz="0" w:space="0" w:color="auto"/>
        <w:left w:val="none" w:sz="0" w:space="0" w:color="auto"/>
        <w:bottom w:val="none" w:sz="0" w:space="0" w:color="auto"/>
        <w:right w:val="none" w:sz="0" w:space="0" w:color="auto"/>
      </w:divBdr>
    </w:div>
    <w:div w:id="1368919054">
      <w:bodyDiv w:val="1"/>
      <w:marLeft w:val="0"/>
      <w:marRight w:val="0"/>
      <w:marTop w:val="0"/>
      <w:marBottom w:val="0"/>
      <w:divBdr>
        <w:top w:val="none" w:sz="0" w:space="0" w:color="auto"/>
        <w:left w:val="none" w:sz="0" w:space="0" w:color="auto"/>
        <w:bottom w:val="none" w:sz="0" w:space="0" w:color="auto"/>
        <w:right w:val="none" w:sz="0" w:space="0" w:color="auto"/>
      </w:divBdr>
    </w:div>
    <w:div w:id="1371303841">
      <w:bodyDiv w:val="1"/>
      <w:marLeft w:val="0"/>
      <w:marRight w:val="0"/>
      <w:marTop w:val="0"/>
      <w:marBottom w:val="0"/>
      <w:divBdr>
        <w:top w:val="none" w:sz="0" w:space="0" w:color="auto"/>
        <w:left w:val="none" w:sz="0" w:space="0" w:color="auto"/>
        <w:bottom w:val="none" w:sz="0" w:space="0" w:color="auto"/>
        <w:right w:val="none" w:sz="0" w:space="0" w:color="auto"/>
      </w:divBdr>
    </w:div>
    <w:div w:id="1371953578">
      <w:bodyDiv w:val="1"/>
      <w:marLeft w:val="0"/>
      <w:marRight w:val="0"/>
      <w:marTop w:val="0"/>
      <w:marBottom w:val="0"/>
      <w:divBdr>
        <w:top w:val="none" w:sz="0" w:space="0" w:color="auto"/>
        <w:left w:val="none" w:sz="0" w:space="0" w:color="auto"/>
        <w:bottom w:val="none" w:sz="0" w:space="0" w:color="auto"/>
        <w:right w:val="none" w:sz="0" w:space="0" w:color="auto"/>
      </w:divBdr>
    </w:div>
    <w:div w:id="1378625444">
      <w:bodyDiv w:val="1"/>
      <w:marLeft w:val="0"/>
      <w:marRight w:val="0"/>
      <w:marTop w:val="0"/>
      <w:marBottom w:val="0"/>
      <w:divBdr>
        <w:top w:val="none" w:sz="0" w:space="0" w:color="auto"/>
        <w:left w:val="none" w:sz="0" w:space="0" w:color="auto"/>
        <w:bottom w:val="none" w:sz="0" w:space="0" w:color="auto"/>
        <w:right w:val="none" w:sz="0" w:space="0" w:color="auto"/>
      </w:divBdr>
    </w:div>
    <w:div w:id="1379015752">
      <w:bodyDiv w:val="1"/>
      <w:marLeft w:val="0"/>
      <w:marRight w:val="0"/>
      <w:marTop w:val="0"/>
      <w:marBottom w:val="0"/>
      <w:divBdr>
        <w:top w:val="none" w:sz="0" w:space="0" w:color="auto"/>
        <w:left w:val="none" w:sz="0" w:space="0" w:color="auto"/>
        <w:bottom w:val="none" w:sz="0" w:space="0" w:color="auto"/>
        <w:right w:val="none" w:sz="0" w:space="0" w:color="auto"/>
      </w:divBdr>
    </w:div>
    <w:div w:id="1388802977">
      <w:bodyDiv w:val="1"/>
      <w:marLeft w:val="0"/>
      <w:marRight w:val="0"/>
      <w:marTop w:val="0"/>
      <w:marBottom w:val="0"/>
      <w:divBdr>
        <w:top w:val="none" w:sz="0" w:space="0" w:color="auto"/>
        <w:left w:val="none" w:sz="0" w:space="0" w:color="auto"/>
        <w:bottom w:val="none" w:sz="0" w:space="0" w:color="auto"/>
        <w:right w:val="none" w:sz="0" w:space="0" w:color="auto"/>
      </w:divBdr>
    </w:div>
    <w:div w:id="1389305122">
      <w:bodyDiv w:val="1"/>
      <w:marLeft w:val="0"/>
      <w:marRight w:val="0"/>
      <w:marTop w:val="0"/>
      <w:marBottom w:val="0"/>
      <w:divBdr>
        <w:top w:val="none" w:sz="0" w:space="0" w:color="auto"/>
        <w:left w:val="none" w:sz="0" w:space="0" w:color="auto"/>
        <w:bottom w:val="none" w:sz="0" w:space="0" w:color="auto"/>
        <w:right w:val="none" w:sz="0" w:space="0" w:color="auto"/>
      </w:divBdr>
    </w:div>
    <w:div w:id="1396274720">
      <w:bodyDiv w:val="1"/>
      <w:marLeft w:val="0"/>
      <w:marRight w:val="0"/>
      <w:marTop w:val="0"/>
      <w:marBottom w:val="0"/>
      <w:divBdr>
        <w:top w:val="none" w:sz="0" w:space="0" w:color="auto"/>
        <w:left w:val="none" w:sz="0" w:space="0" w:color="auto"/>
        <w:bottom w:val="none" w:sz="0" w:space="0" w:color="auto"/>
        <w:right w:val="none" w:sz="0" w:space="0" w:color="auto"/>
      </w:divBdr>
    </w:div>
    <w:div w:id="1402101262">
      <w:bodyDiv w:val="1"/>
      <w:marLeft w:val="0"/>
      <w:marRight w:val="0"/>
      <w:marTop w:val="0"/>
      <w:marBottom w:val="0"/>
      <w:divBdr>
        <w:top w:val="none" w:sz="0" w:space="0" w:color="auto"/>
        <w:left w:val="none" w:sz="0" w:space="0" w:color="auto"/>
        <w:bottom w:val="none" w:sz="0" w:space="0" w:color="auto"/>
        <w:right w:val="none" w:sz="0" w:space="0" w:color="auto"/>
      </w:divBdr>
    </w:div>
    <w:div w:id="1403605142">
      <w:bodyDiv w:val="1"/>
      <w:marLeft w:val="0"/>
      <w:marRight w:val="0"/>
      <w:marTop w:val="0"/>
      <w:marBottom w:val="0"/>
      <w:divBdr>
        <w:top w:val="none" w:sz="0" w:space="0" w:color="auto"/>
        <w:left w:val="none" w:sz="0" w:space="0" w:color="auto"/>
        <w:bottom w:val="none" w:sz="0" w:space="0" w:color="auto"/>
        <w:right w:val="none" w:sz="0" w:space="0" w:color="auto"/>
      </w:divBdr>
    </w:div>
    <w:div w:id="1411273561">
      <w:bodyDiv w:val="1"/>
      <w:marLeft w:val="0"/>
      <w:marRight w:val="0"/>
      <w:marTop w:val="0"/>
      <w:marBottom w:val="0"/>
      <w:divBdr>
        <w:top w:val="none" w:sz="0" w:space="0" w:color="auto"/>
        <w:left w:val="none" w:sz="0" w:space="0" w:color="auto"/>
        <w:bottom w:val="none" w:sz="0" w:space="0" w:color="auto"/>
        <w:right w:val="none" w:sz="0" w:space="0" w:color="auto"/>
      </w:divBdr>
    </w:div>
    <w:div w:id="1419253260">
      <w:bodyDiv w:val="1"/>
      <w:marLeft w:val="0"/>
      <w:marRight w:val="0"/>
      <w:marTop w:val="0"/>
      <w:marBottom w:val="0"/>
      <w:divBdr>
        <w:top w:val="none" w:sz="0" w:space="0" w:color="auto"/>
        <w:left w:val="none" w:sz="0" w:space="0" w:color="auto"/>
        <w:bottom w:val="none" w:sz="0" w:space="0" w:color="auto"/>
        <w:right w:val="none" w:sz="0" w:space="0" w:color="auto"/>
      </w:divBdr>
    </w:div>
    <w:div w:id="1422752313">
      <w:bodyDiv w:val="1"/>
      <w:marLeft w:val="0"/>
      <w:marRight w:val="0"/>
      <w:marTop w:val="0"/>
      <w:marBottom w:val="0"/>
      <w:divBdr>
        <w:top w:val="none" w:sz="0" w:space="0" w:color="auto"/>
        <w:left w:val="none" w:sz="0" w:space="0" w:color="auto"/>
        <w:bottom w:val="none" w:sz="0" w:space="0" w:color="auto"/>
        <w:right w:val="none" w:sz="0" w:space="0" w:color="auto"/>
      </w:divBdr>
    </w:div>
    <w:div w:id="1423574850">
      <w:bodyDiv w:val="1"/>
      <w:marLeft w:val="0"/>
      <w:marRight w:val="0"/>
      <w:marTop w:val="0"/>
      <w:marBottom w:val="0"/>
      <w:divBdr>
        <w:top w:val="none" w:sz="0" w:space="0" w:color="auto"/>
        <w:left w:val="none" w:sz="0" w:space="0" w:color="auto"/>
        <w:bottom w:val="none" w:sz="0" w:space="0" w:color="auto"/>
        <w:right w:val="none" w:sz="0" w:space="0" w:color="auto"/>
      </w:divBdr>
    </w:div>
    <w:div w:id="1433546353">
      <w:bodyDiv w:val="1"/>
      <w:marLeft w:val="0"/>
      <w:marRight w:val="0"/>
      <w:marTop w:val="0"/>
      <w:marBottom w:val="0"/>
      <w:divBdr>
        <w:top w:val="none" w:sz="0" w:space="0" w:color="auto"/>
        <w:left w:val="none" w:sz="0" w:space="0" w:color="auto"/>
        <w:bottom w:val="none" w:sz="0" w:space="0" w:color="auto"/>
        <w:right w:val="none" w:sz="0" w:space="0" w:color="auto"/>
      </w:divBdr>
    </w:div>
    <w:div w:id="1436291690">
      <w:bodyDiv w:val="1"/>
      <w:marLeft w:val="0"/>
      <w:marRight w:val="0"/>
      <w:marTop w:val="0"/>
      <w:marBottom w:val="0"/>
      <w:divBdr>
        <w:top w:val="none" w:sz="0" w:space="0" w:color="auto"/>
        <w:left w:val="none" w:sz="0" w:space="0" w:color="auto"/>
        <w:bottom w:val="none" w:sz="0" w:space="0" w:color="auto"/>
        <w:right w:val="none" w:sz="0" w:space="0" w:color="auto"/>
      </w:divBdr>
    </w:div>
    <w:div w:id="1442797827">
      <w:bodyDiv w:val="1"/>
      <w:marLeft w:val="0"/>
      <w:marRight w:val="0"/>
      <w:marTop w:val="0"/>
      <w:marBottom w:val="0"/>
      <w:divBdr>
        <w:top w:val="none" w:sz="0" w:space="0" w:color="auto"/>
        <w:left w:val="none" w:sz="0" w:space="0" w:color="auto"/>
        <w:bottom w:val="none" w:sz="0" w:space="0" w:color="auto"/>
        <w:right w:val="none" w:sz="0" w:space="0" w:color="auto"/>
      </w:divBdr>
    </w:div>
    <w:div w:id="1455711377">
      <w:bodyDiv w:val="1"/>
      <w:marLeft w:val="0"/>
      <w:marRight w:val="0"/>
      <w:marTop w:val="0"/>
      <w:marBottom w:val="0"/>
      <w:divBdr>
        <w:top w:val="none" w:sz="0" w:space="0" w:color="auto"/>
        <w:left w:val="none" w:sz="0" w:space="0" w:color="auto"/>
        <w:bottom w:val="none" w:sz="0" w:space="0" w:color="auto"/>
        <w:right w:val="none" w:sz="0" w:space="0" w:color="auto"/>
      </w:divBdr>
    </w:div>
    <w:div w:id="1456097998">
      <w:bodyDiv w:val="1"/>
      <w:marLeft w:val="0"/>
      <w:marRight w:val="0"/>
      <w:marTop w:val="0"/>
      <w:marBottom w:val="0"/>
      <w:divBdr>
        <w:top w:val="none" w:sz="0" w:space="0" w:color="auto"/>
        <w:left w:val="none" w:sz="0" w:space="0" w:color="auto"/>
        <w:bottom w:val="none" w:sz="0" w:space="0" w:color="auto"/>
        <w:right w:val="none" w:sz="0" w:space="0" w:color="auto"/>
      </w:divBdr>
    </w:div>
    <w:div w:id="1456484713">
      <w:bodyDiv w:val="1"/>
      <w:marLeft w:val="0"/>
      <w:marRight w:val="0"/>
      <w:marTop w:val="0"/>
      <w:marBottom w:val="0"/>
      <w:divBdr>
        <w:top w:val="none" w:sz="0" w:space="0" w:color="auto"/>
        <w:left w:val="none" w:sz="0" w:space="0" w:color="auto"/>
        <w:bottom w:val="none" w:sz="0" w:space="0" w:color="auto"/>
        <w:right w:val="none" w:sz="0" w:space="0" w:color="auto"/>
      </w:divBdr>
    </w:div>
    <w:div w:id="1457455776">
      <w:bodyDiv w:val="1"/>
      <w:marLeft w:val="0"/>
      <w:marRight w:val="0"/>
      <w:marTop w:val="0"/>
      <w:marBottom w:val="0"/>
      <w:divBdr>
        <w:top w:val="none" w:sz="0" w:space="0" w:color="auto"/>
        <w:left w:val="none" w:sz="0" w:space="0" w:color="auto"/>
        <w:bottom w:val="none" w:sz="0" w:space="0" w:color="auto"/>
        <w:right w:val="none" w:sz="0" w:space="0" w:color="auto"/>
      </w:divBdr>
    </w:div>
    <w:div w:id="1470827279">
      <w:bodyDiv w:val="1"/>
      <w:marLeft w:val="0"/>
      <w:marRight w:val="0"/>
      <w:marTop w:val="0"/>
      <w:marBottom w:val="0"/>
      <w:divBdr>
        <w:top w:val="none" w:sz="0" w:space="0" w:color="auto"/>
        <w:left w:val="none" w:sz="0" w:space="0" w:color="auto"/>
        <w:bottom w:val="none" w:sz="0" w:space="0" w:color="auto"/>
        <w:right w:val="none" w:sz="0" w:space="0" w:color="auto"/>
      </w:divBdr>
    </w:div>
    <w:div w:id="1473863776">
      <w:bodyDiv w:val="1"/>
      <w:marLeft w:val="0"/>
      <w:marRight w:val="0"/>
      <w:marTop w:val="0"/>
      <w:marBottom w:val="0"/>
      <w:divBdr>
        <w:top w:val="none" w:sz="0" w:space="0" w:color="auto"/>
        <w:left w:val="none" w:sz="0" w:space="0" w:color="auto"/>
        <w:bottom w:val="none" w:sz="0" w:space="0" w:color="auto"/>
        <w:right w:val="none" w:sz="0" w:space="0" w:color="auto"/>
      </w:divBdr>
    </w:div>
    <w:div w:id="1474255276">
      <w:bodyDiv w:val="1"/>
      <w:marLeft w:val="0"/>
      <w:marRight w:val="0"/>
      <w:marTop w:val="0"/>
      <w:marBottom w:val="0"/>
      <w:divBdr>
        <w:top w:val="none" w:sz="0" w:space="0" w:color="auto"/>
        <w:left w:val="none" w:sz="0" w:space="0" w:color="auto"/>
        <w:bottom w:val="none" w:sz="0" w:space="0" w:color="auto"/>
        <w:right w:val="none" w:sz="0" w:space="0" w:color="auto"/>
      </w:divBdr>
    </w:div>
    <w:div w:id="1478494155">
      <w:bodyDiv w:val="1"/>
      <w:marLeft w:val="0"/>
      <w:marRight w:val="0"/>
      <w:marTop w:val="0"/>
      <w:marBottom w:val="0"/>
      <w:divBdr>
        <w:top w:val="none" w:sz="0" w:space="0" w:color="auto"/>
        <w:left w:val="none" w:sz="0" w:space="0" w:color="auto"/>
        <w:bottom w:val="none" w:sz="0" w:space="0" w:color="auto"/>
        <w:right w:val="none" w:sz="0" w:space="0" w:color="auto"/>
      </w:divBdr>
    </w:div>
    <w:div w:id="1481582849">
      <w:bodyDiv w:val="1"/>
      <w:marLeft w:val="0"/>
      <w:marRight w:val="0"/>
      <w:marTop w:val="0"/>
      <w:marBottom w:val="0"/>
      <w:divBdr>
        <w:top w:val="none" w:sz="0" w:space="0" w:color="auto"/>
        <w:left w:val="none" w:sz="0" w:space="0" w:color="auto"/>
        <w:bottom w:val="none" w:sz="0" w:space="0" w:color="auto"/>
        <w:right w:val="none" w:sz="0" w:space="0" w:color="auto"/>
      </w:divBdr>
    </w:div>
    <w:div w:id="1490363689">
      <w:bodyDiv w:val="1"/>
      <w:marLeft w:val="0"/>
      <w:marRight w:val="0"/>
      <w:marTop w:val="0"/>
      <w:marBottom w:val="0"/>
      <w:divBdr>
        <w:top w:val="none" w:sz="0" w:space="0" w:color="auto"/>
        <w:left w:val="none" w:sz="0" w:space="0" w:color="auto"/>
        <w:bottom w:val="none" w:sz="0" w:space="0" w:color="auto"/>
        <w:right w:val="none" w:sz="0" w:space="0" w:color="auto"/>
      </w:divBdr>
    </w:div>
    <w:div w:id="1493064944">
      <w:bodyDiv w:val="1"/>
      <w:marLeft w:val="0"/>
      <w:marRight w:val="0"/>
      <w:marTop w:val="0"/>
      <w:marBottom w:val="0"/>
      <w:divBdr>
        <w:top w:val="none" w:sz="0" w:space="0" w:color="auto"/>
        <w:left w:val="none" w:sz="0" w:space="0" w:color="auto"/>
        <w:bottom w:val="none" w:sz="0" w:space="0" w:color="auto"/>
        <w:right w:val="none" w:sz="0" w:space="0" w:color="auto"/>
      </w:divBdr>
    </w:div>
    <w:div w:id="1494174624">
      <w:bodyDiv w:val="1"/>
      <w:marLeft w:val="0"/>
      <w:marRight w:val="0"/>
      <w:marTop w:val="0"/>
      <w:marBottom w:val="0"/>
      <w:divBdr>
        <w:top w:val="none" w:sz="0" w:space="0" w:color="auto"/>
        <w:left w:val="none" w:sz="0" w:space="0" w:color="auto"/>
        <w:bottom w:val="none" w:sz="0" w:space="0" w:color="auto"/>
        <w:right w:val="none" w:sz="0" w:space="0" w:color="auto"/>
      </w:divBdr>
    </w:div>
    <w:div w:id="1502429941">
      <w:bodyDiv w:val="1"/>
      <w:marLeft w:val="0"/>
      <w:marRight w:val="0"/>
      <w:marTop w:val="0"/>
      <w:marBottom w:val="0"/>
      <w:divBdr>
        <w:top w:val="none" w:sz="0" w:space="0" w:color="auto"/>
        <w:left w:val="none" w:sz="0" w:space="0" w:color="auto"/>
        <w:bottom w:val="none" w:sz="0" w:space="0" w:color="auto"/>
        <w:right w:val="none" w:sz="0" w:space="0" w:color="auto"/>
      </w:divBdr>
    </w:div>
    <w:div w:id="1507289099">
      <w:bodyDiv w:val="1"/>
      <w:marLeft w:val="0"/>
      <w:marRight w:val="0"/>
      <w:marTop w:val="0"/>
      <w:marBottom w:val="0"/>
      <w:divBdr>
        <w:top w:val="none" w:sz="0" w:space="0" w:color="auto"/>
        <w:left w:val="none" w:sz="0" w:space="0" w:color="auto"/>
        <w:bottom w:val="none" w:sz="0" w:space="0" w:color="auto"/>
        <w:right w:val="none" w:sz="0" w:space="0" w:color="auto"/>
      </w:divBdr>
    </w:div>
    <w:div w:id="1520008132">
      <w:bodyDiv w:val="1"/>
      <w:marLeft w:val="0"/>
      <w:marRight w:val="0"/>
      <w:marTop w:val="0"/>
      <w:marBottom w:val="0"/>
      <w:divBdr>
        <w:top w:val="none" w:sz="0" w:space="0" w:color="auto"/>
        <w:left w:val="none" w:sz="0" w:space="0" w:color="auto"/>
        <w:bottom w:val="none" w:sz="0" w:space="0" w:color="auto"/>
        <w:right w:val="none" w:sz="0" w:space="0" w:color="auto"/>
      </w:divBdr>
    </w:div>
    <w:div w:id="1535465504">
      <w:bodyDiv w:val="1"/>
      <w:marLeft w:val="0"/>
      <w:marRight w:val="0"/>
      <w:marTop w:val="0"/>
      <w:marBottom w:val="0"/>
      <w:divBdr>
        <w:top w:val="none" w:sz="0" w:space="0" w:color="auto"/>
        <w:left w:val="none" w:sz="0" w:space="0" w:color="auto"/>
        <w:bottom w:val="none" w:sz="0" w:space="0" w:color="auto"/>
        <w:right w:val="none" w:sz="0" w:space="0" w:color="auto"/>
      </w:divBdr>
    </w:div>
    <w:div w:id="1537622991">
      <w:bodyDiv w:val="1"/>
      <w:marLeft w:val="0"/>
      <w:marRight w:val="0"/>
      <w:marTop w:val="0"/>
      <w:marBottom w:val="0"/>
      <w:divBdr>
        <w:top w:val="none" w:sz="0" w:space="0" w:color="auto"/>
        <w:left w:val="none" w:sz="0" w:space="0" w:color="auto"/>
        <w:bottom w:val="none" w:sz="0" w:space="0" w:color="auto"/>
        <w:right w:val="none" w:sz="0" w:space="0" w:color="auto"/>
      </w:divBdr>
    </w:div>
    <w:div w:id="1545799166">
      <w:bodyDiv w:val="1"/>
      <w:marLeft w:val="0"/>
      <w:marRight w:val="0"/>
      <w:marTop w:val="0"/>
      <w:marBottom w:val="0"/>
      <w:divBdr>
        <w:top w:val="none" w:sz="0" w:space="0" w:color="auto"/>
        <w:left w:val="none" w:sz="0" w:space="0" w:color="auto"/>
        <w:bottom w:val="none" w:sz="0" w:space="0" w:color="auto"/>
        <w:right w:val="none" w:sz="0" w:space="0" w:color="auto"/>
      </w:divBdr>
    </w:div>
    <w:div w:id="1549956889">
      <w:bodyDiv w:val="1"/>
      <w:marLeft w:val="0"/>
      <w:marRight w:val="0"/>
      <w:marTop w:val="0"/>
      <w:marBottom w:val="0"/>
      <w:divBdr>
        <w:top w:val="none" w:sz="0" w:space="0" w:color="auto"/>
        <w:left w:val="none" w:sz="0" w:space="0" w:color="auto"/>
        <w:bottom w:val="none" w:sz="0" w:space="0" w:color="auto"/>
        <w:right w:val="none" w:sz="0" w:space="0" w:color="auto"/>
      </w:divBdr>
    </w:div>
    <w:div w:id="1556042508">
      <w:bodyDiv w:val="1"/>
      <w:marLeft w:val="0"/>
      <w:marRight w:val="0"/>
      <w:marTop w:val="0"/>
      <w:marBottom w:val="0"/>
      <w:divBdr>
        <w:top w:val="none" w:sz="0" w:space="0" w:color="auto"/>
        <w:left w:val="none" w:sz="0" w:space="0" w:color="auto"/>
        <w:bottom w:val="none" w:sz="0" w:space="0" w:color="auto"/>
        <w:right w:val="none" w:sz="0" w:space="0" w:color="auto"/>
      </w:divBdr>
    </w:div>
    <w:div w:id="1558131219">
      <w:bodyDiv w:val="1"/>
      <w:marLeft w:val="0"/>
      <w:marRight w:val="0"/>
      <w:marTop w:val="0"/>
      <w:marBottom w:val="0"/>
      <w:divBdr>
        <w:top w:val="none" w:sz="0" w:space="0" w:color="auto"/>
        <w:left w:val="none" w:sz="0" w:space="0" w:color="auto"/>
        <w:bottom w:val="none" w:sz="0" w:space="0" w:color="auto"/>
        <w:right w:val="none" w:sz="0" w:space="0" w:color="auto"/>
      </w:divBdr>
    </w:div>
    <w:div w:id="1563559409">
      <w:bodyDiv w:val="1"/>
      <w:marLeft w:val="0"/>
      <w:marRight w:val="0"/>
      <w:marTop w:val="0"/>
      <w:marBottom w:val="0"/>
      <w:divBdr>
        <w:top w:val="none" w:sz="0" w:space="0" w:color="auto"/>
        <w:left w:val="none" w:sz="0" w:space="0" w:color="auto"/>
        <w:bottom w:val="none" w:sz="0" w:space="0" w:color="auto"/>
        <w:right w:val="none" w:sz="0" w:space="0" w:color="auto"/>
      </w:divBdr>
    </w:div>
    <w:div w:id="1564489587">
      <w:bodyDiv w:val="1"/>
      <w:marLeft w:val="0"/>
      <w:marRight w:val="0"/>
      <w:marTop w:val="0"/>
      <w:marBottom w:val="0"/>
      <w:divBdr>
        <w:top w:val="none" w:sz="0" w:space="0" w:color="auto"/>
        <w:left w:val="none" w:sz="0" w:space="0" w:color="auto"/>
        <w:bottom w:val="none" w:sz="0" w:space="0" w:color="auto"/>
        <w:right w:val="none" w:sz="0" w:space="0" w:color="auto"/>
      </w:divBdr>
    </w:div>
    <w:div w:id="1572084619">
      <w:bodyDiv w:val="1"/>
      <w:marLeft w:val="0"/>
      <w:marRight w:val="0"/>
      <w:marTop w:val="0"/>
      <w:marBottom w:val="0"/>
      <w:divBdr>
        <w:top w:val="none" w:sz="0" w:space="0" w:color="auto"/>
        <w:left w:val="none" w:sz="0" w:space="0" w:color="auto"/>
        <w:bottom w:val="none" w:sz="0" w:space="0" w:color="auto"/>
        <w:right w:val="none" w:sz="0" w:space="0" w:color="auto"/>
      </w:divBdr>
    </w:div>
    <w:div w:id="1575704824">
      <w:bodyDiv w:val="1"/>
      <w:marLeft w:val="0"/>
      <w:marRight w:val="0"/>
      <w:marTop w:val="0"/>
      <w:marBottom w:val="0"/>
      <w:divBdr>
        <w:top w:val="none" w:sz="0" w:space="0" w:color="auto"/>
        <w:left w:val="none" w:sz="0" w:space="0" w:color="auto"/>
        <w:bottom w:val="none" w:sz="0" w:space="0" w:color="auto"/>
        <w:right w:val="none" w:sz="0" w:space="0" w:color="auto"/>
      </w:divBdr>
    </w:div>
    <w:div w:id="1581670458">
      <w:bodyDiv w:val="1"/>
      <w:marLeft w:val="0"/>
      <w:marRight w:val="0"/>
      <w:marTop w:val="0"/>
      <w:marBottom w:val="0"/>
      <w:divBdr>
        <w:top w:val="none" w:sz="0" w:space="0" w:color="auto"/>
        <w:left w:val="none" w:sz="0" w:space="0" w:color="auto"/>
        <w:bottom w:val="none" w:sz="0" w:space="0" w:color="auto"/>
        <w:right w:val="none" w:sz="0" w:space="0" w:color="auto"/>
      </w:divBdr>
    </w:div>
    <w:div w:id="1582136779">
      <w:bodyDiv w:val="1"/>
      <w:marLeft w:val="0"/>
      <w:marRight w:val="0"/>
      <w:marTop w:val="0"/>
      <w:marBottom w:val="0"/>
      <w:divBdr>
        <w:top w:val="none" w:sz="0" w:space="0" w:color="auto"/>
        <w:left w:val="none" w:sz="0" w:space="0" w:color="auto"/>
        <w:bottom w:val="none" w:sz="0" w:space="0" w:color="auto"/>
        <w:right w:val="none" w:sz="0" w:space="0" w:color="auto"/>
      </w:divBdr>
    </w:div>
    <w:div w:id="1585067841">
      <w:bodyDiv w:val="1"/>
      <w:marLeft w:val="0"/>
      <w:marRight w:val="0"/>
      <w:marTop w:val="0"/>
      <w:marBottom w:val="0"/>
      <w:divBdr>
        <w:top w:val="none" w:sz="0" w:space="0" w:color="auto"/>
        <w:left w:val="none" w:sz="0" w:space="0" w:color="auto"/>
        <w:bottom w:val="none" w:sz="0" w:space="0" w:color="auto"/>
        <w:right w:val="none" w:sz="0" w:space="0" w:color="auto"/>
      </w:divBdr>
    </w:div>
    <w:div w:id="1585383556">
      <w:bodyDiv w:val="1"/>
      <w:marLeft w:val="0"/>
      <w:marRight w:val="0"/>
      <w:marTop w:val="0"/>
      <w:marBottom w:val="0"/>
      <w:divBdr>
        <w:top w:val="none" w:sz="0" w:space="0" w:color="auto"/>
        <w:left w:val="none" w:sz="0" w:space="0" w:color="auto"/>
        <w:bottom w:val="none" w:sz="0" w:space="0" w:color="auto"/>
        <w:right w:val="none" w:sz="0" w:space="0" w:color="auto"/>
      </w:divBdr>
    </w:div>
    <w:div w:id="1585921573">
      <w:bodyDiv w:val="1"/>
      <w:marLeft w:val="0"/>
      <w:marRight w:val="0"/>
      <w:marTop w:val="0"/>
      <w:marBottom w:val="0"/>
      <w:divBdr>
        <w:top w:val="none" w:sz="0" w:space="0" w:color="auto"/>
        <w:left w:val="none" w:sz="0" w:space="0" w:color="auto"/>
        <w:bottom w:val="none" w:sz="0" w:space="0" w:color="auto"/>
        <w:right w:val="none" w:sz="0" w:space="0" w:color="auto"/>
      </w:divBdr>
    </w:div>
    <w:div w:id="1613824221">
      <w:bodyDiv w:val="1"/>
      <w:marLeft w:val="0"/>
      <w:marRight w:val="0"/>
      <w:marTop w:val="0"/>
      <w:marBottom w:val="0"/>
      <w:divBdr>
        <w:top w:val="none" w:sz="0" w:space="0" w:color="auto"/>
        <w:left w:val="none" w:sz="0" w:space="0" w:color="auto"/>
        <w:bottom w:val="none" w:sz="0" w:space="0" w:color="auto"/>
        <w:right w:val="none" w:sz="0" w:space="0" w:color="auto"/>
      </w:divBdr>
    </w:div>
    <w:div w:id="1618677215">
      <w:bodyDiv w:val="1"/>
      <w:marLeft w:val="0"/>
      <w:marRight w:val="0"/>
      <w:marTop w:val="0"/>
      <w:marBottom w:val="0"/>
      <w:divBdr>
        <w:top w:val="none" w:sz="0" w:space="0" w:color="auto"/>
        <w:left w:val="none" w:sz="0" w:space="0" w:color="auto"/>
        <w:bottom w:val="none" w:sz="0" w:space="0" w:color="auto"/>
        <w:right w:val="none" w:sz="0" w:space="0" w:color="auto"/>
      </w:divBdr>
    </w:div>
    <w:div w:id="1620142847">
      <w:bodyDiv w:val="1"/>
      <w:marLeft w:val="0"/>
      <w:marRight w:val="0"/>
      <w:marTop w:val="0"/>
      <w:marBottom w:val="0"/>
      <w:divBdr>
        <w:top w:val="none" w:sz="0" w:space="0" w:color="auto"/>
        <w:left w:val="none" w:sz="0" w:space="0" w:color="auto"/>
        <w:bottom w:val="none" w:sz="0" w:space="0" w:color="auto"/>
        <w:right w:val="none" w:sz="0" w:space="0" w:color="auto"/>
      </w:divBdr>
    </w:div>
    <w:div w:id="1620144876">
      <w:bodyDiv w:val="1"/>
      <w:marLeft w:val="0"/>
      <w:marRight w:val="0"/>
      <w:marTop w:val="0"/>
      <w:marBottom w:val="0"/>
      <w:divBdr>
        <w:top w:val="none" w:sz="0" w:space="0" w:color="auto"/>
        <w:left w:val="none" w:sz="0" w:space="0" w:color="auto"/>
        <w:bottom w:val="none" w:sz="0" w:space="0" w:color="auto"/>
        <w:right w:val="none" w:sz="0" w:space="0" w:color="auto"/>
      </w:divBdr>
    </w:div>
    <w:div w:id="1622490708">
      <w:bodyDiv w:val="1"/>
      <w:marLeft w:val="0"/>
      <w:marRight w:val="0"/>
      <w:marTop w:val="0"/>
      <w:marBottom w:val="0"/>
      <w:divBdr>
        <w:top w:val="none" w:sz="0" w:space="0" w:color="auto"/>
        <w:left w:val="none" w:sz="0" w:space="0" w:color="auto"/>
        <w:bottom w:val="none" w:sz="0" w:space="0" w:color="auto"/>
        <w:right w:val="none" w:sz="0" w:space="0" w:color="auto"/>
      </w:divBdr>
    </w:div>
    <w:div w:id="1623268614">
      <w:bodyDiv w:val="1"/>
      <w:marLeft w:val="0"/>
      <w:marRight w:val="0"/>
      <w:marTop w:val="0"/>
      <w:marBottom w:val="0"/>
      <w:divBdr>
        <w:top w:val="none" w:sz="0" w:space="0" w:color="auto"/>
        <w:left w:val="none" w:sz="0" w:space="0" w:color="auto"/>
        <w:bottom w:val="none" w:sz="0" w:space="0" w:color="auto"/>
        <w:right w:val="none" w:sz="0" w:space="0" w:color="auto"/>
      </w:divBdr>
    </w:div>
    <w:div w:id="1624266618">
      <w:bodyDiv w:val="1"/>
      <w:marLeft w:val="0"/>
      <w:marRight w:val="0"/>
      <w:marTop w:val="0"/>
      <w:marBottom w:val="0"/>
      <w:divBdr>
        <w:top w:val="none" w:sz="0" w:space="0" w:color="auto"/>
        <w:left w:val="none" w:sz="0" w:space="0" w:color="auto"/>
        <w:bottom w:val="none" w:sz="0" w:space="0" w:color="auto"/>
        <w:right w:val="none" w:sz="0" w:space="0" w:color="auto"/>
      </w:divBdr>
    </w:div>
    <w:div w:id="1625650283">
      <w:bodyDiv w:val="1"/>
      <w:marLeft w:val="0"/>
      <w:marRight w:val="0"/>
      <w:marTop w:val="0"/>
      <w:marBottom w:val="0"/>
      <w:divBdr>
        <w:top w:val="none" w:sz="0" w:space="0" w:color="auto"/>
        <w:left w:val="none" w:sz="0" w:space="0" w:color="auto"/>
        <w:bottom w:val="none" w:sz="0" w:space="0" w:color="auto"/>
        <w:right w:val="none" w:sz="0" w:space="0" w:color="auto"/>
      </w:divBdr>
    </w:div>
    <w:div w:id="1636788234">
      <w:bodyDiv w:val="1"/>
      <w:marLeft w:val="0"/>
      <w:marRight w:val="0"/>
      <w:marTop w:val="0"/>
      <w:marBottom w:val="0"/>
      <w:divBdr>
        <w:top w:val="none" w:sz="0" w:space="0" w:color="auto"/>
        <w:left w:val="none" w:sz="0" w:space="0" w:color="auto"/>
        <w:bottom w:val="none" w:sz="0" w:space="0" w:color="auto"/>
        <w:right w:val="none" w:sz="0" w:space="0" w:color="auto"/>
      </w:divBdr>
    </w:div>
    <w:div w:id="1639653289">
      <w:bodyDiv w:val="1"/>
      <w:marLeft w:val="0"/>
      <w:marRight w:val="0"/>
      <w:marTop w:val="0"/>
      <w:marBottom w:val="0"/>
      <w:divBdr>
        <w:top w:val="none" w:sz="0" w:space="0" w:color="auto"/>
        <w:left w:val="none" w:sz="0" w:space="0" w:color="auto"/>
        <w:bottom w:val="none" w:sz="0" w:space="0" w:color="auto"/>
        <w:right w:val="none" w:sz="0" w:space="0" w:color="auto"/>
      </w:divBdr>
    </w:div>
    <w:div w:id="1650788749">
      <w:bodyDiv w:val="1"/>
      <w:marLeft w:val="0"/>
      <w:marRight w:val="0"/>
      <w:marTop w:val="0"/>
      <w:marBottom w:val="0"/>
      <w:divBdr>
        <w:top w:val="none" w:sz="0" w:space="0" w:color="auto"/>
        <w:left w:val="none" w:sz="0" w:space="0" w:color="auto"/>
        <w:bottom w:val="none" w:sz="0" w:space="0" w:color="auto"/>
        <w:right w:val="none" w:sz="0" w:space="0" w:color="auto"/>
      </w:divBdr>
    </w:div>
    <w:div w:id="1652098696">
      <w:bodyDiv w:val="1"/>
      <w:marLeft w:val="0"/>
      <w:marRight w:val="0"/>
      <w:marTop w:val="0"/>
      <w:marBottom w:val="0"/>
      <w:divBdr>
        <w:top w:val="none" w:sz="0" w:space="0" w:color="auto"/>
        <w:left w:val="none" w:sz="0" w:space="0" w:color="auto"/>
        <w:bottom w:val="none" w:sz="0" w:space="0" w:color="auto"/>
        <w:right w:val="none" w:sz="0" w:space="0" w:color="auto"/>
      </w:divBdr>
    </w:div>
    <w:div w:id="1652371848">
      <w:bodyDiv w:val="1"/>
      <w:marLeft w:val="0"/>
      <w:marRight w:val="0"/>
      <w:marTop w:val="0"/>
      <w:marBottom w:val="0"/>
      <w:divBdr>
        <w:top w:val="none" w:sz="0" w:space="0" w:color="auto"/>
        <w:left w:val="none" w:sz="0" w:space="0" w:color="auto"/>
        <w:bottom w:val="none" w:sz="0" w:space="0" w:color="auto"/>
        <w:right w:val="none" w:sz="0" w:space="0" w:color="auto"/>
      </w:divBdr>
    </w:div>
    <w:div w:id="1655603117">
      <w:bodyDiv w:val="1"/>
      <w:marLeft w:val="0"/>
      <w:marRight w:val="0"/>
      <w:marTop w:val="0"/>
      <w:marBottom w:val="0"/>
      <w:divBdr>
        <w:top w:val="none" w:sz="0" w:space="0" w:color="auto"/>
        <w:left w:val="none" w:sz="0" w:space="0" w:color="auto"/>
        <w:bottom w:val="none" w:sz="0" w:space="0" w:color="auto"/>
        <w:right w:val="none" w:sz="0" w:space="0" w:color="auto"/>
      </w:divBdr>
    </w:div>
    <w:div w:id="1657030682">
      <w:bodyDiv w:val="1"/>
      <w:marLeft w:val="0"/>
      <w:marRight w:val="0"/>
      <w:marTop w:val="0"/>
      <w:marBottom w:val="0"/>
      <w:divBdr>
        <w:top w:val="none" w:sz="0" w:space="0" w:color="auto"/>
        <w:left w:val="none" w:sz="0" w:space="0" w:color="auto"/>
        <w:bottom w:val="none" w:sz="0" w:space="0" w:color="auto"/>
        <w:right w:val="none" w:sz="0" w:space="0" w:color="auto"/>
      </w:divBdr>
    </w:div>
    <w:div w:id="1657563276">
      <w:bodyDiv w:val="1"/>
      <w:marLeft w:val="0"/>
      <w:marRight w:val="0"/>
      <w:marTop w:val="0"/>
      <w:marBottom w:val="0"/>
      <w:divBdr>
        <w:top w:val="none" w:sz="0" w:space="0" w:color="auto"/>
        <w:left w:val="none" w:sz="0" w:space="0" w:color="auto"/>
        <w:bottom w:val="none" w:sz="0" w:space="0" w:color="auto"/>
        <w:right w:val="none" w:sz="0" w:space="0" w:color="auto"/>
      </w:divBdr>
    </w:div>
    <w:div w:id="1658459271">
      <w:bodyDiv w:val="1"/>
      <w:marLeft w:val="0"/>
      <w:marRight w:val="0"/>
      <w:marTop w:val="0"/>
      <w:marBottom w:val="0"/>
      <w:divBdr>
        <w:top w:val="none" w:sz="0" w:space="0" w:color="auto"/>
        <w:left w:val="none" w:sz="0" w:space="0" w:color="auto"/>
        <w:bottom w:val="none" w:sz="0" w:space="0" w:color="auto"/>
        <w:right w:val="none" w:sz="0" w:space="0" w:color="auto"/>
      </w:divBdr>
    </w:div>
    <w:div w:id="1659307109">
      <w:bodyDiv w:val="1"/>
      <w:marLeft w:val="0"/>
      <w:marRight w:val="0"/>
      <w:marTop w:val="0"/>
      <w:marBottom w:val="0"/>
      <w:divBdr>
        <w:top w:val="none" w:sz="0" w:space="0" w:color="auto"/>
        <w:left w:val="none" w:sz="0" w:space="0" w:color="auto"/>
        <w:bottom w:val="none" w:sz="0" w:space="0" w:color="auto"/>
        <w:right w:val="none" w:sz="0" w:space="0" w:color="auto"/>
      </w:divBdr>
    </w:div>
    <w:div w:id="1659384532">
      <w:bodyDiv w:val="1"/>
      <w:marLeft w:val="0"/>
      <w:marRight w:val="0"/>
      <w:marTop w:val="0"/>
      <w:marBottom w:val="0"/>
      <w:divBdr>
        <w:top w:val="none" w:sz="0" w:space="0" w:color="auto"/>
        <w:left w:val="none" w:sz="0" w:space="0" w:color="auto"/>
        <w:bottom w:val="none" w:sz="0" w:space="0" w:color="auto"/>
        <w:right w:val="none" w:sz="0" w:space="0" w:color="auto"/>
      </w:divBdr>
    </w:div>
    <w:div w:id="1663194793">
      <w:bodyDiv w:val="1"/>
      <w:marLeft w:val="0"/>
      <w:marRight w:val="0"/>
      <w:marTop w:val="0"/>
      <w:marBottom w:val="0"/>
      <w:divBdr>
        <w:top w:val="none" w:sz="0" w:space="0" w:color="auto"/>
        <w:left w:val="none" w:sz="0" w:space="0" w:color="auto"/>
        <w:bottom w:val="none" w:sz="0" w:space="0" w:color="auto"/>
        <w:right w:val="none" w:sz="0" w:space="0" w:color="auto"/>
      </w:divBdr>
    </w:div>
    <w:div w:id="1677464650">
      <w:bodyDiv w:val="1"/>
      <w:marLeft w:val="0"/>
      <w:marRight w:val="0"/>
      <w:marTop w:val="0"/>
      <w:marBottom w:val="0"/>
      <w:divBdr>
        <w:top w:val="none" w:sz="0" w:space="0" w:color="auto"/>
        <w:left w:val="none" w:sz="0" w:space="0" w:color="auto"/>
        <w:bottom w:val="none" w:sz="0" w:space="0" w:color="auto"/>
        <w:right w:val="none" w:sz="0" w:space="0" w:color="auto"/>
      </w:divBdr>
    </w:div>
    <w:div w:id="1692488723">
      <w:bodyDiv w:val="1"/>
      <w:marLeft w:val="0"/>
      <w:marRight w:val="0"/>
      <w:marTop w:val="0"/>
      <w:marBottom w:val="0"/>
      <w:divBdr>
        <w:top w:val="none" w:sz="0" w:space="0" w:color="auto"/>
        <w:left w:val="none" w:sz="0" w:space="0" w:color="auto"/>
        <w:bottom w:val="none" w:sz="0" w:space="0" w:color="auto"/>
        <w:right w:val="none" w:sz="0" w:space="0" w:color="auto"/>
      </w:divBdr>
    </w:div>
    <w:div w:id="1696542946">
      <w:bodyDiv w:val="1"/>
      <w:marLeft w:val="0"/>
      <w:marRight w:val="0"/>
      <w:marTop w:val="0"/>
      <w:marBottom w:val="0"/>
      <w:divBdr>
        <w:top w:val="none" w:sz="0" w:space="0" w:color="auto"/>
        <w:left w:val="none" w:sz="0" w:space="0" w:color="auto"/>
        <w:bottom w:val="none" w:sz="0" w:space="0" w:color="auto"/>
        <w:right w:val="none" w:sz="0" w:space="0" w:color="auto"/>
      </w:divBdr>
    </w:div>
    <w:div w:id="1700662407">
      <w:bodyDiv w:val="1"/>
      <w:marLeft w:val="0"/>
      <w:marRight w:val="0"/>
      <w:marTop w:val="0"/>
      <w:marBottom w:val="0"/>
      <w:divBdr>
        <w:top w:val="none" w:sz="0" w:space="0" w:color="auto"/>
        <w:left w:val="none" w:sz="0" w:space="0" w:color="auto"/>
        <w:bottom w:val="none" w:sz="0" w:space="0" w:color="auto"/>
        <w:right w:val="none" w:sz="0" w:space="0" w:color="auto"/>
      </w:divBdr>
    </w:div>
    <w:div w:id="1701054318">
      <w:bodyDiv w:val="1"/>
      <w:marLeft w:val="0"/>
      <w:marRight w:val="0"/>
      <w:marTop w:val="0"/>
      <w:marBottom w:val="0"/>
      <w:divBdr>
        <w:top w:val="none" w:sz="0" w:space="0" w:color="auto"/>
        <w:left w:val="none" w:sz="0" w:space="0" w:color="auto"/>
        <w:bottom w:val="none" w:sz="0" w:space="0" w:color="auto"/>
        <w:right w:val="none" w:sz="0" w:space="0" w:color="auto"/>
      </w:divBdr>
    </w:div>
    <w:div w:id="1711803545">
      <w:bodyDiv w:val="1"/>
      <w:marLeft w:val="0"/>
      <w:marRight w:val="0"/>
      <w:marTop w:val="0"/>
      <w:marBottom w:val="0"/>
      <w:divBdr>
        <w:top w:val="none" w:sz="0" w:space="0" w:color="auto"/>
        <w:left w:val="none" w:sz="0" w:space="0" w:color="auto"/>
        <w:bottom w:val="none" w:sz="0" w:space="0" w:color="auto"/>
        <w:right w:val="none" w:sz="0" w:space="0" w:color="auto"/>
      </w:divBdr>
    </w:div>
    <w:div w:id="1715696033">
      <w:bodyDiv w:val="1"/>
      <w:marLeft w:val="0"/>
      <w:marRight w:val="0"/>
      <w:marTop w:val="0"/>
      <w:marBottom w:val="0"/>
      <w:divBdr>
        <w:top w:val="none" w:sz="0" w:space="0" w:color="auto"/>
        <w:left w:val="none" w:sz="0" w:space="0" w:color="auto"/>
        <w:bottom w:val="none" w:sz="0" w:space="0" w:color="auto"/>
        <w:right w:val="none" w:sz="0" w:space="0" w:color="auto"/>
      </w:divBdr>
    </w:div>
    <w:div w:id="1720546184">
      <w:bodyDiv w:val="1"/>
      <w:marLeft w:val="0"/>
      <w:marRight w:val="0"/>
      <w:marTop w:val="0"/>
      <w:marBottom w:val="0"/>
      <w:divBdr>
        <w:top w:val="none" w:sz="0" w:space="0" w:color="auto"/>
        <w:left w:val="none" w:sz="0" w:space="0" w:color="auto"/>
        <w:bottom w:val="none" w:sz="0" w:space="0" w:color="auto"/>
        <w:right w:val="none" w:sz="0" w:space="0" w:color="auto"/>
      </w:divBdr>
    </w:div>
    <w:div w:id="1721123940">
      <w:bodyDiv w:val="1"/>
      <w:marLeft w:val="0"/>
      <w:marRight w:val="0"/>
      <w:marTop w:val="0"/>
      <w:marBottom w:val="0"/>
      <w:divBdr>
        <w:top w:val="none" w:sz="0" w:space="0" w:color="auto"/>
        <w:left w:val="none" w:sz="0" w:space="0" w:color="auto"/>
        <w:bottom w:val="none" w:sz="0" w:space="0" w:color="auto"/>
        <w:right w:val="none" w:sz="0" w:space="0" w:color="auto"/>
      </w:divBdr>
    </w:div>
    <w:div w:id="1725834718">
      <w:bodyDiv w:val="1"/>
      <w:marLeft w:val="0"/>
      <w:marRight w:val="0"/>
      <w:marTop w:val="0"/>
      <w:marBottom w:val="0"/>
      <w:divBdr>
        <w:top w:val="none" w:sz="0" w:space="0" w:color="auto"/>
        <w:left w:val="none" w:sz="0" w:space="0" w:color="auto"/>
        <w:bottom w:val="none" w:sz="0" w:space="0" w:color="auto"/>
        <w:right w:val="none" w:sz="0" w:space="0" w:color="auto"/>
      </w:divBdr>
    </w:div>
    <w:div w:id="1727529592">
      <w:bodyDiv w:val="1"/>
      <w:marLeft w:val="0"/>
      <w:marRight w:val="0"/>
      <w:marTop w:val="0"/>
      <w:marBottom w:val="0"/>
      <w:divBdr>
        <w:top w:val="none" w:sz="0" w:space="0" w:color="auto"/>
        <w:left w:val="none" w:sz="0" w:space="0" w:color="auto"/>
        <w:bottom w:val="none" w:sz="0" w:space="0" w:color="auto"/>
        <w:right w:val="none" w:sz="0" w:space="0" w:color="auto"/>
      </w:divBdr>
    </w:div>
    <w:div w:id="1731612044">
      <w:bodyDiv w:val="1"/>
      <w:marLeft w:val="0"/>
      <w:marRight w:val="0"/>
      <w:marTop w:val="0"/>
      <w:marBottom w:val="0"/>
      <w:divBdr>
        <w:top w:val="none" w:sz="0" w:space="0" w:color="auto"/>
        <w:left w:val="none" w:sz="0" w:space="0" w:color="auto"/>
        <w:bottom w:val="none" w:sz="0" w:space="0" w:color="auto"/>
        <w:right w:val="none" w:sz="0" w:space="0" w:color="auto"/>
      </w:divBdr>
    </w:div>
    <w:div w:id="1738163663">
      <w:bodyDiv w:val="1"/>
      <w:marLeft w:val="0"/>
      <w:marRight w:val="0"/>
      <w:marTop w:val="0"/>
      <w:marBottom w:val="0"/>
      <w:divBdr>
        <w:top w:val="none" w:sz="0" w:space="0" w:color="auto"/>
        <w:left w:val="none" w:sz="0" w:space="0" w:color="auto"/>
        <w:bottom w:val="none" w:sz="0" w:space="0" w:color="auto"/>
        <w:right w:val="none" w:sz="0" w:space="0" w:color="auto"/>
      </w:divBdr>
    </w:div>
    <w:div w:id="1739673379">
      <w:bodyDiv w:val="1"/>
      <w:marLeft w:val="0"/>
      <w:marRight w:val="0"/>
      <w:marTop w:val="0"/>
      <w:marBottom w:val="0"/>
      <w:divBdr>
        <w:top w:val="none" w:sz="0" w:space="0" w:color="auto"/>
        <w:left w:val="none" w:sz="0" w:space="0" w:color="auto"/>
        <w:bottom w:val="none" w:sz="0" w:space="0" w:color="auto"/>
        <w:right w:val="none" w:sz="0" w:space="0" w:color="auto"/>
      </w:divBdr>
    </w:div>
    <w:div w:id="1739862577">
      <w:bodyDiv w:val="1"/>
      <w:marLeft w:val="0"/>
      <w:marRight w:val="0"/>
      <w:marTop w:val="0"/>
      <w:marBottom w:val="0"/>
      <w:divBdr>
        <w:top w:val="none" w:sz="0" w:space="0" w:color="auto"/>
        <w:left w:val="none" w:sz="0" w:space="0" w:color="auto"/>
        <w:bottom w:val="none" w:sz="0" w:space="0" w:color="auto"/>
        <w:right w:val="none" w:sz="0" w:space="0" w:color="auto"/>
      </w:divBdr>
    </w:div>
    <w:div w:id="1741827529">
      <w:bodyDiv w:val="1"/>
      <w:marLeft w:val="0"/>
      <w:marRight w:val="0"/>
      <w:marTop w:val="0"/>
      <w:marBottom w:val="0"/>
      <w:divBdr>
        <w:top w:val="none" w:sz="0" w:space="0" w:color="auto"/>
        <w:left w:val="none" w:sz="0" w:space="0" w:color="auto"/>
        <w:bottom w:val="none" w:sz="0" w:space="0" w:color="auto"/>
        <w:right w:val="none" w:sz="0" w:space="0" w:color="auto"/>
      </w:divBdr>
    </w:div>
    <w:div w:id="1743091412">
      <w:bodyDiv w:val="1"/>
      <w:marLeft w:val="0"/>
      <w:marRight w:val="0"/>
      <w:marTop w:val="0"/>
      <w:marBottom w:val="0"/>
      <w:divBdr>
        <w:top w:val="none" w:sz="0" w:space="0" w:color="auto"/>
        <w:left w:val="none" w:sz="0" w:space="0" w:color="auto"/>
        <w:bottom w:val="none" w:sz="0" w:space="0" w:color="auto"/>
        <w:right w:val="none" w:sz="0" w:space="0" w:color="auto"/>
      </w:divBdr>
    </w:div>
    <w:div w:id="1745107792">
      <w:bodyDiv w:val="1"/>
      <w:marLeft w:val="0"/>
      <w:marRight w:val="0"/>
      <w:marTop w:val="0"/>
      <w:marBottom w:val="0"/>
      <w:divBdr>
        <w:top w:val="none" w:sz="0" w:space="0" w:color="auto"/>
        <w:left w:val="none" w:sz="0" w:space="0" w:color="auto"/>
        <w:bottom w:val="none" w:sz="0" w:space="0" w:color="auto"/>
        <w:right w:val="none" w:sz="0" w:space="0" w:color="auto"/>
      </w:divBdr>
    </w:div>
    <w:div w:id="1746151349">
      <w:bodyDiv w:val="1"/>
      <w:marLeft w:val="0"/>
      <w:marRight w:val="0"/>
      <w:marTop w:val="0"/>
      <w:marBottom w:val="0"/>
      <w:divBdr>
        <w:top w:val="none" w:sz="0" w:space="0" w:color="auto"/>
        <w:left w:val="none" w:sz="0" w:space="0" w:color="auto"/>
        <w:bottom w:val="none" w:sz="0" w:space="0" w:color="auto"/>
        <w:right w:val="none" w:sz="0" w:space="0" w:color="auto"/>
      </w:divBdr>
    </w:div>
    <w:div w:id="1746611338">
      <w:bodyDiv w:val="1"/>
      <w:marLeft w:val="0"/>
      <w:marRight w:val="0"/>
      <w:marTop w:val="0"/>
      <w:marBottom w:val="0"/>
      <w:divBdr>
        <w:top w:val="none" w:sz="0" w:space="0" w:color="auto"/>
        <w:left w:val="none" w:sz="0" w:space="0" w:color="auto"/>
        <w:bottom w:val="none" w:sz="0" w:space="0" w:color="auto"/>
        <w:right w:val="none" w:sz="0" w:space="0" w:color="auto"/>
      </w:divBdr>
    </w:div>
    <w:div w:id="1748530506">
      <w:bodyDiv w:val="1"/>
      <w:marLeft w:val="0"/>
      <w:marRight w:val="0"/>
      <w:marTop w:val="0"/>
      <w:marBottom w:val="0"/>
      <w:divBdr>
        <w:top w:val="none" w:sz="0" w:space="0" w:color="auto"/>
        <w:left w:val="none" w:sz="0" w:space="0" w:color="auto"/>
        <w:bottom w:val="none" w:sz="0" w:space="0" w:color="auto"/>
        <w:right w:val="none" w:sz="0" w:space="0" w:color="auto"/>
      </w:divBdr>
    </w:div>
    <w:div w:id="1748572138">
      <w:bodyDiv w:val="1"/>
      <w:marLeft w:val="0"/>
      <w:marRight w:val="0"/>
      <w:marTop w:val="0"/>
      <w:marBottom w:val="0"/>
      <w:divBdr>
        <w:top w:val="none" w:sz="0" w:space="0" w:color="auto"/>
        <w:left w:val="none" w:sz="0" w:space="0" w:color="auto"/>
        <w:bottom w:val="none" w:sz="0" w:space="0" w:color="auto"/>
        <w:right w:val="none" w:sz="0" w:space="0" w:color="auto"/>
      </w:divBdr>
    </w:div>
    <w:div w:id="1753892632">
      <w:bodyDiv w:val="1"/>
      <w:marLeft w:val="0"/>
      <w:marRight w:val="0"/>
      <w:marTop w:val="0"/>
      <w:marBottom w:val="0"/>
      <w:divBdr>
        <w:top w:val="none" w:sz="0" w:space="0" w:color="auto"/>
        <w:left w:val="none" w:sz="0" w:space="0" w:color="auto"/>
        <w:bottom w:val="none" w:sz="0" w:space="0" w:color="auto"/>
        <w:right w:val="none" w:sz="0" w:space="0" w:color="auto"/>
      </w:divBdr>
    </w:div>
    <w:div w:id="1763642292">
      <w:bodyDiv w:val="1"/>
      <w:marLeft w:val="0"/>
      <w:marRight w:val="0"/>
      <w:marTop w:val="0"/>
      <w:marBottom w:val="0"/>
      <w:divBdr>
        <w:top w:val="none" w:sz="0" w:space="0" w:color="auto"/>
        <w:left w:val="none" w:sz="0" w:space="0" w:color="auto"/>
        <w:bottom w:val="none" w:sz="0" w:space="0" w:color="auto"/>
        <w:right w:val="none" w:sz="0" w:space="0" w:color="auto"/>
      </w:divBdr>
    </w:div>
    <w:div w:id="1765417796">
      <w:bodyDiv w:val="1"/>
      <w:marLeft w:val="0"/>
      <w:marRight w:val="0"/>
      <w:marTop w:val="0"/>
      <w:marBottom w:val="0"/>
      <w:divBdr>
        <w:top w:val="none" w:sz="0" w:space="0" w:color="auto"/>
        <w:left w:val="none" w:sz="0" w:space="0" w:color="auto"/>
        <w:bottom w:val="none" w:sz="0" w:space="0" w:color="auto"/>
        <w:right w:val="none" w:sz="0" w:space="0" w:color="auto"/>
      </w:divBdr>
    </w:div>
    <w:div w:id="1777751975">
      <w:bodyDiv w:val="1"/>
      <w:marLeft w:val="0"/>
      <w:marRight w:val="0"/>
      <w:marTop w:val="0"/>
      <w:marBottom w:val="0"/>
      <w:divBdr>
        <w:top w:val="none" w:sz="0" w:space="0" w:color="auto"/>
        <w:left w:val="none" w:sz="0" w:space="0" w:color="auto"/>
        <w:bottom w:val="none" w:sz="0" w:space="0" w:color="auto"/>
        <w:right w:val="none" w:sz="0" w:space="0" w:color="auto"/>
      </w:divBdr>
    </w:div>
    <w:div w:id="1778987589">
      <w:bodyDiv w:val="1"/>
      <w:marLeft w:val="0"/>
      <w:marRight w:val="0"/>
      <w:marTop w:val="0"/>
      <w:marBottom w:val="0"/>
      <w:divBdr>
        <w:top w:val="none" w:sz="0" w:space="0" w:color="auto"/>
        <w:left w:val="none" w:sz="0" w:space="0" w:color="auto"/>
        <w:bottom w:val="none" w:sz="0" w:space="0" w:color="auto"/>
        <w:right w:val="none" w:sz="0" w:space="0" w:color="auto"/>
      </w:divBdr>
    </w:div>
    <w:div w:id="1784567049">
      <w:bodyDiv w:val="1"/>
      <w:marLeft w:val="0"/>
      <w:marRight w:val="0"/>
      <w:marTop w:val="0"/>
      <w:marBottom w:val="0"/>
      <w:divBdr>
        <w:top w:val="none" w:sz="0" w:space="0" w:color="auto"/>
        <w:left w:val="none" w:sz="0" w:space="0" w:color="auto"/>
        <w:bottom w:val="none" w:sz="0" w:space="0" w:color="auto"/>
        <w:right w:val="none" w:sz="0" w:space="0" w:color="auto"/>
      </w:divBdr>
    </w:div>
    <w:div w:id="1805850411">
      <w:bodyDiv w:val="1"/>
      <w:marLeft w:val="0"/>
      <w:marRight w:val="0"/>
      <w:marTop w:val="0"/>
      <w:marBottom w:val="0"/>
      <w:divBdr>
        <w:top w:val="none" w:sz="0" w:space="0" w:color="auto"/>
        <w:left w:val="none" w:sz="0" w:space="0" w:color="auto"/>
        <w:bottom w:val="none" w:sz="0" w:space="0" w:color="auto"/>
        <w:right w:val="none" w:sz="0" w:space="0" w:color="auto"/>
      </w:divBdr>
    </w:div>
    <w:div w:id="1812361190">
      <w:bodyDiv w:val="1"/>
      <w:marLeft w:val="0"/>
      <w:marRight w:val="0"/>
      <w:marTop w:val="0"/>
      <w:marBottom w:val="0"/>
      <w:divBdr>
        <w:top w:val="none" w:sz="0" w:space="0" w:color="auto"/>
        <w:left w:val="none" w:sz="0" w:space="0" w:color="auto"/>
        <w:bottom w:val="none" w:sz="0" w:space="0" w:color="auto"/>
        <w:right w:val="none" w:sz="0" w:space="0" w:color="auto"/>
      </w:divBdr>
    </w:div>
    <w:div w:id="1818766398">
      <w:bodyDiv w:val="1"/>
      <w:marLeft w:val="0"/>
      <w:marRight w:val="0"/>
      <w:marTop w:val="0"/>
      <w:marBottom w:val="0"/>
      <w:divBdr>
        <w:top w:val="none" w:sz="0" w:space="0" w:color="auto"/>
        <w:left w:val="none" w:sz="0" w:space="0" w:color="auto"/>
        <w:bottom w:val="none" w:sz="0" w:space="0" w:color="auto"/>
        <w:right w:val="none" w:sz="0" w:space="0" w:color="auto"/>
      </w:divBdr>
    </w:div>
    <w:div w:id="1819878482">
      <w:bodyDiv w:val="1"/>
      <w:marLeft w:val="0"/>
      <w:marRight w:val="0"/>
      <w:marTop w:val="0"/>
      <w:marBottom w:val="0"/>
      <w:divBdr>
        <w:top w:val="none" w:sz="0" w:space="0" w:color="auto"/>
        <w:left w:val="none" w:sz="0" w:space="0" w:color="auto"/>
        <w:bottom w:val="none" w:sz="0" w:space="0" w:color="auto"/>
        <w:right w:val="none" w:sz="0" w:space="0" w:color="auto"/>
      </w:divBdr>
    </w:div>
    <w:div w:id="1819952383">
      <w:bodyDiv w:val="1"/>
      <w:marLeft w:val="0"/>
      <w:marRight w:val="0"/>
      <w:marTop w:val="0"/>
      <w:marBottom w:val="0"/>
      <w:divBdr>
        <w:top w:val="none" w:sz="0" w:space="0" w:color="auto"/>
        <w:left w:val="none" w:sz="0" w:space="0" w:color="auto"/>
        <w:bottom w:val="none" w:sz="0" w:space="0" w:color="auto"/>
        <w:right w:val="none" w:sz="0" w:space="0" w:color="auto"/>
      </w:divBdr>
    </w:div>
    <w:div w:id="1821650410">
      <w:bodyDiv w:val="1"/>
      <w:marLeft w:val="0"/>
      <w:marRight w:val="0"/>
      <w:marTop w:val="0"/>
      <w:marBottom w:val="0"/>
      <w:divBdr>
        <w:top w:val="none" w:sz="0" w:space="0" w:color="auto"/>
        <w:left w:val="none" w:sz="0" w:space="0" w:color="auto"/>
        <w:bottom w:val="none" w:sz="0" w:space="0" w:color="auto"/>
        <w:right w:val="none" w:sz="0" w:space="0" w:color="auto"/>
      </w:divBdr>
    </w:div>
    <w:div w:id="1825123798">
      <w:bodyDiv w:val="1"/>
      <w:marLeft w:val="0"/>
      <w:marRight w:val="0"/>
      <w:marTop w:val="0"/>
      <w:marBottom w:val="0"/>
      <w:divBdr>
        <w:top w:val="none" w:sz="0" w:space="0" w:color="auto"/>
        <w:left w:val="none" w:sz="0" w:space="0" w:color="auto"/>
        <w:bottom w:val="none" w:sz="0" w:space="0" w:color="auto"/>
        <w:right w:val="none" w:sz="0" w:space="0" w:color="auto"/>
      </w:divBdr>
    </w:div>
    <w:div w:id="1828745683">
      <w:bodyDiv w:val="1"/>
      <w:marLeft w:val="0"/>
      <w:marRight w:val="0"/>
      <w:marTop w:val="0"/>
      <w:marBottom w:val="0"/>
      <w:divBdr>
        <w:top w:val="none" w:sz="0" w:space="0" w:color="auto"/>
        <w:left w:val="none" w:sz="0" w:space="0" w:color="auto"/>
        <w:bottom w:val="none" w:sz="0" w:space="0" w:color="auto"/>
        <w:right w:val="none" w:sz="0" w:space="0" w:color="auto"/>
      </w:divBdr>
    </w:div>
    <w:div w:id="1834754549">
      <w:bodyDiv w:val="1"/>
      <w:marLeft w:val="0"/>
      <w:marRight w:val="0"/>
      <w:marTop w:val="0"/>
      <w:marBottom w:val="0"/>
      <w:divBdr>
        <w:top w:val="none" w:sz="0" w:space="0" w:color="auto"/>
        <w:left w:val="none" w:sz="0" w:space="0" w:color="auto"/>
        <w:bottom w:val="none" w:sz="0" w:space="0" w:color="auto"/>
        <w:right w:val="none" w:sz="0" w:space="0" w:color="auto"/>
      </w:divBdr>
    </w:div>
    <w:div w:id="1841852051">
      <w:bodyDiv w:val="1"/>
      <w:marLeft w:val="0"/>
      <w:marRight w:val="0"/>
      <w:marTop w:val="0"/>
      <w:marBottom w:val="0"/>
      <w:divBdr>
        <w:top w:val="none" w:sz="0" w:space="0" w:color="auto"/>
        <w:left w:val="none" w:sz="0" w:space="0" w:color="auto"/>
        <w:bottom w:val="none" w:sz="0" w:space="0" w:color="auto"/>
        <w:right w:val="none" w:sz="0" w:space="0" w:color="auto"/>
      </w:divBdr>
    </w:div>
    <w:div w:id="1845631203">
      <w:bodyDiv w:val="1"/>
      <w:marLeft w:val="0"/>
      <w:marRight w:val="0"/>
      <w:marTop w:val="0"/>
      <w:marBottom w:val="0"/>
      <w:divBdr>
        <w:top w:val="none" w:sz="0" w:space="0" w:color="auto"/>
        <w:left w:val="none" w:sz="0" w:space="0" w:color="auto"/>
        <w:bottom w:val="none" w:sz="0" w:space="0" w:color="auto"/>
        <w:right w:val="none" w:sz="0" w:space="0" w:color="auto"/>
      </w:divBdr>
    </w:div>
    <w:div w:id="1850214627">
      <w:bodyDiv w:val="1"/>
      <w:marLeft w:val="0"/>
      <w:marRight w:val="0"/>
      <w:marTop w:val="0"/>
      <w:marBottom w:val="0"/>
      <w:divBdr>
        <w:top w:val="none" w:sz="0" w:space="0" w:color="auto"/>
        <w:left w:val="none" w:sz="0" w:space="0" w:color="auto"/>
        <w:bottom w:val="none" w:sz="0" w:space="0" w:color="auto"/>
        <w:right w:val="none" w:sz="0" w:space="0" w:color="auto"/>
      </w:divBdr>
    </w:div>
    <w:div w:id="1857846087">
      <w:bodyDiv w:val="1"/>
      <w:marLeft w:val="0"/>
      <w:marRight w:val="0"/>
      <w:marTop w:val="0"/>
      <w:marBottom w:val="0"/>
      <w:divBdr>
        <w:top w:val="none" w:sz="0" w:space="0" w:color="auto"/>
        <w:left w:val="none" w:sz="0" w:space="0" w:color="auto"/>
        <w:bottom w:val="none" w:sz="0" w:space="0" w:color="auto"/>
        <w:right w:val="none" w:sz="0" w:space="0" w:color="auto"/>
      </w:divBdr>
    </w:div>
    <w:div w:id="1859781318">
      <w:bodyDiv w:val="1"/>
      <w:marLeft w:val="0"/>
      <w:marRight w:val="0"/>
      <w:marTop w:val="0"/>
      <w:marBottom w:val="0"/>
      <w:divBdr>
        <w:top w:val="none" w:sz="0" w:space="0" w:color="auto"/>
        <w:left w:val="none" w:sz="0" w:space="0" w:color="auto"/>
        <w:bottom w:val="none" w:sz="0" w:space="0" w:color="auto"/>
        <w:right w:val="none" w:sz="0" w:space="0" w:color="auto"/>
      </w:divBdr>
    </w:div>
    <w:div w:id="1861888329">
      <w:bodyDiv w:val="1"/>
      <w:marLeft w:val="0"/>
      <w:marRight w:val="0"/>
      <w:marTop w:val="0"/>
      <w:marBottom w:val="0"/>
      <w:divBdr>
        <w:top w:val="none" w:sz="0" w:space="0" w:color="auto"/>
        <w:left w:val="none" w:sz="0" w:space="0" w:color="auto"/>
        <w:bottom w:val="none" w:sz="0" w:space="0" w:color="auto"/>
        <w:right w:val="none" w:sz="0" w:space="0" w:color="auto"/>
      </w:divBdr>
    </w:div>
    <w:div w:id="1862815174">
      <w:bodyDiv w:val="1"/>
      <w:marLeft w:val="0"/>
      <w:marRight w:val="0"/>
      <w:marTop w:val="0"/>
      <w:marBottom w:val="0"/>
      <w:divBdr>
        <w:top w:val="none" w:sz="0" w:space="0" w:color="auto"/>
        <w:left w:val="none" w:sz="0" w:space="0" w:color="auto"/>
        <w:bottom w:val="none" w:sz="0" w:space="0" w:color="auto"/>
        <w:right w:val="none" w:sz="0" w:space="0" w:color="auto"/>
      </w:divBdr>
    </w:div>
    <w:div w:id="1865437660">
      <w:bodyDiv w:val="1"/>
      <w:marLeft w:val="0"/>
      <w:marRight w:val="0"/>
      <w:marTop w:val="0"/>
      <w:marBottom w:val="0"/>
      <w:divBdr>
        <w:top w:val="none" w:sz="0" w:space="0" w:color="auto"/>
        <w:left w:val="none" w:sz="0" w:space="0" w:color="auto"/>
        <w:bottom w:val="none" w:sz="0" w:space="0" w:color="auto"/>
        <w:right w:val="none" w:sz="0" w:space="0" w:color="auto"/>
      </w:divBdr>
    </w:div>
    <w:div w:id="1869290905">
      <w:bodyDiv w:val="1"/>
      <w:marLeft w:val="0"/>
      <w:marRight w:val="0"/>
      <w:marTop w:val="0"/>
      <w:marBottom w:val="0"/>
      <w:divBdr>
        <w:top w:val="none" w:sz="0" w:space="0" w:color="auto"/>
        <w:left w:val="none" w:sz="0" w:space="0" w:color="auto"/>
        <w:bottom w:val="none" w:sz="0" w:space="0" w:color="auto"/>
        <w:right w:val="none" w:sz="0" w:space="0" w:color="auto"/>
      </w:divBdr>
    </w:div>
    <w:div w:id="1870414002">
      <w:bodyDiv w:val="1"/>
      <w:marLeft w:val="0"/>
      <w:marRight w:val="0"/>
      <w:marTop w:val="0"/>
      <w:marBottom w:val="0"/>
      <w:divBdr>
        <w:top w:val="none" w:sz="0" w:space="0" w:color="auto"/>
        <w:left w:val="none" w:sz="0" w:space="0" w:color="auto"/>
        <w:bottom w:val="none" w:sz="0" w:space="0" w:color="auto"/>
        <w:right w:val="none" w:sz="0" w:space="0" w:color="auto"/>
      </w:divBdr>
    </w:div>
    <w:div w:id="1870683030">
      <w:bodyDiv w:val="1"/>
      <w:marLeft w:val="0"/>
      <w:marRight w:val="0"/>
      <w:marTop w:val="0"/>
      <w:marBottom w:val="0"/>
      <w:divBdr>
        <w:top w:val="none" w:sz="0" w:space="0" w:color="auto"/>
        <w:left w:val="none" w:sz="0" w:space="0" w:color="auto"/>
        <w:bottom w:val="none" w:sz="0" w:space="0" w:color="auto"/>
        <w:right w:val="none" w:sz="0" w:space="0" w:color="auto"/>
      </w:divBdr>
    </w:div>
    <w:div w:id="1878422020">
      <w:bodyDiv w:val="1"/>
      <w:marLeft w:val="0"/>
      <w:marRight w:val="0"/>
      <w:marTop w:val="0"/>
      <w:marBottom w:val="0"/>
      <w:divBdr>
        <w:top w:val="none" w:sz="0" w:space="0" w:color="auto"/>
        <w:left w:val="none" w:sz="0" w:space="0" w:color="auto"/>
        <w:bottom w:val="none" w:sz="0" w:space="0" w:color="auto"/>
        <w:right w:val="none" w:sz="0" w:space="0" w:color="auto"/>
      </w:divBdr>
    </w:div>
    <w:div w:id="1882474068">
      <w:bodyDiv w:val="1"/>
      <w:marLeft w:val="0"/>
      <w:marRight w:val="0"/>
      <w:marTop w:val="0"/>
      <w:marBottom w:val="0"/>
      <w:divBdr>
        <w:top w:val="none" w:sz="0" w:space="0" w:color="auto"/>
        <w:left w:val="none" w:sz="0" w:space="0" w:color="auto"/>
        <w:bottom w:val="none" w:sz="0" w:space="0" w:color="auto"/>
        <w:right w:val="none" w:sz="0" w:space="0" w:color="auto"/>
      </w:divBdr>
    </w:div>
    <w:div w:id="1897934576">
      <w:bodyDiv w:val="1"/>
      <w:marLeft w:val="0"/>
      <w:marRight w:val="0"/>
      <w:marTop w:val="0"/>
      <w:marBottom w:val="0"/>
      <w:divBdr>
        <w:top w:val="none" w:sz="0" w:space="0" w:color="auto"/>
        <w:left w:val="none" w:sz="0" w:space="0" w:color="auto"/>
        <w:bottom w:val="none" w:sz="0" w:space="0" w:color="auto"/>
        <w:right w:val="none" w:sz="0" w:space="0" w:color="auto"/>
      </w:divBdr>
    </w:div>
    <w:div w:id="1902210321">
      <w:bodyDiv w:val="1"/>
      <w:marLeft w:val="0"/>
      <w:marRight w:val="0"/>
      <w:marTop w:val="0"/>
      <w:marBottom w:val="0"/>
      <w:divBdr>
        <w:top w:val="none" w:sz="0" w:space="0" w:color="auto"/>
        <w:left w:val="none" w:sz="0" w:space="0" w:color="auto"/>
        <w:bottom w:val="none" w:sz="0" w:space="0" w:color="auto"/>
        <w:right w:val="none" w:sz="0" w:space="0" w:color="auto"/>
      </w:divBdr>
    </w:div>
    <w:div w:id="1908104803">
      <w:bodyDiv w:val="1"/>
      <w:marLeft w:val="0"/>
      <w:marRight w:val="0"/>
      <w:marTop w:val="0"/>
      <w:marBottom w:val="0"/>
      <w:divBdr>
        <w:top w:val="none" w:sz="0" w:space="0" w:color="auto"/>
        <w:left w:val="none" w:sz="0" w:space="0" w:color="auto"/>
        <w:bottom w:val="none" w:sz="0" w:space="0" w:color="auto"/>
        <w:right w:val="none" w:sz="0" w:space="0" w:color="auto"/>
      </w:divBdr>
    </w:div>
    <w:div w:id="1910842094">
      <w:bodyDiv w:val="1"/>
      <w:marLeft w:val="0"/>
      <w:marRight w:val="0"/>
      <w:marTop w:val="0"/>
      <w:marBottom w:val="0"/>
      <w:divBdr>
        <w:top w:val="none" w:sz="0" w:space="0" w:color="auto"/>
        <w:left w:val="none" w:sz="0" w:space="0" w:color="auto"/>
        <w:bottom w:val="none" w:sz="0" w:space="0" w:color="auto"/>
        <w:right w:val="none" w:sz="0" w:space="0" w:color="auto"/>
      </w:divBdr>
    </w:div>
    <w:div w:id="1911454034">
      <w:bodyDiv w:val="1"/>
      <w:marLeft w:val="0"/>
      <w:marRight w:val="0"/>
      <w:marTop w:val="0"/>
      <w:marBottom w:val="0"/>
      <w:divBdr>
        <w:top w:val="none" w:sz="0" w:space="0" w:color="auto"/>
        <w:left w:val="none" w:sz="0" w:space="0" w:color="auto"/>
        <w:bottom w:val="none" w:sz="0" w:space="0" w:color="auto"/>
        <w:right w:val="none" w:sz="0" w:space="0" w:color="auto"/>
      </w:divBdr>
    </w:div>
    <w:div w:id="1914966309">
      <w:bodyDiv w:val="1"/>
      <w:marLeft w:val="0"/>
      <w:marRight w:val="0"/>
      <w:marTop w:val="0"/>
      <w:marBottom w:val="0"/>
      <w:divBdr>
        <w:top w:val="none" w:sz="0" w:space="0" w:color="auto"/>
        <w:left w:val="none" w:sz="0" w:space="0" w:color="auto"/>
        <w:bottom w:val="none" w:sz="0" w:space="0" w:color="auto"/>
        <w:right w:val="none" w:sz="0" w:space="0" w:color="auto"/>
      </w:divBdr>
    </w:div>
    <w:div w:id="1923296306">
      <w:bodyDiv w:val="1"/>
      <w:marLeft w:val="0"/>
      <w:marRight w:val="0"/>
      <w:marTop w:val="0"/>
      <w:marBottom w:val="0"/>
      <w:divBdr>
        <w:top w:val="none" w:sz="0" w:space="0" w:color="auto"/>
        <w:left w:val="none" w:sz="0" w:space="0" w:color="auto"/>
        <w:bottom w:val="none" w:sz="0" w:space="0" w:color="auto"/>
        <w:right w:val="none" w:sz="0" w:space="0" w:color="auto"/>
      </w:divBdr>
    </w:div>
    <w:div w:id="1949045248">
      <w:bodyDiv w:val="1"/>
      <w:marLeft w:val="0"/>
      <w:marRight w:val="0"/>
      <w:marTop w:val="0"/>
      <w:marBottom w:val="0"/>
      <w:divBdr>
        <w:top w:val="none" w:sz="0" w:space="0" w:color="auto"/>
        <w:left w:val="none" w:sz="0" w:space="0" w:color="auto"/>
        <w:bottom w:val="none" w:sz="0" w:space="0" w:color="auto"/>
        <w:right w:val="none" w:sz="0" w:space="0" w:color="auto"/>
      </w:divBdr>
    </w:div>
    <w:div w:id="1949269400">
      <w:bodyDiv w:val="1"/>
      <w:marLeft w:val="0"/>
      <w:marRight w:val="0"/>
      <w:marTop w:val="0"/>
      <w:marBottom w:val="0"/>
      <w:divBdr>
        <w:top w:val="none" w:sz="0" w:space="0" w:color="auto"/>
        <w:left w:val="none" w:sz="0" w:space="0" w:color="auto"/>
        <w:bottom w:val="none" w:sz="0" w:space="0" w:color="auto"/>
        <w:right w:val="none" w:sz="0" w:space="0" w:color="auto"/>
      </w:divBdr>
    </w:div>
    <w:div w:id="1952005418">
      <w:bodyDiv w:val="1"/>
      <w:marLeft w:val="0"/>
      <w:marRight w:val="0"/>
      <w:marTop w:val="0"/>
      <w:marBottom w:val="0"/>
      <w:divBdr>
        <w:top w:val="none" w:sz="0" w:space="0" w:color="auto"/>
        <w:left w:val="none" w:sz="0" w:space="0" w:color="auto"/>
        <w:bottom w:val="none" w:sz="0" w:space="0" w:color="auto"/>
        <w:right w:val="none" w:sz="0" w:space="0" w:color="auto"/>
      </w:divBdr>
    </w:div>
    <w:div w:id="1961304622">
      <w:bodyDiv w:val="1"/>
      <w:marLeft w:val="0"/>
      <w:marRight w:val="0"/>
      <w:marTop w:val="0"/>
      <w:marBottom w:val="0"/>
      <w:divBdr>
        <w:top w:val="none" w:sz="0" w:space="0" w:color="auto"/>
        <w:left w:val="none" w:sz="0" w:space="0" w:color="auto"/>
        <w:bottom w:val="none" w:sz="0" w:space="0" w:color="auto"/>
        <w:right w:val="none" w:sz="0" w:space="0" w:color="auto"/>
      </w:divBdr>
    </w:div>
    <w:div w:id="1963151707">
      <w:bodyDiv w:val="1"/>
      <w:marLeft w:val="0"/>
      <w:marRight w:val="0"/>
      <w:marTop w:val="0"/>
      <w:marBottom w:val="0"/>
      <w:divBdr>
        <w:top w:val="none" w:sz="0" w:space="0" w:color="auto"/>
        <w:left w:val="none" w:sz="0" w:space="0" w:color="auto"/>
        <w:bottom w:val="none" w:sz="0" w:space="0" w:color="auto"/>
        <w:right w:val="none" w:sz="0" w:space="0" w:color="auto"/>
      </w:divBdr>
    </w:div>
    <w:div w:id="1964267855">
      <w:bodyDiv w:val="1"/>
      <w:marLeft w:val="0"/>
      <w:marRight w:val="0"/>
      <w:marTop w:val="0"/>
      <w:marBottom w:val="0"/>
      <w:divBdr>
        <w:top w:val="none" w:sz="0" w:space="0" w:color="auto"/>
        <w:left w:val="none" w:sz="0" w:space="0" w:color="auto"/>
        <w:bottom w:val="none" w:sz="0" w:space="0" w:color="auto"/>
        <w:right w:val="none" w:sz="0" w:space="0" w:color="auto"/>
      </w:divBdr>
    </w:div>
    <w:div w:id="1977449555">
      <w:bodyDiv w:val="1"/>
      <w:marLeft w:val="0"/>
      <w:marRight w:val="0"/>
      <w:marTop w:val="0"/>
      <w:marBottom w:val="0"/>
      <w:divBdr>
        <w:top w:val="none" w:sz="0" w:space="0" w:color="auto"/>
        <w:left w:val="none" w:sz="0" w:space="0" w:color="auto"/>
        <w:bottom w:val="none" w:sz="0" w:space="0" w:color="auto"/>
        <w:right w:val="none" w:sz="0" w:space="0" w:color="auto"/>
      </w:divBdr>
    </w:div>
    <w:div w:id="1980694923">
      <w:bodyDiv w:val="1"/>
      <w:marLeft w:val="0"/>
      <w:marRight w:val="0"/>
      <w:marTop w:val="0"/>
      <w:marBottom w:val="0"/>
      <w:divBdr>
        <w:top w:val="none" w:sz="0" w:space="0" w:color="auto"/>
        <w:left w:val="none" w:sz="0" w:space="0" w:color="auto"/>
        <w:bottom w:val="none" w:sz="0" w:space="0" w:color="auto"/>
        <w:right w:val="none" w:sz="0" w:space="0" w:color="auto"/>
      </w:divBdr>
    </w:div>
    <w:div w:id="1988390197">
      <w:bodyDiv w:val="1"/>
      <w:marLeft w:val="0"/>
      <w:marRight w:val="0"/>
      <w:marTop w:val="0"/>
      <w:marBottom w:val="0"/>
      <w:divBdr>
        <w:top w:val="none" w:sz="0" w:space="0" w:color="auto"/>
        <w:left w:val="none" w:sz="0" w:space="0" w:color="auto"/>
        <w:bottom w:val="none" w:sz="0" w:space="0" w:color="auto"/>
        <w:right w:val="none" w:sz="0" w:space="0" w:color="auto"/>
      </w:divBdr>
    </w:div>
    <w:div w:id="2000377796">
      <w:bodyDiv w:val="1"/>
      <w:marLeft w:val="0"/>
      <w:marRight w:val="0"/>
      <w:marTop w:val="0"/>
      <w:marBottom w:val="0"/>
      <w:divBdr>
        <w:top w:val="none" w:sz="0" w:space="0" w:color="auto"/>
        <w:left w:val="none" w:sz="0" w:space="0" w:color="auto"/>
        <w:bottom w:val="none" w:sz="0" w:space="0" w:color="auto"/>
        <w:right w:val="none" w:sz="0" w:space="0" w:color="auto"/>
      </w:divBdr>
    </w:div>
    <w:div w:id="2012177828">
      <w:bodyDiv w:val="1"/>
      <w:marLeft w:val="0"/>
      <w:marRight w:val="0"/>
      <w:marTop w:val="0"/>
      <w:marBottom w:val="0"/>
      <w:divBdr>
        <w:top w:val="none" w:sz="0" w:space="0" w:color="auto"/>
        <w:left w:val="none" w:sz="0" w:space="0" w:color="auto"/>
        <w:bottom w:val="none" w:sz="0" w:space="0" w:color="auto"/>
        <w:right w:val="none" w:sz="0" w:space="0" w:color="auto"/>
      </w:divBdr>
    </w:div>
    <w:div w:id="2015649181">
      <w:bodyDiv w:val="1"/>
      <w:marLeft w:val="0"/>
      <w:marRight w:val="0"/>
      <w:marTop w:val="0"/>
      <w:marBottom w:val="0"/>
      <w:divBdr>
        <w:top w:val="none" w:sz="0" w:space="0" w:color="auto"/>
        <w:left w:val="none" w:sz="0" w:space="0" w:color="auto"/>
        <w:bottom w:val="none" w:sz="0" w:space="0" w:color="auto"/>
        <w:right w:val="none" w:sz="0" w:space="0" w:color="auto"/>
      </w:divBdr>
    </w:div>
    <w:div w:id="2016034252">
      <w:bodyDiv w:val="1"/>
      <w:marLeft w:val="0"/>
      <w:marRight w:val="0"/>
      <w:marTop w:val="0"/>
      <w:marBottom w:val="0"/>
      <w:divBdr>
        <w:top w:val="none" w:sz="0" w:space="0" w:color="auto"/>
        <w:left w:val="none" w:sz="0" w:space="0" w:color="auto"/>
        <w:bottom w:val="none" w:sz="0" w:space="0" w:color="auto"/>
        <w:right w:val="none" w:sz="0" w:space="0" w:color="auto"/>
      </w:divBdr>
    </w:div>
    <w:div w:id="2020690768">
      <w:bodyDiv w:val="1"/>
      <w:marLeft w:val="0"/>
      <w:marRight w:val="0"/>
      <w:marTop w:val="0"/>
      <w:marBottom w:val="0"/>
      <w:divBdr>
        <w:top w:val="none" w:sz="0" w:space="0" w:color="auto"/>
        <w:left w:val="none" w:sz="0" w:space="0" w:color="auto"/>
        <w:bottom w:val="none" w:sz="0" w:space="0" w:color="auto"/>
        <w:right w:val="none" w:sz="0" w:space="0" w:color="auto"/>
      </w:divBdr>
    </w:div>
    <w:div w:id="2021201454">
      <w:bodyDiv w:val="1"/>
      <w:marLeft w:val="0"/>
      <w:marRight w:val="0"/>
      <w:marTop w:val="0"/>
      <w:marBottom w:val="0"/>
      <w:divBdr>
        <w:top w:val="none" w:sz="0" w:space="0" w:color="auto"/>
        <w:left w:val="none" w:sz="0" w:space="0" w:color="auto"/>
        <w:bottom w:val="none" w:sz="0" w:space="0" w:color="auto"/>
        <w:right w:val="none" w:sz="0" w:space="0" w:color="auto"/>
      </w:divBdr>
    </w:div>
    <w:div w:id="2024235528">
      <w:bodyDiv w:val="1"/>
      <w:marLeft w:val="0"/>
      <w:marRight w:val="0"/>
      <w:marTop w:val="0"/>
      <w:marBottom w:val="0"/>
      <w:divBdr>
        <w:top w:val="none" w:sz="0" w:space="0" w:color="auto"/>
        <w:left w:val="none" w:sz="0" w:space="0" w:color="auto"/>
        <w:bottom w:val="none" w:sz="0" w:space="0" w:color="auto"/>
        <w:right w:val="none" w:sz="0" w:space="0" w:color="auto"/>
      </w:divBdr>
    </w:div>
    <w:div w:id="2026590985">
      <w:bodyDiv w:val="1"/>
      <w:marLeft w:val="0"/>
      <w:marRight w:val="0"/>
      <w:marTop w:val="0"/>
      <w:marBottom w:val="0"/>
      <w:divBdr>
        <w:top w:val="none" w:sz="0" w:space="0" w:color="auto"/>
        <w:left w:val="none" w:sz="0" w:space="0" w:color="auto"/>
        <w:bottom w:val="none" w:sz="0" w:space="0" w:color="auto"/>
        <w:right w:val="none" w:sz="0" w:space="0" w:color="auto"/>
      </w:divBdr>
    </w:div>
    <w:div w:id="2034652381">
      <w:bodyDiv w:val="1"/>
      <w:marLeft w:val="0"/>
      <w:marRight w:val="0"/>
      <w:marTop w:val="0"/>
      <w:marBottom w:val="0"/>
      <w:divBdr>
        <w:top w:val="none" w:sz="0" w:space="0" w:color="auto"/>
        <w:left w:val="none" w:sz="0" w:space="0" w:color="auto"/>
        <w:bottom w:val="none" w:sz="0" w:space="0" w:color="auto"/>
        <w:right w:val="none" w:sz="0" w:space="0" w:color="auto"/>
      </w:divBdr>
    </w:div>
    <w:div w:id="2036418624">
      <w:bodyDiv w:val="1"/>
      <w:marLeft w:val="0"/>
      <w:marRight w:val="0"/>
      <w:marTop w:val="0"/>
      <w:marBottom w:val="0"/>
      <w:divBdr>
        <w:top w:val="none" w:sz="0" w:space="0" w:color="auto"/>
        <w:left w:val="none" w:sz="0" w:space="0" w:color="auto"/>
        <w:bottom w:val="none" w:sz="0" w:space="0" w:color="auto"/>
        <w:right w:val="none" w:sz="0" w:space="0" w:color="auto"/>
      </w:divBdr>
    </w:div>
    <w:div w:id="2036685327">
      <w:bodyDiv w:val="1"/>
      <w:marLeft w:val="0"/>
      <w:marRight w:val="0"/>
      <w:marTop w:val="0"/>
      <w:marBottom w:val="0"/>
      <w:divBdr>
        <w:top w:val="none" w:sz="0" w:space="0" w:color="auto"/>
        <w:left w:val="none" w:sz="0" w:space="0" w:color="auto"/>
        <w:bottom w:val="none" w:sz="0" w:space="0" w:color="auto"/>
        <w:right w:val="none" w:sz="0" w:space="0" w:color="auto"/>
      </w:divBdr>
    </w:div>
    <w:div w:id="2052613379">
      <w:bodyDiv w:val="1"/>
      <w:marLeft w:val="0"/>
      <w:marRight w:val="0"/>
      <w:marTop w:val="0"/>
      <w:marBottom w:val="0"/>
      <w:divBdr>
        <w:top w:val="none" w:sz="0" w:space="0" w:color="auto"/>
        <w:left w:val="none" w:sz="0" w:space="0" w:color="auto"/>
        <w:bottom w:val="none" w:sz="0" w:space="0" w:color="auto"/>
        <w:right w:val="none" w:sz="0" w:space="0" w:color="auto"/>
      </w:divBdr>
    </w:div>
    <w:div w:id="2057047142">
      <w:bodyDiv w:val="1"/>
      <w:marLeft w:val="0"/>
      <w:marRight w:val="0"/>
      <w:marTop w:val="0"/>
      <w:marBottom w:val="0"/>
      <w:divBdr>
        <w:top w:val="none" w:sz="0" w:space="0" w:color="auto"/>
        <w:left w:val="none" w:sz="0" w:space="0" w:color="auto"/>
        <w:bottom w:val="none" w:sz="0" w:space="0" w:color="auto"/>
        <w:right w:val="none" w:sz="0" w:space="0" w:color="auto"/>
      </w:divBdr>
    </w:div>
    <w:div w:id="2058552220">
      <w:bodyDiv w:val="1"/>
      <w:marLeft w:val="0"/>
      <w:marRight w:val="0"/>
      <w:marTop w:val="0"/>
      <w:marBottom w:val="0"/>
      <w:divBdr>
        <w:top w:val="none" w:sz="0" w:space="0" w:color="auto"/>
        <w:left w:val="none" w:sz="0" w:space="0" w:color="auto"/>
        <w:bottom w:val="none" w:sz="0" w:space="0" w:color="auto"/>
        <w:right w:val="none" w:sz="0" w:space="0" w:color="auto"/>
      </w:divBdr>
    </w:div>
    <w:div w:id="2061980526">
      <w:bodyDiv w:val="1"/>
      <w:marLeft w:val="0"/>
      <w:marRight w:val="0"/>
      <w:marTop w:val="0"/>
      <w:marBottom w:val="0"/>
      <w:divBdr>
        <w:top w:val="none" w:sz="0" w:space="0" w:color="auto"/>
        <w:left w:val="none" w:sz="0" w:space="0" w:color="auto"/>
        <w:bottom w:val="none" w:sz="0" w:space="0" w:color="auto"/>
        <w:right w:val="none" w:sz="0" w:space="0" w:color="auto"/>
      </w:divBdr>
    </w:div>
    <w:div w:id="2066903249">
      <w:bodyDiv w:val="1"/>
      <w:marLeft w:val="0"/>
      <w:marRight w:val="0"/>
      <w:marTop w:val="0"/>
      <w:marBottom w:val="0"/>
      <w:divBdr>
        <w:top w:val="none" w:sz="0" w:space="0" w:color="auto"/>
        <w:left w:val="none" w:sz="0" w:space="0" w:color="auto"/>
        <w:bottom w:val="none" w:sz="0" w:space="0" w:color="auto"/>
        <w:right w:val="none" w:sz="0" w:space="0" w:color="auto"/>
      </w:divBdr>
    </w:div>
    <w:div w:id="2071415168">
      <w:bodyDiv w:val="1"/>
      <w:marLeft w:val="0"/>
      <w:marRight w:val="0"/>
      <w:marTop w:val="0"/>
      <w:marBottom w:val="0"/>
      <w:divBdr>
        <w:top w:val="none" w:sz="0" w:space="0" w:color="auto"/>
        <w:left w:val="none" w:sz="0" w:space="0" w:color="auto"/>
        <w:bottom w:val="none" w:sz="0" w:space="0" w:color="auto"/>
        <w:right w:val="none" w:sz="0" w:space="0" w:color="auto"/>
      </w:divBdr>
    </w:div>
    <w:div w:id="2073503593">
      <w:bodyDiv w:val="1"/>
      <w:marLeft w:val="0"/>
      <w:marRight w:val="0"/>
      <w:marTop w:val="0"/>
      <w:marBottom w:val="0"/>
      <w:divBdr>
        <w:top w:val="none" w:sz="0" w:space="0" w:color="auto"/>
        <w:left w:val="none" w:sz="0" w:space="0" w:color="auto"/>
        <w:bottom w:val="none" w:sz="0" w:space="0" w:color="auto"/>
        <w:right w:val="none" w:sz="0" w:space="0" w:color="auto"/>
      </w:divBdr>
    </w:div>
    <w:div w:id="2077704500">
      <w:bodyDiv w:val="1"/>
      <w:marLeft w:val="0"/>
      <w:marRight w:val="0"/>
      <w:marTop w:val="0"/>
      <w:marBottom w:val="0"/>
      <w:divBdr>
        <w:top w:val="none" w:sz="0" w:space="0" w:color="auto"/>
        <w:left w:val="none" w:sz="0" w:space="0" w:color="auto"/>
        <w:bottom w:val="none" w:sz="0" w:space="0" w:color="auto"/>
        <w:right w:val="none" w:sz="0" w:space="0" w:color="auto"/>
      </w:divBdr>
    </w:div>
    <w:div w:id="2085370601">
      <w:bodyDiv w:val="1"/>
      <w:marLeft w:val="0"/>
      <w:marRight w:val="0"/>
      <w:marTop w:val="0"/>
      <w:marBottom w:val="0"/>
      <w:divBdr>
        <w:top w:val="none" w:sz="0" w:space="0" w:color="auto"/>
        <w:left w:val="none" w:sz="0" w:space="0" w:color="auto"/>
        <w:bottom w:val="none" w:sz="0" w:space="0" w:color="auto"/>
        <w:right w:val="none" w:sz="0" w:space="0" w:color="auto"/>
      </w:divBdr>
    </w:div>
    <w:div w:id="2096826186">
      <w:bodyDiv w:val="1"/>
      <w:marLeft w:val="0"/>
      <w:marRight w:val="0"/>
      <w:marTop w:val="0"/>
      <w:marBottom w:val="0"/>
      <w:divBdr>
        <w:top w:val="none" w:sz="0" w:space="0" w:color="auto"/>
        <w:left w:val="none" w:sz="0" w:space="0" w:color="auto"/>
        <w:bottom w:val="none" w:sz="0" w:space="0" w:color="auto"/>
        <w:right w:val="none" w:sz="0" w:space="0" w:color="auto"/>
      </w:divBdr>
    </w:div>
    <w:div w:id="2097748794">
      <w:bodyDiv w:val="1"/>
      <w:marLeft w:val="0"/>
      <w:marRight w:val="0"/>
      <w:marTop w:val="0"/>
      <w:marBottom w:val="0"/>
      <w:divBdr>
        <w:top w:val="none" w:sz="0" w:space="0" w:color="auto"/>
        <w:left w:val="none" w:sz="0" w:space="0" w:color="auto"/>
        <w:bottom w:val="none" w:sz="0" w:space="0" w:color="auto"/>
        <w:right w:val="none" w:sz="0" w:space="0" w:color="auto"/>
      </w:divBdr>
    </w:div>
    <w:div w:id="2103908887">
      <w:bodyDiv w:val="1"/>
      <w:marLeft w:val="0"/>
      <w:marRight w:val="0"/>
      <w:marTop w:val="0"/>
      <w:marBottom w:val="0"/>
      <w:divBdr>
        <w:top w:val="none" w:sz="0" w:space="0" w:color="auto"/>
        <w:left w:val="none" w:sz="0" w:space="0" w:color="auto"/>
        <w:bottom w:val="none" w:sz="0" w:space="0" w:color="auto"/>
        <w:right w:val="none" w:sz="0" w:space="0" w:color="auto"/>
      </w:divBdr>
    </w:div>
    <w:div w:id="2104186474">
      <w:bodyDiv w:val="1"/>
      <w:marLeft w:val="0"/>
      <w:marRight w:val="0"/>
      <w:marTop w:val="0"/>
      <w:marBottom w:val="0"/>
      <w:divBdr>
        <w:top w:val="none" w:sz="0" w:space="0" w:color="auto"/>
        <w:left w:val="none" w:sz="0" w:space="0" w:color="auto"/>
        <w:bottom w:val="none" w:sz="0" w:space="0" w:color="auto"/>
        <w:right w:val="none" w:sz="0" w:space="0" w:color="auto"/>
      </w:divBdr>
    </w:div>
    <w:div w:id="2104521406">
      <w:bodyDiv w:val="1"/>
      <w:marLeft w:val="0"/>
      <w:marRight w:val="0"/>
      <w:marTop w:val="0"/>
      <w:marBottom w:val="0"/>
      <w:divBdr>
        <w:top w:val="none" w:sz="0" w:space="0" w:color="auto"/>
        <w:left w:val="none" w:sz="0" w:space="0" w:color="auto"/>
        <w:bottom w:val="none" w:sz="0" w:space="0" w:color="auto"/>
        <w:right w:val="none" w:sz="0" w:space="0" w:color="auto"/>
      </w:divBdr>
    </w:div>
    <w:div w:id="2109764559">
      <w:bodyDiv w:val="1"/>
      <w:marLeft w:val="0"/>
      <w:marRight w:val="0"/>
      <w:marTop w:val="0"/>
      <w:marBottom w:val="0"/>
      <w:divBdr>
        <w:top w:val="none" w:sz="0" w:space="0" w:color="auto"/>
        <w:left w:val="none" w:sz="0" w:space="0" w:color="auto"/>
        <w:bottom w:val="none" w:sz="0" w:space="0" w:color="auto"/>
        <w:right w:val="none" w:sz="0" w:space="0" w:color="auto"/>
      </w:divBdr>
    </w:div>
    <w:div w:id="2119329664">
      <w:bodyDiv w:val="1"/>
      <w:marLeft w:val="0"/>
      <w:marRight w:val="0"/>
      <w:marTop w:val="0"/>
      <w:marBottom w:val="0"/>
      <w:divBdr>
        <w:top w:val="none" w:sz="0" w:space="0" w:color="auto"/>
        <w:left w:val="none" w:sz="0" w:space="0" w:color="auto"/>
        <w:bottom w:val="none" w:sz="0" w:space="0" w:color="auto"/>
        <w:right w:val="none" w:sz="0" w:space="0" w:color="auto"/>
      </w:divBdr>
    </w:div>
    <w:div w:id="2119638140">
      <w:bodyDiv w:val="1"/>
      <w:marLeft w:val="0"/>
      <w:marRight w:val="0"/>
      <w:marTop w:val="0"/>
      <w:marBottom w:val="0"/>
      <w:divBdr>
        <w:top w:val="none" w:sz="0" w:space="0" w:color="auto"/>
        <w:left w:val="none" w:sz="0" w:space="0" w:color="auto"/>
        <w:bottom w:val="none" w:sz="0" w:space="0" w:color="auto"/>
        <w:right w:val="none" w:sz="0" w:space="0" w:color="auto"/>
      </w:divBdr>
    </w:div>
    <w:div w:id="2123529094">
      <w:bodyDiv w:val="1"/>
      <w:marLeft w:val="0"/>
      <w:marRight w:val="0"/>
      <w:marTop w:val="0"/>
      <w:marBottom w:val="0"/>
      <w:divBdr>
        <w:top w:val="none" w:sz="0" w:space="0" w:color="auto"/>
        <w:left w:val="none" w:sz="0" w:space="0" w:color="auto"/>
        <w:bottom w:val="none" w:sz="0" w:space="0" w:color="auto"/>
        <w:right w:val="none" w:sz="0" w:space="0" w:color="auto"/>
      </w:divBdr>
    </w:div>
    <w:div w:id="2125725965">
      <w:bodyDiv w:val="1"/>
      <w:marLeft w:val="0"/>
      <w:marRight w:val="0"/>
      <w:marTop w:val="0"/>
      <w:marBottom w:val="0"/>
      <w:divBdr>
        <w:top w:val="none" w:sz="0" w:space="0" w:color="auto"/>
        <w:left w:val="none" w:sz="0" w:space="0" w:color="auto"/>
        <w:bottom w:val="none" w:sz="0" w:space="0" w:color="auto"/>
        <w:right w:val="none" w:sz="0" w:space="0" w:color="auto"/>
      </w:divBdr>
    </w:div>
    <w:div w:id="2126731804">
      <w:bodyDiv w:val="1"/>
      <w:marLeft w:val="0"/>
      <w:marRight w:val="0"/>
      <w:marTop w:val="0"/>
      <w:marBottom w:val="0"/>
      <w:divBdr>
        <w:top w:val="none" w:sz="0" w:space="0" w:color="auto"/>
        <w:left w:val="none" w:sz="0" w:space="0" w:color="auto"/>
        <w:bottom w:val="none" w:sz="0" w:space="0" w:color="auto"/>
        <w:right w:val="none" w:sz="0" w:space="0" w:color="auto"/>
      </w:divBdr>
    </w:div>
    <w:div w:id="2127190746">
      <w:bodyDiv w:val="1"/>
      <w:marLeft w:val="0"/>
      <w:marRight w:val="0"/>
      <w:marTop w:val="0"/>
      <w:marBottom w:val="0"/>
      <w:divBdr>
        <w:top w:val="none" w:sz="0" w:space="0" w:color="auto"/>
        <w:left w:val="none" w:sz="0" w:space="0" w:color="auto"/>
        <w:bottom w:val="none" w:sz="0" w:space="0" w:color="auto"/>
        <w:right w:val="none" w:sz="0" w:space="0" w:color="auto"/>
      </w:divBdr>
    </w:div>
    <w:div w:id="2129935348">
      <w:bodyDiv w:val="1"/>
      <w:marLeft w:val="0"/>
      <w:marRight w:val="0"/>
      <w:marTop w:val="0"/>
      <w:marBottom w:val="0"/>
      <w:divBdr>
        <w:top w:val="none" w:sz="0" w:space="0" w:color="auto"/>
        <w:left w:val="none" w:sz="0" w:space="0" w:color="auto"/>
        <w:bottom w:val="none" w:sz="0" w:space="0" w:color="auto"/>
        <w:right w:val="none" w:sz="0" w:space="0" w:color="auto"/>
      </w:divBdr>
    </w:div>
    <w:div w:id="2131242314">
      <w:bodyDiv w:val="1"/>
      <w:marLeft w:val="0"/>
      <w:marRight w:val="0"/>
      <w:marTop w:val="0"/>
      <w:marBottom w:val="0"/>
      <w:divBdr>
        <w:top w:val="none" w:sz="0" w:space="0" w:color="auto"/>
        <w:left w:val="none" w:sz="0" w:space="0" w:color="auto"/>
        <w:bottom w:val="none" w:sz="0" w:space="0" w:color="auto"/>
        <w:right w:val="none" w:sz="0" w:space="0" w:color="auto"/>
      </w:divBdr>
    </w:div>
    <w:div w:id="2133360041">
      <w:bodyDiv w:val="1"/>
      <w:marLeft w:val="0"/>
      <w:marRight w:val="0"/>
      <w:marTop w:val="0"/>
      <w:marBottom w:val="0"/>
      <w:divBdr>
        <w:top w:val="none" w:sz="0" w:space="0" w:color="auto"/>
        <w:left w:val="none" w:sz="0" w:space="0" w:color="auto"/>
        <w:bottom w:val="none" w:sz="0" w:space="0" w:color="auto"/>
        <w:right w:val="none" w:sz="0" w:space="0" w:color="auto"/>
      </w:divBdr>
    </w:div>
    <w:div w:id="2134859345">
      <w:bodyDiv w:val="1"/>
      <w:marLeft w:val="0"/>
      <w:marRight w:val="0"/>
      <w:marTop w:val="0"/>
      <w:marBottom w:val="0"/>
      <w:divBdr>
        <w:top w:val="none" w:sz="0" w:space="0" w:color="auto"/>
        <w:left w:val="none" w:sz="0" w:space="0" w:color="auto"/>
        <w:bottom w:val="none" w:sz="0" w:space="0" w:color="auto"/>
        <w:right w:val="none" w:sz="0" w:space="0" w:color="auto"/>
      </w:divBdr>
    </w:div>
    <w:div w:id="2134863149">
      <w:bodyDiv w:val="1"/>
      <w:marLeft w:val="0"/>
      <w:marRight w:val="0"/>
      <w:marTop w:val="0"/>
      <w:marBottom w:val="0"/>
      <w:divBdr>
        <w:top w:val="none" w:sz="0" w:space="0" w:color="auto"/>
        <w:left w:val="none" w:sz="0" w:space="0" w:color="auto"/>
        <w:bottom w:val="none" w:sz="0" w:space="0" w:color="auto"/>
        <w:right w:val="none" w:sz="0" w:space="0" w:color="auto"/>
      </w:divBdr>
    </w:div>
    <w:div w:id="2140955611">
      <w:bodyDiv w:val="1"/>
      <w:marLeft w:val="0"/>
      <w:marRight w:val="0"/>
      <w:marTop w:val="0"/>
      <w:marBottom w:val="0"/>
      <w:divBdr>
        <w:top w:val="none" w:sz="0" w:space="0" w:color="auto"/>
        <w:left w:val="none" w:sz="0" w:space="0" w:color="auto"/>
        <w:bottom w:val="none" w:sz="0" w:space="0" w:color="auto"/>
        <w:right w:val="none" w:sz="0" w:space="0" w:color="auto"/>
      </w:divBdr>
    </w:div>
    <w:div w:id="2143307232">
      <w:bodyDiv w:val="1"/>
      <w:marLeft w:val="0"/>
      <w:marRight w:val="0"/>
      <w:marTop w:val="0"/>
      <w:marBottom w:val="0"/>
      <w:divBdr>
        <w:top w:val="none" w:sz="0" w:space="0" w:color="auto"/>
        <w:left w:val="none" w:sz="0" w:space="0" w:color="auto"/>
        <w:bottom w:val="none" w:sz="0" w:space="0" w:color="auto"/>
        <w:right w:val="none" w:sz="0" w:space="0" w:color="auto"/>
      </w:divBdr>
    </w:div>
    <w:div w:id="2145198620">
      <w:bodyDiv w:val="1"/>
      <w:marLeft w:val="0"/>
      <w:marRight w:val="0"/>
      <w:marTop w:val="0"/>
      <w:marBottom w:val="0"/>
      <w:divBdr>
        <w:top w:val="none" w:sz="0" w:space="0" w:color="auto"/>
        <w:left w:val="none" w:sz="0" w:space="0" w:color="auto"/>
        <w:bottom w:val="none" w:sz="0" w:space="0" w:color="auto"/>
        <w:right w:val="none" w:sz="0" w:space="0" w:color="auto"/>
      </w:divBdr>
    </w:div>
    <w:div w:id="2146118035">
      <w:bodyDiv w:val="1"/>
      <w:marLeft w:val="0"/>
      <w:marRight w:val="0"/>
      <w:marTop w:val="0"/>
      <w:marBottom w:val="0"/>
      <w:divBdr>
        <w:top w:val="none" w:sz="0" w:space="0" w:color="auto"/>
        <w:left w:val="none" w:sz="0" w:space="0" w:color="auto"/>
        <w:bottom w:val="none" w:sz="0" w:space="0" w:color="auto"/>
        <w:right w:val="none" w:sz="0" w:space="0" w:color="auto"/>
      </w:divBdr>
    </w:div>
    <w:div w:id="214657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9.xml"/><Relationship Id="rId21" Type="http://schemas.openxmlformats.org/officeDocument/2006/relationships/image" Target="media/image5.emf"/><Relationship Id="rId42" Type="http://schemas.openxmlformats.org/officeDocument/2006/relationships/chart" Target="charts/chart7.xml"/><Relationship Id="rId63" Type="http://schemas.openxmlformats.org/officeDocument/2006/relationships/image" Target="media/image7.emf"/><Relationship Id="rId84" Type="http://schemas.openxmlformats.org/officeDocument/2006/relationships/chart" Target="charts/chart38.xml"/><Relationship Id="rId138" Type="http://schemas.openxmlformats.org/officeDocument/2006/relationships/image" Target="media/image16.emf"/><Relationship Id="rId159" Type="http://schemas.openxmlformats.org/officeDocument/2006/relationships/package" Target="embeddings/Microsoft_Excel_Worksheet30.xlsx"/><Relationship Id="rId170" Type="http://schemas.openxmlformats.org/officeDocument/2006/relationships/image" Target="media/image32.emf"/><Relationship Id="rId191" Type="http://schemas.openxmlformats.org/officeDocument/2006/relationships/package" Target="embeddings/Microsoft_Excel_Worksheet46.xlsx"/><Relationship Id="rId205" Type="http://schemas.openxmlformats.org/officeDocument/2006/relationships/hyperlink" Target="http://www.cancer.org/cancer/cancerinchildren/detailedguide/cancer-in-children-differences-adults-children" TargetMode="External"/><Relationship Id="rId107" Type="http://schemas.openxmlformats.org/officeDocument/2006/relationships/chart" Target="charts/chart53.xml"/><Relationship Id="rId11" Type="http://schemas.openxmlformats.org/officeDocument/2006/relationships/image" Target="media/image2.png"/><Relationship Id="rId32" Type="http://schemas.openxmlformats.org/officeDocument/2006/relationships/chart" Target="charts/chart1.xml"/><Relationship Id="rId53" Type="http://schemas.openxmlformats.org/officeDocument/2006/relationships/chart" Target="charts/chart11.xml"/><Relationship Id="rId74" Type="http://schemas.openxmlformats.org/officeDocument/2006/relationships/chart" Target="charts/chart30.xml"/><Relationship Id="rId128" Type="http://schemas.openxmlformats.org/officeDocument/2006/relationships/package" Target="embeddings/Microsoft_Excel_Worksheet15.xlsx"/><Relationship Id="rId149" Type="http://schemas.openxmlformats.org/officeDocument/2006/relationships/package" Target="embeddings/Microsoft_Excel_Worksheet25.xlsx"/><Relationship Id="rId5" Type="http://schemas.microsoft.com/office/2007/relationships/stylesWithEffects" Target="stylesWithEffects.xml"/><Relationship Id="rId95" Type="http://schemas.openxmlformats.org/officeDocument/2006/relationships/chart" Target="charts/chart45.xml"/><Relationship Id="rId160" Type="http://schemas.openxmlformats.org/officeDocument/2006/relationships/image" Target="media/image27.emf"/><Relationship Id="rId181" Type="http://schemas.openxmlformats.org/officeDocument/2006/relationships/package" Target="embeddings/Microsoft_Excel_Worksheet41.xlsx"/><Relationship Id="rId216" Type="http://schemas.openxmlformats.org/officeDocument/2006/relationships/hyperlink" Target="http://www.seer.cancer.gov" TargetMode="External"/><Relationship Id="rId22" Type="http://schemas.openxmlformats.org/officeDocument/2006/relationships/package" Target="embeddings/Microsoft_Excel_Worksheet3.xlsx"/><Relationship Id="rId43" Type="http://schemas.openxmlformats.org/officeDocument/2006/relationships/hyperlink" Target="http://statecancerprofiles.cancer.gov/index.html" TargetMode="External"/><Relationship Id="rId64" Type="http://schemas.openxmlformats.org/officeDocument/2006/relationships/package" Target="embeddings/Microsoft_Excel_Worksheet6.xlsx"/><Relationship Id="rId118" Type="http://schemas.openxmlformats.org/officeDocument/2006/relationships/chart" Target="charts/chart60.xml"/><Relationship Id="rId139" Type="http://schemas.openxmlformats.org/officeDocument/2006/relationships/package" Target="embeddings/Microsoft_Excel_Worksheet20.xlsx"/><Relationship Id="rId85" Type="http://schemas.openxmlformats.org/officeDocument/2006/relationships/hyperlink" Target="http://www.cancer.org/cancer/prostatecancer/index" TargetMode="External"/><Relationship Id="rId150" Type="http://schemas.openxmlformats.org/officeDocument/2006/relationships/image" Target="media/image22.emf"/><Relationship Id="rId171" Type="http://schemas.openxmlformats.org/officeDocument/2006/relationships/package" Target="embeddings/Microsoft_Excel_Worksheet36.xlsx"/><Relationship Id="rId192" Type="http://schemas.openxmlformats.org/officeDocument/2006/relationships/image" Target="media/image43.jpeg"/><Relationship Id="rId206" Type="http://schemas.openxmlformats.org/officeDocument/2006/relationships/hyperlink" Target="http://statecancerprofiles.cancer.gov/" TargetMode="External"/><Relationship Id="rId12" Type="http://schemas.openxmlformats.org/officeDocument/2006/relationships/image" Target="cid:image001.png@01D0C93F.84C4FF90" TargetMode="External"/><Relationship Id="rId33" Type="http://schemas.openxmlformats.org/officeDocument/2006/relationships/chart" Target="charts/chart2.xml"/><Relationship Id="rId108" Type="http://schemas.openxmlformats.org/officeDocument/2006/relationships/hyperlink" Target="http://www.cancer.org/cancer/pancreaticcancer/index" TargetMode="External"/><Relationship Id="rId129" Type="http://schemas.openxmlformats.org/officeDocument/2006/relationships/image" Target="media/image12.emf"/><Relationship Id="rId54" Type="http://schemas.openxmlformats.org/officeDocument/2006/relationships/chart" Target="charts/chart12.xml"/><Relationship Id="rId75" Type="http://schemas.openxmlformats.org/officeDocument/2006/relationships/chart" Target="charts/chart31.xml"/><Relationship Id="rId96" Type="http://schemas.openxmlformats.org/officeDocument/2006/relationships/chart" Target="charts/chart46.xml"/><Relationship Id="rId140" Type="http://schemas.openxmlformats.org/officeDocument/2006/relationships/image" Target="media/image17.emf"/><Relationship Id="rId161" Type="http://schemas.openxmlformats.org/officeDocument/2006/relationships/package" Target="embeddings/Microsoft_Excel_Worksheet31.xlsx"/><Relationship Id="rId182" Type="http://schemas.openxmlformats.org/officeDocument/2006/relationships/image" Target="media/image38.emf"/><Relationship Id="rId217" Type="http://schemas.openxmlformats.org/officeDocument/2006/relationships/hyperlink" Target="http://www.seer.cancer.gov" TargetMode="External"/><Relationship Id="rId6" Type="http://schemas.openxmlformats.org/officeDocument/2006/relationships/settings" Target="settings.xml"/><Relationship Id="rId23" Type="http://schemas.openxmlformats.org/officeDocument/2006/relationships/image" Target="media/image6.emf"/><Relationship Id="rId119" Type="http://schemas.openxmlformats.org/officeDocument/2006/relationships/chart" Target="charts/chart61.xml"/><Relationship Id="rId44" Type="http://schemas.openxmlformats.org/officeDocument/2006/relationships/hyperlink" Target="http://statecancerprofiles.cancer.gov/index.html" TargetMode="External"/><Relationship Id="rId65" Type="http://schemas.openxmlformats.org/officeDocument/2006/relationships/chart" Target="charts/chart21.xml"/><Relationship Id="rId86" Type="http://schemas.openxmlformats.org/officeDocument/2006/relationships/hyperlink" Target="http://www.cancer.org/cancer/prostatecancer/index" TargetMode="External"/><Relationship Id="rId130" Type="http://schemas.openxmlformats.org/officeDocument/2006/relationships/package" Target="embeddings/Microsoft_Excel_Worksheet16.xlsx"/><Relationship Id="rId151" Type="http://schemas.openxmlformats.org/officeDocument/2006/relationships/package" Target="embeddings/Microsoft_Excel_Worksheet26.xlsx"/><Relationship Id="rId172" Type="http://schemas.openxmlformats.org/officeDocument/2006/relationships/image" Target="media/image33.emf"/><Relationship Id="rId193" Type="http://schemas.openxmlformats.org/officeDocument/2006/relationships/image" Target="media/image44.jpg"/><Relationship Id="rId207" Type="http://schemas.openxmlformats.org/officeDocument/2006/relationships/hyperlink" Target="http://apps.nccd.cdc.gov/brfss/page.asp?yr=2012&amp;state=TN&amp;cat" TargetMode="External"/><Relationship Id="rId13" Type="http://schemas.openxmlformats.org/officeDocument/2006/relationships/hyperlink" Target="http://tn.gov/health/section/tcr" TargetMode="External"/><Relationship Id="rId109" Type="http://schemas.openxmlformats.org/officeDocument/2006/relationships/hyperlink" Target="http://www.cancer.org/cancer/pancreaticcancer/index" TargetMode="External"/><Relationship Id="rId34" Type="http://schemas.openxmlformats.org/officeDocument/2006/relationships/chart" Target="charts/chart3.xml"/><Relationship Id="rId55" Type="http://schemas.openxmlformats.org/officeDocument/2006/relationships/chart" Target="charts/chart13.xml"/><Relationship Id="rId76" Type="http://schemas.openxmlformats.org/officeDocument/2006/relationships/chart" Target="charts/chart32.xml"/><Relationship Id="rId97" Type="http://schemas.openxmlformats.org/officeDocument/2006/relationships/chart" Target="charts/chart47.xml"/><Relationship Id="rId120" Type="http://schemas.openxmlformats.org/officeDocument/2006/relationships/chart" Target="charts/chart62.xml"/><Relationship Id="rId141" Type="http://schemas.openxmlformats.org/officeDocument/2006/relationships/package" Target="embeddings/Microsoft_Excel_Worksheet21.xlsx"/><Relationship Id="rId7" Type="http://schemas.openxmlformats.org/officeDocument/2006/relationships/webSettings" Target="webSettings.xml"/><Relationship Id="rId162" Type="http://schemas.openxmlformats.org/officeDocument/2006/relationships/image" Target="media/image28.emf"/><Relationship Id="rId183" Type="http://schemas.openxmlformats.org/officeDocument/2006/relationships/package" Target="embeddings/Microsoft_Excel_Worksheet42.xlsx"/><Relationship Id="rId218" Type="http://schemas.openxmlformats.org/officeDocument/2006/relationships/hyperlink" Target="http://www.cdc.gov/nchs" TargetMode="External"/><Relationship Id="rId24" Type="http://schemas.openxmlformats.org/officeDocument/2006/relationships/package" Target="embeddings/Microsoft_Excel_Worksheet4.xlsx"/><Relationship Id="rId45" Type="http://schemas.openxmlformats.org/officeDocument/2006/relationships/chart" Target="charts/chart8.xml"/><Relationship Id="rId66" Type="http://schemas.openxmlformats.org/officeDocument/2006/relationships/chart" Target="charts/chart22.xml"/><Relationship Id="rId87" Type="http://schemas.openxmlformats.org/officeDocument/2006/relationships/chart" Target="charts/chart39.xml"/><Relationship Id="rId110" Type="http://schemas.openxmlformats.org/officeDocument/2006/relationships/chart" Target="charts/chart54.xml"/><Relationship Id="rId131" Type="http://schemas.openxmlformats.org/officeDocument/2006/relationships/image" Target="media/image13.emf"/><Relationship Id="rId152" Type="http://schemas.openxmlformats.org/officeDocument/2006/relationships/image" Target="media/image23.emf"/><Relationship Id="rId173" Type="http://schemas.openxmlformats.org/officeDocument/2006/relationships/package" Target="embeddings/Microsoft_Excel_Worksheet37.xlsx"/><Relationship Id="rId194" Type="http://schemas.openxmlformats.org/officeDocument/2006/relationships/image" Target="media/image45.jpg"/><Relationship Id="rId208" Type="http://schemas.openxmlformats.org/officeDocument/2006/relationships/hyperlink" Target="http://citeseerx.ist.psu.edu/viewdoc/download?doi=10.1.1.502.2815&amp;rep=rep1&amp;type=pdf" TargetMode="External"/><Relationship Id="rId14" Type="http://schemas.openxmlformats.org/officeDocument/2006/relationships/footer" Target="footer1.xml"/><Relationship Id="rId35" Type="http://schemas.openxmlformats.org/officeDocument/2006/relationships/chart" Target="charts/chart4.xml"/><Relationship Id="rId56" Type="http://schemas.openxmlformats.org/officeDocument/2006/relationships/chart" Target="charts/chart14.xml"/><Relationship Id="rId77" Type="http://schemas.openxmlformats.org/officeDocument/2006/relationships/chart" Target="charts/chart33.xml"/><Relationship Id="rId100" Type="http://schemas.openxmlformats.org/officeDocument/2006/relationships/chart" Target="charts/chart48.xml"/><Relationship Id="rId8" Type="http://schemas.openxmlformats.org/officeDocument/2006/relationships/footnotes" Target="footnotes.xml"/><Relationship Id="rId51" Type="http://schemas.openxmlformats.org/officeDocument/2006/relationships/chart" Target="charts/chart10.xml"/><Relationship Id="rId72" Type="http://schemas.openxmlformats.org/officeDocument/2006/relationships/chart" Target="charts/chart28.xml"/><Relationship Id="rId93" Type="http://schemas.openxmlformats.org/officeDocument/2006/relationships/chart" Target="charts/chart43.xml"/><Relationship Id="rId98" Type="http://schemas.openxmlformats.org/officeDocument/2006/relationships/hyperlink" Target="http://www.cancer.org/cancer/colonandrectumcancer/index" TargetMode="External"/><Relationship Id="rId121" Type="http://schemas.openxmlformats.org/officeDocument/2006/relationships/image" Target="media/image8.emf"/><Relationship Id="rId142" Type="http://schemas.openxmlformats.org/officeDocument/2006/relationships/image" Target="media/image18.emf"/><Relationship Id="rId163" Type="http://schemas.openxmlformats.org/officeDocument/2006/relationships/package" Target="embeddings/Microsoft_Excel_Worksheet32.xlsx"/><Relationship Id="rId184" Type="http://schemas.openxmlformats.org/officeDocument/2006/relationships/image" Target="media/image39.emf"/><Relationship Id="rId189" Type="http://schemas.openxmlformats.org/officeDocument/2006/relationships/package" Target="embeddings/Microsoft_Excel_Worksheet45.xlsx"/><Relationship Id="rId219" Type="http://schemas.openxmlformats.org/officeDocument/2006/relationships/hyperlink" Target="http://tn.gov/health/topic/statistics-brfss" TargetMode="External"/><Relationship Id="rId3" Type="http://schemas.openxmlformats.org/officeDocument/2006/relationships/numbering" Target="numbering.xml"/><Relationship Id="rId214" Type="http://schemas.openxmlformats.org/officeDocument/2006/relationships/hyperlink" Target="http://seer.cancer.gov/index.html" TargetMode="External"/><Relationship Id="rId25" Type="http://schemas.openxmlformats.org/officeDocument/2006/relationships/hyperlink" Target="http://www.cancer.org/cancer/lungcancer/" TargetMode="External"/><Relationship Id="rId46" Type="http://schemas.openxmlformats.org/officeDocument/2006/relationships/hyperlink" Target="http://statecancerprofiles.cancer.gov/index.html" TargetMode="External"/><Relationship Id="rId67" Type="http://schemas.openxmlformats.org/officeDocument/2006/relationships/chart" Target="charts/chart23.xml"/><Relationship Id="rId116" Type="http://schemas.openxmlformats.org/officeDocument/2006/relationships/hyperlink" Target="http://www.cancer.org/cancer/cancerinchildren/index" TargetMode="External"/><Relationship Id="rId137" Type="http://schemas.openxmlformats.org/officeDocument/2006/relationships/package" Target="embeddings/Microsoft_Excel_Worksheet19.xlsx"/><Relationship Id="rId158" Type="http://schemas.openxmlformats.org/officeDocument/2006/relationships/image" Target="media/image26.emf"/><Relationship Id="rId20" Type="http://schemas.openxmlformats.org/officeDocument/2006/relationships/hyperlink" Target="http://www.cancer.org/cancer/cancerbasics/lifetime-probability-of-developing-or-dying-from-cancer" TargetMode="External"/><Relationship Id="rId41" Type="http://schemas.openxmlformats.org/officeDocument/2006/relationships/hyperlink" Target="http://statecancerprofiles.cancer.gov/index.html" TargetMode="External"/><Relationship Id="rId62" Type="http://schemas.openxmlformats.org/officeDocument/2006/relationships/chart" Target="charts/chart20.xml"/><Relationship Id="rId83" Type="http://schemas.openxmlformats.org/officeDocument/2006/relationships/chart" Target="charts/chart37.xml"/><Relationship Id="rId88" Type="http://schemas.openxmlformats.org/officeDocument/2006/relationships/chart" Target="charts/chart40.xml"/><Relationship Id="rId111" Type="http://schemas.openxmlformats.org/officeDocument/2006/relationships/chart" Target="charts/chart55.xml"/><Relationship Id="rId132" Type="http://schemas.openxmlformats.org/officeDocument/2006/relationships/package" Target="embeddings/Microsoft_Excel_Worksheet17.xlsx"/><Relationship Id="rId153" Type="http://schemas.openxmlformats.org/officeDocument/2006/relationships/package" Target="embeddings/Microsoft_Excel_Worksheet27.xlsx"/><Relationship Id="rId174" Type="http://schemas.openxmlformats.org/officeDocument/2006/relationships/image" Target="media/image34.emf"/><Relationship Id="rId179" Type="http://schemas.openxmlformats.org/officeDocument/2006/relationships/package" Target="embeddings/Microsoft_Excel_Worksheet40.xlsx"/><Relationship Id="rId195" Type="http://schemas.openxmlformats.org/officeDocument/2006/relationships/image" Target="media/image46.jpg"/><Relationship Id="rId209" Type="http://schemas.openxmlformats.org/officeDocument/2006/relationships/hyperlink" Target="http://www.pophealthmetrics.com/content/2/1/6" TargetMode="External"/><Relationship Id="rId190" Type="http://schemas.openxmlformats.org/officeDocument/2006/relationships/image" Target="media/image42.emf"/><Relationship Id="rId204" Type="http://schemas.openxmlformats.org/officeDocument/2006/relationships/hyperlink" Target="http://www.cancer.org/cancer/cancerbasics/lifetime-probability-of-developing-or-dying-from-cancer" TargetMode="External"/><Relationship Id="rId220" Type="http://schemas.openxmlformats.org/officeDocument/2006/relationships/hyperlink" Target="http://factfinder2.census.gov" TargetMode="External"/><Relationship Id="rId15" Type="http://schemas.openxmlformats.org/officeDocument/2006/relationships/image" Target="media/image3.emf"/><Relationship Id="rId36" Type="http://schemas.openxmlformats.org/officeDocument/2006/relationships/chart" Target="charts/chart5.xml"/><Relationship Id="rId57" Type="http://schemas.openxmlformats.org/officeDocument/2006/relationships/chart" Target="charts/chart15.xml"/><Relationship Id="rId106" Type="http://schemas.openxmlformats.org/officeDocument/2006/relationships/chart" Target="charts/chart52.xml"/><Relationship Id="rId127" Type="http://schemas.openxmlformats.org/officeDocument/2006/relationships/image" Target="media/image11.emf"/><Relationship Id="rId10" Type="http://schemas.openxmlformats.org/officeDocument/2006/relationships/image" Target="media/image1.png"/><Relationship Id="rId31" Type="http://schemas.openxmlformats.org/officeDocument/2006/relationships/hyperlink" Target="http://www.cancer.org/cancer/cancerinchildren/index" TargetMode="External"/><Relationship Id="rId52" Type="http://schemas.openxmlformats.org/officeDocument/2006/relationships/footer" Target="footer2.xml"/><Relationship Id="rId73" Type="http://schemas.openxmlformats.org/officeDocument/2006/relationships/chart" Target="charts/chart29.xml"/><Relationship Id="rId78" Type="http://schemas.openxmlformats.org/officeDocument/2006/relationships/chart" Target="charts/chart34.xml"/><Relationship Id="rId94" Type="http://schemas.openxmlformats.org/officeDocument/2006/relationships/chart" Target="charts/chart44.xml"/><Relationship Id="rId99" Type="http://schemas.openxmlformats.org/officeDocument/2006/relationships/hyperlink" Target="http://www.cancer.org/cancer/colonandrectumcancer/index" TargetMode="External"/><Relationship Id="rId101" Type="http://schemas.openxmlformats.org/officeDocument/2006/relationships/chart" Target="charts/chart49.xml"/><Relationship Id="rId122" Type="http://schemas.openxmlformats.org/officeDocument/2006/relationships/package" Target="embeddings/Microsoft_Excel_Worksheet12.xlsx"/><Relationship Id="rId143" Type="http://schemas.openxmlformats.org/officeDocument/2006/relationships/package" Target="embeddings/Microsoft_Excel_Worksheet22.xlsx"/><Relationship Id="rId148" Type="http://schemas.openxmlformats.org/officeDocument/2006/relationships/image" Target="media/image21.emf"/><Relationship Id="rId164" Type="http://schemas.openxmlformats.org/officeDocument/2006/relationships/image" Target="media/image29.emf"/><Relationship Id="rId169" Type="http://schemas.openxmlformats.org/officeDocument/2006/relationships/package" Target="embeddings/Microsoft_Excel_Worksheet35.xlsx"/><Relationship Id="rId185" Type="http://schemas.openxmlformats.org/officeDocument/2006/relationships/package" Target="embeddings/Microsoft_Excel_Worksheet43.xlsx"/><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37.emf"/><Relationship Id="rId210" Type="http://schemas.openxmlformats.org/officeDocument/2006/relationships/hyperlink" Target="http://seer.cancer.gov/csr/1975_2011/results_merged/topic_lifetime_risk_diagnosis.pdf" TargetMode="External"/><Relationship Id="rId215" Type="http://schemas.openxmlformats.org/officeDocument/2006/relationships/hyperlink" Target="http://quantpsy.org/" TargetMode="External"/><Relationship Id="rId26" Type="http://schemas.openxmlformats.org/officeDocument/2006/relationships/hyperlink" Target="http://www.cancer.org/cancer/prostatecancer/" TargetMode="External"/><Relationship Id="rId47" Type="http://schemas.openxmlformats.org/officeDocument/2006/relationships/hyperlink" Target="http://statecancerprofiles.cancer.gov/index.html" TargetMode="External"/><Relationship Id="rId68" Type="http://schemas.openxmlformats.org/officeDocument/2006/relationships/chart" Target="charts/chart24.xml"/><Relationship Id="rId89" Type="http://schemas.openxmlformats.org/officeDocument/2006/relationships/chart" Target="charts/chart41.xml"/><Relationship Id="rId112" Type="http://schemas.openxmlformats.org/officeDocument/2006/relationships/chart" Target="charts/chart56.xml"/><Relationship Id="rId133" Type="http://schemas.openxmlformats.org/officeDocument/2006/relationships/footer" Target="footer3.xml"/><Relationship Id="rId154" Type="http://schemas.openxmlformats.org/officeDocument/2006/relationships/image" Target="media/image24.emf"/><Relationship Id="rId175" Type="http://schemas.openxmlformats.org/officeDocument/2006/relationships/package" Target="embeddings/Microsoft_Excel_Worksheet38.xlsx"/><Relationship Id="rId196" Type="http://schemas.openxmlformats.org/officeDocument/2006/relationships/image" Target="media/image47.jpg"/><Relationship Id="rId200" Type="http://schemas.openxmlformats.org/officeDocument/2006/relationships/hyperlink" Target="http://seer.cancer.gov/seerstat" TargetMode="External"/><Relationship Id="rId16" Type="http://schemas.openxmlformats.org/officeDocument/2006/relationships/package" Target="embeddings/Microsoft_Excel_Worksheet1.xlsx"/><Relationship Id="rId221" Type="http://schemas.openxmlformats.org/officeDocument/2006/relationships/hyperlink" Target="http://www.nhlbi.nih.gov/files/docs/factbook/FactBook2012.pdf" TargetMode="External"/><Relationship Id="rId37" Type="http://schemas.openxmlformats.org/officeDocument/2006/relationships/hyperlink" Target="http://statecancerprofiles.cancer.gov/index.html" TargetMode="External"/><Relationship Id="rId58" Type="http://schemas.openxmlformats.org/officeDocument/2006/relationships/chart" Target="charts/chart16.xml"/><Relationship Id="rId79" Type="http://schemas.openxmlformats.org/officeDocument/2006/relationships/hyperlink" Target="http://www.cancer.org/cancer/lungcancer/index" TargetMode="External"/><Relationship Id="rId102" Type="http://schemas.openxmlformats.org/officeDocument/2006/relationships/hyperlink" Target="http://www.cancer.org/cancer/skincancer/index" TargetMode="External"/><Relationship Id="rId123" Type="http://schemas.openxmlformats.org/officeDocument/2006/relationships/image" Target="media/image9.emf"/><Relationship Id="rId144" Type="http://schemas.openxmlformats.org/officeDocument/2006/relationships/image" Target="media/image19.emf"/><Relationship Id="rId90" Type="http://schemas.openxmlformats.org/officeDocument/2006/relationships/chart" Target="charts/chart42.xml"/><Relationship Id="rId165" Type="http://schemas.openxmlformats.org/officeDocument/2006/relationships/package" Target="embeddings/Microsoft_Excel_Worksheet33.xlsx"/><Relationship Id="rId186" Type="http://schemas.openxmlformats.org/officeDocument/2006/relationships/image" Target="media/image40.emf"/><Relationship Id="rId211" Type="http://schemas.openxmlformats.org/officeDocument/2006/relationships/hyperlink" Target="http://seer.cancer.gov/csr/1975_2011/results_merged/topic_lifetime_risk_death.pdf" TargetMode="External"/><Relationship Id="rId27" Type="http://schemas.openxmlformats.org/officeDocument/2006/relationships/hyperlink" Target="http://www.cancer.org/cancer/breastcancer/" TargetMode="External"/><Relationship Id="rId48" Type="http://schemas.openxmlformats.org/officeDocument/2006/relationships/chart" Target="charts/chart9.xml"/><Relationship Id="rId69" Type="http://schemas.openxmlformats.org/officeDocument/2006/relationships/chart" Target="charts/chart25.xml"/><Relationship Id="rId113" Type="http://schemas.openxmlformats.org/officeDocument/2006/relationships/chart" Target="charts/chart57.xml"/><Relationship Id="rId134" Type="http://schemas.openxmlformats.org/officeDocument/2006/relationships/image" Target="media/image14.emf"/><Relationship Id="rId80" Type="http://schemas.openxmlformats.org/officeDocument/2006/relationships/hyperlink" Target="http://www.cancer.org/cancer/lungcancer/index" TargetMode="External"/><Relationship Id="rId155" Type="http://schemas.openxmlformats.org/officeDocument/2006/relationships/package" Target="embeddings/Microsoft_Excel_Worksheet28.xlsx"/><Relationship Id="rId176" Type="http://schemas.openxmlformats.org/officeDocument/2006/relationships/image" Target="media/image35.emf"/><Relationship Id="rId197" Type="http://schemas.openxmlformats.org/officeDocument/2006/relationships/image" Target="media/image48.jpg"/><Relationship Id="rId201" Type="http://schemas.openxmlformats.org/officeDocument/2006/relationships/hyperlink" Target="http://surveillance.cancer.gov./devcan" TargetMode="External"/><Relationship Id="rId222" Type="http://schemas.openxmlformats.org/officeDocument/2006/relationships/fontTable" Target="fontTable.xml"/><Relationship Id="rId17" Type="http://schemas.openxmlformats.org/officeDocument/2006/relationships/hyperlink" Target="http://www.cancer.org/cancer/cancerbasics/lifetime-probability-of-developing-or-dying-from-cancer" TargetMode="External"/><Relationship Id="rId38" Type="http://schemas.openxmlformats.org/officeDocument/2006/relationships/hyperlink" Target="http://statecancerprofiles.cancer.gov/index.html" TargetMode="External"/><Relationship Id="rId59" Type="http://schemas.openxmlformats.org/officeDocument/2006/relationships/chart" Target="charts/chart17.xml"/><Relationship Id="rId103" Type="http://schemas.openxmlformats.org/officeDocument/2006/relationships/hyperlink" Target="http://www.cancer.org/cancer/skincancer/index" TargetMode="External"/><Relationship Id="rId124" Type="http://schemas.openxmlformats.org/officeDocument/2006/relationships/package" Target="embeddings/Microsoft_Excel_Worksheet13.xlsx"/><Relationship Id="rId70" Type="http://schemas.openxmlformats.org/officeDocument/2006/relationships/chart" Target="charts/chart26.xml"/><Relationship Id="rId91" Type="http://schemas.openxmlformats.org/officeDocument/2006/relationships/hyperlink" Target="http://www.cancer.org/cancer/breastcancer/index" TargetMode="External"/><Relationship Id="rId145" Type="http://schemas.openxmlformats.org/officeDocument/2006/relationships/package" Target="embeddings/Microsoft_Excel_Worksheet23.xlsx"/><Relationship Id="rId166" Type="http://schemas.openxmlformats.org/officeDocument/2006/relationships/image" Target="media/image30.emf"/><Relationship Id="rId187" Type="http://schemas.openxmlformats.org/officeDocument/2006/relationships/package" Target="embeddings/Microsoft_Excel_Worksheet44.xlsx"/><Relationship Id="rId1" Type="http://schemas.openxmlformats.org/officeDocument/2006/relationships/customXml" Target="../customXml/item1.xml"/><Relationship Id="rId212" Type="http://schemas.openxmlformats.org/officeDocument/2006/relationships/hyperlink" Target="http://costprojections.cancer.gov" TargetMode="External"/><Relationship Id="rId28" Type="http://schemas.openxmlformats.org/officeDocument/2006/relationships/hyperlink" Target="http://www.cancer.org/cancer/colonandrectumcancer/" TargetMode="External"/><Relationship Id="rId49" Type="http://schemas.openxmlformats.org/officeDocument/2006/relationships/hyperlink" Target="http://statecancerprofiles.cancer.gov/index.html" TargetMode="External"/><Relationship Id="rId114" Type="http://schemas.openxmlformats.org/officeDocument/2006/relationships/chart" Target="charts/chart58.xml"/><Relationship Id="rId60" Type="http://schemas.openxmlformats.org/officeDocument/2006/relationships/chart" Target="charts/chart18.xml"/><Relationship Id="rId81" Type="http://schemas.openxmlformats.org/officeDocument/2006/relationships/chart" Target="charts/chart35.xml"/><Relationship Id="rId135" Type="http://schemas.openxmlformats.org/officeDocument/2006/relationships/package" Target="embeddings/Microsoft_Excel_Worksheet18.xlsx"/><Relationship Id="rId156" Type="http://schemas.openxmlformats.org/officeDocument/2006/relationships/image" Target="media/image25.emf"/><Relationship Id="rId177" Type="http://schemas.openxmlformats.org/officeDocument/2006/relationships/package" Target="embeddings/Microsoft_Excel_Worksheet39.xlsx"/><Relationship Id="rId198" Type="http://schemas.openxmlformats.org/officeDocument/2006/relationships/image" Target="media/image49.jpg"/><Relationship Id="rId202" Type="http://schemas.openxmlformats.org/officeDocument/2006/relationships/hyperlink" Target="http://statecancerprofiles.cancer.gov" TargetMode="External"/><Relationship Id="rId223" Type="http://schemas.openxmlformats.org/officeDocument/2006/relationships/theme" Target="theme/theme1.xml"/><Relationship Id="rId18" Type="http://schemas.openxmlformats.org/officeDocument/2006/relationships/image" Target="media/image4.emf"/><Relationship Id="rId39" Type="http://schemas.openxmlformats.org/officeDocument/2006/relationships/chart" Target="charts/chart6.xml"/><Relationship Id="rId50" Type="http://schemas.openxmlformats.org/officeDocument/2006/relationships/hyperlink" Target="http://statecancerprofiles.cancer.gov/index.html" TargetMode="External"/><Relationship Id="rId104" Type="http://schemas.openxmlformats.org/officeDocument/2006/relationships/chart" Target="charts/chart50.xml"/><Relationship Id="rId125" Type="http://schemas.openxmlformats.org/officeDocument/2006/relationships/image" Target="media/image10.emf"/><Relationship Id="rId146" Type="http://schemas.openxmlformats.org/officeDocument/2006/relationships/image" Target="media/image20.emf"/><Relationship Id="rId167" Type="http://schemas.openxmlformats.org/officeDocument/2006/relationships/package" Target="embeddings/Microsoft_Excel_Worksheet34.xlsx"/><Relationship Id="rId188" Type="http://schemas.openxmlformats.org/officeDocument/2006/relationships/image" Target="media/image41.emf"/><Relationship Id="rId71" Type="http://schemas.openxmlformats.org/officeDocument/2006/relationships/chart" Target="charts/chart27.xml"/><Relationship Id="rId92" Type="http://schemas.openxmlformats.org/officeDocument/2006/relationships/hyperlink" Target="http://www.cancer.org/cancer/breastcancer/index" TargetMode="External"/><Relationship Id="rId213" Type="http://schemas.openxmlformats.org/officeDocument/2006/relationships/hyperlink" Target="http://statecancerprofiles.cancer.gov/index.html" TargetMode="External"/><Relationship Id="rId2" Type="http://schemas.openxmlformats.org/officeDocument/2006/relationships/customXml" Target="../customXml/item2.xml"/><Relationship Id="rId29" Type="http://schemas.openxmlformats.org/officeDocument/2006/relationships/hyperlink" Target="http://www.cancer.org/cancer/skincancer-melanoma/" TargetMode="External"/><Relationship Id="rId40" Type="http://schemas.openxmlformats.org/officeDocument/2006/relationships/hyperlink" Target="http://statecancerprofiles.cancer.gov/index.html" TargetMode="External"/><Relationship Id="rId115" Type="http://schemas.openxmlformats.org/officeDocument/2006/relationships/hyperlink" Target="http://www.cancer.org/cancer/cancerinchildren/index" TargetMode="External"/><Relationship Id="rId136" Type="http://schemas.openxmlformats.org/officeDocument/2006/relationships/image" Target="media/image15.emf"/><Relationship Id="rId157" Type="http://schemas.openxmlformats.org/officeDocument/2006/relationships/package" Target="embeddings/Microsoft_Excel_Worksheet29.xlsx"/><Relationship Id="rId178" Type="http://schemas.openxmlformats.org/officeDocument/2006/relationships/image" Target="media/image36.emf"/><Relationship Id="rId61" Type="http://schemas.openxmlformats.org/officeDocument/2006/relationships/chart" Target="charts/chart19.xml"/><Relationship Id="rId82" Type="http://schemas.openxmlformats.org/officeDocument/2006/relationships/chart" Target="charts/chart36.xml"/><Relationship Id="rId199" Type="http://schemas.openxmlformats.org/officeDocument/2006/relationships/image" Target="media/image50.jpg"/><Relationship Id="rId203" Type="http://schemas.openxmlformats.org/officeDocument/2006/relationships/hyperlink" Target="http://seer.cancer.gov/tools/codingmanuals/" TargetMode="External"/><Relationship Id="rId19" Type="http://schemas.openxmlformats.org/officeDocument/2006/relationships/package" Target="embeddings/Microsoft_Excel_Worksheet2.xlsx"/><Relationship Id="rId30" Type="http://schemas.openxmlformats.org/officeDocument/2006/relationships/hyperlink" Target="http://www.cancer.org/cancer/pancreaticcancer/" TargetMode="External"/><Relationship Id="rId105" Type="http://schemas.openxmlformats.org/officeDocument/2006/relationships/chart" Target="charts/chart51.xml"/><Relationship Id="rId126" Type="http://schemas.openxmlformats.org/officeDocument/2006/relationships/package" Target="embeddings/Microsoft_Excel_Worksheet14.xlsx"/><Relationship Id="rId147" Type="http://schemas.openxmlformats.org/officeDocument/2006/relationships/package" Target="embeddings/Microsoft_Excel_Worksheet24.xlsx"/><Relationship Id="rId168" Type="http://schemas.openxmlformats.org/officeDocument/2006/relationships/image" Target="media/image3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O:\CANCER%20REPORT\2008-2012%20Report\2012%20Annual%20Repor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O:\CANCER%20REPORT\2008-2012%20Report\2012%20Annual%20Report.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O:\CANCER%20REPORT\2008-2012%20Report\2012%20Annual%20Report.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O:\CANCER%20REPORT\2008-2012%20Report\2012%20Annual%20Report.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O:\CANCER%20REPORT\2008-2012%20Report\2012%20Annual%20Report.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6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C20570\Documents\2012%20Annual%20Report.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Black Males</a:t>
            </a:r>
          </a:p>
        </c:rich>
      </c:tx>
      <c:layout>
        <c:manualLayout>
          <c:xMode val="edge"/>
          <c:yMode val="edge"/>
          <c:x val="0.30807340782006992"/>
          <c:y val="2.3949170987772869E-2"/>
        </c:manualLayout>
      </c:layout>
      <c:overlay val="0"/>
    </c:title>
    <c:autoTitleDeleted val="0"/>
    <c:plotArea>
      <c:layout>
        <c:manualLayout>
          <c:layoutTarget val="inner"/>
          <c:xMode val="edge"/>
          <c:yMode val="edge"/>
          <c:x val="0.1948365545215939"/>
          <c:y val="0.22524870366813904"/>
          <c:w val="0.62769769738501946"/>
          <c:h val="0.77475154588727257"/>
        </c:manualLayout>
      </c:layout>
      <c:pieChart>
        <c:varyColors val="1"/>
        <c:ser>
          <c:idx val="1"/>
          <c:order val="0"/>
          <c:tx>
            <c:strRef>
              <c:f>'Page 1'!$C$12</c:f>
              <c:strCache>
                <c:ptCount val="1"/>
                <c:pt idx="0">
                  <c:v>Percentage</c:v>
                </c:pt>
              </c:strCache>
            </c:strRef>
          </c:tx>
          <c:spPr>
            <a:ln>
              <a:solidFill>
                <a:sysClr val="windowText" lastClr="000000"/>
              </a:solidFill>
            </a:ln>
          </c:spPr>
          <c:dPt>
            <c:idx val="0"/>
            <c:bubble3D val="0"/>
            <c:spPr>
              <a:solidFill>
                <a:srgbClr val="F07F09">
                  <a:lumMod val="60000"/>
                  <a:lumOff val="40000"/>
                </a:srgbClr>
              </a:solidFill>
              <a:ln>
                <a:solidFill>
                  <a:sysClr val="windowText" lastClr="000000"/>
                </a:solidFill>
              </a:ln>
            </c:spPr>
          </c:dPt>
          <c:dPt>
            <c:idx val="1"/>
            <c:bubble3D val="0"/>
            <c:spPr>
              <a:solidFill>
                <a:srgbClr val="9F2936">
                  <a:lumMod val="60000"/>
                  <a:lumOff val="40000"/>
                </a:srgbClr>
              </a:solidFill>
              <a:ln>
                <a:solidFill>
                  <a:sysClr val="windowText" lastClr="000000"/>
                </a:solidFill>
              </a:ln>
            </c:spPr>
          </c:dPt>
          <c:dPt>
            <c:idx val="2"/>
            <c:bubble3D val="0"/>
            <c:spPr>
              <a:solidFill>
                <a:srgbClr val="4E8542">
                  <a:lumMod val="60000"/>
                  <a:lumOff val="40000"/>
                </a:srgbClr>
              </a:solidFill>
              <a:ln>
                <a:solidFill>
                  <a:sysClr val="windowText" lastClr="000000"/>
                </a:solidFill>
              </a:ln>
            </c:spPr>
          </c:dPt>
          <c:dPt>
            <c:idx val="3"/>
            <c:bubble3D val="0"/>
            <c:spPr>
              <a:solidFill>
                <a:srgbClr val="C19859">
                  <a:lumMod val="60000"/>
                  <a:lumOff val="40000"/>
                </a:srgbClr>
              </a:solidFill>
              <a:ln>
                <a:solidFill>
                  <a:sysClr val="windowText" lastClr="000000"/>
                </a:solidFill>
              </a:ln>
            </c:spPr>
          </c:dPt>
          <c:dPt>
            <c:idx val="4"/>
            <c:bubble3D val="0"/>
            <c:spPr>
              <a:solidFill>
                <a:srgbClr val="604878">
                  <a:lumMod val="60000"/>
                  <a:lumOff val="40000"/>
                </a:srgbClr>
              </a:solidFill>
              <a:ln>
                <a:solidFill>
                  <a:sysClr val="windowText" lastClr="000000"/>
                </a:solidFill>
              </a:ln>
            </c:spPr>
          </c:dPt>
          <c:dPt>
            <c:idx val="5"/>
            <c:bubble3D val="0"/>
            <c:spPr>
              <a:solidFill>
                <a:sysClr val="window" lastClr="FFFFFF">
                  <a:lumMod val="75000"/>
                </a:sysClr>
              </a:solidFill>
              <a:ln>
                <a:solidFill>
                  <a:sysClr val="windowText" lastClr="000000"/>
                </a:solidFill>
              </a:ln>
            </c:spPr>
          </c:dPt>
          <c:dLbls>
            <c:dLbl>
              <c:idx val="2"/>
              <c:delete val="1"/>
            </c:dLbl>
            <c:dLbl>
              <c:idx val="3"/>
              <c:layout>
                <c:manualLayout>
                  <c:x val="-5.6780886578900944E-2"/>
                  <c:y val="-8.548364381281616E-2"/>
                </c:manualLayout>
              </c:layout>
              <c:spPr>
                <a:ln>
                  <a:noFill/>
                </a:ln>
              </c:spPr>
              <c:txPr>
                <a:bodyPr anchor="ctr" anchorCtr="1"/>
                <a:lstStyle/>
                <a:p>
                  <a:pPr>
                    <a:defRPr sz="700"/>
                  </a:pPr>
                  <a:endParaRPr lang="en-US"/>
                </a:p>
              </c:txPr>
              <c:dLblPos val="bestFit"/>
              <c:showLegendKey val="0"/>
              <c:showVal val="1"/>
              <c:showCatName val="1"/>
              <c:showSerName val="0"/>
              <c:showPercent val="0"/>
              <c:showBubbleSize val="0"/>
            </c:dLbl>
            <c:dLbl>
              <c:idx val="4"/>
              <c:layout>
                <c:manualLayout>
                  <c:x val="-1.8667745583185499E-2"/>
                  <c:y val="-0.2473516420203572"/>
                </c:manualLayout>
              </c:layout>
              <c:spPr>
                <a:ln w="15875"/>
              </c:spPr>
              <c:txPr>
                <a:bodyPr anchor="ctr" anchorCtr="1"/>
                <a:lstStyle/>
                <a:p>
                  <a:pPr>
                    <a:defRPr sz="700"/>
                  </a:pPr>
                  <a:endParaRPr lang="en-US"/>
                </a:p>
              </c:txPr>
              <c:dLblPos val="bestFit"/>
              <c:showLegendKey val="0"/>
              <c:showVal val="1"/>
              <c:showCatName val="1"/>
              <c:showSerName val="0"/>
              <c:showPercent val="0"/>
              <c:showBubbleSize val="0"/>
            </c:dLbl>
            <c:txPr>
              <a:bodyPr anchor="ctr" anchorCtr="1"/>
              <a:lstStyle/>
              <a:p>
                <a:pPr>
                  <a:defRPr sz="700"/>
                </a:pPr>
                <a:endParaRPr lang="en-US"/>
              </a:p>
            </c:txPr>
            <c:dLblPos val="inEnd"/>
            <c:showLegendKey val="0"/>
            <c:showVal val="1"/>
            <c:showCatName val="1"/>
            <c:showSerName val="0"/>
            <c:showPercent val="0"/>
            <c:showBubbleSize val="0"/>
            <c:showLeaderLines val="1"/>
          </c:dLbls>
          <c:cat>
            <c:strRef>
              <c:f>'Page 1'!$A$13:$A$18</c:f>
              <c:strCache>
                <c:ptCount val="6"/>
                <c:pt idx="0">
                  <c:v>Cancer</c:v>
                </c:pt>
                <c:pt idx="1">
                  <c:v>Heart Disease</c:v>
                </c:pt>
                <c:pt idx="2">
                  <c:v>Unintentional Injuries</c:v>
                </c:pt>
                <c:pt idx="3">
                  <c:v>Homicide</c:v>
                </c:pt>
                <c:pt idx="4">
                  <c:v>Stroke</c:v>
                </c:pt>
                <c:pt idx="5">
                  <c:v>All Other Causes</c:v>
                </c:pt>
              </c:strCache>
            </c:strRef>
          </c:cat>
          <c:val>
            <c:numRef>
              <c:f>'Page 1'!$C$13:$C$18</c:f>
              <c:numCache>
                <c:formatCode>0.0%</c:formatCode>
                <c:ptCount val="6"/>
                <c:pt idx="0">
                  <c:v>0.25503518563455474</c:v>
                </c:pt>
                <c:pt idx="1">
                  <c:v>0.23125454986653723</c:v>
                </c:pt>
                <c:pt idx="2">
                  <c:v>5.338510070371269E-2</c:v>
                </c:pt>
                <c:pt idx="3">
                  <c:v>5.1443824314486776E-2</c:v>
                </c:pt>
                <c:pt idx="4">
                  <c:v>4.9987867022567335E-2</c:v>
                </c:pt>
                <c:pt idx="5">
                  <c:v>0.35889347245814124</c:v>
                </c:pt>
              </c:numCache>
            </c:numRef>
          </c:val>
        </c:ser>
        <c:dLbls>
          <c:showLegendKey val="0"/>
          <c:showVal val="0"/>
          <c:showCatName val="0"/>
          <c:showSerName val="0"/>
          <c:showPercent val="0"/>
          <c:showBubbleSize val="0"/>
          <c:showLeaderLines val="1"/>
        </c:dLbls>
        <c:firstSliceAng val="60"/>
      </c:pieChart>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Mortality</a:t>
            </a:r>
            <a:r>
              <a:rPr lang="en-US" sz="1300" baseline="0"/>
              <a:t> Rates, by Site,</a:t>
            </a:r>
          </a:p>
          <a:p>
            <a:pPr>
              <a:defRPr/>
            </a:pPr>
            <a:r>
              <a:rPr lang="en-US" sz="1300" baseline="0"/>
              <a:t>Tennessee and United States, 2008-2012</a:t>
            </a:r>
            <a:endParaRPr lang="en-US" sz="1300"/>
          </a:p>
        </c:rich>
      </c:tx>
      <c:overlay val="0"/>
    </c:title>
    <c:autoTitleDeleted val="0"/>
    <c:plotArea>
      <c:layout>
        <c:manualLayout>
          <c:layoutTarget val="inner"/>
          <c:xMode val="edge"/>
          <c:yMode val="edge"/>
          <c:x val="0.11087729658792651"/>
          <c:y val="0.17919093814480128"/>
          <c:w val="0.87932895888013995"/>
          <c:h val="0.55327369766748202"/>
        </c:manualLayout>
      </c:layout>
      <c:barChart>
        <c:barDir val="col"/>
        <c:grouping val="clustered"/>
        <c:varyColors val="0"/>
        <c:ser>
          <c:idx val="0"/>
          <c:order val="0"/>
          <c:tx>
            <c:strRef>
              <c:f>'Page 4 (TN Ranking M)'!$B$30</c:f>
              <c:strCache>
                <c:ptCount val="1"/>
                <c:pt idx="0">
                  <c:v>Tennessee</c:v>
                </c:pt>
              </c:strCache>
            </c:strRef>
          </c:tx>
          <c:spPr>
            <a:ln>
              <a:solidFill>
                <a:sysClr val="windowText" lastClr="000000"/>
              </a:solidFill>
            </a:ln>
          </c:spPr>
          <c:invertIfNegative val="0"/>
          <c:dLbls>
            <c:dLbl>
              <c:idx val="1"/>
              <c:tx>
                <c:rich>
                  <a:bodyPr/>
                  <a:lstStyle/>
                  <a:p>
                    <a:r>
                      <a:rPr lang="en-US"/>
                      <a:t>22.3</a:t>
                    </a:r>
                  </a:p>
                </c:rich>
              </c:tx>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4 (TN Ranking M)'!$H$31:$H$36</c:f>
                <c:numCache>
                  <c:formatCode>General</c:formatCode>
                  <c:ptCount val="6"/>
                  <c:pt idx="0">
                    <c:v>1.7999999999999972</c:v>
                  </c:pt>
                  <c:pt idx="1">
                    <c:v>1.5999999999999979</c:v>
                  </c:pt>
                  <c:pt idx="2">
                    <c:v>1.7999999999999972</c:v>
                  </c:pt>
                  <c:pt idx="3">
                    <c:v>1</c:v>
                  </c:pt>
                  <c:pt idx="4">
                    <c:v>0.80000000000000071</c:v>
                  </c:pt>
                  <c:pt idx="5">
                    <c:v>0.39999999999999991</c:v>
                  </c:pt>
                </c:numCache>
              </c:numRef>
            </c:plus>
            <c:minus>
              <c:numRef>
                <c:f>'Page 4 (TN Ranking M)'!$G$31:$G$36</c:f>
                <c:numCache>
                  <c:formatCode>General</c:formatCode>
                  <c:ptCount val="6"/>
                  <c:pt idx="0">
                    <c:v>1.7000000000000028</c:v>
                  </c:pt>
                  <c:pt idx="1">
                    <c:v>1.5</c:v>
                  </c:pt>
                  <c:pt idx="2">
                    <c:v>1.7000000000000028</c:v>
                  </c:pt>
                  <c:pt idx="3">
                    <c:v>0.90000000000000213</c:v>
                  </c:pt>
                  <c:pt idx="4">
                    <c:v>0.79999999999999893</c:v>
                  </c:pt>
                  <c:pt idx="5">
                    <c:v>0.39999999999999991</c:v>
                  </c:pt>
                </c:numCache>
              </c:numRef>
            </c:minus>
          </c:errBars>
          <c:cat>
            <c:strRef>
              <c:f>'Page 4 (TN Ranking M)'!$A$31:$A$36</c:f>
              <c:strCache>
                <c:ptCount val="6"/>
                <c:pt idx="0">
                  <c:v>Lung </c:v>
                </c:pt>
                <c:pt idx="1">
                  <c:v>Female Breast</c:v>
                </c:pt>
                <c:pt idx="2">
                  <c:v>Prostate</c:v>
                </c:pt>
                <c:pt idx="3">
                  <c:v>Colon and Rectum</c:v>
                </c:pt>
                <c:pt idx="4">
                  <c:v>Pancreas</c:v>
                </c:pt>
                <c:pt idx="5">
                  <c:v>Melanoma of Skin</c:v>
                </c:pt>
              </c:strCache>
            </c:strRef>
          </c:cat>
          <c:val>
            <c:numRef>
              <c:f>'Page 4 (TN Ranking M)'!$B$31:$B$36</c:f>
              <c:numCache>
                <c:formatCode>General</c:formatCode>
                <c:ptCount val="6"/>
                <c:pt idx="0">
                  <c:v>58.6</c:v>
                </c:pt>
                <c:pt idx="1">
                  <c:v>22.8</c:v>
                </c:pt>
                <c:pt idx="2">
                  <c:v>20.100000000000001</c:v>
                </c:pt>
                <c:pt idx="3">
                  <c:v>16.600000000000001</c:v>
                </c:pt>
                <c:pt idx="4">
                  <c:v>10.7</c:v>
                </c:pt>
                <c:pt idx="5">
                  <c:v>3</c:v>
                </c:pt>
              </c:numCache>
            </c:numRef>
          </c:val>
        </c:ser>
        <c:ser>
          <c:idx val="1"/>
          <c:order val="1"/>
          <c:tx>
            <c:strRef>
              <c:f>'Page 4 (TN Ranking M)'!$C$30</c:f>
              <c:strCache>
                <c:ptCount val="1"/>
                <c:pt idx="0">
                  <c:v>United States</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4 (TN Ranking M)'!$F$31:$F$36</c:f>
                <c:numCache>
                  <c:formatCode>General</c:formatCode>
                  <c:ptCount val="6"/>
                  <c:pt idx="0">
                    <c:v>0.20000000000000284</c:v>
                  </c:pt>
                  <c:pt idx="1">
                    <c:v>0.19999999999999929</c:v>
                  </c:pt>
                  <c:pt idx="2">
                    <c:v>0.19999999999999929</c:v>
                  </c:pt>
                  <c:pt idx="3">
                    <c:v>0.10000000000000142</c:v>
                  </c:pt>
                  <c:pt idx="4">
                    <c:v>9.9999999999999645E-2</c:v>
                  </c:pt>
                  <c:pt idx="5">
                    <c:v>0</c:v>
                  </c:pt>
                </c:numCache>
              </c:numRef>
            </c:plus>
            <c:minus>
              <c:numRef>
                <c:f>'Page 4 (TN Ranking M)'!$E$31:$E$36</c:f>
                <c:numCache>
                  <c:formatCode>General</c:formatCode>
                  <c:ptCount val="6"/>
                  <c:pt idx="0">
                    <c:v>0.29999999999999716</c:v>
                  </c:pt>
                  <c:pt idx="1">
                    <c:v>0.19999999999999929</c:v>
                  </c:pt>
                  <c:pt idx="2">
                    <c:v>0.30000000000000071</c:v>
                  </c:pt>
                  <c:pt idx="3">
                    <c:v>9.9999999999999645E-2</c:v>
                  </c:pt>
                  <c:pt idx="4">
                    <c:v>9.9999999999999645E-2</c:v>
                  </c:pt>
                  <c:pt idx="5">
                    <c:v>0.10000000000000009</c:v>
                  </c:pt>
                </c:numCache>
              </c:numRef>
            </c:minus>
          </c:errBars>
          <c:cat>
            <c:strRef>
              <c:f>'Page 4 (TN Ranking M)'!$A$31:$A$36</c:f>
              <c:strCache>
                <c:ptCount val="6"/>
                <c:pt idx="0">
                  <c:v>Lung </c:v>
                </c:pt>
                <c:pt idx="1">
                  <c:v>Female Breast</c:v>
                </c:pt>
                <c:pt idx="2">
                  <c:v>Prostate</c:v>
                </c:pt>
                <c:pt idx="3">
                  <c:v>Colon and Rectum</c:v>
                </c:pt>
                <c:pt idx="4">
                  <c:v>Pancreas</c:v>
                </c:pt>
                <c:pt idx="5">
                  <c:v>Melanoma of Skin</c:v>
                </c:pt>
              </c:strCache>
            </c:strRef>
          </c:cat>
          <c:val>
            <c:numRef>
              <c:f>'Page 4 (TN Ranking M)'!$C$31:$C$36</c:f>
              <c:numCache>
                <c:formatCode>General</c:formatCode>
                <c:ptCount val="6"/>
                <c:pt idx="0" formatCode="0.0">
                  <c:v>45</c:v>
                </c:pt>
                <c:pt idx="1">
                  <c:v>21.3</c:v>
                </c:pt>
                <c:pt idx="2">
                  <c:v>19.600000000000001</c:v>
                </c:pt>
                <c:pt idx="3">
                  <c:v>14.7</c:v>
                </c:pt>
                <c:pt idx="4" formatCode="0.0">
                  <c:v>11</c:v>
                </c:pt>
                <c:pt idx="5">
                  <c:v>2.7</c:v>
                </c:pt>
              </c:numCache>
            </c:numRef>
          </c:val>
        </c:ser>
        <c:dLbls>
          <c:showLegendKey val="0"/>
          <c:showVal val="0"/>
          <c:showCatName val="0"/>
          <c:showSerName val="0"/>
          <c:showPercent val="0"/>
          <c:showBubbleSize val="0"/>
        </c:dLbls>
        <c:gapWidth val="50"/>
        <c:axId val="188311040"/>
        <c:axId val="220440832"/>
      </c:barChart>
      <c:barChart>
        <c:barDir val="col"/>
        <c:grouping val="clustered"/>
        <c:varyColors val="0"/>
        <c:ser>
          <c:idx val="2"/>
          <c:order val="2"/>
          <c:tx>
            <c:strRef>
              <c:f>'Page 4 (TN Ranking M)'!$D$30</c:f>
              <c:strCache>
                <c:ptCount val="1"/>
                <c:pt idx="0">
                  <c:v>TN Ranking (Highest)</c:v>
                </c:pt>
              </c:strCache>
            </c:strRef>
          </c:tx>
          <c:spPr>
            <a:noFill/>
          </c:spPr>
          <c:invertIfNegative val="0"/>
          <c:dPt>
            <c:idx val="0"/>
            <c:invertIfNegative val="0"/>
            <c:bubble3D val="0"/>
          </c:dPt>
          <c:dLbls>
            <c:dLbl>
              <c:idx val="0"/>
              <c:layout>
                <c:manualLayout>
                  <c:x val="-1.8089842842681321E-7"/>
                  <c:y val="7.5667712726759317E-2"/>
                </c:manualLayout>
              </c:layout>
              <c:dLblPos val="outEnd"/>
              <c:showLegendKey val="0"/>
              <c:showVal val="1"/>
              <c:showCatName val="0"/>
              <c:showSerName val="0"/>
              <c:showPercent val="0"/>
              <c:showBubbleSize val="0"/>
            </c:dLbl>
            <c:dLbl>
              <c:idx val="1"/>
              <c:layout>
                <c:manualLayout>
                  <c:x val="4.2112839171989249E-17"/>
                  <c:y val="0.13252851481120165"/>
                </c:manualLayout>
              </c:layout>
              <c:dLblPos val="outEnd"/>
              <c:showLegendKey val="0"/>
              <c:showVal val="1"/>
              <c:showCatName val="0"/>
              <c:showSerName val="0"/>
              <c:showPercent val="0"/>
              <c:showBubbleSize val="0"/>
            </c:dLbl>
            <c:dLbl>
              <c:idx val="2"/>
              <c:layout>
                <c:manualLayout>
                  <c:x val="0"/>
                  <c:y val="0.27874068589290613"/>
                </c:manualLayout>
              </c:layout>
              <c:dLblPos val="outEnd"/>
              <c:showLegendKey val="0"/>
              <c:showVal val="1"/>
              <c:showCatName val="0"/>
              <c:showSerName val="0"/>
              <c:showPercent val="0"/>
              <c:showBubbleSize val="0"/>
            </c:dLbl>
            <c:dLbl>
              <c:idx val="3"/>
              <c:layout>
                <c:manualLayout>
                  <c:x val="0"/>
                  <c:y val="0.11565778771392499"/>
                </c:manualLayout>
              </c:layout>
              <c:dLblPos val="outEnd"/>
              <c:showLegendKey val="0"/>
              <c:showVal val="1"/>
              <c:showCatName val="0"/>
              <c:showSerName val="0"/>
              <c:showPercent val="0"/>
              <c:showBubbleSize val="0"/>
            </c:dLbl>
            <c:dLbl>
              <c:idx val="4"/>
              <c:layout>
                <c:manualLayout>
                  <c:x val="-1.8087326690117587E-7"/>
                  <c:y val="0.39562420914610519"/>
                </c:manualLayout>
              </c:layout>
              <c:dLblPos val="outEnd"/>
              <c:showLegendKey val="0"/>
              <c:showVal val="1"/>
              <c:showCatName val="0"/>
              <c:showSerName val="0"/>
              <c:showPercent val="0"/>
              <c:showBubbleSize val="0"/>
            </c:dLbl>
            <c:dLbl>
              <c:idx val="5"/>
              <c:layout>
                <c:manualLayout>
                  <c:x val="0"/>
                  <c:y val="0.19938843570201384"/>
                </c:manualLayout>
              </c:layout>
              <c:dLblPos val="outEnd"/>
              <c:showLegendKey val="0"/>
              <c:showVal val="1"/>
              <c:showCatName val="0"/>
              <c:showSerName val="0"/>
              <c:showPercent val="0"/>
              <c:showBubbleSize val="0"/>
            </c:dLbl>
            <c:numFmt formatCode="##&quot;th&quot;" sourceLinked="0"/>
            <c:spPr>
              <a:solidFill>
                <a:schemeClr val="bg2">
                  <a:lumMod val="90000"/>
                </a:schemeClr>
              </a:solidFill>
              <a:ln>
                <a:solidFill>
                  <a:sysClr val="windowText" lastClr="000000"/>
                </a:solidFill>
              </a:ln>
            </c:spPr>
            <c:txPr>
              <a:bodyPr/>
              <a:lstStyle/>
              <a:p>
                <a:pPr>
                  <a:defRPr sz="900"/>
                </a:pPr>
                <a:endParaRPr lang="en-US"/>
              </a:p>
            </c:txPr>
            <c:dLblPos val="inBase"/>
            <c:showLegendKey val="0"/>
            <c:showVal val="1"/>
            <c:showCatName val="0"/>
            <c:showSerName val="0"/>
            <c:showPercent val="0"/>
            <c:showBubbleSize val="0"/>
            <c:showLeaderLines val="0"/>
          </c:dLbls>
          <c:cat>
            <c:strRef>
              <c:f>'Page 4 (TN Ranking M)'!$A$31:$A$36</c:f>
              <c:strCache>
                <c:ptCount val="6"/>
                <c:pt idx="0">
                  <c:v>Lung </c:v>
                </c:pt>
                <c:pt idx="1">
                  <c:v>Female Breast</c:v>
                </c:pt>
                <c:pt idx="2">
                  <c:v>Prostate</c:v>
                </c:pt>
                <c:pt idx="3">
                  <c:v>Colon and Rectum</c:v>
                </c:pt>
                <c:pt idx="4">
                  <c:v>Pancreas</c:v>
                </c:pt>
                <c:pt idx="5">
                  <c:v>Melanoma of Skin</c:v>
                </c:pt>
              </c:strCache>
            </c:strRef>
          </c:cat>
          <c:val>
            <c:numRef>
              <c:f>'Page 4 (TN Ranking M)'!$D$31:$D$36</c:f>
              <c:numCache>
                <c:formatCode>General</c:formatCode>
                <c:ptCount val="6"/>
                <c:pt idx="0">
                  <c:v>4</c:v>
                </c:pt>
                <c:pt idx="1">
                  <c:v>10</c:v>
                </c:pt>
                <c:pt idx="2">
                  <c:v>25</c:v>
                </c:pt>
                <c:pt idx="3">
                  <c:v>8</c:v>
                </c:pt>
                <c:pt idx="4">
                  <c:v>38</c:v>
                </c:pt>
                <c:pt idx="5">
                  <c:v>16</c:v>
                </c:pt>
              </c:numCache>
            </c:numRef>
          </c:val>
        </c:ser>
        <c:dLbls>
          <c:showLegendKey val="0"/>
          <c:showVal val="0"/>
          <c:showCatName val="0"/>
          <c:showSerName val="0"/>
          <c:showPercent val="0"/>
          <c:showBubbleSize val="0"/>
        </c:dLbls>
        <c:gapWidth val="50"/>
        <c:axId val="188311552"/>
        <c:axId val="218696512"/>
      </c:barChart>
      <c:catAx>
        <c:axId val="188311040"/>
        <c:scaling>
          <c:orientation val="minMax"/>
        </c:scaling>
        <c:delete val="0"/>
        <c:axPos val="b"/>
        <c:majorTickMark val="out"/>
        <c:minorTickMark val="none"/>
        <c:tickLblPos val="nextTo"/>
        <c:txPr>
          <a:bodyPr/>
          <a:lstStyle/>
          <a:p>
            <a:pPr>
              <a:defRPr sz="900"/>
            </a:pPr>
            <a:endParaRPr lang="en-US"/>
          </a:p>
        </c:txPr>
        <c:crossAx val="220440832"/>
        <c:crosses val="autoZero"/>
        <c:auto val="1"/>
        <c:lblAlgn val="ctr"/>
        <c:lblOffset val="100"/>
        <c:noMultiLvlLbl val="0"/>
      </c:catAx>
      <c:valAx>
        <c:axId val="220440832"/>
        <c:scaling>
          <c:orientation val="minMax"/>
          <c:max val="60"/>
        </c:scaling>
        <c:delete val="0"/>
        <c:axPos val="l"/>
        <c:title>
          <c:tx>
            <c:rich>
              <a:bodyPr rot="-5400000" vert="horz"/>
              <a:lstStyle/>
              <a:p>
                <a:pPr>
                  <a:defRPr sz="900"/>
                </a:pPr>
                <a:r>
                  <a:rPr lang="en-US" sz="900"/>
                  <a:t>Age-Adjusted Rate</a:t>
                </a:r>
                <a:r>
                  <a:rPr lang="en-US" sz="900" baseline="0"/>
                  <a:t> per 100,000</a:t>
                </a:r>
                <a:endParaRPr lang="en-US" sz="900"/>
              </a:p>
            </c:rich>
          </c:tx>
          <c:overlay val="0"/>
        </c:title>
        <c:numFmt formatCode="General" sourceLinked="1"/>
        <c:majorTickMark val="out"/>
        <c:minorTickMark val="none"/>
        <c:tickLblPos val="nextTo"/>
        <c:txPr>
          <a:bodyPr/>
          <a:lstStyle/>
          <a:p>
            <a:pPr>
              <a:defRPr sz="900"/>
            </a:pPr>
            <a:endParaRPr lang="en-US"/>
          </a:p>
        </c:txPr>
        <c:crossAx val="188311040"/>
        <c:crosses val="autoZero"/>
        <c:crossBetween val="between"/>
      </c:valAx>
      <c:valAx>
        <c:axId val="218696512"/>
        <c:scaling>
          <c:orientation val="minMax"/>
        </c:scaling>
        <c:delete val="1"/>
        <c:axPos val="r"/>
        <c:numFmt formatCode="General" sourceLinked="1"/>
        <c:majorTickMark val="out"/>
        <c:minorTickMark val="none"/>
        <c:tickLblPos val="nextTo"/>
        <c:crossAx val="188311552"/>
        <c:crosses val="max"/>
        <c:crossBetween val="between"/>
      </c:valAx>
      <c:catAx>
        <c:axId val="188311552"/>
        <c:scaling>
          <c:orientation val="minMax"/>
        </c:scaling>
        <c:delete val="1"/>
        <c:axPos val="b"/>
        <c:majorTickMark val="out"/>
        <c:minorTickMark val="none"/>
        <c:tickLblPos val="nextTo"/>
        <c:crossAx val="218696512"/>
        <c:crosses val="autoZero"/>
        <c:auto val="1"/>
        <c:lblAlgn val="ctr"/>
        <c:lblOffset val="100"/>
        <c:noMultiLvlLbl val="0"/>
      </c:catAx>
    </c:plotArea>
    <c:legend>
      <c:legendPos val="b"/>
      <c:layout>
        <c:manualLayout>
          <c:xMode val="edge"/>
          <c:yMode val="edge"/>
          <c:x val="0.20725037725641662"/>
          <c:y val="0.8227689848628077"/>
          <c:w val="0.59468760745002514"/>
          <c:h val="8.0968249860559435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Total Population</a:t>
            </a:r>
          </a:p>
        </c:rich>
      </c:tx>
      <c:layout>
        <c:manualLayout>
          <c:xMode val="edge"/>
          <c:yMode val="edge"/>
          <c:x val="0.43340027562090583"/>
          <c:y val="2.777780352500081E-2"/>
        </c:manualLayout>
      </c:layout>
      <c:overlay val="0"/>
    </c:title>
    <c:autoTitleDeleted val="0"/>
    <c:plotArea>
      <c:layout>
        <c:manualLayout>
          <c:layoutTarget val="inner"/>
          <c:xMode val="edge"/>
          <c:yMode val="edge"/>
          <c:x val="0.21053414425832695"/>
          <c:y val="9.462111383762313E-2"/>
          <c:w val="0.75264900921374089"/>
          <c:h val="0.79146607278831616"/>
        </c:manualLayout>
      </c:layout>
      <c:barChart>
        <c:barDir val="bar"/>
        <c:grouping val="clustered"/>
        <c:varyColors val="0"/>
        <c:ser>
          <c:idx val="0"/>
          <c:order val="0"/>
          <c:tx>
            <c:strRef>
              <c:f>'Page 5 &amp; 6 - 2012'!$B$5</c:f>
              <c:strCache>
                <c:ptCount val="1"/>
                <c:pt idx="0">
                  <c:v>Number of New Cases</c:v>
                </c:pt>
              </c:strCache>
            </c:strRef>
          </c:tx>
          <c:spPr>
            <a:ln>
              <a:solidFill>
                <a:sysClr val="windowText" lastClr="000000"/>
              </a:solidFill>
            </a:ln>
          </c:spPr>
          <c:invertIfNegative val="0"/>
          <c:cat>
            <c:strRef>
              <c:f>'Page 5 &amp; 6 - 2012'!$A$6:$A$15</c:f>
              <c:strCache>
                <c:ptCount val="10"/>
                <c:pt idx="0">
                  <c:v>Oral Cavity and Pharynx</c:v>
                </c:pt>
                <c:pt idx="1">
                  <c:v>Leukemia</c:v>
                </c:pt>
                <c:pt idx="2">
                  <c:v>Kidney and Renal Pelvis</c:v>
                </c:pt>
                <c:pt idx="3">
                  <c:v>Non-Hodgkin Lymphoma</c:v>
                </c:pt>
                <c:pt idx="4">
                  <c:v>Urinary Bladder</c:v>
                </c:pt>
                <c:pt idx="5">
                  <c:v>Melanoma of the Skin</c:v>
                </c:pt>
                <c:pt idx="6">
                  <c:v>Colon and Rectum</c:v>
                </c:pt>
                <c:pt idx="7">
                  <c:v>Prostate</c:v>
                </c:pt>
                <c:pt idx="8">
                  <c:v>Breast (Female)</c:v>
                </c:pt>
                <c:pt idx="9">
                  <c:v>Lung and Bronchus</c:v>
                </c:pt>
              </c:strCache>
            </c:strRef>
          </c:cat>
          <c:val>
            <c:numRef>
              <c:f>'Page 5 &amp; 6 - 2012'!$B$6:$B$15</c:f>
              <c:numCache>
                <c:formatCode>#,##0</c:formatCode>
                <c:ptCount val="10"/>
                <c:pt idx="0">
                  <c:v>4440</c:v>
                </c:pt>
                <c:pt idx="1">
                  <c:v>4446</c:v>
                </c:pt>
                <c:pt idx="2">
                  <c:v>6153</c:v>
                </c:pt>
                <c:pt idx="3">
                  <c:v>6502</c:v>
                </c:pt>
                <c:pt idx="4">
                  <c:v>6903</c:v>
                </c:pt>
                <c:pt idx="5">
                  <c:v>7164</c:v>
                </c:pt>
                <c:pt idx="6">
                  <c:v>15221</c:v>
                </c:pt>
                <c:pt idx="7">
                  <c:v>22970</c:v>
                </c:pt>
                <c:pt idx="8">
                  <c:v>23035</c:v>
                </c:pt>
                <c:pt idx="9">
                  <c:v>27970</c:v>
                </c:pt>
              </c:numCache>
            </c:numRef>
          </c:val>
        </c:ser>
        <c:dLbls>
          <c:showLegendKey val="0"/>
          <c:showVal val="0"/>
          <c:showCatName val="0"/>
          <c:showSerName val="0"/>
          <c:showPercent val="0"/>
          <c:showBubbleSize val="0"/>
        </c:dLbls>
        <c:gapWidth val="150"/>
        <c:axId val="188312064"/>
        <c:axId val="220445440"/>
      </c:barChart>
      <c:catAx>
        <c:axId val="188312064"/>
        <c:scaling>
          <c:orientation val="minMax"/>
        </c:scaling>
        <c:delete val="0"/>
        <c:axPos val="l"/>
        <c:numFmt formatCode="General" sourceLinked="1"/>
        <c:majorTickMark val="out"/>
        <c:minorTickMark val="none"/>
        <c:tickLblPos val="nextTo"/>
        <c:txPr>
          <a:bodyPr/>
          <a:lstStyle/>
          <a:p>
            <a:pPr>
              <a:defRPr sz="900"/>
            </a:pPr>
            <a:endParaRPr lang="en-US"/>
          </a:p>
        </c:txPr>
        <c:crossAx val="220445440"/>
        <c:crosses val="autoZero"/>
        <c:auto val="1"/>
        <c:lblAlgn val="ctr"/>
        <c:lblOffset val="100"/>
        <c:noMultiLvlLbl val="0"/>
      </c:catAx>
      <c:valAx>
        <c:axId val="220445440"/>
        <c:scaling>
          <c:orientation val="minMax"/>
        </c:scaling>
        <c:delete val="0"/>
        <c:axPos val="b"/>
        <c:majorGridlines/>
        <c:title>
          <c:tx>
            <c:rich>
              <a:bodyPr/>
              <a:lstStyle/>
              <a:p>
                <a:pPr>
                  <a:defRPr sz="900"/>
                </a:pPr>
                <a:r>
                  <a:rPr lang="en-US" sz="900"/>
                  <a:t>Number of New Cases</a:t>
                </a:r>
              </a:p>
            </c:rich>
          </c:tx>
          <c:layout>
            <c:manualLayout>
              <c:xMode val="edge"/>
              <c:yMode val="edge"/>
              <c:x val="0.48711120024566928"/>
              <c:y val="0.94888343193606017"/>
            </c:manualLayout>
          </c:layout>
          <c:overlay val="0"/>
        </c:title>
        <c:numFmt formatCode="#,##0" sourceLinked="1"/>
        <c:majorTickMark val="out"/>
        <c:minorTickMark val="none"/>
        <c:tickLblPos val="nextTo"/>
        <c:txPr>
          <a:bodyPr/>
          <a:lstStyle/>
          <a:p>
            <a:pPr>
              <a:defRPr sz="900"/>
            </a:pPr>
            <a:endParaRPr lang="en-US"/>
          </a:p>
        </c:txPr>
        <c:crossAx val="188312064"/>
        <c:crosses val="autoZero"/>
        <c:crossBetween val="between"/>
      </c:valAx>
      <c:spPr>
        <a:solidFill>
          <a:schemeClr val="accent5">
            <a:lumMod val="20000"/>
            <a:lumOff val="80000"/>
          </a:schemeClr>
        </a:solidFill>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Black</a:t>
            </a:r>
          </a:p>
        </c:rich>
      </c:tx>
      <c:layout>
        <c:manualLayout>
          <c:xMode val="edge"/>
          <c:yMode val="edge"/>
          <c:x val="0.46569944381952255"/>
          <c:y val="0"/>
        </c:manualLayout>
      </c:layout>
      <c:overlay val="0"/>
    </c:title>
    <c:autoTitleDeleted val="0"/>
    <c:plotArea>
      <c:layout>
        <c:manualLayout>
          <c:layoutTarget val="inner"/>
          <c:xMode val="edge"/>
          <c:yMode val="edge"/>
          <c:x val="0.25044892232560023"/>
          <c:y val="0.11038888888888887"/>
          <c:w val="0.70512974103598558"/>
          <c:h val="0.63262948381452322"/>
        </c:manualLayout>
      </c:layout>
      <c:barChart>
        <c:barDir val="bar"/>
        <c:grouping val="clustered"/>
        <c:varyColors val="0"/>
        <c:ser>
          <c:idx val="0"/>
          <c:order val="0"/>
          <c:tx>
            <c:strRef>
              <c:f>'Page 5 &amp; 6 - 2012'!$B$29</c:f>
              <c:strCache>
                <c:ptCount val="1"/>
                <c:pt idx="0">
                  <c:v>Number of New Cases</c:v>
                </c:pt>
              </c:strCache>
            </c:strRef>
          </c:tx>
          <c:spPr>
            <a:ln>
              <a:solidFill>
                <a:sysClr val="windowText" lastClr="000000"/>
              </a:solidFill>
            </a:ln>
          </c:spPr>
          <c:invertIfNegative val="0"/>
          <c:cat>
            <c:strRef>
              <c:f>'Page 5 &amp; 6 - 2012'!$A$30:$A$39</c:f>
              <c:strCache>
                <c:ptCount val="10"/>
                <c:pt idx="0">
                  <c:v>Leukemia</c:v>
                </c:pt>
                <c:pt idx="1">
                  <c:v>Myeloma</c:v>
                </c:pt>
                <c:pt idx="2">
                  <c:v>Corpus and Uterus, NOS</c:v>
                </c:pt>
                <c:pt idx="3">
                  <c:v>Non-Hodgkin Lymphoma</c:v>
                </c:pt>
                <c:pt idx="4">
                  <c:v>Pancreas</c:v>
                </c:pt>
                <c:pt idx="5">
                  <c:v>Kidney and Renal Pelvis</c:v>
                </c:pt>
                <c:pt idx="6">
                  <c:v>Colon and Rectum</c:v>
                </c:pt>
                <c:pt idx="7">
                  <c:v>Lung and Bronchus</c:v>
                </c:pt>
                <c:pt idx="8">
                  <c:v>Breast (Female)</c:v>
                </c:pt>
                <c:pt idx="9">
                  <c:v>Prostate</c:v>
                </c:pt>
              </c:strCache>
            </c:strRef>
          </c:cat>
          <c:val>
            <c:numRef>
              <c:f>'Page 5 &amp; 6 - 2012'!$B$30:$B$39</c:f>
              <c:numCache>
                <c:formatCode>#,##0</c:formatCode>
                <c:ptCount val="10"/>
                <c:pt idx="0">
                  <c:v>466</c:v>
                </c:pt>
                <c:pt idx="1">
                  <c:v>505</c:v>
                </c:pt>
                <c:pt idx="2">
                  <c:v>575</c:v>
                </c:pt>
                <c:pt idx="3">
                  <c:v>607</c:v>
                </c:pt>
                <c:pt idx="4" formatCode="General">
                  <c:v>610</c:v>
                </c:pt>
                <c:pt idx="5" formatCode="General">
                  <c:v>828</c:v>
                </c:pt>
                <c:pt idx="6">
                  <c:v>2276</c:v>
                </c:pt>
                <c:pt idx="7">
                  <c:v>3214</c:v>
                </c:pt>
                <c:pt idx="8">
                  <c:v>3357</c:v>
                </c:pt>
                <c:pt idx="9">
                  <c:v>3796</c:v>
                </c:pt>
              </c:numCache>
            </c:numRef>
          </c:val>
        </c:ser>
        <c:dLbls>
          <c:showLegendKey val="0"/>
          <c:showVal val="0"/>
          <c:showCatName val="0"/>
          <c:showSerName val="0"/>
          <c:showPercent val="0"/>
          <c:showBubbleSize val="0"/>
        </c:dLbls>
        <c:gapWidth val="150"/>
        <c:axId val="188632576"/>
        <c:axId val="223601216"/>
      </c:barChart>
      <c:catAx>
        <c:axId val="188632576"/>
        <c:scaling>
          <c:orientation val="minMax"/>
        </c:scaling>
        <c:delete val="0"/>
        <c:axPos val="l"/>
        <c:numFmt formatCode="General" sourceLinked="1"/>
        <c:majorTickMark val="out"/>
        <c:minorTickMark val="none"/>
        <c:tickLblPos val="nextTo"/>
        <c:txPr>
          <a:bodyPr/>
          <a:lstStyle/>
          <a:p>
            <a:pPr>
              <a:defRPr sz="900"/>
            </a:pPr>
            <a:endParaRPr lang="en-US"/>
          </a:p>
        </c:txPr>
        <c:crossAx val="223601216"/>
        <c:crosses val="autoZero"/>
        <c:auto val="1"/>
        <c:lblAlgn val="ctr"/>
        <c:lblOffset val="100"/>
        <c:noMultiLvlLbl val="0"/>
      </c:catAx>
      <c:valAx>
        <c:axId val="223601216"/>
        <c:scaling>
          <c:orientation val="minMax"/>
        </c:scaling>
        <c:delete val="0"/>
        <c:axPos val="b"/>
        <c:majorGridlines/>
        <c:title>
          <c:tx>
            <c:rich>
              <a:bodyPr/>
              <a:lstStyle/>
              <a:p>
                <a:pPr>
                  <a:defRPr/>
                </a:pPr>
                <a:r>
                  <a:rPr lang="en-US"/>
                  <a:t>Number of New Cases</a:t>
                </a:r>
              </a:p>
            </c:rich>
          </c:tx>
          <c:overlay val="0"/>
        </c:title>
        <c:numFmt formatCode="#,##0" sourceLinked="1"/>
        <c:majorTickMark val="out"/>
        <c:minorTickMark val="none"/>
        <c:tickLblPos val="nextTo"/>
        <c:crossAx val="188632576"/>
        <c:crosses val="autoZero"/>
        <c:crossBetween val="between"/>
      </c:valAx>
      <c:spPr>
        <a:solidFill>
          <a:schemeClr val="accent5">
            <a:lumMod val="20000"/>
            <a:lumOff val="80000"/>
          </a:schemeClr>
        </a:soli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White</a:t>
            </a:r>
          </a:p>
        </c:rich>
      </c:tx>
      <c:layout>
        <c:manualLayout>
          <c:xMode val="edge"/>
          <c:yMode val="edge"/>
          <c:x val="0.46146825396825397"/>
          <c:y val="0"/>
        </c:manualLayout>
      </c:layout>
      <c:overlay val="0"/>
    </c:title>
    <c:autoTitleDeleted val="0"/>
    <c:plotArea>
      <c:layout>
        <c:manualLayout>
          <c:layoutTarget val="inner"/>
          <c:xMode val="edge"/>
          <c:yMode val="edge"/>
          <c:x val="0.23749128731838276"/>
          <c:y val="9.7067901234567891E-2"/>
          <c:w val="0.71305818002067911"/>
          <c:h val="0.66635802469135808"/>
        </c:manualLayout>
      </c:layout>
      <c:barChart>
        <c:barDir val="bar"/>
        <c:grouping val="clustered"/>
        <c:varyColors val="0"/>
        <c:ser>
          <c:idx val="0"/>
          <c:order val="0"/>
          <c:tx>
            <c:strRef>
              <c:f>'Page 5 &amp; 6 - 2012'!$B$17</c:f>
              <c:strCache>
                <c:ptCount val="1"/>
                <c:pt idx="0">
                  <c:v>Number of New Cases</c:v>
                </c:pt>
              </c:strCache>
            </c:strRef>
          </c:tx>
          <c:spPr>
            <a:ln>
              <a:solidFill>
                <a:sysClr val="windowText" lastClr="000000"/>
              </a:solidFill>
            </a:ln>
          </c:spPr>
          <c:invertIfNegative val="0"/>
          <c:cat>
            <c:strRef>
              <c:f>'Page 5 &amp; 6 - 2012'!$A$18:$A$27</c:f>
              <c:strCache>
                <c:ptCount val="10"/>
                <c:pt idx="0">
                  <c:v>Leukemia</c:v>
                </c:pt>
                <c:pt idx="1">
                  <c:v>Oral Cavity and Pharynx</c:v>
                </c:pt>
                <c:pt idx="2">
                  <c:v>Kidney and Renal Pelvis</c:v>
                </c:pt>
                <c:pt idx="3">
                  <c:v>Non-Hodgkin Lymphoma</c:v>
                </c:pt>
                <c:pt idx="4">
                  <c:v>Urinary Bladder</c:v>
                </c:pt>
                <c:pt idx="5">
                  <c:v>Melanoma of the Skin</c:v>
                </c:pt>
                <c:pt idx="6">
                  <c:v>Colon and Rectum</c:v>
                </c:pt>
                <c:pt idx="7">
                  <c:v>Prostate</c:v>
                </c:pt>
                <c:pt idx="8">
                  <c:v>Breast (Female)</c:v>
                </c:pt>
                <c:pt idx="9">
                  <c:v>Lung and Bronchus</c:v>
                </c:pt>
              </c:strCache>
            </c:strRef>
          </c:cat>
          <c:val>
            <c:numRef>
              <c:f>'Page 5 &amp; 6 - 2012'!$B$18:$B$27</c:f>
              <c:numCache>
                <c:formatCode>#,##0</c:formatCode>
                <c:ptCount val="10"/>
                <c:pt idx="0">
                  <c:v>3868</c:v>
                </c:pt>
                <c:pt idx="1">
                  <c:v>3932</c:v>
                </c:pt>
                <c:pt idx="2">
                  <c:v>5274</c:v>
                </c:pt>
                <c:pt idx="3">
                  <c:v>5799</c:v>
                </c:pt>
                <c:pt idx="4">
                  <c:v>6412</c:v>
                </c:pt>
                <c:pt idx="5">
                  <c:v>7002</c:v>
                </c:pt>
                <c:pt idx="6">
                  <c:v>12733</c:v>
                </c:pt>
                <c:pt idx="7">
                  <c:v>18808</c:v>
                </c:pt>
                <c:pt idx="8">
                  <c:v>19353</c:v>
                </c:pt>
                <c:pt idx="9">
                  <c:v>24552</c:v>
                </c:pt>
              </c:numCache>
            </c:numRef>
          </c:val>
        </c:ser>
        <c:dLbls>
          <c:showLegendKey val="0"/>
          <c:showVal val="0"/>
          <c:showCatName val="0"/>
          <c:showSerName val="0"/>
          <c:showPercent val="0"/>
          <c:showBubbleSize val="0"/>
        </c:dLbls>
        <c:gapWidth val="150"/>
        <c:axId val="188982784"/>
        <c:axId val="220446016"/>
      </c:barChart>
      <c:catAx>
        <c:axId val="188982784"/>
        <c:scaling>
          <c:orientation val="minMax"/>
        </c:scaling>
        <c:delete val="0"/>
        <c:axPos val="l"/>
        <c:numFmt formatCode="General" sourceLinked="1"/>
        <c:majorTickMark val="out"/>
        <c:minorTickMark val="none"/>
        <c:tickLblPos val="nextTo"/>
        <c:txPr>
          <a:bodyPr/>
          <a:lstStyle/>
          <a:p>
            <a:pPr>
              <a:defRPr sz="900"/>
            </a:pPr>
            <a:endParaRPr lang="en-US"/>
          </a:p>
        </c:txPr>
        <c:crossAx val="220446016"/>
        <c:crosses val="autoZero"/>
        <c:auto val="1"/>
        <c:lblAlgn val="ctr"/>
        <c:lblOffset val="100"/>
        <c:noMultiLvlLbl val="0"/>
      </c:catAx>
      <c:valAx>
        <c:axId val="220446016"/>
        <c:scaling>
          <c:orientation val="minMax"/>
        </c:scaling>
        <c:delete val="0"/>
        <c:axPos val="b"/>
        <c:majorGridlines/>
        <c:title>
          <c:tx>
            <c:rich>
              <a:bodyPr/>
              <a:lstStyle/>
              <a:p>
                <a:pPr>
                  <a:defRPr/>
                </a:pPr>
                <a:r>
                  <a:rPr lang="en-US"/>
                  <a:t>Number of New Cases</a:t>
                </a:r>
              </a:p>
            </c:rich>
          </c:tx>
          <c:overlay val="0"/>
        </c:title>
        <c:numFmt formatCode="#,##0" sourceLinked="1"/>
        <c:majorTickMark val="out"/>
        <c:minorTickMark val="none"/>
        <c:tickLblPos val="nextTo"/>
        <c:crossAx val="188982784"/>
        <c:crosses val="autoZero"/>
        <c:crossBetween val="between"/>
      </c:valAx>
      <c:spPr>
        <a:solidFill>
          <a:schemeClr val="accent5">
            <a:lumMod val="20000"/>
            <a:lumOff val="80000"/>
          </a:schemeClr>
        </a:solidFill>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Female</a:t>
            </a:r>
          </a:p>
        </c:rich>
      </c:tx>
      <c:overlay val="0"/>
    </c:title>
    <c:autoTitleDeleted val="0"/>
    <c:plotArea>
      <c:layout>
        <c:manualLayout>
          <c:layoutTarget val="inner"/>
          <c:xMode val="edge"/>
          <c:yMode val="edge"/>
          <c:x val="0.2682709893301875"/>
          <c:y val="0.18426367378604333"/>
          <c:w val="0.68209348770782896"/>
          <c:h val="0.6303287630340898"/>
        </c:manualLayout>
      </c:layout>
      <c:barChart>
        <c:barDir val="bar"/>
        <c:grouping val="clustered"/>
        <c:varyColors val="0"/>
        <c:ser>
          <c:idx val="0"/>
          <c:order val="0"/>
          <c:tx>
            <c:strRef>
              <c:f>'Page 5 &amp; 6 - 2012'!$B$53</c:f>
              <c:strCache>
                <c:ptCount val="1"/>
                <c:pt idx="0">
                  <c:v>Number of New Cases</c:v>
                </c:pt>
              </c:strCache>
            </c:strRef>
          </c:tx>
          <c:spPr>
            <a:ln>
              <a:solidFill>
                <a:sysClr val="windowText" lastClr="000000"/>
              </a:solidFill>
            </a:ln>
          </c:spPr>
          <c:invertIfNegative val="0"/>
          <c:cat>
            <c:strRef>
              <c:f>'Page 5 &amp; 6 - 2012'!$A$54:$A$63</c:f>
              <c:strCache>
                <c:ptCount val="10"/>
                <c:pt idx="0">
                  <c:v>Pancreas</c:v>
                </c:pt>
                <c:pt idx="1">
                  <c:v>Ovary</c:v>
                </c:pt>
                <c:pt idx="2">
                  <c:v>Kidney and Renal Pelvis</c:v>
                </c:pt>
                <c:pt idx="3">
                  <c:v>Melanoma of the Skin</c:v>
                </c:pt>
                <c:pt idx="4">
                  <c:v>Non-Hodgkin Lymphoma</c:v>
                </c:pt>
                <c:pt idx="5">
                  <c:v>Thyroid</c:v>
                </c:pt>
                <c:pt idx="6">
                  <c:v>Corpus and Uterus, NOS</c:v>
                </c:pt>
                <c:pt idx="7">
                  <c:v>Colon and Rectum</c:v>
                </c:pt>
                <c:pt idx="8">
                  <c:v>Lung and Bronchus</c:v>
                </c:pt>
                <c:pt idx="9">
                  <c:v>Breast</c:v>
                </c:pt>
              </c:strCache>
            </c:strRef>
          </c:cat>
          <c:val>
            <c:numRef>
              <c:f>'Page 5 &amp; 6 - 2012'!$B$54:$B$63</c:f>
              <c:numCache>
                <c:formatCode>#,##0</c:formatCode>
                <c:ptCount val="10"/>
                <c:pt idx="0">
                  <c:v>2048</c:v>
                </c:pt>
                <c:pt idx="1">
                  <c:v>2213</c:v>
                </c:pt>
                <c:pt idx="2">
                  <c:v>2366</c:v>
                </c:pt>
                <c:pt idx="3">
                  <c:v>2994</c:v>
                </c:pt>
                <c:pt idx="4">
                  <c:v>3053</c:v>
                </c:pt>
                <c:pt idx="5">
                  <c:v>3168</c:v>
                </c:pt>
                <c:pt idx="6">
                  <c:v>4211</c:v>
                </c:pt>
                <c:pt idx="7">
                  <c:v>7336</c:v>
                </c:pt>
                <c:pt idx="8">
                  <c:v>12210</c:v>
                </c:pt>
                <c:pt idx="9">
                  <c:v>23035</c:v>
                </c:pt>
              </c:numCache>
            </c:numRef>
          </c:val>
        </c:ser>
        <c:ser>
          <c:idx val="1"/>
          <c:order val="1"/>
          <c:tx>
            <c:strRef>
              <c:f>'Page 5 &amp; 6 - 2012'!$C$53</c:f>
              <c:strCache>
                <c:ptCount val="1"/>
                <c:pt idx="0">
                  <c:v>Percentage</c:v>
                </c:pt>
              </c:strCache>
            </c:strRef>
          </c:tx>
          <c:invertIfNegative val="0"/>
          <c:cat>
            <c:strRef>
              <c:f>'Page 5 &amp; 6 - 2012'!$A$54:$A$63</c:f>
              <c:strCache>
                <c:ptCount val="10"/>
                <c:pt idx="0">
                  <c:v>Pancreas</c:v>
                </c:pt>
                <c:pt idx="1">
                  <c:v>Ovary</c:v>
                </c:pt>
                <c:pt idx="2">
                  <c:v>Kidney and Renal Pelvis</c:v>
                </c:pt>
                <c:pt idx="3">
                  <c:v>Melanoma of the Skin</c:v>
                </c:pt>
                <c:pt idx="4">
                  <c:v>Non-Hodgkin Lymphoma</c:v>
                </c:pt>
                <c:pt idx="5">
                  <c:v>Thyroid</c:v>
                </c:pt>
                <c:pt idx="6">
                  <c:v>Corpus and Uterus, NOS</c:v>
                </c:pt>
                <c:pt idx="7">
                  <c:v>Colon and Rectum</c:v>
                </c:pt>
                <c:pt idx="8">
                  <c:v>Lung and Bronchus</c:v>
                </c:pt>
                <c:pt idx="9">
                  <c:v>Breast</c:v>
                </c:pt>
              </c:strCache>
            </c:strRef>
          </c:cat>
          <c:val>
            <c:numRef>
              <c:f>'Page 5 &amp; 6 - 2012'!$C$54:$C$63</c:f>
              <c:numCache>
                <c:formatCode>0.0%</c:formatCode>
                <c:ptCount val="10"/>
                <c:pt idx="0">
                  <c:v>2.5512301463718468E-2</c:v>
                </c:pt>
                <c:pt idx="1">
                  <c:v>2.756773590781688E-2</c:v>
                </c:pt>
                <c:pt idx="2">
                  <c:v>2.9473684210526315E-2</c:v>
                </c:pt>
                <c:pt idx="3">
                  <c:v>3.7296792276549362E-2</c:v>
                </c:pt>
                <c:pt idx="4">
                  <c:v>3.8031765805045158E-2</c:v>
                </c:pt>
                <c:pt idx="5">
                  <c:v>3.9464341326689502E-2</c:v>
                </c:pt>
                <c:pt idx="6">
                  <c:v>5.2457178449081286E-2</c:v>
                </c:pt>
                <c:pt idx="7">
                  <c:v>9.1385861102460289E-2</c:v>
                </c:pt>
                <c:pt idx="8">
                  <c:v>0.15210214886328247</c:v>
                </c:pt>
                <c:pt idx="9">
                  <c:v>0.28695110557458736</c:v>
                </c:pt>
              </c:numCache>
            </c:numRef>
          </c:val>
        </c:ser>
        <c:dLbls>
          <c:showLegendKey val="0"/>
          <c:showVal val="0"/>
          <c:showCatName val="0"/>
          <c:showSerName val="0"/>
          <c:showPercent val="0"/>
          <c:showBubbleSize val="0"/>
        </c:dLbls>
        <c:gapWidth val="150"/>
        <c:axId val="189108224"/>
        <c:axId val="223604672"/>
      </c:barChart>
      <c:catAx>
        <c:axId val="189108224"/>
        <c:scaling>
          <c:orientation val="minMax"/>
        </c:scaling>
        <c:delete val="0"/>
        <c:axPos val="l"/>
        <c:numFmt formatCode="General" sourceLinked="1"/>
        <c:majorTickMark val="out"/>
        <c:minorTickMark val="none"/>
        <c:tickLblPos val="nextTo"/>
        <c:txPr>
          <a:bodyPr/>
          <a:lstStyle/>
          <a:p>
            <a:pPr>
              <a:defRPr sz="900"/>
            </a:pPr>
            <a:endParaRPr lang="en-US"/>
          </a:p>
        </c:txPr>
        <c:crossAx val="223604672"/>
        <c:crosses val="autoZero"/>
        <c:auto val="1"/>
        <c:lblAlgn val="ctr"/>
        <c:lblOffset val="100"/>
        <c:noMultiLvlLbl val="0"/>
      </c:catAx>
      <c:valAx>
        <c:axId val="223604672"/>
        <c:scaling>
          <c:orientation val="minMax"/>
        </c:scaling>
        <c:delete val="0"/>
        <c:axPos val="b"/>
        <c:majorGridlines/>
        <c:title>
          <c:tx>
            <c:rich>
              <a:bodyPr/>
              <a:lstStyle/>
              <a:p>
                <a:pPr>
                  <a:defRPr/>
                </a:pPr>
                <a:r>
                  <a:rPr lang="en-US"/>
                  <a:t>Number of New Cases</a:t>
                </a:r>
              </a:p>
            </c:rich>
          </c:tx>
          <c:layout>
            <c:manualLayout>
              <c:xMode val="edge"/>
              <c:yMode val="edge"/>
              <c:x val="0.4814304461942257"/>
              <c:y val="0.92178477690288718"/>
            </c:manualLayout>
          </c:layout>
          <c:overlay val="0"/>
        </c:title>
        <c:numFmt formatCode="#,##0" sourceLinked="1"/>
        <c:majorTickMark val="out"/>
        <c:minorTickMark val="none"/>
        <c:tickLblPos val="nextTo"/>
        <c:crossAx val="189108224"/>
        <c:crosses val="autoZero"/>
        <c:crossBetween val="between"/>
      </c:valAx>
      <c:spPr>
        <a:solidFill>
          <a:schemeClr val="accent5">
            <a:lumMod val="20000"/>
            <a:lumOff val="80000"/>
          </a:schemeClr>
        </a:solidFill>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Male</a:t>
            </a:r>
          </a:p>
        </c:rich>
      </c:tx>
      <c:overlay val="0"/>
    </c:title>
    <c:autoTitleDeleted val="0"/>
    <c:plotArea>
      <c:layout/>
      <c:barChart>
        <c:barDir val="bar"/>
        <c:grouping val="clustered"/>
        <c:varyColors val="0"/>
        <c:ser>
          <c:idx val="0"/>
          <c:order val="0"/>
          <c:tx>
            <c:strRef>
              <c:f>'Page 5 &amp; 6 - 2012'!$B$41</c:f>
              <c:strCache>
                <c:ptCount val="1"/>
                <c:pt idx="0">
                  <c:v>Number of New Cases</c:v>
                </c:pt>
              </c:strCache>
            </c:strRef>
          </c:tx>
          <c:spPr>
            <a:ln>
              <a:solidFill>
                <a:sysClr val="windowText" lastClr="000000"/>
              </a:solidFill>
            </a:ln>
          </c:spPr>
          <c:invertIfNegative val="0"/>
          <c:cat>
            <c:strRef>
              <c:f>'Page 5 &amp; 6 - 2012'!$A$42:$A$51</c:f>
              <c:strCache>
                <c:ptCount val="10"/>
                <c:pt idx="0">
                  <c:v>Pancreas</c:v>
                </c:pt>
                <c:pt idx="1">
                  <c:v>Leukemia</c:v>
                </c:pt>
                <c:pt idx="2">
                  <c:v>Oral Cavity and Pharynx</c:v>
                </c:pt>
                <c:pt idx="3">
                  <c:v>Non-Hodgkin Lymphoma</c:v>
                </c:pt>
                <c:pt idx="4">
                  <c:v>Kidney and Renal Pelvis</c:v>
                </c:pt>
                <c:pt idx="5">
                  <c:v>Melanoma of the Skin</c:v>
                </c:pt>
                <c:pt idx="6">
                  <c:v>Urinary Bladder</c:v>
                </c:pt>
                <c:pt idx="7">
                  <c:v>Colon and Rectum</c:v>
                </c:pt>
                <c:pt idx="8">
                  <c:v>Lung and Bronchus</c:v>
                </c:pt>
                <c:pt idx="9">
                  <c:v>Prostate</c:v>
                </c:pt>
              </c:strCache>
            </c:strRef>
          </c:cat>
          <c:val>
            <c:numRef>
              <c:f>'Page 5 &amp; 6 - 2012'!$B$42:$B$51</c:f>
              <c:numCache>
                <c:formatCode>#,##0</c:formatCode>
                <c:ptCount val="10"/>
                <c:pt idx="0">
                  <c:v>2120</c:v>
                </c:pt>
                <c:pt idx="1">
                  <c:v>2546</c:v>
                </c:pt>
                <c:pt idx="2">
                  <c:v>3207</c:v>
                </c:pt>
                <c:pt idx="3">
                  <c:v>3449</c:v>
                </c:pt>
                <c:pt idx="4">
                  <c:v>3787</c:v>
                </c:pt>
                <c:pt idx="5">
                  <c:v>4170</c:v>
                </c:pt>
                <c:pt idx="6">
                  <c:v>5303</c:v>
                </c:pt>
                <c:pt idx="7">
                  <c:v>7885</c:v>
                </c:pt>
                <c:pt idx="8">
                  <c:v>15760</c:v>
                </c:pt>
                <c:pt idx="9">
                  <c:v>22970</c:v>
                </c:pt>
              </c:numCache>
            </c:numRef>
          </c:val>
        </c:ser>
        <c:dLbls>
          <c:showLegendKey val="0"/>
          <c:showVal val="0"/>
          <c:showCatName val="0"/>
          <c:showSerName val="0"/>
          <c:showPercent val="0"/>
          <c:showBubbleSize val="0"/>
        </c:dLbls>
        <c:gapWidth val="150"/>
        <c:axId val="189110272"/>
        <c:axId val="223606400"/>
      </c:barChart>
      <c:catAx>
        <c:axId val="189110272"/>
        <c:scaling>
          <c:orientation val="minMax"/>
        </c:scaling>
        <c:delete val="0"/>
        <c:axPos val="l"/>
        <c:numFmt formatCode="General" sourceLinked="1"/>
        <c:majorTickMark val="out"/>
        <c:minorTickMark val="none"/>
        <c:tickLblPos val="nextTo"/>
        <c:txPr>
          <a:bodyPr/>
          <a:lstStyle/>
          <a:p>
            <a:pPr>
              <a:defRPr sz="900"/>
            </a:pPr>
            <a:endParaRPr lang="en-US"/>
          </a:p>
        </c:txPr>
        <c:crossAx val="223606400"/>
        <c:crosses val="autoZero"/>
        <c:auto val="1"/>
        <c:lblAlgn val="ctr"/>
        <c:lblOffset val="100"/>
        <c:noMultiLvlLbl val="0"/>
      </c:catAx>
      <c:valAx>
        <c:axId val="223606400"/>
        <c:scaling>
          <c:orientation val="minMax"/>
        </c:scaling>
        <c:delete val="0"/>
        <c:axPos val="b"/>
        <c:majorGridlines/>
        <c:title>
          <c:tx>
            <c:rich>
              <a:bodyPr/>
              <a:lstStyle/>
              <a:p>
                <a:pPr>
                  <a:defRPr/>
                </a:pPr>
                <a:r>
                  <a:rPr lang="en-US"/>
                  <a:t>Number of New Cases</a:t>
                </a:r>
              </a:p>
            </c:rich>
          </c:tx>
          <c:overlay val="0"/>
        </c:title>
        <c:numFmt formatCode="#,##0" sourceLinked="1"/>
        <c:majorTickMark val="out"/>
        <c:minorTickMark val="none"/>
        <c:tickLblPos val="nextTo"/>
        <c:crossAx val="189110272"/>
        <c:crosses val="autoZero"/>
        <c:crossBetween val="between"/>
      </c:valAx>
      <c:spPr>
        <a:solidFill>
          <a:schemeClr val="accent5">
            <a:lumMod val="20000"/>
            <a:lumOff val="80000"/>
          </a:schemeClr>
        </a:solidFill>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Total Population</a:t>
            </a:r>
          </a:p>
        </c:rich>
      </c:tx>
      <c:layout>
        <c:manualLayout>
          <c:xMode val="edge"/>
          <c:yMode val="edge"/>
          <c:x val="0.43211929289471229"/>
          <c:y val="1.7467027559055121E-2"/>
        </c:manualLayout>
      </c:layout>
      <c:overlay val="0"/>
    </c:title>
    <c:autoTitleDeleted val="0"/>
    <c:plotArea>
      <c:layout>
        <c:manualLayout>
          <c:layoutTarget val="inner"/>
          <c:xMode val="edge"/>
          <c:yMode val="edge"/>
          <c:x val="0.25620953630796156"/>
          <c:y val="9.7300962973009636E-2"/>
          <c:w val="0.70703943257092861"/>
          <c:h val="0.78555999705245039"/>
        </c:manualLayout>
      </c:layout>
      <c:barChart>
        <c:barDir val="bar"/>
        <c:grouping val="clustered"/>
        <c:varyColors val="0"/>
        <c:ser>
          <c:idx val="0"/>
          <c:order val="0"/>
          <c:tx>
            <c:strRef>
              <c:f>'Page 7 and 8 - 2012'!$B$5</c:f>
              <c:strCache>
                <c:ptCount val="1"/>
                <c:pt idx="0">
                  <c:v>Number of Deaths</c:v>
                </c:pt>
              </c:strCache>
            </c:strRef>
          </c:tx>
          <c:spPr>
            <a:ln>
              <a:solidFill>
                <a:sysClr val="windowText" lastClr="000000"/>
              </a:solidFill>
            </a:ln>
          </c:spPr>
          <c:invertIfNegative val="0"/>
          <c:cat>
            <c:strRef>
              <c:f>'Page 7 and 8 - 2012'!$A$6:$A$15</c:f>
              <c:strCache>
                <c:ptCount val="10"/>
                <c:pt idx="0">
                  <c:v>Esophagus</c:v>
                </c:pt>
                <c:pt idx="1">
                  <c:v>Brain and Other Nervous System</c:v>
                </c:pt>
                <c:pt idx="2">
                  <c:v>Liver and Intrahepatic Bile Duct</c:v>
                </c:pt>
                <c:pt idx="3">
                  <c:v>Non-Hodgkin Lymphoma</c:v>
                </c:pt>
                <c:pt idx="4">
                  <c:v>Leukemia</c:v>
                </c:pt>
                <c:pt idx="5">
                  <c:v>Prostate</c:v>
                </c:pt>
                <c:pt idx="6">
                  <c:v>Pancreas</c:v>
                </c:pt>
                <c:pt idx="7">
                  <c:v>Female Breast</c:v>
                </c:pt>
                <c:pt idx="8">
                  <c:v>Colon and Rectum</c:v>
                </c:pt>
                <c:pt idx="9">
                  <c:v>Lung and Bronchus</c:v>
                </c:pt>
              </c:strCache>
            </c:strRef>
          </c:cat>
          <c:val>
            <c:numRef>
              <c:f>'Page 7 and 8 - 2012'!$B$6:$B$15</c:f>
              <c:numCache>
                <c:formatCode>#,##0</c:formatCode>
                <c:ptCount val="10"/>
                <c:pt idx="0">
                  <c:v>1505</c:v>
                </c:pt>
                <c:pt idx="1">
                  <c:v>1651</c:v>
                </c:pt>
                <c:pt idx="2">
                  <c:v>2213</c:v>
                </c:pt>
                <c:pt idx="3">
                  <c:v>2232</c:v>
                </c:pt>
                <c:pt idx="4">
                  <c:v>2523</c:v>
                </c:pt>
                <c:pt idx="5">
                  <c:v>2871</c:v>
                </c:pt>
                <c:pt idx="6">
                  <c:v>3857</c:v>
                </c:pt>
                <c:pt idx="7">
                  <c:v>4366</c:v>
                </c:pt>
                <c:pt idx="8">
                  <c:v>6038</c:v>
                </c:pt>
                <c:pt idx="9">
                  <c:v>21661</c:v>
                </c:pt>
              </c:numCache>
            </c:numRef>
          </c:val>
        </c:ser>
        <c:dLbls>
          <c:showLegendKey val="0"/>
          <c:showVal val="0"/>
          <c:showCatName val="0"/>
          <c:showSerName val="0"/>
          <c:showPercent val="0"/>
          <c:showBubbleSize val="0"/>
        </c:dLbls>
        <c:gapWidth val="150"/>
        <c:axId val="189719552"/>
        <c:axId val="223608128"/>
      </c:barChart>
      <c:catAx>
        <c:axId val="189719552"/>
        <c:scaling>
          <c:orientation val="minMax"/>
        </c:scaling>
        <c:delete val="0"/>
        <c:axPos val="l"/>
        <c:majorTickMark val="out"/>
        <c:minorTickMark val="none"/>
        <c:tickLblPos val="nextTo"/>
        <c:txPr>
          <a:bodyPr/>
          <a:lstStyle/>
          <a:p>
            <a:pPr>
              <a:defRPr sz="900"/>
            </a:pPr>
            <a:endParaRPr lang="en-US"/>
          </a:p>
        </c:txPr>
        <c:crossAx val="223608128"/>
        <c:crosses val="autoZero"/>
        <c:auto val="1"/>
        <c:lblAlgn val="ctr"/>
        <c:lblOffset val="100"/>
        <c:noMultiLvlLbl val="0"/>
      </c:catAx>
      <c:valAx>
        <c:axId val="223608128"/>
        <c:scaling>
          <c:orientation val="minMax"/>
        </c:scaling>
        <c:delete val="0"/>
        <c:axPos val="b"/>
        <c:majorGridlines/>
        <c:title>
          <c:tx>
            <c:rich>
              <a:bodyPr/>
              <a:lstStyle/>
              <a:p>
                <a:pPr>
                  <a:defRPr sz="900"/>
                </a:pPr>
                <a:r>
                  <a:rPr lang="en-US" sz="900"/>
                  <a:t>Number of New Cases</a:t>
                </a:r>
              </a:p>
            </c:rich>
          </c:tx>
          <c:layout>
            <c:manualLayout>
              <c:xMode val="edge"/>
              <c:yMode val="edge"/>
              <c:x val="0.51786479815023112"/>
              <c:y val="0.94300760836629738"/>
            </c:manualLayout>
          </c:layout>
          <c:overlay val="0"/>
        </c:title>
        <c:numFmt formatCode="#,##0" sourceLinked="1"/>
        <c:majorTickMark val="out"/>
        <c:minorTickMark val="none"/>
        <c:tickLblPos val="nextTo"/>
        <c:txPr>
          <a:bodyPr/>
          <a:lstStyle/>
          <a:p>
            <a:pPr>
              <a:defRPr sz="900"/>
            </a:pPr>
            <a:endParaRPr lang="en-US"/>
          </a:p>
        </c:txPr>
        <c:crossAx val="189719552"/>
        <c:crosses val="autoZero"/>
        <c:crossBetween val="between"/>
      </c:valAx>
      <c:spPr>
        <a:solidFill>
          <a:schemeClr val="accent3">
            <a:lumMod val="20000"/>
            <a:lumOff val="80000"/>
          </a:schemeClr>
        </a:solidFill>
      </c:spPr>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Black</a:t>
            </a:r>
          </a:p>
        </c:rich>
      </c:tx>
      <c:layout>
        <c:manualLayout>
          <c:xMode val="edge"/>
          <c:yMode val="edge"/>
          <c:x val="0.46569944381952255"/>
          <c:y val="0"/>
        </c:manualLayout>
      </c:layout>
      <c:overlay val="0"/>
    </c:title>
    <c:autoTitleDeleted val="0"/>
    <c:plotArea>
      <c:layout>
        <c:manualLayout>
          <c:layoutTarget val="inner"/>
          <c:xMode val="edge"/>
          <c:yMode val="edge"/>
          <c:x val="0.28804900208299478"/>
          <c:y val="0.11273195876288659"/>
          <c:w val="0.66981206089500944"/>
          <c:h val="0.70075614903807115"/>
        </c:manualLayout>
      </c:layout>
      <c:barChart>
        <c:barDir val="bar"/>
        <c:grouping val="clustered"/>
        <c:varyColors val="0"/>
        <c:ser>
          <c:idx val="0"/>
          <c:order val="0"/>
          <c:tx>
            <c:strRef>
              <c:f>'Page 7 and 8 - 2012'!$B$31</c:f>
              <c:strCache>
                <c:ptCount val="1"/>
                <c:pt idx="0">
                  <c:v>Number of Deaths</c:v>
                </c:pt>
              </c:strCache>
            </c:strRef>
          </c:tx>
          <c:spPr>
            <a:ln>
              <a:solidFill>
                <a:sysClr val="windowText" lastClr="000000"/>
              </a:solidFill>
            </a:ln>
          </c:spPr>
          <c:invertIfNegative val="0"/>
          <c:cat>
            <c:strRef>
              <c:f>'Page 7 and 8 - 2012'!$A$32:$A$41</c:f>
              <c:strCache>
                <c:ptCount val="10"/>
                <c:pt idx="0">
                  <c:v>Lymphoma</c:v>
                </c:pt>
                <c:pt idx="1">
                  <c:v>Myeloma</c:v>
                </c:pt>
                <c:pt idx="2">
                  <c:v>Stomach</c:v>
                </c:pt>
                <c:pt idx="3">
                  <c:v>Leukemia</c:v>
                </c:pt>
                <c:pt idx="4">
                  <c:v>Liver and Intraheptic Bile Duct</c:v>
                </c:pt>
                <c:pt idx="5">
                  <c:v>Pancreas</c:v>
                </c:pt>
                <c:pt idx="6">
                  <c:v>Prostate</c:v>
                </c:pt>
                <c:pt idx="7">
                  <c:v>Breast</c:v>
                </c:pt>
                <c:pt idx="8">
                  <c:v>Colon and Rectum</c:v>
                </c:pt>
                <c:pt idx="9">
                  <c:v>Lung and Bronchus</c:v>
                </c:pt>
              </c:strCache>
            </c:strRef>
          </c:cat>
          <c:val>
            <c:numRef>
              <c:f>'Page 7 and 8 - 2012'!$B$32:$B$41</c:f>
              <c:numCache>
                <c:formatCode>#,##0</c:formatCode>
                <c:ptCount val="10"/>
                <c:pt idx="0">
                  <c:v>205</c:v>
                </c:pt>
                <c:pt idx="1">
                  <c:v>257</c:v>
                </c:pt>
                <c:pt idx="2">
                  <c:v>273</c:v>
                </c:pt>
                <c:pt idx="3">
                  <c:v>279</c:v>
                </c:pt>
                <c:pt idx="4">
                  <c:v>404</c:v>
                </c:pt>
                <c:pt idx="5">
                  <c:v>555</c:v>
                </c:pt>
                <c:pt idx="6">
                  <c:v>627</c:v>
                </c:pt>
                <c:pt idx="7">
                  <c:v>853</c:v>
                </c:pt>
                <c:pt idx="8">
                  <c:v>1036</c:v>
                </c:pt>
                <c:pt idx="9">
                  <c:v>2551</c:v>
                </c:pt>
              </c:numCache>
            </c:numRef>
          </c:val>
        </c:ser>
        <c:dLbls>
          <c:showLegendKey val="0"/>
          <c:showVal val="0"/>
          <c:showCatName val="0"/>
          <c:showSerName val="0"/>
          <c:showPercent val="0"/>
          <c:showBubbleSize val="0"/>
        </c:dLbls>
        <c:gapWidth val="150"/>
        <c:axId val="189722112"/>
        <c:axId val="223607552"/>
      </c:barChart>
      <c:catAx>
        <c:axId val="189722112"/>
        <c:scaling>
          <c:orientation val="minMax"/>
        </c:scaling>
        <c:delete val="0"/>
        <c:axPos val="l"/>
        <c:majorTickMark val="out"/>
        <c:minorTickMark val="none"/>
        <c:tickLblPos val="nextTo"/>
        <c:txPr>
          <a:bodyPr/>
          <a:lstStyle/>
          <a:p>
            <a:pPr>
              <a:defRPr sz="900"/>
            </a:pPr>
            <a:endParaRPr lang="en-US"/>
          </a:p>
        </c:txPr>
        <c:crossAx val="223607552"/>
        <c:crosses val="autoZero"/>
        <c:auto val="1"/>
        <c:lblAlgn val="ctr"/>
        <c:lblOffset val="100"/>
        <c:noMultiLvlLbl val="0"/>
      </c:catAx>
      <c:valAx>
        <c:axId val="223607552"/>
        <c:scaling>
          <c:orientation val="minMax"/>
        </c:scaling>
        <c:delete val="0"/>
        <c:axPos val="b"/>
        <c:majorGridlines/>
        <c:title>
          <c:tx>
            <c:rich>
              <a:bodyPr/>
              <a:lstStyle/>
              <a:p>
                <a:pPr>
                  <a:defRPr sz="900"/>
                </a:pPr>
                <a:r>
                  <a:rPr lang="en-US" sz="900"/>
                  <a:t>Number of New Cases</a:t>
                </a:r>
              </a:p>
            </c:rich>
          </c:tx>
          <c:layout>
            <c:manualLayout>
              <c:xMode val="edge"/>
              <c:yMode val="edge"/>
              <c:x val="0.51528996375453073"/>
              <c:y val="0.90729361149443943"/>
            </c:manualLayout>
          </c:layout>
          <c:overlay val="0"/>
        </c:title>
        <c:numFmt formatCode="#,##0" sourceLinked="1"/>
        <c:majorTickMark val="out"/>
        <c:minorTickMark val="none"/>
        <c:tickLblPos val="nextTo"/>
        <c:txPr>
          <a:bodyPr/>
          <a:lstStyle/>
          <a:p>
            <a:pPr>
              <a:defRPr sz="900"/>
            </a:pPr>
            <a:endParaRPr lang="en-US"/>
          </a:p>
        </c:txPr>
        <c:crossAx val="189722112"/>
        <c:crosses val="autoZero"/>
        <c:crossBetween val="between"/>
      </c:valAx>
      <c:spPr>
        <a:solidFill>
          <a:schemeClr val="accent3">
            <a:lumMod val="20000"/>
            <a:lumOff val="80000"/>
          </a:schemeClr>
        </a:solidFill>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White</a:t>
            </a:r>
          </a:p>
        </c:rich>
      </c:tx>
      <c:layout>
        <c:manualLayout>
          <c:xMode val="edge"/>
          <c:yMode val="edge"/>
          <c:x val="0.46072772153480818"/>
          <c:y val="5.0680758027239238E-4"/>
        </c:manualLayout>
      </c:layout>
      <c:overlay val="0"/>
    </c:title>
    <c:autoTitleDeleted val="0"/>
    <c:plotArea>
      <c:layout>
        <c:manualLayout>
          <c:layoutTarget val="inner"/>
          <c:xMode val="edge"/>
          <c:yMode val="edge"/>
          <c:x val="0.3097409552229986"/>
          <c:y val="0.11889028306785739"/>
          <c:w val="0.6459929774583465"/>
          <c:h val="0.70161392042580295"/>
        </c:manualLayout>
      </c:layout>
      <c:barChart>
        <c:barDir val="bar"/>
        <c:grouping val="clustered"/>
        <c:varyColors val="0"/>
        <c:ser>
          <c:idx val="0"/>
          <c:order val="0"/>
          <c:tx>
            <c:strRef>
              <c:f>'Page 7 and 8 - 2012'!$B$18</c:f>
              <c:strCache>
                <c:ptCount val="1"/>
                <c:pt idx="0">
                  <c:v>Number of Deaths</c:v>
                </c:pt>
              </c:strCache>
            </c:strRef>
          </c:tx>
          <c:spPr>
            <a:ln>
              <a:solidFill>
                <a:sysClr val="windowText" lastClr="000000"/>
              </a:solidFill>
            </a:ln>
          </c:spPr>
          <c:invertIfNegative val="0"/>
          <c:cat>
            <c:strRef>
              <c:f>'Page 7 and 8 - 2012'!$A$19:$A$28</c:f>
              <c:strCache>
                <c:ptCount val="10"/>
                <c:pt idx="0">
                  <c:v>Ovary</c:v>
                </c:pt>
                <c:pt idx="1">
                  <c:v>Brain and Other Nervous System</c:v>
                </c:pt>
                <c:pt idx="2">
                  <c:v>Liver and Intrahepatic Bile Duct</c:v>
                </c:pt>
                <c:pt idx="3">
                  <c:v>Non-Hodgkin Lymphoma</c:v>
                </c:pt>
                <c:pt idx="4">
                  <c:v>Leukemia</c:v>
                </c:pt>
                <c:pt idx="5">
                  <c:v>Prostate</c:v>
                </c:pt>
                <c:pt idx="6">
                  <c:v>Pancreas</c:v>
                </c:pt>
                <c:pt idx="7">
                  <c:v>Breast</c:v>
                </c:pt>
                <c:pt idx="8">
                  <c:v>Colon and Rectum</c:v>
                </c:pt>
                <c:pt idx="9">
                  <c:v>Lung and Bronchus</c:v>
                </c:pt>
              </c:strCache>
            </c:strRef>
          </c:cat>
          <c:val>
            <c:numRef>
              <c:f>'Page 7 and 8 - 2012'!$B$19:$B$28</c:f>
              <c:numCache>
                <c:formatCode>#,##0</c:formatCode>
                <c:ptCount val="10"/>
                <c:pt idx="0">
                  <c:v>1315</c:v>
                </c:pt>
                <c:pt idx="1">
                  <c:v>1519</c:v>
                </c:pt>
                <c:pt idx="2">
                  <c:v>1773</c:v>
                </c:pt>
                <c:pt idx="3">
                  <c:v>2043</c:v>
                </c:pt>
                <c:pt idx="4">
                  <c:v>2226</c:v>
                </c:pt>
                <c:pt idx="5">
                  <c:v>2231</c:v>
                </c:pt>
                <c:pt idx="6">
                  <c:v>3272</c:v>
                </c:pt>
                <c:pt idx="7">
                  <c:v>3523</c:v>
                </c:pt>
                <c:pt idx="8">
                  <c:v>4366</c:v>
                </c:pt>
                <c:pt idx="9">
                  <c:v>18997</c:v>
                </c:pt>
              </c:numCache>
            </c:numRef>
          </c:val>
        </c:ser>
        <c:dLbls>
          <c:showLegendKey val="0"/>
          <c:showVal val="0"/>
          <c:showCatName val="0"/>
          <c:showSerName val="0"/>
          <c:showPercent val="0"/>
          <c:showBubbleSize val="0"/>
        </c:dLbls>
        <c:gapWidth val="150"/>
        <c:axId val="191058944"/>
        <c:axId val="164571968"/>
      </c:barChart>
      <c:catAx>
        <c:axId val="191058944"/>
        <c:scaling>
          <c:orientation val="minMax"/>
        </c:scaling>
        <c:delete val="0"/>
        <c:axPos val="l"/>
        <c:majorTickMark val="out"/>
        <c:minorTickMark val="none"/>
        <c:tickLblPos val="nextTo"/>
        <c:txPr>
          <a:bodyPr/>
          <a:lstStyle/>
          <a:p>
            <a:pPr>
              <a:defRPr sz="900"/>
            </a:pPr>
            <a:endParaRPr lang="en-US"/>
          </a:p>
        </c:txPr>
        <c:crossAx val="164571968"/>
        <c:crosses val="autoZero"/>
        <c:auto val="1"/>
        <c:lblAlgn val="ctr"/>
        <c:lblOffset val="100"/>
        <c:noMultiLvlLbl val="0"/>
      </c:catAx>
      <c:valAx>
        <c:axId val="164571968"/>
        <c:scaling>
          <c:orientation val="minMax"/>
        </c:scaling>
        <c:delete val="0"/>
        <c:axPos val="b"/>
        <c:majorGridlines/>
        <c:title>
          <c:tx>
            <c:rich>
              <a:bodyPr/>
              <a:lstStyle/>
              <a:p>
                <a:pPr>
                  <a:defRPr sz="900"/>
                </a:pPr>
                <a:r>
                  <a:rPr lang="en-US" sz="900"/>
                  <a:t>Number of New Cases</a:t>
                </a:r>
              </a:p>
            </c:rich>
          </c:tx>
          <c:overlay val="0"/>
        </c:title>
        <c:numFmt formatCode="#,##0" sourceLinked="1"/>
        <c:majorTickMark val="out"/>
        <c:minorTickMark val="none"/>
        <c:tickLblPos val="nextTo"/>
        <c:txPr>
          <a:bodyPr/>
          <a:lstStyle/>
          <a:p>
            <a:pPr>
              <a:defRPr sz="900"/>
            </a:pPr>
            <a:endParaRPr lang="en-US"/>
          </a:p>
        </c:txPr>
        <c:crossAx val="191058944"/>
        <c:crosses val="autoZero"/>
        <c:crossBetween val="between"/>
        <c:majorUnit val="5000"/>
      </c:valAx>
      <c:spPr>
        <a:solidFill>
          <a:schemeClr val="accent3">
            <a:lumMod val="20000"/>
            <a:lumOff val="80000"/>
          </a:schemeClr>
        </a:solidFill>
      </c:spPr>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Female</a:t>
            </a:r>
          </a:p>
        </c:rich>
      </c:tx>
      <c:layout>
        <c:manualLayout>
          <c:xMode val="edge"/>
          <c:yMode val="edge"/>
          <c:x val="0.45536158028907947"/>
          <c:y val="0"/>
        </c:manualLayout>
      </c:layout>
      <c:overlay val="0"/>
    </c:title>
    <c:autoTitleDeleted val="0"/>
    <c:plotArea>
      <c:layout>
        <c:manualLayout>
          <c:layoutTarget val="inner"/>
          <c:xMode val="edge"/>
          <c:yMode val="edge"/>
          <c:x val="0.31297385767120017"/>
          <c:y val="0.12378466278671689"/>
          <c:w val="0.63712179406463765"/>
          <c:h val="0.69208223972003502"/>
        </c:manualLayout>
      </c:layout>
      <c:barChart>
        <c:barDir val="bar"/>
        <c:grouping val="clustered"/>
        <c:varyColors val="0"/>
        <c:ser>
          <c:idx val="0"/>
          <c:order val="0"/>
          <c:tx>
            <c:strRef>
              <c:f>'Page 7 and 8 - 2012'!$B$57</c:f>
              <c:strCache>
                <c:ptCount val="1"/>
                <c:pt idx="0">
                  <c:v>Number of Deaths</c:v>
                </c:pt>
              </c:strCache>
            </c:strRef>
          </c:tx>
          <c:spPr>
            <a:ln>
              <a:solidFill>
                <a:sysClr val="windowText" lastClr="000000"/>
              </a:solidFill>
            </a:ln>
          </c:spPr>
          <c:invertIfNegative val="0"/>
          <c:cat>
            <c:strRef>
              <c:f>'Page 7 and 8 - 2012'!$A$58:$A$67</c:f>
              <c:strCache>
                <c:ptCount val="10"/>
                <c:pt idx="0">
                  <c:v>Liver and Intrahepatic Bile Duct</c:v>
                </c:pt>
                <c:pt idx="1">
                  <c:v>Corpus and Uterus, NOS</c:v>
                </c:pt>
                <c:pt idx="2">
                  <c:v>Brain and Other Nervous System</c:v>
                </c:pt>
                <c:pt idx="3">
                  <c:v>Non-Hodgkin Lymphoma</c:v>
                </c:pt>
                <c:pt idx="4">
                  <c:v>Leukemia</c:v>
                </c:pt>
                <c:pt idx="5">
                  <c:v>Ovary</c:v>
                </c:pt>
                <c:pt idx="6">
                  <c:v>Pancreas</c:v>
                </c:pt>
                <c:pt idx="7">
                  <c:v>Colon and Rectum</c:v>
                </c:pt>
                <c:pt idx="8">
                  <c:v>Breast</c:v>
                </c:pt>
                <c:pt idx="9">
                  <c:v>Lung and Bronchus</c:v>
                </c:pt>
              </c:strCache>
            </c:strRef>
          </c:cat>
          <c:val>
            <c:numRef>
              <c:f>'Page 7 and 8 - 2012'!$B$58:$B$67</c:f>
              <c:numCache>
                <c:formatCode>#,##0</c:formatCode>
                <c:ptCount val="10"/>
                <c:pt idx="0">
                  <c:v>689</c:v>
                </c:pt>
                <c:pt idx="1">
                  <c:v>736</c:v>
                </c:pt>
                <c:pt idx="2">
                  <c:v>757</c:v>
                </c:pt>
                <c:pt idx="3">
                  <c:v>982</c:v>
                </c:pt>
                <c:pt idx="4">
                  <c:v>1074</c:v>
                </c:pt>
                <c:pt idx="5">
                  <c:v>1499</c:v>
                </c:pt>
                <c:pt idx="6">
                  <c:v>1891</c:v>
                </c:pt>
                <c:pt idx="7">
                  <c:v>2901</c:v>
                </c:pt>
                <c:pt idx="8">
                  <c:v>4366</c:v>
                </c:pt>
                <c:pt idx="9">
                  <c:v>8845</c:v>
                </c:pt>
              </c:numCache>
            </c:numRef>
          </c:val>
        </c:ser>
        <c:dLbls>
          <c:showLegendKey val="0"/>
          <c:showVal val="0"/>
          <c:showCatName val="0"/>
          <c:showSerName val="0"/>
          <c:showPercent val="0"/>
          <c:showBubbleSize val="0"/>
        </c:dLbls>
        <c:gapWidth val="150"/>
        <c:axId val="191061504"/>
        <c:axId val="164573696"/>
      </c:barChart>
      <c:catAx>
        <c:axId val="191061504"/>
        <c:scaling>
          <c:orientation val="minMax"/>
        </c:scaling>
        <c:delete val="0"/>
        <c:axPos val="l"/>
        <c:majorTickMark val="out"/>
        <c:minorTickMark val="none"/>
        <c:tickLblPos val="nextTo"/>
        <c:txPr>
          <a:bodyPr/>
          <a:lstStyle/>
          <a:p>
            <a:pPr>
              <a:defRPr sz="900"/>
            </a:pPr>
            <a:endParaRPr lang="en-US"/>
          </a:p>
        </c:txPr>
        <c:crossAx val="164573696"/>
        <c:crosses val="autoZero"/>
        <c:auto val="1"/>
        <c:lblAlgn val="ctr"/>
        <c:lblOffset val="100"/>
        <c:noMultiLvlLbl val="0"/>
      </c:catAx>
      <c:valAx>
        <c:axId val="164573696"/>
        <c:scaling>
          <c:orientation val="minMax"/>
        </c:scaling>
        <c:delete val="0"/>
        <c:axPos val="b"/>
        <c:majorGridlines/>
        <c:title>
          <c:tx>
            <c:rich>
              <a:bodyPr/>
              <a:lstStyle/>
              <a:p>
                <a:pPr>
                  <a:defRPr sz="900"/>
                </a:pPr>
                <a:r>
                  <a:rPr lang="en-US" sz="900"/>
                  <a:t>Number of New Cases</a:t>
                </a:r>
              </a:p>
            </c:rich>
          </c:tx>
          <c:overlay val="0"/>
        </c:title>
        <c:numFmt formatCode="#,##0" sourceLinked="1"/>
        <c:majorTickMark val="out"/>
        <c:minorTickMark val="none"/>
        <c:tickLblPos val="nextTo"/>
        <c:txPr>
          <a:bodyPr/>
          <a:lstStyle/>
          <a:p>
            <a:pPr>
              <a:defRPr sz="900"/>
            </a:pPr>
            <a:endParaRPr lang="en-US"/>
          </a:p>
        </c:txPr>
        <c:crossAx val="191061504"/>
        <c:crosses val="autoZero"/>
        <c:crossBetween val="between"/>
      </c:valAx>
      <c:spPr>
        <a:solidFill>
          <a:schemeClr val="accent3">
            <a:lumMod val="20000"/>
            <a:lumOff val="80000"/>
          </a:schemeClr>
        </a:solidFill>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300"/>
            </a:pPr>
            <a:r>
              <a:rPr lang="en-US" sz="1300"/>
              <a:t>Total Population</a:t>
            </a:r>
          </a:p>
        </c:rich>
      </c:tx>
      <c:layout>
        <c:manualLayout>
          <c:xMode val="edge"/>
          <c:yMode val="edge"/>
          <c:x val="0.22684271866738678"/>
          <c:y val="0"/>
        </c:manualLayout>
      </c:layout>
      <c:overlay val="0"/>
    </c:title>
    <c:autoTitleDeleted val="0"/>
    <c:plotArea>
      <c:layout>
        <c:manualLayout>
          <c:layoutTarget val="inner"/>
          <c:xMode val="edge"/>
          <c:yMode val="edge"/>
          <c:x val="0.18197883206837415"/>
          <c:y val="0.14978987275713346"/>
          <c:w val="0.69087677331472808"/>
          <c:h val="0.8502101272428666"/>
        </c:manualLayout>
      </c:layout>
      <c:pieChart>
        <c:varyColors val="1"/>
        <c:ser>
          <c:idx val="1"/>
          <c:order val="0"/>
          <c:tx>
            <c:strRef>
              <c:f>'Page 1'!$C$4</c:f>
              <c:strCache>
                <c:ptCount val="1"/>
                <c:pt idx="0">
                  <c:v>Percentage</c:v>
                </c:pt>
              </c:strCache>
            </c:strRef>
          </c:tx>
          <c:spPr>
            <a:ln>
              <a:solidFill>
                <a:sysClr val="windowText" lastClr="000000"/>
              </a:solidFill>
            </a:ln>
          </c:spPr>
          <c:dPt>
            <c:idx val="0"/>
            <c:bubble3D val="0"/>
            <c:spPr>
              <a:solidFill>
                <a:srgbClr val="9F2936">
                  <a:lumMod val="60000"/>
                  <a:lumOff val="40000"/>
                </a:srgbClr>
              </a:solidFill>
              <a:ln>
                <a:solidFill>
                  <a:sysClr val="windowText" lastClr="000000"/>
                </a:solidFill>
              </a:ln>
            </c:spPr>
          </c:dPt>
          <c:dPt>
            <c:idx val="1"/>
            <c:bubble3D val="0"/>
            <c:spPr>
              <a:solidFill>
                <a:srgbClr val="F07F09">
                  <a:lumMod val="60000"/>
                  <a:lumOff val="40000"/>
                </a:srgbClr>
              </a:solidFill>
              <a:ln>
                <a:solidFill>
                  <a:sysClr val="windowText" lastClr="000000"/>
                </a:solidFill>
              </a:ln>
            </c:spPr>
          </c:dPt>
          <c:dPt>
            <c:idx val="2"/>
            <c:bubble3D val="0"/>
            <c:spPr>
              <a:solidFill>
                <a:srgbClr val="1B587C">
                  <a:lumMod val="60000"/>
                  <a:lumOff val="40000"/>
                </a:srgbClr>
              </a:solidFill>
              <a:ln>
                <a:solidFill>
                  <a:sysClr val="windowText" lastClr="000000"/>
                </a:solidFill>
              </a:ln>
            </c:spPr>
          </c:dPt>
          <c:dPt>
            <c:idx val="3"/>
            <c:bubble3D val="0"/>
            <c:spPr>
              <a:solidFill>
                <a:srgbClr val="4E8542">
                  <a:lumMod val="60000"/>
                  <a:lumOff val="40000"/>
                </a:srgbClr>
              </a:solidFill>
              <a:ln>
                <a:solidFill>
                  <a:sysClr val="windowText" lastClr="000000"/>
                </a:solidFill>
              </a:ln>
            </c:spPr>
          </c:dPt>
          <c:dPt>
            <c:idx val="4"/>
            <c:bubble3D val="0"/>
            <c:spPr>
              <a:solidFill>
                <a:srgbClr val="604878">
                  <a:lumMod val="60000"/>
                  <a:lumOff val="40000"/>
                </a:srgbClr>
              </a:solidFill>
              <a:ln>
                <a:solidFill>
                  <a:sysClr val="windowText" lastClr="000000"/>
                </a:solidFill>
              </a:ln>
            </c:spPr>
          </c:dPt>
          <c:dPt>
            <c:idx val="5"/>
            <c:bubble3D val="0"/>
            <c:spPr>
              <a:solidFill>
                <a:sysClr val="window" lastClr="FFFFFF">
                  <a:lumMod val="75000"/>
                </a:sysClr>
              </a:solidFill>
              <a:ln>
                <a:solidFill>
                  <a:sysClr val="windowText" lastClr="000000"/>
                </a:solidFill>
              </a:ln>
            </c:spPr>
          </c:dPt>
          <c:dLbls>
            <c:dLbl>
              <c:idx val="2"/>
              <c:layout>
                <c:manualLayout>
                  <c:x val="-9.8202526128277155E-3"/>
                  <c:y val="4.4769666642137024E-2"/>
                </c:manualLayout>
              </c:layout>
              <c:dLblPos val="bestFit"/>
              <c:showLegendKey val="0"/>
              <c:showVal val="1"/>
              <c:showCatName val="1"/>
              <c:showSerName val="0"/>
              <c:showPercent val="0"/>
              <c:showBubbleSize val="0"/>
            </c:dLbl>
            <c:dLbl>
              <c:idx val="3"/>
              <c:delete val="1"/>
            </c:dLbl>
            <c:dLbl>
              <c:idx val="4"/>
              <c:layout>
                <c:manualLayout>
                  <c:x val="2.0677241294205312E-2"/>
                  <c:y val="-7.5787017850838814E-2"/>
                </c:manualLayout>
              </c:layout>
              <c:dLblPos val="bestFit"/>
              <c:showLegendKey val="0"/>
              <c:showVal val="1"/>
              <c:showCatName val="1"/>
              <c:showSerName val="0"/>
              <c:showPercent val="0"/>
              <c:showBubbleSize val="0"/>
            </c:dLbl>
            <c:dLbl>
              <c:idx val="5"/>
              <c:layout>
                <c:manualLayout>
                  <c:x val="9.9646408635540279E-2"/>
                  <c:y val="0.25454545454545452"/>
                </c:manualLayout>
              </c:layout>
              <c:dLblPos val="bestFit"/>
              <c:showLegendKey val="0"/>
              <c:showVal val="1"/>
              <c:showCatName val="1"/>
              <c:showSerName val="0"/>
              <c:showPercent val="0"/>
              <c:showBubbleSize val="0"/>
            </c:dLbl>
            <c:txPr>
              <a:bodyPr/>
              <a:lstStyle/>
              <a:p>
                <a:pPr>
                  <a:defRPr sz="700"/>
                </a:pPr>
                <a:endParaRPr lang="en-US"/>
              </a:p>
            </c:txPr>
            <c:dLblPos val="bestFit"/>
            <c:showLegendKey val="0"/>
            <c:showVal val="1"/>
            <c:showCatName val="1"/>
            <c:showSerName val="0"/>
            <c:showPercent val="0"/>
            <c:showBubbleSize val="0"/>
            <c:showLeaderLines val="1"/>
          </c:dLbls>
          <c:cat>
            <c:strRef>
              <c:f>'Page 1'!$A$5:$A$10</c:f>
              <c:strCache>
                <c:ptCount val="6"/>
                <c:pt idx="0">
                  <c:v>Heart Disease</c:v>
                </c:pt>
                <c:pt idx="1">
                  <c:v>Cancer</c:v>
                </c:pt>
                <c:pt idx="2">
                  <c:v>CLRD</c:v>
                </c:pt>
                <c:pt idx="3">
                  <c:v>Unintentional Injuries</c:v>
                </c:pt>
                <c:pt idx="4">
                  <c:v>Stroke</c:v>
                </c:pt>
                <c:pt idx="5">
                  <c:v>All Other Causes</c:v>
                </c:pt>
              </c:strCache>
            </c:strRef>
          </c:cat>
          <c:val>
            <c:numRef>
              <c:f>'Page 1'!$C$5:$C$10</c:f>
              <c:numCache>
                <c:formatCode>0.0%</c:formatCode>
                <c:ptCount val="6"/>
                <c:pt idx="0">
                  <c:v>0.23483585587667322</c:v>
                </c:pt>
                <c:pt idx="1">
                  <c:v>0.22496575172891875</c:v>
                </c:pt>
                <c:pt idx="2">
                  <c:v>6.0342977866539027E-2</c:v>
                </c:pt>
                <c:pt idx="3">
                  <c:v>5.3872943040586263E-2</c:v>
                </c:pt>
                <c:pt idx="4">
                  <c:v>4.9334015547889812E-2</c:v>
                </c:pt>
                <c:pt idx="5">
                  <c:v>0.37664845593939295</c:v>
                </c:pt>
              </c:numCache>
            </c:numRef>
          </c:val>
        </c:ser>
        <c:dLbls>
          <c:showLegendKey val="0"/>
          <c:showVal val="0"/>
          <c:showCatName val="0"/>
          <c:showSerName val="0"/>
          <c:showPercent val="0"/>
          <c:showBubbleSize val="0"/>
          <c:showLeaderLines val="1"/>
        </c:dLbls>
        <c:firstSliceAng val="58"/>
      </c:pieChart>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Male</a:t>
            </a:r>
          </a:p>
        </c:rich>
      </c:tx>
      <c:layout>
        <c:manualLayout>
          <c:xMode val="edge"/>
          <c:yMode val="edge"/>
          <c:x val="0.46675103112110988"/>
          <c:y val="0"/>
        </c:manualLayout>
      </c:layout>
      <c:overlay val="0"/>
    </c:title>
    <c:autoTitleDeleted val="0"/>
    <c:plotArea>
      <c:layout>
        <c:manualLayout>
          <c:layoutTarget val="inner"/>
          <c:xMode val="edge"/>
          <c:yMode val="edge"/>
          <c:x val="0.32023979957050819"/>
          <c:y val="0.13972995525055348"/>
          <c:w val="0.63291495269934495"/>
          <c:h val="0.68741346190421848"/>
        </c:manualLayout>
      </c:layout>
      <c:barChart>
        <c:barDir val="bar"/>
        <c:grouping val="clustered"/>
        <c:varyColors val="0"/>
        <c:ser>
          <c:idx val="0"/>
          <c:order val="0"/>
          <c:tx>
            <c:strRef>
              <c:f>'Page 7 and 8 - 2012'!$B$44</c:f>
              <c:strCache>
                <c:ptCount val="1"/>
                <c:pt idx="0">
                  <c:v>Number of Deaths</c:v>
                </c:pt>
              </c:strCache>
            </c:strRef>
          </c:tx>
          <c:spPr>
            <a:ln>
              <a:solidFill>
                <a:sysClr val="windowText" lastClr="000000"/>
              </a:solidFill>
            </a:ln>
          </c:spPr>
          <c:invertIfNegative val="0"/>
          <c:cat>
            <c:strRef>
              <c:f>'Page 7 and 8 - 2012'!$A$45:$A$54</c:f>
              <c:strCache>
                <c:ptCount val="10"/>
                <c:pt idx="0">
                  <c:v>Kidney and Renal Pelvis</c:v>
                </c:pt>
                <c:pt idx="1">
                  <c:v>Urinary Bladder</c:v>
                </c:pt>
                <c:pt idx="2">
                  <c:v>Esophagus</c:v>
                </c:pt>
                <c:pt idx="3">
                  <c:v>Non-Hodkin Lymphoma</c:v>
                </c:pt>
                <c:pt idx="4">
                  <c:v>Leukemia</c:v>
                </c:pt>
                <c:pt idx="5">
                  <c:v>Liver and Intrahepatic Bile Duct</c:v>
                </c:pt>
                <c:pt idx="6">
                  <c:v>Pancreas</c:v>
                </c:pt>
                <c:pt idx="7">
                  <c:v>Prostate</c:v>
                </c:pt>
                <c:pt idx="8">
                  <c:v>Colon and Rectum</c:v>
                </c:pt>
                <c:pt idx="9">
                  <c:v>Lung and Bronchus</c:v>
                </c:pt>
              </c:strCache>
            </c:strRef>
          </c:cat>
          <c:val>
            <c:numRef>
              <c:f>'Page 7 and 8 - 2012'!$B$45:$B$54</c:f>
              <c:numCache>
                <c:formatCode>#,##0</c:formatCode>
                <c:ptCount val="10"/>
                <c:pt idx="0">
                  <c:v>974</c:v>
                </c:pt>
                <c:pt idx="1">
                  <c:v>1016</c:v>
                </c:pt>
                <c:pt idx="2">
                  <c:v>1217</c:v>
                </c:pt>
                <c:pt idx="3">
                  <c:v>1250</c:v>
                </c:pt>
                <c:pt idx="4">
                  <c:v>1449</c:v>
                </c:pt>
                <c:pt idx="5">
                  <c:v>1524</c:v>
                </c:pt>
                <c:pt idx="6">
                  <c:v>1966</c:v>
                </c:pt>
                <c:pt idx="7">
                  <c:v>2871</c:v>
                </c:pt>
                <c:pt idx="8">
                  <c:v>3137</c:v>
                </c:pt>
                <c:pt idx="9">
                  <c:v>12816</c:v>
                </c:pt>
              </c:numCache>
            </c:numRef>
          </c:val>
        </c:ser>
        <c:dLbls>
          <c:showLegendKey val="0"/>
          <c:showVal val="0"/>
          <c:showCatName val="0"/>
          <c:showSerName val="0"/>
          <c:showPercent val="0"/>
          <c:showBubbleSize val="0"/>
        </c:dLbls>
        <c:gapWidth val="150"/>
        <c:axId val="191133184"/>
        <c:axId val="164575424"/>
      </c:barChart>
      <c:catAx>
        <c:axId val="191133184"/>
        <c:scaling>
          <c:orientation val="minMax"/>
        </c:scaling>
        <c:delete val="0"/>
        <c:axPos val="l"/>
        <c:majorTickMark val="out"/>
        <c:minorTickMark val="none"/>
        <c:tickLblPos val="nextTo"/>
        <c:txPr>
          <a:bodyPr/>
          <a:lstStyle/>
          <a:p>
            <a:pPr>
              <a:defRPr sz="900"/>
            </a:pPr>
            <a:endParaRPr lang="en-US"/>
          </a:p>
        </c:txPr>
        <c:crossAx val="164575424"/>
        <c:crosses val="autoZero"/>
        <c:auto val="1"/>
        <c:lblAlgn val="ctr"/>
        <c:lblOffset val="100"/>
        <c:noMultiLvlLbl val="0"/>
      </c:catAx>
      <c:valAx>
        <c:axId val="164575424"/>
        <c:scaling>
          <c:orientation val="minMax"/>
        </c:scaling>
        <c:delete val="0"/>
        <c:axPos val="b"/>
        <c:majorGridlines/>
        <c:title>
          <c:tx>
            <c:rich>
              <a:bodyPr/>
              <a:lstStyle/>
              <a:p>
                <a:pPr>
                  <a:defRPr sz="900"/>
                </a:pPr>
                <a:r>
                  <a:rPr lang="en-US" sz="900"/>
                  <a:t>Number of New Cases</a:t>
                </a:r>
              </a:p>
            </c:rich>
          </c:tx>
          <c:overlay val="0"/>
        </c:title>
        <c:numFmt formatCode="#,##0" sourceLinked="1"/>
        <c:majorTickMark val="out"/>
        <c:minorTickMark val="none"/>
        <c:tickLblPos val="nextTo"/>
        <c:txPr>
          <a:bodyPr/>
          <a:lstStyle/>
          <a:p>
            <a:pPr>
              <a:defRPr sz="900"/>
            </a:pPr>
            <a:endParaRPr lang="en-US"/>
          </a:p>
        </c:txPr>
        <c:crossAx val="191133184"/>
        <c:crosses val="autoZero"/>
        <c:crossBetween val="between"/>
      </c:valAx>
      <c:spPr>
        <a:solidFill>
          <a:schemeClr val="accent3">
            <a:lumMod val="20000"/>
            <a:lumOff val="80000"/>
          </a:schemeClr>
        </a:solidFill>
      </c:spPr>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a:t>
            </a:r>
            <a:r>
              <a:rPr lang="en-US" sz="1300" baseline="0"/>
              <a:t> All Sites Combined By Gender and Race, Tennessee, 2008-2012</a:t>
            </a:r>
            <a:endParaRPr lang="en-US" sz="1300"/>
          </a:p>
        </c:rich>
      </c:tx>
      <c:overlay val="0"/>
    </c:title>
    <c:autoTitleDeleted val="0"/>
    <c:plotArea>
      <c:layout/>
      <c:barChart>
        <c:barDir val="col"/>
        <c:grouping val="clustered"/>
        <c:varyColors val="0"/>
        <c:ser>
          <c:idx val="0"/>
          <c:order val="0"/>
          <c:tx>
            <c:v>Black</c:v>
          </c:tx>
          <c:spPr>
            <a:ln>
              <a:solidFill>
                <a:sysClr val="windowText" lastClr="000000"/>
              </a:solidFill>
            </a:ln>
          </c:spPr>
          <c:invertIfNegative val="0"/>
          <c:dLbls>
            <c:dLbl>
              <c:idx val="2"/>
              <c:layout>
                <c:manualLayout>
                  <c:x val="0"/>
                  <c:y val="-2.7777777777777776E-2"/>
                </c:manualLayout>
              </c:layout>
              <c:dLblPos val="outEnd"/>
              <c:showLegendKey val="0"/>
              <c:showVal val="1"/>
              <c:showCatName val="0"/>
              <c:showSerName val="0"/>
              <c:showPercent val="0"/>
              <c:showBubbleSize val="0"/>
            </c:dLbl>
            <c:txPr>
              <a:bodyPr/>
              <a:lstStyle/>
              <a:p>
                <a:pPr>
                  <a:defRPr sz="800"/>
                </a:pPr>
                <a:endParaRPr lang="en-US"/>
              </a:p>
            </c:txPr>
            <c:dLblPos val="outEnd"/>
            <c:showLegendKey val="0"/>
            <c:showVal val="1"/>
            <c:showCatName val="0"/>
            <c:showSerName val="0"/>
            <c:showPercent val="0"/>
            <c:showBubbleSize val="0"/>
            <c:showLeaderLines val="0"/>
          </c:dLbls>
          <c:errBars>
            <c:errBarType val="both"/>
            <c:errValType val="cust"/>
            <c:noEndCap val="0"/>
            <c:plus>
              <c:numRef>
                <c:f>'Page 10 (All Sites)'!$F$2:$F$5</c:f>
                <c:numCache>
                  <c:formatCode>General</c:formatCode>
                  <c:ptCount val="4"/>
                  <c:pt idx="0">
                    <c:v>8.1000000000000227</c:v>
                  </c:pt>
                  <c:pt idx="1">
                    <c:v>12.400000000000091</c:v>
                  </c:pt>
                  <c:pt idx="2">
                    <c:v>5.5999999999999943</c:v>
                  </c:pt>
                  <c:pt idx="3">
                    <c:v>9.7999999999999545</c:v>
                  </c:pt>
                </c:numCache>
              </c:numRef>
            </c:plus>
            <c:minus>
              <c:numRef>
                <c:f>'Page 10 (All Sites)'!$D$2:$D$5</c:f>
                <c:numCache>
                  <c:formatCode>General</c:formatCode>
                  <c:ptCount val="4"/>
                  <c:pt idx="0">
                    <c:v>7.8999999999999773</c:v>
                  </c:pt>
                  <c:pt idx="1">
                    <c:v>12.199999999999932</c:v>
                  </c:pt>
                  <c:pt idx="2">
                    <c:v>5.5</c:v>
                  </c:pt>
                  <c:pt idx="3">
                    <c:v>9.6000000000000227</c:v>
                  </c:pt>
                </c:numCache>
              </c:numRef>
            </c:minus>
          </c:errBars>
          <c:cat>
            <c:strRef>
              <c:f>'Page 10 (All Sites)'!$A$2:$A$5</c:f>
              <c:strCache>
                <c:ptCount val="4"/>
                <c:pt idx="0">
                  <c:v>Female Incidence</c:v>
                </c:pt>
                <c:pt idx="1">
                  <c:v>Male Incidence</c:v>
                </c:pt>
                <c:pt idx="2">
                  <c:v>Female Mortality</c:v>
                </c:pt>
                <c:pt idx="3">
                  <c:v>Male Mortality</c:v>
                </c:pt>
              </c:strCache>
            </c:strRef>
          </c:cat>
          <c:val>
            <c:numRef>
              <c:f>'Page 10 (All Sites)'!$B$2:$B$5</c:f>
              <c:numCache>
                <c:formatCode>General</c:formatCode>
                <c:ptCount val="4"/>
                <c:pt idx="0" formatCode="0.0">
                  <c:v>406.2</c:v>
                </c:pt>
                <c:pt idx="1">
                  <c:v>601.29999999999995</c:v>
                </c:pt>
                <c:pt idx="2">
                  <c:v>183.6</c:v>
                </c:pt>
                <c:pt idx="3">
                  <c:v>317.60000000000002</c:v>
                </c:pt>
              </c:numCache>
            </c:numRef>
          </c:val>
        </c:ser>
        <c:ser>
          <c:idx val="1"/>
          <c:order val="1"/>
          <c:tx>
            <c:v>White</c:v>
          </c:tx>
          <c:spPr>
            <a:ln>
              <a:solidFill>
                <a:sysClr val="windowText" lastClr="000000"/>
              </a:solidFill>
            </a:ln>
          </c:spPr>
          <c:invertIfNegative val="0"/>
          <c:dLbls>
            <c:dLbl>
              <c:idx val="1"/>
              <c:layout>
                <c:manualLayout>
                  <c:x val="8.3333333333332829E-3"/>
                  <c:y val="0"/>
                </c:manualLayout>
              </c:layout>
              <c:dLblPos val="outEnd"/>
              <c:showLegendKey val="0"/>
              <c:showVal val="1"/>
              <c:showCatName val="0"/>
              <c:showSerName val="0"/>
              <c:showPercent val="0"/>
              <c:showBubbleSize val="0"/>
            </c:dLbl>
            <c:dLbl>
              <c:idx val="3"/>
              <c:layout>
                <c:manualLayout>
                  <c:x val="1.1111111111111112E-2"/>
                  <c:y val="-4.6296296296296294E-3"/>
                </c:manualLayout>
              </c:layout>
              <c:dLblPos val="outEnd"/>
              <c:showLegendKey val="0"/>
              <c:showVal val="1"/>
              <c:showCatName val="0"/>
              <c:showSerName val="0"/>
              <c:showPercent val="0"/>
              <c:showBubbleSize val="0"/>
            </c:dLbl>
            <c:txPr>
              <a:bodyPr/>
              <a:lstStyle/>
              <a:p>
                <a:pPr>
                  <a:defRPr sz="800"/>
                </a:pPr>
                <a:endParaRPr lang="en-US"/>
              </a:p>
            </c:txPr>
            <c:dLblPos val="outEnd"/>
            <c:showLegendKey val="0"/>
            <c:showVal val="1"/>
            <c:showCatName val="0"/>
            <c:showSerName val="0"/>
            <c:showPercent val="0"/>
            <c:showBubbleSize val="0"/>
            <c:showLeaderLines val="0"/>
          </c:dLbls>
          <c:errBars>
            <c:errBarType val="both"/>
            <c:errValType val="cust"/>
            <c:noEndCap val="0"/>
            <c:plus>
              <c:numRef>
                <c:f>'Page 10 (All Sites)'!$G$2:$G$5</c:f>
                <c:numCache>
                  <c:formatCode>General</c:formatCode>
                  <c:ptCount val="4"/>
                  <c:pt idx="0">
                    <c:v>3.1999999999999886</c:v>
                  </c:pt>
                  <c:pt idx="1">
                    <c:v>4</c:v>
                  </c:pt>
                  <c:pt idx="2">
                    <c:v>1.9000000000000057</c:v>
                  </c:pt>
                  <c:pt idx="3">
                    <c:v>2.8000000000000114</c:v>
                  </c:pt>
                </c:numCache>
              </c:numRef>
            </c:plus>
            <c:minus>
              <c:numRef>
                <c:f>'Page 10 (All Sites)'!$E$2:$E$5</c:f>
                <c:numCache>
                  <c:formatCode>General</c:formatCode>
                  <c:ptCount val="4"/>
                  <c:pt idx="0">
                    <c:v>3.3000000000000114</c:v>
                  </c:pt>
                  <c:pt idx="1">
                    <c:v>4</c:v>
                  </c:pt>
                  <c:pt idx="2">
                    <c:v>1.9000000000000057</c:v>
                  </c:pt>
                  <c:pt idx="3">
                    <c:v>2.6999999999999886</c:v>
                  </c:pt>
                </c:numCache>
              </c:numRef>
            </c:minus>
          </c:errBars>
          <c:cat>
            <c:strRef>
              <c:f>'Page 10 (All Sites)'!$A$2:$A$5</c:f>
              <c:strCache>
                <c:ptCount val="4"/>
                <c:pt idx="0">
                  <c:v>Female Incidence</c:v>
                </c:pt>
                <c:pt idx="1">
                  <c:v>Male Incidence</c:v>
                </c:pt>
                <c:pt idx="2">
                  <c:v>Female Mortality</c:v>
                </c:pt>
                <c:pt idx="3">
                  <c:v>Male Mortality</c:v>
                </c:pt>
              </c:strCache>
            </c:strRef>
          </c:cat>
          <c:val>
            <c:numRef>
              <c:f>'Page 10 (All Sites)'!$C$2:$C$5</c:f>
              <c:numCache>
                <c:formatCode>General</c:formatCode>
                <c:ptCount val="4"/>
                <c:pt idx="0" formatCode="0.0">
                  <c:v>423.7</c:v>
                </c:pt>
                <c:pt idx="1">
                  <c:v>546.5</c:v>
                </c:pt>
                <c:pt idx="2">
                  <c:v>152.1</c:v>
                </c:pt>
                <c:pt idx="3">
                  <c:v>237.7</c:v>
                </c:pt>
              </c:numCache>
            </c:numRef>
          </c:val>
        </c:ser>
        <c:dLbls>
          <c:showLegendKey val="0"/>
          <c:showVal val="0"/>
          <c:showCatName val="0"/>
          <c:showSerName val="0"/>
          <c:showPercent val="0"/>
          <c:showBubbleSize val="0"/>
        </c:dLbls>
        <c:gapWidth val="50"/>
        <c:axId val="191206400"/>
        <c:axId val="164574272"/>
      </c:barChart>
      <c:catAx>
        <c:axId val="191206400"/>
        <c:scaling>
          <c:orientation val="minMax"/>
        </c:scaling>
        <c:delete val="0"/>
        <c:axPos val="b"/>
        <c:majorTickMark val="out"/>
        <c:minorTickMark val="none"/>
        <c:tickLblPos val="nextTo"/>
        <c:txPr>
          <a:bodyPr/>
          <a:lstStyle/>
          <a:p>
            <a:pPr>
              <a:defRPr sz="900"/>
            </a:pPr>
            <a:endParaRPr lang="en-US"/>
          </a:p>
        </c:txPr>
        <c:crossAx val="164574272"/>
        <c:crosses val="autoZero"/>
        <c:auto val="1"/>
        <c:lblAlgn val="ctr"/>
        <c:lblOffset val="100"/>
        <c:noMultiLvlLbl val="0"/>
      </c:catAx>
      <c:valAx>
        <c:axId val="164574272"/>
        <c:scaling>
          <c:orientation val="minMax"/>
        </c:scaling>
        <c:delete val="0"/>
        <c:axPos val="l"/>
        <c:title>
          <c:tx>
            <c:rich>
              <a:bodyPr rot="-5400000" vert="horz"/>
              <a:lstStyle/>
              <a:p>
                <a:pPr>
                  <a:defRPr sz="900"/>
                </a:pPr>
                <a:r>
                  <a:rPr lang="en-US" sz="900"/>
                  <a:t>Age-Adjusted Rate</a:t>
                </a:r>
                <a:r>
                  <a:rPr lang="en-US" sz="900" baseline="0"/>
                  <a:t> per 100,000</a:t>
                </a:r>
                <a:endParaRPr lang="en-US" sz="900"/>
              </a:p>
            </c:rich>
          </c:tx>
          <c:layout>
            <c:manualLayout>
              <c:xMode val="edge"/>
              <c:yMode val="edge"/>
              <c:x val="1.9444444444444445E-2"/>
              <c:y val="0.21772018081073194"/>
            </c:manualLayout>
          </c:layout>
          <c:overlay val="0"/>
        </c:title>
        <c:numFmt formatCode="0" sourceLinked="0"/>
        <c:majorTickMark val="out"/>
        <c:minorTickMark val="none"/>
        <c:tickLblPos val="nextTo"/>
        <c:txPr>
          <a:bodyPr/>
          <a:lstStyle/>
          <a:p>
            <a:pPr>
              <a:defRPr sz="900"/>
            </a:pPr>
            <a:endParaRPr lang="en-US"/>
          </a:p>
        </c:txPr>
        <c:crossAx val="191206400"/>
        <c:crosses val="autoZero"/>
        <c:crossBetween val="between"/>
      </c:valAx>
      <c:spPr>
        <a:solidFill>
          <a:schemeClr val="bg1"/>
        </a:solidFill>
        <a:ln w="25400">
          <a:noFill/>
        </a:ln>
      </c:spPr>
    </c:plotArea>
    <c:legend>
      <c:legendPos val="r"/>
      <c:layout>
        <c:manualLayout>
          <c:xMode val="edge"/>
          <c:yMode val="edge"/>
          <c:x val="0.83123709536307966"/>
          <c:y val="0.35823891805191016"/>
          <c:w val="0.11598512685914261"/>
          <c:h val="0.16743438320209975"/>
        </c:manualLayout>
      </c:layout>
      <c:overlay val="0"/>
      <c:txPr>
        <a:bodyPr/>
        <a:lstStyle/>
        <a:p>
          <a:pPr>
            <a:defRPr sz="900"/>
          </a:pPr>
          <a:endParaRPr lang="en-US"/>
        </a:p>
      </c:txPr>
    </c:legend>
    <c:plotVisOnly val="1"/>
    <c:dispBlanksAs val="gap"/>
    <c:showDLblsOverMax val="0"/>
  </c:chart>
  <c:spPr>
    <a:solidFill>
      <a:schemeClr val="bg1"/>
    </a:solid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All Sites Combined</a:t>
            </a:r>
            <a:r>
              <a:rPr lang="en-US" sz="1300" baseline="0"/>
              <a:t> By Age Group, Tennessee, 2008-2012</a:t>
            </a:r>
            <a:endParaRPr lang="en-US" sz="1300"/>
          </a:p>
        </c:rich>
      </c:tx>
      <c:overlay val="0"/>
    </c:title>
    <c:autoTitleDeleted val="0"/>
    <c:plotArea>
      <c:layout>
        <c:manualLayout>
          <c:layoutTarget val="inner"/>
          <c:xMode val="edge"/>
          <c:yMode val="edge"/>
          <c:x val="0.15038761229642114"/>
          <c:y val="0.19401426241953365"/>
          <c:w val="0.66718125734802525"/>
          <c:h val="0.60203506377224902"/>
        </c:manualLayout>
      </c:layout>
      <c:barChart>
        <c:barDir val="col"/>
        <c:grouping val="clustered"/>
        <c:varyColors val="0"/>
        <c:ser>
          <c:idx val="0"/>
          <c:order val="0"/>
          <c:tx>
            <c:strRef>
              <c:f>'Page 10 (All Sites)'!$B$24</c:f>
              <c:strCache>
                <c:ptCount val="1"/>
                <c:pt idx="0">
                  <c:v>Incidence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10 (All Sites)'!$E$25:$E$28</c:f>
                <c:numCache>
                  <c:formatCode>General</c:formatCode>
                  <c:ptCount val="4"/>
                  <c:pt idx="0">
                    <c:v>1</c:v>
                  </c:pt>
                  <c:pt idx="1">
                    <c:v>2.2000000000000028</c:v>
                  </c:pt>
                  <c:pt idx="2">
                    <c:v>5.6000000000000227</c:v>
                  </c:pt>
                  <c:pt idx="3">
                    <c:v>13.800000000000182</c:v>
                  </c:pt>
                </c:numCache>
              </c:numRef>
            </c:plus>
            <c:minus>
              <c:numRef>
                <c:f>'Page 10 (All Sites)'!$D$25:$D$28</c:f>
                <c:numCache>
                  <c:formatCode>General</c:formatCode>
                  <c:ptCount val="4"/>
                  <c:pt idx="0">
                    <c:v>0.89999999999999858</c:v>
                  </c:pt>
                  <c:pt idx="1">
                    <c:v>2.1999999999999886</c:v>
                  </c:pt>
                  <c:pt idx="2">
                    <c:v>5.7000000000000455</c:v>
                  </c:pt>
                  <c:pt idx="3">
                    <c:v>13.800000000000182</c:v>
                  </c:pt>
                </c:numCache>
              </c:numRef>
            </c:minus>
          </c:errBars>
          <c:cat>
            <c:strRef>
              <c:f>'Page 10 (All Sites)'!$A$25:$A$28</c:f>
              <c:strCache>
                <c:ptCount val="4"/>
                <c:pt idx="0">
                  <c:v>0-19</c:v>
                </c:pt>
                <c:pt idx="1">
                  <c:v>20-44</c:v>
                </c:pt>
                <c:pt idx="2">
                  <c:v>45-64</c:v>
                </c:pt>
                <c:pt idx="3">
                  <c:v>65+</c:v>
                </c:pt>
              </c:strCache>
            </c:strRef>
          </c:cat>
          <c:val>
            <c:numRef>
              <c:f>'Page 10 (All Sites)'!$B$25:$B$28</c:f>
              <c:numCache>
                <c:formatCode>General</c:formatCode>
                <c:ptCount val="4"/>
                <c:pt idx="0">
                  <c:v>17.7</c:v>
                </c:pt>
                <c:pt idx="1">
                  <c:v>122.6</c:v>
                </c:pt>
                <c:pt idx="2">
                  <c:v>732.6</c:v>
                </c:pt>
                <c:pt idx="3" formatCode="#,##0.00">
                  <c:v>2082</c:v>
                </c:pt>
              </c:numCache>
            </c:numRef>
          </c:val>
        </c:ser>
        <c:ser>
          <c:idx val="1"/>
          <c:order val="1"/>
          <c:tx>
            <c:strRef>
              <c:f>'Page 10 (All Sites)'!$C$24</c:f>
              <c:strCache>
                <c:ptCount val="1"/>
                <c:pt idx="0">
                  <c:v>Mortality</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10 (All Sites)'!$G$25:$G$28</c:f>
                <c:numCache>
                  <c:formatCode>General</c:formatCode>
                  <c:ptCount val="4"/>
                  <c:pt idx="0">
                    <c:v>0.39999999999999991</c:v>
                  </c:pt>
                  <c:pt idx="1">
                    <c:v>0.90000000000000213</c:v>
                  </c:pt>
                  <c:pt idx="2">
                    <c:v>3.1000000000000227</c:v>
                  </c:pt>
                  <c:pt idx="3">
                    <c:v>10</c:v>
                  </c:pt>
                </c:numCache>
              </c:numRef>
            </c:plus>
            <c:minus>
              <c:numRef>
                <c:f>'Page 10 (All Sites)'!$F$25:$F$28</c:f>
                <c:numCache>
                  <c:formatCode>General</c:formatCode>
                  <c:ptCount val="4"/>
                  <c:pt idx="0">
                    <c:v>0.29999999999999982</c:v>
                  </c:pt>
                  <c:pt idx="1">
                    <c:v>0.89999999999999858</c:v>
                  </c:pt>
                  <c:pt idx="2">
                    <c:v>3.0999999999999943</c:v>
                  </c:pt>
                  <c:pt idx="3">
                    <c:v>10</c:v>
                  </c:pt>
                </c:numCache>
              </c:numRef>
            </c:minus>
          </c:errBars>
          <c:cat>
            <c:strRef>
              <c:f>'Page 10 (All Sites)'!$A$25:$A$28</c:f>
              <c:strCache>
                <c:ptCount val="4"/>
                <c:pt idx="0">
                  <c:v>0-19</c:v>
                </c:pt>
                <c:pt idx="1">
                  <c:v>20-44</c:v>
                </c:pt>
                <c:pt idx="2">
                  <c:v>45-64</c:v>
                </c:pt>
                <c:pt idx="3">
                  <c:v>65+</c:v>
                </c:pt>
              </c:strCache>
            </c:strRef>
          </c:cat>
          <c:val>
            <c:numRef>
              <c:f>'Page 10 (All Sites)'!$C$25:$C$28</c:f>
              <c:numCache>
                <c:formatCode>General</c:formatCode>
                <c:ptCount val="4"/>
                <c:pt idx="0">
                  <c:v>2.5</c:v>
                </c:pt>
                <c:pt idx="1">
                  <c:v>20.2</c:v>
                </c:pt>
                <c:pt idx="2">
                  <c:v>224.2</c:v>
                </c:pt>
                <c:pt idx="3" formatCode="#,##0.0">
                  <c:v>1060.5999999999999</c:v>
                </c:pt>
              </c:numCache>
            </c:numRef>
          </c:val>
        </c:ser>
        <c:dLbls>
          <c:showLegendKey val="0"/>
          <c:showVal val="0"/>
          <c:showCatName val="0"/>
          <c:showSerName val="0"/>
          <c:showPercent val="0"/>
          <c:showBubbleSize val="0"/>
        </c:dLbls>
        <c:gapWidth val="50"/>
        <c:axId val="191208448"/>
        <c:axId val="187057856"/>
      </c:barChart>
      <c:catAx>
        <c:axId val="191208448"/>
        <c:scaling>
          <c:orientation val="minMax"/>
        </c:scaling>
        <c:delete val="0"/>
        <c:axPos val="b"/>
        <c:title>
          <c:tx>
            <c:rich>
              <a:bodyPr/>
              <a:lstStyle/>
              <a:p>
                <a:pPr>
                  <a:defRPr sz="900"/>
                </a:pPr>
                <a:r>
                  <a:rPr lang="en-US" sz="900"/>
                  <a:t>Age Group</a:t>
                </a:r>
              </a:p>
            </c:rich>
          </c:tx>
          <c:overlay val="0"/>
        </c:title>
        <c:majorTickMark val="out"/>
        <c:minorTickMark val="none"/>
        <c:tickLblPos val="nextTo"/>
        <c:txPr>
          <a:bodyPr/>
          <a:lstStyle/>
          <a:p>
            <a:pPr>
              <a:defRPr sz="900"/>
            </a:pPr>
            <a:endParaRPr lang="en-US"/>
          </a:p>
        </c:txPr>
        <c:crossAx val="187057856"/>
        <c:crosses val="autoZero"/>
        <c:auto val="1"/>
        <c:lblAlgn val="ctr"/>
        <c:lblOffset val="100"/>
        <c:noMultiLvlLbl val="0"/>
      </c:catAx>
      <c:valAx>
        <c:axId val="187057856"/>
        <c:scaling>
          <c:orientation val="minMax"/>
        </c:scaling>
        <c:delete val="0"/>
        <c:axPos val="l"/>
        <c:title>
          <c:tx>
            <c:rich>
              <a:bodyPr rot="-5400000" vert="horz"/>
              <a:lstStyle/>
              <a:p>
                <a:pPr>
                  <a:defRPr sz="900"/>
                </a:pPr>
                <a:r>
                  <a:rPr lang="en-US" sz="900"/>
                  <a:t>Age-Adjusted Rate per 100,000</a:t>
                </a:r>
              </a:p>
            </c:rich>
          </c:tx>
          <c:overlay val="0"/>
        </c:title>
        <c:numFmt formatCode="#,##0" sourceLinked="0"/>
        <c:majorTickMark val="out"/>
        <c:minorTickMark val="none"/>
        <c:tickLblPos val="nextTo"/>
        <c:crossAx val="191208448"/>
        <c:crosses val="autoZero"/>
        <c:crossBetween val="between"/>
      </c:valAx>
      <c:spPr>
        <a:noFill/>
      </c:spPr>
    </c:plotArea>
    <c:legend>
      <c:legendPos val="r"/>
      <c:layout>
        <c:manualLayout>
          <c:xMode val="edge"/>
          <c:yMode val="edge"/>
          <c:x val="0.82457991044208567"/>
          <c:y val="0.32642667035041667"/>
          <c:w val="0.15270979345733324"/>
          <c:h val="0.15339945664686652"/>
        </c:manualLayout>
      </c:layout>
      <c:overlay val="0"/>
      <c:txPr>
        <a:bodyPr/>
        <a:lstStyle/>
        <a:p>
          <a:pPr>
            <a:defRPr sz="900"/>
          </a:pPr>
          <a:endParaRPr lang="en-US"/>
        </a:p>
      </c:txPr>
    </c:legend>
    <c:plotVisOnly val="1"/>
    <c:dispBlanksAs val="gap"/>
    <c:showDLblsOverMax val="0"/>
  </c:chart>
  <c:spPr>
    <a:solidFill>
      <a:schemeClr val="bg1"/>
    </a:solid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a:t>
            </a:r>
            <a:r>
              <a:rPr lang="en-US" sz="1300" baseline="0"/>
              <a:t> and Mortality Time Trends All Sites Combined, Tennessee, 2008-2012</a:t>
            </a:r>
            <a:endParaRPr lang="en-US" sz="1300"/>
          </a:p>
        </c:rich>
      </c:tx>
      <c:overlay val="0"/>
    </c:title>
    <c:autoTitleDeleted val="0"/>
    <c:plotArea>
      <c:layout>
        <c:manualLayout>
          <c:layoutTarget val="inner"/>
          <c:xMode val="edge"/>
          <c:yMode val="edge"/>
          <c:x val="7.4879094974239321E-2"/>
          <c:y val="0.14243038561975943"/>
          <c:w val="0.90859446388645848"/>
          <c:h val="0.68546750283665525"/>
        </c:manualLayout>
      </c:layout>
      <c:barChart>
        <c:barDir val="col"/>
        <c:grouping val="clustered"/>
        <c:varyColors val="0"/>
        <c:ser>
          <c:idx val="0"/>
          <c:order val="0"/>
          <c:tx>
            <c:strRef>
              <c:f>'Page 11 (All Sites)'!$B$28</c:f>
              <c:strCache>
                <c:ptCount val="1"/>
                <c:pt idx="0">
                  <c:v>Incidence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11 (All Sites)'!$E$29:$E$33</c:f>
                <c:numCache>
                  <c:formatCode>General</c:formatCode>
                  <c:ptCount val="5"/>
                  <c:pt idx="0">
                    <c:v>5.2999999999999545</c:v>
                  </c:pt>
                  <c:pt idx="1">
                    <c:v>5.3000000000000114</c:v>
                  </c:pt>
                  <c:pt idx="2">
                    <c:v>5.1999999999999886</c:v>
                  </c:pt>
                  <c:pt idx="3">
                    <c:v>5.1000000000000227</c:v>
                  </c:pt>
                  <c:pt idx="4">
                    <c:v>5</c:v>
                  </c:pt>
                </c:numCache>
              </c:numRef>
            </c:plus>
            <c:minus>
              <c:numRef>
                <c:f>'Page 11 (All Sites)'!$D$29:$D$33</c:f>
                <c:numCache>
                  <c:formatCode>General</c:formatCode>
                  <c:ptCount val="5"/>
                  <c:pt idx="0">
                    <c:v>5.3000000000000114</c:v>
                  </c:pt>
                  <c:pt idx="1">
                    <c:v>5.3000000000000114</c:v>
                  </c:pt>
                  <c:pt idx="2">
                    <c:v>5.1000000000000227</c:v>
                  </c:pt>
                  <c:pt idx="3">
                    <c:v>5.0999999999999659</c:v>
                  </c:pt>
                  <c:pt idx="4">
                    <c:v>4.8999999999999773</c:v>
                  </c:pt>
                </c:numCache>
              </c:numRef>
            </c:minus>
          </c:errBars>
          <c:cat>
            <c:numRef>
              <c:f>'Page 11 (All Sites)'!$A$29:$A$33</c:f>
              <c:numCache>
                <c:formatCode>General</c:formatCode>
                <c:ptCount val="5"/>
                <c:pt idx="0">
                  <c:v>2008</c:v>
                </c:pt>
                <c:pt idx="1">
                  <c:v>2009</c:v>
                </c:pt>
                <c:pt idx="2">
                  <c:v>2010</c:v>
                </c:pt>
                <c:pt idx="3">
                  <c:v>2011</c:v>
                </c:pt>
                <c:pt idx="4">
                  <c:v>2012</c:v>
                </c:pt>
              </c:numCache>
            </c:numRef>
          </c:cat>
          <c:val>
            <c:numRef>
              <c:f>'Page 11 (All Sites)'!$B$29:$B$33</c:f>
              <c:numCache>
                <c:formatCode>General</c:formatCode>
                <c:ptCount val="5"/>
                <c:pt idx="0">
                  <c:v>483.6</c:v>
                </c:pt>
                <c:pt idx="1">
                  <c:v>489.2</c:v>
                </c:pt>
                <c:pt idx="2">
                  <c:v>475.6</c:v>
                </c:pt>
                <c:pt idx="3">
                  <c:v>471.4</c:v>
                </c:pt>
                <c:pt idx="4">
                  <c:v>459.9</c:v>
                </c:pt>
              </c:numCache>
            </c:numRef>
          </c:val>
        </c:ser>
        <c:ser>
          <c:idx val="1"/>
          <c:order val="1"/>
          <c:tx>
            <c:strRef>
              <c:f>'Page 11 (All Sites)'!$C$28</c:f>
              <c:strCache>
                <c:ptCount val="1"/>
                <c:pt idx="0">
                  <c:v>Mortality</c:v>
                </c:pt>
              </c:strCache>
            </c:strRef>
          </c:tx>
          <c:spPr>
            <a:ln>
              <a:solidFill>
                <a:sysClr val="windowText" lastClr="000000"/>
              </a:solidFill>
            </a:ln>
          </c:spPr>
          <c:invertIfNegative val="0"/>
          <c:dLbls>
            <c:dLbl>
              <c:idx val="0"/>
              <c:layout>
                <c:manualLayout>
                  <c:x val="9.4161958568738224E-3"/>
                  <c:y val="0"/>
                </c:manualLayout>
              </c:layout>
              <c:showLegendKey val="0"/>
              <c:showVal val="1"/>
              <c:showCatName val="0"/>
              <c:showSerName val="0"/>
              <c:showPercent val="0"/>
              <c:showBubbleSize val="0"/>
            </c:dLbl>
            <c:dLbl>
              <c:idx val="1"/>
              <c:layout>
                <c:manualLayout>
                  <c:x val="9.4161958568738224E-3"/>
                  <c:y val="0"/>
                </c:manualLayout>
              </c:layout>
              <c:showLegendKey val="0"/>
              <c:showVal val="1"/>
              <c:showCatName val="0"/>
              <c:showSerName val="0"/>
              <c:showPercent val="0"/>
              <c:showBubbleSize val="0"/>
            </c:dLbl>
            <c:dLbl>
              <c:idx val="2"/>
              <c:layout>
                <c:manualLayout>
                  <c:x val="6.2774639045825482E-3"/>
                  <c:y val="0"/>
                </c:manualLayout>
              </c:layout>
              <c:showLegendKey val="0"/>
              <c:showVal val="1"/>
              <c:showCatName val="0"/>
              <c:showSerName val="0"/>
              <c:showPercent val="0"/>
              <c:showBubbleSize val="0"/>
            </c:dLbl>
            <c:dLbl>
              <c:idx val="3"/>
              <c:layout>
                <c:manualLayout>
                  <c:x val="9.4161958568738224E-3"/>
                  <c:y val="0"/>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11 (All Sites)'!$G$29:$G$33</c:f>
                <c:numCache>
                  <c:formatCode>General</c:formatCode>
                  <c:ptCount val="5"/>
                  <c:pt idx="0">
                    <c:v>3.5</c:v>
                  </c:pt>
                  <c:pt idx="1">
                    <c:v>3.4000000000000057</c:v>
                  </c:pt>
                  <c:pt idx="2">
                    <c:v>3.4000000000000057</c:v>
                  </c:pt>
                  <c:pt idx="3">
                    <c:v>3.3000000000000114</c:v>
                  </c:pt>
                  <c:pt idx="4">
                    <c:v>3.1999999999999886</c:v>
                  </c:pt>
                </c:numCache>
              </c:numRef>
            </c:plus>
            <c:minus>
              <c:numRef>
                <c:f>'Page 11 (All Sites)'!$F$29:$F$33</c:f>
                <c:numCache>
                  <c:formatCode>General</c:formatCode>
                  <c:ptCount val="5"/>
                  <c:pt idx="0">
                    <c:v>3.4000000000000057</c:v>
                  </c:pt>
                  <c:pt idx="1">
                    <c:v>3.2999999999999829</c:v>
                  </c:pt>
                  <c:pt idx="2">
                    <c:v>3.3000000000000114</c:v>
                  </c:pt>
                  <c:pt idx="3">
                    <c:v>3.1999999999999886</c:v>
                  </c:pt>
                  <c:pt idx="4">
                    <c:v>3.0999999999999943</c:v>
                  </c:pt>
                </c:numCache>
              </c:numRef>
            </c:minus>
          </c:errBars>
          <c:cat>
            <c:numRef>
              <c:f>'Page 11 (All Sites)'!$A$29:$A$33</c:f>
              <c:numCache>
                <c:formatCode>General</c:formatCode>
                <c:ptCount val="5"/>
                <c:pt idx="0">
                  <c:v>2008</c:v>
                </c:pt>
                <c:pt idx="1">
                  <c:v>2009</c:v>
                </c:pt>
                <c:pt idx="2">
                  <c:v>2010</c:v>
                </c:pt>
                <c:pt idx="3">
                  <c:v>2011</c:v>
                </c:pt>
                <c:pt idx="4">
                  <c:v>2012</c:v>
                </c:pt>
              </c:numCache>
            </c:numRef>
          </c:cat>
          <c:val>
            <c:numRef>
              <c:f>'Page 11 (All Sites)'!$C$29:$C$33</c:f>
              <c:numCache>
                <c:formatCode>General</c:formatCode>
                <c:ptCount val="5"/>
                <c:pt idx="0">
                  <c:v>196.3</c:v>
                </c:pt>
                <c:pt idx="1">
                  <c:v>196.6</c:v>
                </c:pt>
                <c:pt idx="2">
                  <c:v>193.5</c:v>
                </c:pt>
                <c:pt idx="3">
                  <c:v>187.6</c:v>
                </c:pt>
                <c:pt idx="4" formatCode="0.0">
                  <c:v>186</c:v>
                </c:pt>
              </c:numCache>
            </c:numRef>
          </c:val>
        </c:ser>
        <c:dLbls>
          <c:showLegendKey val="0"/>
          <c:showVal val="0"/>
          <c:showCatName val="0"/>
          <c:showSerName val="0"/>
          <c:showPercent val="0"/>
          <c:showBubbleSize val="0"/>
        </c:dLbls>
        <c:gapWidth val="50"/>
        <c:axId val="191378944"/>
        <c:axId val="187059584"/>
      </c:barChart>
      <c:catAx>
        <c:axId val="191378944"/>
        <c:scaling>
          <c:orientation val="minMax"/>
        </c:scaling>
        <c:delete val="0"/>
        <c:axPos val="b"/>
        <c:title>
          <c:tx>
            <c:rich>
              <a:bodyPr/>
              <a:lstStyle/>
              <a:p>
                <a:pPr>
                  <a:defRPr sz="900"/>
                </a:pPr>
                <a:r>
                  <a:rPr lang="en-US" sz="900"/>
                  <a:t>Year of Diagnosis or Death</a:t>
                </a:r>
              </a:p>
            </c:rich>
          </c:tx>
          <c:layout>
            <c:manualLayout>
              <c:xMode val="edge"/>
              <c:yMode val="edge"/>
              <c:x val="0.45175379119276765"/>
              <c:y val="0.89214090390850476"/>
            </c:manualLayout>
          </c:layout>
          <c:overlay val="0"/>
        </c:title>
        <c:numFmt formatCode="General" sourceLinked="1"/>
        <c:majorTickMark val="out"/>
        <c:minorTickMark val="none"/>
        <c:tickLblPos val="nextTo"/>
        <c:txPr>
          <a:bodyPr/>
          <a:lstStyle/>
          <a:p>
            <a:pPr>
              <a:defRPr sz="900"/>
            </a:pPr>
            <a:endParaRPr lang="en-US"/>
          </a:p>
        </c:txPr>
        <c:crossAx val="187059584"/>
        <c:crosses val="autoZero"/>
        <c:auto val="1"/>
        <c:lblAlgn val="ctr"/>
        <c:lblOffset val="100"/>
        <c:noMultiLvlLbl val="0"/>
      </c:catAx>
      <c:valAx>
        <c:axId val="187059584"/>
        <c:scaling>
          <c:orientation val="minMax"/>
        </c:scaling>
        <c:delete val="0"/>
        <c:axPos val="l"/>
        <c:title>
          <c:tx>
            <c:rich>
              <a:bodyPr rot="-5400000" vert="horz"/>
              <a:lstStyle/>
              <a:p>
                <a:pPr>
                  <a:defRPr sz="900"/>
                </a:pPr>
                <a:r>
                  <a:rPr lang="en-US" sz="900"/>
                  <a:t>Age-Adjusted Rate per 100,000</a:t>
                </a:r>
              </a:p>
            </c:rich>
          </c:tx>
          <c:overlay val="0"/>
        </c:title>
        <c:numFmt formatCode="General" sourceLinked="1"/>
        <c:majorTickMark val="out"/>
        <c:minorTickMark val="none"/>
        <c:tickLblPos val="nextTo"/>
        <c:txPr>
          <a:bodyPr/>
          <a:lstStyle/>
          <a:p>
            <a:pPr>
              <a:defRPr sz="900"/>
            </a:pPr>
            <a:endParaRPr lang="en-US"/>
          </a:p>
        </c:txPr>
        <c:crossAx val="191378944"/>
        <c:crosses val="autoZero"/>
        <c:crossBetween val="between"/>
      </c:valAx>
    </c:plotArea>
    <c:legend>
      <c:legendPos val="r"/>
      <c:layout>
        <c:manualLayout>
          <c:xMode val="edge"/>
          <c:yMode val="edge"/>
          <c:x val="0.43835095265869545"/>
          <c:y val="0.92045974810275411"/>
          <c:w val="0.17568965602463535"/>
          <c:h val="7.8170071131694538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 All Sites Combined,</a:t>
            </a:r>
          </a:p>
          <a:p>
            <a:pPr>
              <a:defRPr/>
            </a:pPr>
            <a:r>
              <a:rPr lang="en-US" sz="1300"/>
              <a:t> Tennessee,</a:t>
            </a:r>
            <a:r>
              <a:rPr lang="en-US" sz="1300" baseline="0"/>
              <a:t> 2008-2012</a:t>
            </a:r>
            <a:endParaRPr lang="en-US" sz="1300"/>
          </a:p>
        </c:rich>
      </c:tx>
      <c:overlay val="0"/>
    </c:title>
    <c:autoTitleDeleted val="0"/>
    <c:view3D>
      <c:rotX val="15"/>
      <c:rotY val="0"/>
      <c:rAngAx val="0"/>
      <c:perspective val="10"/>
    </c:view3D>
    <c:floor>
      <c:thickness val="0"/>
    </c:floor>
    <c:sideWall>
      <c:thickness val="0"/>
    </c:sideWall>
    <c:backWall>
      <c:thickness val="0"/>
    </c:backWall>
    <c:plotArea>
      <c:layout/>
      <c:pie3DChart>
        <c:varyColors val="1"/>
        <c:ser>
          <c:idx val="0"/>
          <c:order val="0"/>
          <c:tx>
            <c:strRef>
              <c:f>'Page 12 (All Sites)'!$B$1</c:f>
              <c:strCache>
                <c:ptCount val="1"/>
                <c:pt idx="0">
                  <c:v>Column %</c:v>
                </c:pt>
              </c:strCache>
            </c:strRef>
          </c:tx>
          <c:spPr>
            <a:ln>
              <a:solidFill>
                <a:sysClr val="windowText" lastClr="000000"/>
              </a:solidFill>
            </a:ln>
          </c:spPr>
          <c:dLbls>
            <c:dLbl>
              <c:idx val="0"/>
              <c:layout>
                <c:manualLayout>
                  <c:x val="-8.5520209643964076E-2"/>
                  <c:y val="6.5298912474530929E-2"/>
                </c:manualLayout>
              </c:layout>
              <c:dLblPos val="bestFit"/>
              <c:showLegendKey val="0"/>
              <c:showVal val="1"/>
              <c:showCatName val="1"/>
              <c:showSerName val="0"/>
              <c:showPercent val="0"/>
              <c:showBubbleSize val="0"/>
            </c:dLbl>
            <c:dLbl>
              <c:idx val="4"/>
              <c:layout>
                <c:manualLayout>
                  <c:x val="6.8714782466979929E-2"/>
                  <c:y val="-4.9367929049447444E-2"/>
                </c:manualLayout>
              </c:layout>
              <c:dLblPos val="bestFit"/>
              <c:showLegendKey val="0"/>
              <c:showVal val="1"/>
              <c:showCatName val="1"/>
              <c:showSerName val="0"/>
              <c:showPercent val="0"/>
              <c:showBubbleSize val="0"/>
            </c:dLbl>
            <c:txPr>
              <a:bodyPr/>
              <a:lstStyle/>
              <a:p>
                <a:pPr>
                  <a:defRPr sz="800"/>
                </a:pPr>
                <a:endParaRPr lang="en-US"/>
              </a:p>
            </c:txPr>
            <c:dLblPos val="bestFit"/>
            <c:showLegendKey val="0"/>
            <c:showVal val="1"/>
            <c:showCatName val="1"/>
            <c:showSerName val="0"/>
            <c:showPercent val="0"/>
            <c:showBubbleSize val="0"/>
            <c:showLeaderLines val="1"/>
          </c:dLbls>
          <c:cat>
            <c:strRef>
              <c:f>'Page 12 (All Sites)'!$A$2:$A$6</c:f>
              <c:strCache>
                <c:ptCount val="5"/>
                <c:pt idx="0">
                  <c:v>In Situ</c:v>
                </c:pt>
                <c:pt idx="1">
                  <c:v>Localized</c:v>
                </c:pt>
                <c:pt idx="2">
                  <c:v>Regional</c:v>
                </c:pt>
                <c:pt idx="3">
                  <c:v>Distant</c:v>
                </c:pt>
                <c:pt idx="4">
                  <c:v>Unknown</c:v>
                </c:pt>
              </c:strCache>
            </c:strRef>
          </c:cat>
          <c:val>
            <c:numRef>
              <c:f>'Page 12 (All Sites)'!$B$2:$B$6</c:f>
              <c:numCache>
                <c:formatCode>0.0%</c:formatCode>
                <c:ptCount val="5"/>
                <c:pt idx="0">
                  <c:v>7.9000000000000001E-2</c:v>
                </c:pt>
                <c:pt idx="1">
                  <c:v>0.42599999999999999</c:v>
                </c:pt>
                <c:pt idx="2">
                  <c:v>0.19600000000000001</c:v>
                </c:pt>
                <c:pt idx="3">
                  <c:v>0.217</c:v>
                </c:pt>
                <c:pt idx="4">
                  <c:v>8.2000000000000003E-2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Cancer Stage,</a:t>
            </a:r>
            <a:r>
              <a:rPr lang="en-US" sz="1300" baseline="0"/>
              <a:t> All Sites Combined</a:t>
            </a:r>
          </a:p>
          <a:p>
            <a:pPr>
              <a:defRPr sz="1300"/>
            </a:pPr>
            <a:r>
              <a:rPr lang="en-US" sz="1300" baseline="0"/>
              <a:t>By Race, Tennessee, 2008-2012</a:t>
            </a:r>
            <a:endParaRPr lang="en-US" sz="1300"/>
          </a:p>
        </c:rich>
      </c:tx>
      <c:layout>
        <c:manualLayout>
          <c:xMode val="edge"/>
          <c:yMode val="edge"/>
          <c:x val="0.1669405443815079"/>
          <c:y val="0"/>
        </c:manualLayout>
      </c:layout>
      <c:overlay val="0"/>
    </c:title>
    <c:autoTitleDeleted val="0"/>
    <c:plotArea>
      <c:layout>
        <c:manualLayout>
          <c:layoutTarget val="inner"/>
          <c:xMode val="edge"/>
          <c:yMode val="edge"/>
          <c:x val="0.1202248013451503"/>
          <c:y val="0.22899838536409284"/>
          <c:w val="0.70862487240304672"/>
          <c:h val="0.59233397385601139"/>
        </c:manualLayout>
      </c:layout>
      <c:barChart>
        <c:barDir val="col"/>
        <c:grouping val="percentStacked"/>
        <c:varyColors val="0"/>
        <c:ser>
          <c:idx val="0"/>
          <c:order val="0"/>
          <c:tx>
            <c:strRef>
              <c:f>'Page 12 (All Sites)'!$A$12</c:f>
              <c:strCache>
                <c:ptCount val="1"/>
                <c:pt idx="0">
                  <c:v>In Situ</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12 (All Sites)'!$B$11:$D$11</c:f>
              <c:strCache>
                <c:ptCount val="3"/>
                <c:pt idx="0">
                  <c:v>Total Population</c:v>
                </c:pt>
                <c:pt idx="1">
                  <c:v>Black</c:v>
                </c:pt>
                <c:pt idx="2">
                  <c:v>White</c:v>
                </c:pt>
              </c:strCache>
            </c:strRef>
          </c:cat>
          <c:val>
            <c:numRef>
              <c:f>'Page 12 (All Sites)'!$B$12:$D$12</c:f>
              <c:numCache>
                <c:formatCode>0.0%</c:formatCode>
                <c:ptCount val="3"/>
                <c:pt idx="0">
                  <c:v>8.6999999999999994E-2</c:v>
                </c:pt>
                <c:pt idx="1">
                  <c:v>5.3999999999999999E-2</c:v>
                </c:pt>
                <c:pt idx="2">
                  <c:v>9.0999999999999998E-2</c:v>
                </c:pt>
              </c:numCache>
            </c:numRef>
          </c:val>
        </c:ser>
        <c:ser>
          <c:idx val="1"/>
          <c:order val="1"/>
          <c:tx>
            <c:strRef>
              <c:f>'Page 12 (All Sites)'!$A$13</c:f>
              <c:strCache>
                <c:ptCount val="1"/>
                <c:pt idx="0">
                  <c:v>Localized</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12 (All Sites)'!$B$11:$D$11</c:f>
              <c:strCache>
                <c:ptCount val="3"/>
                <c:pt idx="0">
                  <c:v>Total Population</c:v>
                </c:pt>
                <c:pt idx="1">
                  <c:v>Black</c:v>
                </c:pt>
                <c:pt idx="2">
                  <c:v>White</c:v>
                </c:pt>
              </c:strCache>
            </c:strRef>
          </c:cat>
          <c:val>
            <c:numRef>
              <c:f>'Page 12 (All Sites)'!$B$13:$D$13</c:f>
              <c:numCache>
                <c:formatCode>0.0%</c:formatCode>
                <c:ptCount val="3"/>
                <c:pt idx="0">
                  <c:v>0.46400000000000002</c:v>
                </c:pt>
                <c:pt idx="1">
                  <c:v>0.44700000000000001</c:v>
                </c:pt>
                <c:pt idx="2">
                  <c:v>0.46600000000000003</c:v>
                </c:pt>
              </c:numCache>
            </c:numRef>
          </c:val>
        </c:ser>
        <c:ser>
          <c:idx val="2"/>
          <c:order val="2"/>
          <c:tx>
            <c:strRef>
              <c:f>'Page 12 (All Sites)'!$A$14</c:f>
              <c:strCache>
                <c:ptCount val="1"/>
                <c:pt idx="0">
                  <c:v>Regional</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12 (All Sites)'!$B$11:$D$11</c:f>
              <c:strCache>
                <c:ptCount val="3"/>
                <c:pt idx="0">
                  <c:v>Total Population</c:v>
                </c:pt>
                <c:pt idx="1">
                  <c:v>Black</c:v>
                </c:pt>
                <c:pt idx="2">
                  <c:v>White</c:v>
                </c:pt>
              </c:strCache>
            </c:strRef>
          </c:cat>
          <c:val>
            <c:numRef>
              <c:f>'Page 12 (All Sites)'!$B$14:$D$14</c:f>
              <c:numCache>
                <c:formatCode>0.0%</c:formatCode>
                <c:ptCount val="3"/>
                <c:pt idx="0">
                  <c:v>0.21299999999999999</c:v>
                </c:pt>
                <c:pt idx="1">
                  <c:v>0.23100000000000001</c:v>
                </c:pt>
                <c:pt idx="2">
                  <c:v>0.21099999999999999</c:v>
                </c:pt>
              </c:numCache>
            </c:numRef>
          </c:val>
        </c:ser>
        <c:ser>
          <c:idx val="3"/>
          <c:order val="3"/>
          <c:tx>
            <c:strRef>
              <c:f>'Page 12 (All Sites)'!$A$15</c:f>
              <c:strCache>
                <c:ptCount val="1"/>
                <c:pt idx="0">
                  <c:v>Distant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12 (All Sites)'!$B$11:$D$11</c:f>
              <c:strCache>
                <c:ptCount val="3"/>
                <c:pt idx="0">
                  <c:v>Total Population</c:v>
                </c:pt>
                <c:pt idx="1">
                  <c:v>Black</c:v>
                </c:pt>
                <c:pt idx="2">
                  <c:v>White</c:v>
                </c:pt>
              </c:strCache>
            </c:strRef>
          </c:cat>
          <c:val>
            <c:numRef>
              <c:f>'Page 12 (All Sites)'!$B$15:$D$15</c:f>
              <c:numCache>
                <c:formatCode>0.0%</c:formatCode>
                <c:ptCount val="3"/>
                <c:pt idx="0">
                  <c:v>0.23599999999999999</c:v>
                </c:pt>
                <c:pt idx="1">
                  <c:v>0.26800000000000002</c:v>
                </c:pt>
                <c:pt idx="2">
                  <c:v>0.23200000000000001</c:v>
                </c:pt>
              </c:numCache>
            </c:numRef>
          </c:val>
        </c:ser>
        <c:dLbls>
          <c:showLegendKey val="0"/>
          <c:showVal val="0"/>
          <c:showCatName val="0"/>
          <c:showSerName val="0"/>
          <c:showPercent val="0"/>
          <c:showBubbleSize val="0"/>
        </c:dLbls>
        <c:gapWidth val="150"/>
        <c:overlap val="100"/>
        <c:axId val="192538112"/>
        <c:axId val="187061312"/>
      </c:barChart>
      <c:catAx>
        <c:axId val="192538112"/>
        <c:scaling>
          <c:orientation val="minMax"/>
        </c:scaling>
        <c:delete val="0"/>
        <c:axPos val="b"/>
        <c:majorTickMark val="out"/>
        <c:minorTickMark val="none"/>
        <c:tickLblPos val="nextTo"/>
        <c:txPr>
          <a:bodyPr/>
          <a:lstStyle/>
          <a:p>
            <a:pPr>
              <a:defRPr sz="900"/>
            </a:pPr>
            <a:endParaRPr lang="en-US"/>
          </a:p>
        </c:txPr>
        <c:crossAx val="187061312"/>
        <c:crosses val="autoZero"/>
        <c:auto val="1"/>
        <c:lblAlgn val="ctr"/>
        <c:lblOffset val="100"/>
        <c:noMultiLvlLbl val="0"/>
      </c:catAx>
      <c:valAx>
        <c:axId val="187061312"/>
        <c:scaling>
          <c:orientation val="minMax"/>
        </c:scaling>
        <c:delete val="0"/>
        <c:axPos val="l"/>
        <c:numFmt formatCode="0%" sourceLinked="1"/>
        <c:majorTickMark val="out"/>
        <c:minorTickMark val="none"/>
        <c:tickLblPos val="nextTo"/>
        <c:txPr>
          <a:bodyPr/>
          <a:lstStyle/>
          <a:p>
            <a:pPr>
              <a:defRPr sz="900"/>
            </a:pPr>
            <a:endParaRPr lang="en-US"/>
          </a:p>
        </c:txPr>
        <c:crossAx val="192538112"/>
        <c:crosses val="autoZero"/>
        <c:crossBetween val="between"/>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Total</a:t>
            </a:r>
            <a:r>
              <a:rPr lang="en-US" sz="1300" baseline="0"/>
              <a:t> Years of Potential Life Lost to Cancer, </a:t>
            </a:r>
          </a:p>
          <a:p>
            <a:pPr>
              <a:defRPr/>
            </a:pPr>
            <a:r>
              <a:rPr lang="en-US" sz="1300" baseline="0"/>
              <a:t>by Gender and Race, Tennessee, 2008-2012</a:t>
            </a:r>
            <a:endParaRPr lang="en-US" sz="1300"/>
          </a:p>
        </c:rich>
      </c:tx>
      <c:overlay val="0"/>
    </c:title>
    <c:autoTitleDeleted val="0"/>
    <c:plotArea>
      <c:layout/>
      <c:barChart>
        <c:barDir val="col"/>
        <c:grouping val="clustered"/>
        <c:varyColors val="0"/>
        <c:ser>
          <c:idx val="0"/>
          <c:order val="0"/>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'YPLL and AYLL'!$B$16:$B$24</c:f>
              <c:strCache>
                <c:ptCount val="9"/>
                <c:pt idx="0">
                  <c:v>Total</c:v>
                </c:pt>
                <c:pt idx="1">
                  <c:v>Female</c:v>
                </c:pt>
                <c:pt idx="2">
                  <c:v>Male</c:v>
                </c:pt>
                <c:pt idx="3">
                  <c:v>Black</c:v>
                </c:pt>
                <c:pt idx="4">
                  <c:v>White</c:v>
                </c:pt>
                <c:pt idx="5">
                  <c:v>Black Female</c:v>
                </c:pt>
                <c:pt idx="6">
                  <c:v>Black Male</c:v>
                </c:pt>
                <c:pt idx="7">
                  <c:v>White Female</c:v>
                </c:pt>
                <c:pt idx="8">
                  <c:v>White Male</c:v>
                </c:pt>
              </c:strCache>
            </c:strRef>
          </c:cat>
          <c:val>
            <c:numRef>
              <c:f>'YPLL and AYLL'!$C$16:$C$24</c:f>
              <c:numCache>
                <c:formatCode>General</c:formatCode>
                <c:ptCount val="9"/>
                <c:pt idx="0">
                  <c:v>562.79999999999995</c:v>
                </c:pt>
                <c:pt idx="1">
                  <c:v>254.7</c:v>
                </c:pt>
                <c:pt idx="2">
                  <c:v>308.10000000000002</c:v>
                </c:pt>
                <c:pt idx="3">
                  <c:v>100.5</c:v>
                </c:pt>
                <c:pt idx="4">
                  <c:v>457.1</c:v>
                </c:pt>
                <c:pt idx="5">
                  <c:v>47.1</c:v>
                </c:pt>
                <c:pt idx="6">
                  <c:v>53.4</c:v>
                </c:pt>
                <c:pt idx="7">
                  <c:v>204.6</c:v>
                </c:pt>
                <c:pt idx="8">
                  <c:v>252.5</c:v>
                </c:pt>
              </c:numCache>
            </c:numRef>
          </c:val>
        </c:ser>
        <c:dLbls>
          <c:showLegendKey val="0"/>
          <c:showVal val="0"/>
          <c:showCatName val="0"/>
          <c:showSerName val="0"/>
          <c:showPercent val="0"/>
          <c:showBubbleSize val="0"/>
        </c:dLbls>
        <c:gapWidth val="150"/>
        <c:axId val="192539648"/>
        <c:axId val="164973376"/>
      </c:barChart>
      <c:catAx>
        <c:axId val="192539648"/>
        <c:scaling>
          <c:orientation val="minMax"/>
        </c:scaling>
        <c:delete val="0"/>
        <c:axPos val="b"/>
        <c:majorTickMark val="out"/>
        <c:minorTickMark val="none"/>
        <c:tickLblPos val="nextTo"/>
        <c:txPr>
          <a:bodyPr/>
          <a:lstStyle/>
          <a:p>
            <a:pPr>
              <a:defRPr sz="900"/>
            </a:pPr>
            <a:endParaRPr lang="en-US"/>
          </a:p>
        </c:txPr>
        <c:crossAx val="164973376"/>
        <c:crosses val="autoZero"/>
        <c:auto val="1"/>
        <c:lblAlgn val="ctr"/>
        <c:lblOffset val="100"/>
        <c:noMultiLvlLbl val="0"/>
      </c:catAx>
      <c:valAx>
        <c:axId val="164973376"/>
        <c:scaling>
          <c:orientation val="minMax"/>
        </c:scaling>
        <c:delete val="0"/>
        <c:axPos val="l"/>
        <c:title>
          <c:tx>
            <c:rich>
              <a:bodyPr rot="-5400000" vert="horz"/>
              <a:lstStyle/>
              <a:p>
                <a:pPr>
                  <a:defRPr sz="900"/>
                </a:pPr>
                <a:r>
                  <a:rPr lang="en-US" sz="900"/>
                  <a:t>Years (in Thousands)</a:t>
                </a:r>
              </a:p>
            </c:rich>
          </c:tx>
          <c:overlay val="0"/>
        </c:title>
        <c:numFmt formatCode="General" sourceLinked="1"/>
        <c:majorTickMark val="out"/>
        <c:minorTickMark val="none"/>
        <c:tickLblPos val="nextTo"/>
        <c:txPr>
          <a:bodyPr/>
          <a:lstStyle/>
          <a:p>
            <a:pPr>
              <a:defRPr sz="900"/>
            </a:pPr>
            <a:endParaRPr lang="en-US"/>
          </a:p>
        </c:txPr>
        <c:crossAx val="192539648"/>
        <c:crosses val="autoZero"/>
        <c:crossBetween val="between"/>
      </c:valAx>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Average Years of Potential Life Lost to Cancer,</a:t>
            </a:r>
            <a:r>
              <a:rPr lang="en-US" sz="1300" baseline="0"/>
              <a:t> </a:t>
            </a:r>
          </a:p>
          <a:p>
            <a:pPr>
              <a:defRPr/>
            </a:pPr>
            <a:r>
              <a:rPr lang="en-US" sz="1300" baseline="0"/>
              <a:t>by Gender and Race, Tennessee, 2008-2012</a:t>
            </a:r>
            <a:endParaRPr lang="en-US" sz="1300"/>
          </a:p>
        </c:rich>
      </c:tx>
      <c:overlay val="0"/>
    </c:title>
    <c:autoTitleDeleted val="0"/>
    <c:plotArea>
      <c:layout/>
      <c:barChart>
        <c:barDir val="col"/>
        <c:grouping val="clustered"/>
        <c:varyColors val="0"/>
        <c:ser>
          <c:idx val="0"/>
          <c:order val="0"/>
          <c:spPr>
            <a:solidFill>
              <a:schemeClr val="accent2"/>
            </a:solidFill>
            <a:ln>
              <a:solidFill>
                <a:sysClr val="windowText" lastClr="000000"/>
              </a:solidFill>
            </a:ln>
          </c:spPr>
          <c:invertIfNegative val="0"/>
          <c:dLbls>
            <c:numFmt formatCode="#,##0.0" sourceLinked="0"/>
            <c:txPr>
              <a:bodyPr/>
              <a:lstStyle/>
              <a:p>
                <a:pPr>
                  <a:defRPr sz="800"/>
                </a:pPr>
                <a:endParaRPr lang="en-US"/>
              </a:p>
            </c:txPr>
            <c:showLegendKey val="0"/>
            <c:showVal val="1"/>
            <c:showCatName val="0"/>
            <c:showSerName val="0"/>
            <c:showPercent val="0"/>
            <c:showBubbleSize val="0"/>
            <c:showLeaderLines val="0"/>
          </c:dLbls>
          <c:cat>
            <c:strRef>
              <c:f>'YPLL and AYLL'!$E$16:$E$24</c:f>
              <c:strCache>
                <c:ptCount val="9"/>
                <c:pt idx="0">
                  <c:v>Total</c:v>
                </c:pt>
                <c:pt idx="1">
                  <c:v>Female</c:v>
                </c:pt>
                <c:pt idx="2">
                  <c:v>Male</c:v>
                </c:pt>
                <c:pt idx="3">
                  <c:v>Black</c:v>
                </c:pt>
                <c:pt idx="4">
                  <c:v>White</c:v>
                </c:pt>
                <c:pt idx="5">
                  <c:v>Black Female</c:v>
                </c:pt>
                <c:pt idx="6">
                  <c:v>Black Male</c:v>
                </c:pt>
                <c:pt idx="7">
                  <c:v>White Female</c:v>
                </c:pt>
                <c:pt idx="8">
                  <c:v>White Male</c:v>
                </c:pt>
              </c:strCache>
            </c:strRef>
          </c:cat>
          <c:val>
            <c:numRef>
              <c:f>'YPLL and AYLL'!$F$16:$F$24</c:f>
              <c:numCache>
                <c:formatCode>0.0</c:formatCode>
                <c:ptCount val="9"/>
                <c:pt idx="0">
                  <c:v>8.3852499999999992</c:v>
                </c:pt>
                <c:pt idx="1">
                  <c:v>8.3380369999999999</c:v>
                </c:pt>
                <c:pt idx="2">
                  <c:v>8.4239320000000006</c:v>
                </c:pt>
                <c:pt idx="3">
                  <c:v>10.61163</c:v>
                </c:pt>
                <c:pt idx="4">
                  <c:v>7.9891639999999997</c:v>
                </c:pt>
                <c:pt idx="5">
                  <c:v>10.555429999999999</c:v>
                </c:pt>
                <c:pt idx="6">
                  <c:v>10.65875</c:v>
                </c:pt>
                <c:pt idx="7">
                  <c:v>7.9154989999999996</c:v>
                </c:pt>
                <c:pt idx="8">
                  <c:v>8.0494760000000003</c:v>
                </c:pt>
              </c:numCache>
            </c:numRef>
          </c:val>
        </c:ser>
        <c:dLbls>
          <c:showLegendKey val="0"/>
          <c:showVal val="0"/>
          <c:showCatName val="0"/>
          <c:showSerName val="0"/>
          <c:showPercent val="0"/>
          <c:showBubbleSize val="0"/>
        </c:dLbls>
        <c:gapWidth val="150"/>
        <c:axId val="192719872"/>
        <c:axId val="164975104"/>
      </c:barChart>
      <c:catAx>
        <c:axId val="192719872"/>
        <c:scaling>
          <c:orientation val="minMax"/>
        </c:scaling>
        <c:delete val="0"/>
        <c:axPos val="b"/>
        <c:majorTickMark val="out"/>
        <c:minorTickMark val="none"/>
        <c:tickLblPos val="nextTo"/>
        <c:txPr>
          <a:bodyPr/>
          <a:lstStyle/>
          <a:p>
            <a:pPr>
              <a:defRPr sz="900"/>
            </a:pPr>
            <a:endParaRPr lang="en-US"/>
          </a:p>
        </c:txPr>
        <c:crossAx val="164975104"/>
        <c:crosses val="autoZero"/>
        <c:auto val="1"/>
        <c:lblAlgn val="ctr"/>
        <c:lblOffset val="100"/>
        <c:noMultiLvlLbl val="0"/>
      </c:catAx>
      <c:valAx>
        <c:axId val="164975104"/>
        <c:scaling>
          <c:orientation val="minMax"/>
        </c:scaling>
        <c:delete val="0"/>
        <c:axPos val="l"/>
        <c:title>
          <c:tx>
            <c:rich>
              <a:bodyPr rot="-5400000" vert="horz"/>
              <a:lstStyle/>
              <a:p>
                <a:pPr>
                  <a:defRPr sz="900"/>
                </a:pPr>
                <a:r>
                  <a:rPr lang="en-US" sz="900"/>
                  <a:t>Years</a:t>
                </a:r>
              </a:p>
            </c:rich>
          </c:tx>
          <c:overlay val="0"/>
        </c:title>
        <c:numFmt formatCode="0" sourceLinked="0"/>
        <c:majorTickMark val="out"/>
        <c:minorTickMark val="none"/>
        <c:tickLblPos val="nextTo"/>
        <c:txPr>
          <a:bodyPr/>
          <a:lstStyle/>
          <a:p>
            <a:pPr>
              <a:defRPr sz="900"/>
            </a:pPr>
            <a:endParaRPr lang="en-US"/>
          </a:p>
        </c:txPr>
        <c:crossAx val="192719872"/>
        <c:crosses val="autoZero"/>
        <c:crossBetween val="between"/>
      </c:valAx>
    </c:plotArea>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Total Years of Potential</a:t>
            </a:r>
            <a:r>
              <a:rPr lang="en-US" sz="1300" baseline="0"/>
              <a:t> Life Lost to Cancer, </a:t>
            </a:r>
          </a:p>
          <a:p>
            <a:pPr>
              <a:defRPr/>
            </a:pPr>
            <a:r>
              <a:rPr lang="en-US" sz="1300" baseline="0"/>
              <a:t>by Most Common Cancer Site, Tennessee, 2008-2012</a:t>
            </a:r>
            <a:endParaRPr lang="en-US" sz="1300"/>
          </a:p>
        </c:rich>
      </c:tx>
      <c:layout>
        <c:manualLayout>
          <c:xMode val="edge"/>
          <c:yMode val="edge"/>
          <c:x val="0.29477908627786531"/>
          <c:y val="2.9357653022547569E-2"/>
        </c:manualLayout>
      </c:layout>
      <c:overlay val="0"/>
    </c:title>
    <c:autoTitleDeleted val="0"/>
    <c:plotArea>
      <c:layout>
        <c:manualLayout>
          <c:layoutTarget val="inner"/>
          <c:xMode val="edge"/>
          <c:yMode val="edge"/>
          <c:x val="9.696161909774087E-2"/>
          <c:y val="0.20898669323244898"/>
          <c:w val="0.88018023889167252"/>
          <c:h val="0.64380666938360975"/>
        </c:manualLayout>
      </c:layout>
      <c:barChart>
        <c:barDir val="col"/>
        <c:grouping val="clustered"/>
        <c:varyColors val="0"/>
        <c:ser>
          <c:idx val="0"/>
          <c:order val="0"/>
          <c:spPr>
            <a:ln>
              <a:solidFill>
                <a:sysClr val="windowText" lastClr="000000"/>
              </a:solidFill>
            </a:ln>
          </c:spPr>
          <c:invertIfNegative val="0"/>
          <c:dPt>
            <c:idx val="0"/>
            <c:invertIfNegative val="0"/>
            <c:bubble3D val="0"/>
            <c:spPr>
              <a:solidFill>
                <a:schemeClr val="accent4">
                  <a:lumMod val="75000"/>
                </a:schemeClr>
              </a:solidFill>
              <a:ln>
                <a:solidFill>
                  <a:sysClr val="windowText" lastClr="000000"/>
                </a:solidFill>
              </a:ln>
            </c:spPr>
          </c:dPt>
          <c:dPt>
            <c:idx val="1"/>
            <c:invertIfNegative val="0"/>
            <c:bubble3D val="0"/>
            <c:spPr>
              <a:solidFill>
                <a:schemeClr val="accent6">
                  <a:lumMod val="75000"/>
                </a:schemeClr>
              </a:solidFill>
              <a:ln>
                <a:solidFill>
                  <a:sysClr val="windowText" lastClr="000000"/>
                </a:solidFill>
              </a:ln>
            </c:spPr>
          </c:dPt>
          <c:dPt>
            <c:idx val="2"/>
            <c:invertIfNegative val="0"/>
            <c:bubble3D val="0"/>
            <c:spPr>
              <a:solidFill>
                <a:schemeClr val="accent5"/>
              </a:solidFill>
              <a:ln>
                <a:solidFill>
                  <a:sysClr val="windowText" lastClr="000000"/>
                </a:solidFill>
              </a:ln>
            </c:spPr>
          </c:dPt>
          <c:dPt>
            <c:idx val="3"/>
            <c:invertIfNegative val="0"/>
            <c:bubble3D val="0"/>
            <c:spPr>
              <a:solidFill>
                <a:schemeClr val="tx1"/>
              </a:solidFill>
              <a:ln>
                <a:solidFill>
                  <a:sysClr val="windowText" lastClr="000000"/>
                </a:solidFill>
              </a:ln>
            </c:spPr>
          </c:dPt>
          <c:dPt>
            <c:idx val="4"/>
            <c:invertIfNegative val="0"/>
            <c:bubble3D val="0"/>
            <c:spPr>
              <a:solidFill>
                <a:schemeClr val="accent1"/>
              </a:solidFill>
              <a:ln>
                <a:solidFill>
                  <a:sysClr val="windowText" lastClr="000000"/>
                </a:solidFill>
              </a:ln>
            </c:spPr>
          </c:dPt>
          <c:dPt>
            <c:idx val="5"/>
            <c:invertIfNegative val="0"/>
            <c:bubble3D val="0"/>
            <c:spPr>
              <a:solidFill>
                <a:srgbClr val="FF9999"/>
              </a:solidFill>
              <a:ln>
                <a:solidFill>
                  <a:sysClr val="windowText" lastClr="000000"/>
                </a:solidFill>
              </a:ln>
            </c:spPr>
          </c:dPt>
          <c:dPt>
            <c:idx val="6"/>
            <c:invertIfNegative val="0"/>
            <c:bubble3D val="0"/>
            <c:spPr>
              <a:solidFill>
                <a:schemeClr val="accent3">
                  <a:lumMod val="75000"/>
                </a:schemeClr>
              </a:solidFill>
              <a:ln>
                <a:solidFill>
                  <a:sysClr val="windowText" lastClr="000000"/>
                </a:solidFill>
              </a:ln>
            </c:spPr>
          </c:dPt>
          <c:dPt>
            <c:idx val="7"/>
            <c:invertIfNegative val="0"/>
            <c:bubble3D val="0"/>
            <c:spPr>
              <a:solidFill>
                <a:schemeClr val="accent2">
                  <a:lumMod val="75000"/>
                </a:schemeClr>
              </a:solidFill>
              <a:ln>
                <a:solidFill>
                  <a:sysClr val="windowText" lastClr="000000"/>
                </a:solidFill>
              </a:ln>
            </c:spPr>
          </c:dPt>
          <c:dLbls>
            <c:txPr>
              <a:bodyPr/>
              <a:lstStyle/>
              <a:p>
                <a:pPr>
                  <a:defRPr sz="800"/>
                </a:pPr>
                <a:endParaRPr lang="en-US"/>
              </a:p>
            </c:txPr>
            <c:dLblPos val="outEnd"/>
            <c:showLegendKey val="0"/>
            <c:showVal val="1"/>
            <c:showCatName val="0"/>
            <c:showSerName val="0"/>
            <c:showPercent val="0"/>
            <c:showBubbleSize val="0"/>
            <c:showLeaderLines val="0"/>
          </c:dLbls>
          <c:cat>
            <c:strRef>
              <c:f>'YPLL and AYLL'!$B$85:$B$92</c:f>
              <c:strCache>
                <c:ptCount val="8"/>
                <c:pt idx="0">
                  <c:v>Breast</c:v>
                </c:pt>
                <c:pt idx="1">
                  <c:v>Colorectal</c:v>
                </c:pt>
                <c:pt idx="2">
                  <c:v>Leukemia</c:v>
                </c:pt>
                <c:pt idx="3">
                  <c:v>Liver &amp; Intrahepatic Bile Duct</c:v>
                </c:pt>
                <c:pt idx="4">
                  <c:v>Lung</c:v>
                </c:pt>
                <c:pt idx="5">
                  <c:v>Non-Hodgkin Lymhoma</c:v>
                </c:pt>
                <c:pt idx="6">
                  <c:v>Pancreas</c:v>
                </c:pt>
                <c:pt idx="7">
                  <c:v>Prostate</c:v>
                </c:pt>
              </c:strCache>
            </c:strRef>
          </c:cat>
          <c:val>
            <c:numRef>
              <c:f>'YPLL and AYLL'!$C$85:$C$92</c:f>
              <c:numCache>
                <c:formatCode>General</c:formatCode>
                <c:ptCount val="8"/>
                <c:pt idx="0">
                  <c:v>47.1</c:v>
                </c:pt>
                <c:pt idx="1">
                  <c:v>45.4</c:v>
                </c:pt>
                <c:pt idx="2">
                  <c:v>21.4</c:v>
                </c:pt>
                <c:pt idx="3">
                  <c:v>23.5</c:v>
                </c:pt>
                <c:pt idx="4">
                  <c:v>168.5</c:v>
                </c:pt>
                <c:pt idx="5">
                  <c:v>14.7</c:v>
                </c:pt>
                <c:pt idx="6">
                  <c:v>29.4</c:v>
                </c:pt>
                <c:pt idx="7">
                  <c:v>8.9</c:v>
                </c:pt>
              </c:numCache>
            </c:numRef>
          </c:val>
        </c:ser>
        <c:dLbls>
          <c:showLegendKey val="0"/>
          <c:showVal val="0"/>
          <c:showCatName val="0"/>
          <c:showSerName val="0"/>
          <c:showPercent val="0"/>
          <c:showBubbleSize val="0"/>
        </c:dLbls>
        <c:gapWidth val="150"/>
        <c:axId val="192718848"/>
        <c:axId val="164976832"/>
      </c:barChart>
      <c:catAx>
        <c:axId val="192718848"/>
        <c:scaling>
          <c:orientation val="minMax"/>
        </c:scaling>
        <c:delete val="0"/>
        <c:axPos val="b"/>
        <c:majorTickMark val="out"/>
        <c:minorTickMark val="none"/>
        <c:tickLblPos val="nextTo"/>
        <c:txPr>
          <a:bodyPr/>
          <a:lstStyle/>
          <a:p>
            <a:pPr>
              <a:defRPr sz="900"/>
            </a:pPr>
            <a:endParaRPr lang="en-US"/>
          </a:p>
        </c:txPr>
        <c:crossAx val="164976832"/>
        <c:crosses val="autoZero"/>
        <c:auto val="1"/>
        <c:lblAlgn val="ctr"/>
        <c:lblOffset val="100"/>
        <c:noMultiLvlLbl val="0"/>
      </c:catAx>
      <c:valAx>
        <c:axId val="164976832"/>
        <c:scaling>
          <c:orientation val="minMax"/>
        </c:scaling>
        <c:delete val="0"/>
        <c:axPos val="l"/>
        <c:title>
          <c:tx>
            <c:rich>
              <a:bodyPr rot="-5400000" vert="horz"/>
              <a:lstStyle/>
              <a:p>
                <a:pPr>
                  <a:defRPr sz="900"/>
                </a:pPr>
                <a:r>
                  <a:rPr lang="en-US" sz="900"/>
                  <a:t>Years (in Thousands)</a:t>
                </a:r>
              </a:p>
            </c:rich>
          </c:tx>
          <c:overlay val="0"/>
        </c:title>
        <c:numFmt formatCode="General" sourceLinked="1"/>
        <c:majorTickMark val="out"/>
        <c:minorTickMark val="none"/>
        <c:tickLblPos val="nextTo"/>
        <c:txPr>
          <a:bodyPr/>
          <a:lstStyle/>
          <a:p>
            <a:pPr>
              <a:defRPr sz="900"/>
            </a:pPr>
            <a:endParaRPr lang="en-US"/>
          </a:p>
        </c:txPr>
        <c:crossAx val="192718848"/>
        <c:crosses val="autoZero"/>
        <c:crossBetween val="between"/>
      </c:valAx>
    </c:plotArea>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Average</a:t>
            </a:r>
            <a:r>
              <a:rPr lang="en-US" sz="1300" baseline="0"/>
              <a:t> Years  of Potential Life Lost to Cancer,</a:t>
            </a:r>
          </a:p>
          <a:p>
            <a:pPr>
              <a:defRPr/>
            </a:pPr>
            <a:r>
              <a:rPr lang="en-US" sz="1300" baseline="0"/>
              <a:t>by Most Common Cancer Site, Tennessee, 2008-2012</a:t>
            </a:r>
            <a:endParaRPr lang="en-US" sz="1300"/>
          </a:p>
        </c:rich>
      </c:tx>
      <c:overlay val="0"/>
    </c:title>
    <c:autoTitleDeleted val="0"/>
    <c:plotArea>
      <c:layout/>
      <c:barChart>
        <c:barDir val="col"/>
        <c:grouping val="clustered"/>
        <c:varyColors val="0"/>
        <c:ser>
          <c:idx val="0"/>
          <c:order val="0"/>
          <c:spPr>
            <a:ln>
              <a:solidFill>
                <a:sysClr val="windowText" lastClr="000000"/>
              </a:solidFill>
            </a:ln>
          </c:spPr>
          <c:invertIfNegative val="0"/>
          <c:dPt>
            <c:idx val="0"/>
            <c:invertIfNegative val="0"/>
            <c:bubble3D val="0"/>
            <c:spPr>
              <a:solidFill>
                <a:schemeClr val="accent4"/>
              </a:solidFill>
              <a:ln>
                <a:solidFill>
                  <a:sysClr val="windowText" lastClr="000000"/>
                </a:solidFill>
              </a:ln>
            </c:spPr>
          </c:dPt>
          <c:dPt>
            <c:idx val="1"/>
            <c:invertIfNegative val="0"/>
            <c:bubble3D val="0"/>
            <c:spPr>
              <a:solidFill>
                <a:schemeClr val="accent6"/>
              </a:solidFill>
              <a:ln>
                <a:solidFill>
                  <a:sysClr val="windowText" lastClr="000000"/>
                </a:solidFill>
              </a:ln>
            </c:spPr>
          </c:dPt>
          <c:dPt>
            <c:idx val="2"/>
            <c:invertIfNegative val="0"/>
            <c:bubble3D val="0"/>
            <c:spPr>
              <a:solidFill>
                <a:schemeClr val="accent5"/>
              </a:solidFill>
              <a:ln>
                <a:solidFill>
                  <a:sysClr val="windowText" lastClr="000000"/>
                </a:solidFill>
              </a:ln>
            </c:spPr>
          </c:dPt>
          <c:dPt>
            <c:idx val="3"/>
            <c:invertIfNegative val="0"/>
            <c:bubble3D val="0"/>
            <c:spPr>
              <a:solidFill>
                <a:schemeClr val="tx1"/>
              </a:solidFill>
              <a:ln>
                <a:solidFill>
                  <a:sysClr val="windowText" lastClr="000000"/>
                </a:solidFill>
              </a:ln>
            </c:spPr>
          </c:dPt>
          <c:dPt>
            <c:idx val="4"/>
            <c:invertIfNegative val="0"/>
            <c:bubble3D val="0"/>
            <c:spPr>
              <a:solidFill>
                <a:schemeClr val="accent1"/>
              </a:solidFill>
              <a:ln>
                <a:solidFill>
                  <a:sysClr val="windowText" lastClr="000000"/>
                </a:solidFill>
              </a:ln>
            </c:spPr>
          </c:dPt>
          <c:dPt>
            <c:idx val="5"/>
            <c:invertIfNegative val="0"/>
            <c:bubble3D val="0"/>
            <c:spPr>
              <a:solidFill>
                <a:srgbClr val="FF9999"/>
              </a:solidFill>
              <a:ln>
                <a:solidFill>
                  <a:sysClr val="windowText" lastClr="000000"/>
                </a:solidFill>
              </a:ln>
            </c:spPr>
          </c:dPt>
          <c:dPt>
            <c:idx val="6"/>
            <c:invertIfNegative val="0"/>
            <c:bubble3D val="0"/>
            <c:spPr>
              <a:solidFill>
                <a:schemeClr val="accent3">
                  <a:lumMod val="75000"/>
                </a:schemeClr>
              </a:solidFill>
              <a:ln>
                <a:solidFill>
                  <a:sysClr val="windowText" lastClr="000000"/>
                </a:solidFill>
              </a:ln>
            </c:spPr>
          </c:dPt>
          <c:dPt>
            <c:idx val="7"/>
            <c:invertIfNegative val="0"/>
            <c:bubble3D val="0"/>
            <c:spPr>
              <a:solidFill>
                <a:schemeClr val="accent2"/>
              </a:solidFill>
              <a:ln>
                <a:solidFill>
                  <a:sysClr val="windowText" lastClr="000000"/>
                </a:solidFill>
              </a:ln>
            </c:spPr>
          </c:dPt>
          <c:dLbls>
            <c:numFmt formatCode="#,##0.0" sourceLinked="0"/>
            <c:txPr>
              <a:bodyPr/>
              <a:lstStyle/>
              <a:p>
                <a:pPr>
                  <a:defRPr sz="800"/>
                </a:pPr>
                <a:endParaRPr lang="en-US"/>
              </a:p>
            </c:txPr>
            <c:showLegendKey val="0"/>
            <c:showVal val="1"/>
            <c:showCatName val="0"/>
            <c:showSerName val="0"/>
            <c:showPercent val="0"/>
            <c:showBubbleSize val="0"/>
            <c:showLeaderLines val="0"/>
          </c:dLbls>
          <c:cat>
            <c:strRef>
              <c:f>'YPLL and AYLL'!$E$85:$E$92</c:f>
              <c:strCache>
                <c:ptCount val="8"/>
                <c:pt idx="0">
                  <c:v>Breast</c:v>
                </c:pt>
                <c:pt idx="1">
                  <c:v>Colorectal</c:v>
                </c:pt>
                <c:pt idx="2">
                  <c:v>Leukemia</c:v>
                </c:pt>
                <c:pt idx="3">
                  <c:v>Liver &amp; Intrahepatic Bile Duct</c:v>
                </c:pt>
                <c:pt idx="4">
                  <c:v>Lung</c:v>
                </c:pt>
                <c:pt idx="5">
                  <c:v>Non-Hodgkin Lymphoma</c:v>
                </c:pt>
                <c:pt idx="6">
                  <c:v>Pancreas</c:v>
                </c:pt>
                <c:pt idx="7">
                  <c:v>Prostate</c:v>
                </c:pt>
              </c:strCache>
            </c:strRef>
          </c:cat>
          <c:val>
            <c:numRef>
              <c:f>'YPLL and AYLL'!$F$85:$F$92</c:f>
              <c:numCache>
                <c:formatCode>0.0</c:formatCode>
                <c:ptCount val="8"/>
                <c:pt idx="0">
                  <c:v>10.7</c:v>
                </c:pt>
                <c:pt idx="1">
                  <c:v>7.5</c:v>
                </c:pt>
                <c:pt idx="2">
                  <c:v>8.4871189999999999</c:v>
                </c:pt>
                <c:pt idx="3">
                  <c:v>10.601898</c:v>
                </c:pt>
                <c:pt idx="4">
                  <c:v>7.7810350000000001</c:v>
                </c:pt>
                <c:pt idx="5">
                  <c:v>6.5891580000000003</c:v>
                </c:pt>
                <c:pt idx="6">
                  <c:v>7.6261340000000004</c:v>
                </c:pt>
                <c:pt idx="7">
                  <c:v>3.111459</c:v>
                </c:pt>
              </c:numCache>
            </c:numRef>
          </c:val>
        </c:ser>
        <c:dLbls>
          <c:showLegendKey val="0"/>
          <c:showVal val="0"/>
          <c:showCatName val="0"/>
          <c:showSerName val="0"/>
          <c:showPercent val="0"/>
          <c:showBubbleSize val="0"/>
        </c:dLbls>
        <c:gapWidth val="150"/>
        <c:axId val="195071488"/>
        <c:axId val="164973952"/>
      </c:barChart>
      <c:catAx>
        <c:axId val="195071488"/>
        <c:scaling>
          <c:orientation val="minMax"/>
        </c:scaling>
        <c:delete val="0"/>
        <c:axPos val="b"/>
        <c:majorTickMark val="out"/>
        <c:minorTickMark val="none"/>
        <c:tickLblPos val="nextTo"/>
        <c:txPr>
          <a:bodyPr/>
          <a:lstStyle/>
          <a:p>
            <a:pPr>
              <a:defRPr sz="900"/>
            </a:pPr>
            <a:endParaRPr lang="en-US"/>
          </a:p>
        </c:txPr>
        <c:crossAx val="164973952"/>
        <c:crosses val="autoZero"/>
        <c:auto val="1"/>
        <c:lblAlgn val="ctr"/>
        <c:lblOffset val="100"/>
        <c:noMultiLvlLbl val="0"/>
      </c:catAx>
      <c:valAx>
        <c:axId val="164973952"/>
        <c:scaling>
          <c:orientation val="minMax"/>
        </c:scaling>
        <c:delete val="0"/>
        <c:axPos val="l"/>
        <c:title>
          <c:tx>
            <c:rich>
              <a:bodyPr rot="-5400000" vert="horz"/>
              <a:lstStyle/>
              <a:p>
                <a:pPr>
                  <a:defRPr sz="900"/>
                </a:pPr>
                <a:r>
                  <a:rPr lang="en-US" sz="900"/>
                  <a:t>Years</a:t>
                </a:r>
              </a:p>
            </c:rich>
          </c:tx>
          <c:layout>
            <c:manualLayout>
              <c:xMode val="edge"/>
              <c:yMode val="edge"/>
              <c:x val="9.7643963637077651E-3"/>
              <c:y val="0.46458829190609874"/>
            </c:manualLayout>
          </c:layout>
          <c:overlay val="0"/>
        </c:title>
        <c:numFmt formatCode="0" sourceLinked="0"/>
        <c:majorTickMark val="out"/>
        <c:minorTickMark val="none"/>
        <c:tickLblPos val="nextTo"/>
        <c:txPr>
          <a:bodyPr/>
          <a:lstStyle/>
          <a:p>
            <a:pPr>
              <a:defRPr sz="900"/>
            </a:pPr>
            <a:endParaRPr lang="en-US"/>
          </a:p>
        </c:txPr>
        <c:crossAx val="195071488"/>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White Males</a:t>
            </a:r>
          </a:p>
        </c:rich>
      </c:tx>
      <c:layout>
        <c:manualLayout>
          <c:xMode val="edge"/>
          <c:yMode val="edge"/>
          <c:x val="0.26251068616422946"/>
          <c:y val="5.3461088448281315E-3"/>
        </c:manualLayout>
      </c:layout>
      <c:overlay val="0"/>
    </c:title>
    <c:autoTitleDeleted val="0"/>
    <c:plotArea>
      <c:layout>
        <c:manualLayout>
          <c:layoutTarget val="inner"/>
          <c:xMode val="edge"/>
          <c:yMode val="edge"/>
          <c:x val="0.19623889074176884"/>
          <c:y val="0.202345562585862"/>
          <c:w val="0.63267616738021815"/>
          <c:h val="0.8018979856433609"/>
        </c:manualLayout>
      </c:layout>
      <c:pieChart>
        <c:varyColors val="1"/>
        <c:ser>
          <c:idx val="1"/>
          <c:order val="0"/>
          <c:tx>
            <c:strRef>
              <c:f>'Page 1'!$C$28</c:f>
              <c:strCache>
                <c:ptCount val="1"/>
                <c:pt idx="0">
                  <c:v>Percentage</c:v>
                </c:pt>
              </c:strCache>
            </c:strRef>
          </c:tx>
          <c:spPr>
            <a:ln>
              <a:solidFill>
                <a:sysClr val="windowText" lastClr="000000"/>
              </a:solidFill>
            </a:ln>
          </c:spPr>
          <c:dPt>
            <c:idx val="0"/>
            <c:bubble3D val="0"/>
            <c:spPr>
              <a:solidFill>
                <a:srgbClr val="9F2936">
                  <a:lumMod val="60000"/>
                  <a:lumOff val="40000"/>
                </a:srgbClr>
              </a:solidFill>
              <a:ln>
                <a:solidFill>
                  <a:sysClr val="windowText" lastClr="000000"/>
                </a:solidFill>
              </a:ln>
            </c:spPr>
          </c:dPt>
          <c:dPt>
            <c:idx val="1"/>
            <c:bubble3D val="0"/>
            <c:spPr>
              <a:solidFill>
                <a:srgbClr val="F07F09">
                  <a:lumMod val="60000"/>
                  <a:lumOff val="40000"/>
                </a:srgbClr>
              </a:solidFill>
              <a:ln>
                <a:solidFill>
                  <a:sysClr val="windowText" lastClr="000000"/>
                </a:solidFill>
              </a:ln>
            </c:spPr>
          </c:dPt>
          <c:dPt>
            <c:idx val="2"/>
            <c:bubble3D val="0"/>
            <c:spPr>
              <a:solidFill>
                <a:srgbClr val="4E8542">
                  <a:lumMod val="60000"/>
                  <a:lumOff val="40000"/>
                </a:srgbClr>
              </a:solidFill>
              <a:ln>
                <a:solidFill>
                  <a:sysClr val="windowText" lastClr="000000"/>
                </a:solidFill>
              </a:ln>
            </c:spPr>
          </c:dPt>
          <c:dPt>
            <c:idx val="3"/>
            <c:bubble3D val="0"/>
            <c:spPr>
              <a:solidFill>
                <a:srgbClr val="1B587C">
                  <a:lumMod val="60000"/>
                  <a:lumOff val="40000"/>
                </a:srgbClr>
              </a:solidFill>
              <a:ln>
                <a:solidFill>
                  <a:sysClr val="windowText" lastClr="000000"/>
                </a:solidFill>
              </a:ln>
            </c:spPr>
          </c:dPt>
          <c:dPt>
            <c:idx val="4"/>
            <c:bubble3D val="0"/>
            <c:spPr>
              <a:solidFill>
                <a:srgbClr val="604878">
                  <a:lumMod val="60000"/>
                  <a:lumOff val="40000"/>
                </a:srgbClr>
              </a:solidFill>
              <a:ln>
                <a:solidFill>
                  <a:sysClr val="windowText" lastClr="000000"/>
                </a:solidFill>
              </a:ln>
            </c:spPr>
          </c:dPt>
          <c:dPt>
            <c:idx val="5"/>
            <c:bubble3D val="0"/>
            <c:spPr>
              <a:solidFill>
                <a:sysClr val="window" lastClr="FFFFFF">
                  <a:lumMod val="75000"/>
                </a:sysClr>
              </a:solidFill>
              <a:ln>
                <a:solidFill>
                  <a:sysClr val="windowText" lastClr="000000"/>
                </a:solidFill>
              </a:ln>
            </c:spPr>
          </c:dPt>
          <c:dLbls>
            <c:dLbl>
              <c:idx val="2"/>
              <c:delete val="1"/>
            </c:dLbl>
            <c:dLbl>
              <c:idx val="3"/>
              <c:layout>
                <c:manualLayout>
                  <c:x val="4.0204041241737654E-2"/>
                  <c:y val="-9.7233971865251269E-3"/>
                </c:manualLayout>
              </c:layout>
              <c:dLblPos val="bestFit"/>
              <c:showLegendKey val="0"/>
              <c:showVal val="1"/>
              <c:showCatName val="1"/>
              <c:showSerName val="0"/>
              <c:showPercent val="0"/>
              <c:showBubbleSize val="0"/>
              <c:separator>, </c:separator>
            </c:dLbl>
            <c:dLbl>
              <c:idx val="4"/>
              <c:layout>
                <c:manualLayout>
                  <c:x val="8.1236147485113444E-2"/>
                  <c:y val="6.2831370892327751E-2"/>
                </c:manualLayout>
              </c:layout>
              <c:dLblPos val="bestFit"/>
              <c:showLegendKey val="0"/>
              <c:showVal val="1"/>
              <c:showCatName val="1"/>
              <c:showSerName val="0"/>
              <c:showPercent val="0"/>
              <c:showBubbleSize val="0"/>
              <c:separator>, </c:separator>
            </c:dLbl>
            <c:dLbl>
              <c:idx val="5"/>
              <c:layout>
                <c:manualLayout>
                  <c:x val="7.6310773653293335E-2"/>
                  <c:y val="-4.1876046901172533E-2"/>
                </c:manualLayout>
              </c:layout>
              <c:dLblPos val="bestFit"/>
              <c:showLegendKey val="0"/>
              <c:showVal val="1"/>
              <c:showCatName val="1"/>
              <c:showSerName val="0"/>
              <c:showPercent val="0"/>
              <c:showBubbleSize val="0"/>
              <c:separator>, </c:separator>
            </c:dLbl>
            <c:txPr>
              <a:bodyPr/>
              <a:lstStyle/>
              <a:p>
                <a:pPr>
                  <a:defRPr sz="700"/>
                </a:pPr>
                <a:endParaRPr lang="en-US"/>
              </a:p>
            </c:txPr>
            <c:dLblPos val="bestFit"/>
            <c:showLegendKey val="0"/>
            <c:showVal val="1"/>
            <c:showCatName val="1"/>
            <c:showSerName val="0"/>
            <c:showPercent val="0"/>
            <c:showBubbleSize val="0"/>
            <c:separator>, </c:separator>
            <c:showLeaderLines val="1"/>
          </c:dLbls>
          <c:cat>
            <c:strRef>
              <c:f>'Page 1'!$A$29:$A$34</c:f>
              <c:strCache>
                <c:ptCount val="6"/>
                <c:pt idx="0">
                  <c:v>Heart Disease</c:v>
                </c:pt>
                <c:pt idx="1">
                  <c:v>Cancer</c:v>
                </c:pt>
                <c:pt idx="2">
                  <c:v>Unintentional Injuries</c:v>
                </c:pt>
                <c:pt idx="3">
                  <c:v>CLRD</c:v>
                </c:pt>
                <c:pt idx="4">
                  <c:v>Stroke</c:v>
                </c:pt>
                <c:pt idx="5">
                  <c:v>All Other Causes</c:v>
                </c:pt>
              </c:strCache>
            </c:strRef>
          </c:cat>
          <c:val>
            <c:numRef>
              <c:f>'Page 1'!$C$29:$C$34</c:f>
              <c:numCache>
                <c:formatCode>0.0%</c:formatCode>
                <c:ptCount val="6"/>
                <c:pt idx="0">
                  <c:v>0.24882755439378795</c:v>
                </c:pt>
                <c:pt idx="1">
                  <c:v>0.24163911739832397</c:v>
                </c:pt>
                <c:pt idx="2">
                  <c:v>6.6387329899285002E-2</c:v>
                </c:pt>
                <c:pt idx="3">
                  <c:v>6.0083032213423544E-2</c:v>
                </c:pt>
                <c:pt idx="4">
                  <c:v>3.9401860536634123E-2</c:v>
                </c:pt>
                <c:pt idx="5">
                  <c:v>0.3436611055585454</c:v>
                </c:pt>
              </c:numCache>
            </c:numRef>
          </c:val>
        </c:ser>
        <c:dLbls>
          <c:showLegendKey val="0"/>
          <c:showVal val="0"/>
          <c:showCatName val="0"/>
          <c:showSerName val="0"/>
          <c:showPercent val="0"/>
          <c:showBubbleSize val="0"/>
          <c:showLeaderLines val="1"/>
        </c:dLbls>
        <c:firstSliceAng val="251"/>
      </c:pieChart>
      <c:spPr>
        <a:ln>
          <a:noFill/>
        </a:ln>
      </c:spPr>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Years of Potential Life Lost to Cancer,</a:t>
            </a:r>
          </a:p>
          <a:p>
            <a:pPr>
              <a:defRPr/>
            </a:pPr>
            <a:r>
              <a:rPr lang="en-US" sz="1300"/>
              <a:t>by Other Common Cancer Site, 2008-2012</a:t>
            </a:r>
          </a:p>
        </c:rich>
      </c:tx>
      <c:overlay val="0"/>
    </c:title>
    <c:autoTitleDeleted val="0"/>
    <c:plotArea>
      <c:layout/>
      <c:barChart>
        <c:barDir val="col"/>
        <c:grouping val="clustered"/>
        <c:varyColors val="0"/>
        <c:ser>
          <c:idx val="0"/>
          <c:order val="0"/>
          <c:spPr>
            <a:ln>
              <a:solidFill>
                <a:sysClr val="windowText" lastClr="000000"/>
              </a:solidFill>
            </a:ln>
          </c:spPr>
          <c:invertIfNegative val="0"/>
          <c:dPt>
            <c:idx val="0"/>
            <c:invertIfNegative val="0"/>
            <c:bubble3D val="0"/>
            <c:spPr>
              <a:solidFill>
                <a:srgbClr val="FFCCCC"/>
              </a:solidFill>
              <a:ln>
                <a:solidFill>
                  <a:sysClr val="windowText" lastClr="000000"/>
                </a:solidFill>
              </a:ln>
            </c:spPr>
          </c:dPt>
          <c:dPt>
            <c:idx val="1"/>
            <c:invertIfNegative val="0"/>
            <c:bubble3D val="0"/>
            <c:spPr>
              <a:solidFill>
                <a:srgbClr val="92D050"/>
              </a:solidFill>
              <a:ln>
                <a:solidFill>
                  <a:sysClr val="windowText" lastClr="000000"/>
                </a:solidFill>
              </a:ln>
            </c:spPr>
          </c:dPt>
          <c:dPt>
            <c:idx val="2"/>
            <c:invertIfNegative val="0"/>
            <c:bubble3D val="0"/>
            <c:spPr>
              <a:solidFill>
                <a:srgbClr val="FF2F2F"/>
              </a:solidFill>
              <a:ln>
                <a:solidFill>
                  <a:sysClr val="windowText" lastClr="000000"/>
                </a:solidFill>
              </a:ln>
            </c:spPr>
          </c:dPt>
          <c:dPt>
            <c:idx val="3"/>
            <c:invertIfNegative val="0"/>
            <c:bubble3D val="0"/>
            <c:spPr>
              <a:solidFill>
                <a:srgbClr val="0066FF"/>
              </a:solidFill>
              <a:ln>
                <a:solidFill>
                  <a:sysClr val="windowText" lastClr="000000"/>
                </a:solidFill>
              </a:ln>
            </c:spPr>
          </c:dPt>
          <c:dPt>
            <c:idx val="4"/>
            <c:invertIfNegative val="0"/>
            <c:bubble3D val="0"/>
            <c:spPr>
              <a:solidFill>
                <a:srgbClr val="FFCC00"/>
              </a:solidFill>
              <a:ln>
                <a:solidFill>
                  <a:sysClr val="windowText" lastClr="000000"/>
                </a:solidFill>
              </a:ln>
            </c:spPr>
          </c:dPt>
          <c:dPt>
            <c:idx val="5"/>
            <c:invertIfNegative val="0"/>
            <c:bubble3D val="0"/>
            <c:spPr>
              <a:solidFill>
                <a:srgbClr val="FF99FF"/>
              </a:solidFill>
              <a:ln>
                <a:solidFill>
                  <a:sysClr val="windowText" lastClr="000000"/>
                </a:solidFill>
              </a:ln>
            </c:spPr>
          </c:dPt>
          <c:dPt>
            <c:idx val="6"/>
            <c:invertIfNegative val="0"/>
            <c:bubble3D val="0"/>
            <c:spPr>
              <a:solidFill>
                <a:srgbClr val="FF6600"/>
              </a:solidFill>
              <a:ln>
                <a:solidFill>
                  <a:sysClr val="windowText" lastClr="000000"/>
                </a:solidFill>
              </a:ln>
            </c:spPr>
          </c:dPt>
          <c:dPt>
            <c:idx val="7"/>
            <c:invertIfNegative val="0"/>
            <c:bubble3D val="0"/>
            <c:spPr>
              <a:solidFill>
                <a:srgbClr val="7030A0"/>
              </a:solidFill>
              <a:ln>
                <a:solidFill>
                  <a:sysClr val="windowText" lastClr="000000"/>
                </a:solidFill>
              </a:ln>
            </c:spPr>
          </c:dPt>
          <c:dLbls>
            <c:txPr>
              <a:bodyPr/>
              <a:lstStyle/>
              <a:p>
                <a:pPr>
                  <a:defRPr sz="800"/>
                </a:pPr>
                <a:endParaRPr lang="en-US"/>
              </a:p>
            </c:txPr>
            <c:showLegendKey val="0"/>
            <c:showVal val="1"/>
            <c:showCatName val="0"/>
            <c:showSerName val="0"/>
            <c:showPercent val="0"/>
            <c:showBubbleSize val="0"/>
            <c:showLeaderLines val="0"/>
          </c:dLbls>
          <c:cat>
            <c:strRef>
              <c:f>'YPLL and AYLL'!$B$96:$B$103</c:f>
              <c:strCache>
                <c:ptCount val="8"/>
                <c:pt idx="0">
                  <c:v>Brain and other CNS</c:v>
                </c:pt>
                <c:pt idx="1">
                  <c:v>Corpus &amp; Uterus</c:v>
                </c:pt>
                <c:pt idx="2">
                  <c:v>Esophagus</c:v>
                </c:pt>
                <c:pt idx="3">
                  <c:v>Kidney &amp; Renal Pelvis</c:v>
                </c:pt>
                <c:pt idx="4">
                  <c:v>Ovary</c:v>
                </c:pt>
                <c:pt idx="5">
                  <c:v>Stomach</c:v>
                </c:pt>
                <c:pt idx="6">
                  <c:v>Endocrine System including Thyroid</c:v>
                </c:pt>
                <c:pt idx="7">
                  <c:v>Urinary Bladder</c:v>
                </c:pt>
              </c:strCache>
            </c:strRef>
          </c:cat>
          <c:val>
            <c:numRef>
              <c:f>'YPLL and AYLL'!$C$96:$C$103</c:f>
              <c:numCache>
                <c:formatCode>General</c:formatCode>
                <c:ptCount val="8"/>
                <c:pt idx="0">
                  <c:v>24.1</c:v>
                </c:pt>
                <c:pt idx="1">
                  <c:v>6.1</c:v>
                </c:pt>
                <c:pt idx="2">
                  <c:v>14.9</c:v>
                </c:pt>
                <c:pt idx="3">
                  <c:v>12.4</c:v>
                </c:pt>
                <c:pt idx="4">
                  <c:v>12.6</c:v>
                </c:pt>
                <c:pt idx="5">
                  <c:v>9.8000000000000007</c:v>
                </c:pt>
                <c:pt idx="6">
                  <c:v>3.9</c:v>
                </c:pt>
                <c:pt idx="7">
                  <c:v>6.5</c:v>
                </c:pt>
              </c:numCache>
            </c:numRef>
          </c:val>
        </c:ser>
        <c:dLbls>
          <c:showLegendKey val="0"/>
          <c:showVal val="0"/>
          <c:showCatName val="0"/>
          <c:showSerName val="0"/>
          <c:showPercent val="0"/>
          <c:showBubbleSize val="0"/>
        </c:dLbls>
        <c:gapWidth val="150"/>
        <c:axId val="188331520"/>
        <c:axId val="187063616"/>
      </c:barChart>
      <c:catAx>
        <c:axId val="188331520"/>
        <c:scaling>
          <c:orientation val="minMax"/>
        </c:scaling>
        <c:delete val="0"/>
        <c:axPos val="b"/>
        <c:majorTickMark val="out"/>
        <c:minorTickMark val="none"/>
        <c:tickLblPos val="nextTo"/>
        <c:txPr>
          <a:bodyPr/>
          <a:lstStyle/>
          <a:p>
            <a:pPr>
              <a:defRPr sz="900"/>
            </a:pPr>
            <a:endParaRPr lang="en-US"/>
          </a:p>
        </c:txPr>
        <c:crossAx val="187063616"/>
        <c:crosses val="autoZero"/>
        <c:auto val="1"/>
        <c:lblAlgn val="ctr"/>
        <c:lblOffset val="100"/>
        <c:noMultiLvlLbl val="0"/>
      </c:catAx>
      <c:valAx>
        <c:axId val="187063616"/>
        <c:scaling>
          <c:orientation val="minMax"/>
        </c:scaling>
        <c:delete val="0"/>
        <c:axPos val="l"/>
        <c:title>
          <c:tx>
            <c:rich>
              <a:bodyPr rot="-5400000" vert="horz"/>
              <a:lstStyle/>
              <a:p>
                <a:pPr>
                  <a:defRPr sz="900"/>
                </a:pPr>
                <a:r>
                  <a:rPr lang="en-US" sz="900"/>
                  <a:t>Years (in Thousands)</a:t>
                </a:r>
              </a:p>
            </c:rich>
          </c:tx>
          <c:layout>
            <c:manualLayout>
              <c:xMode val="edge"/>
              <c:yMode val="edge"/>
              <c:x val="1.8316496938276697E-2"/>
              <c:y val="0.25449286057503656"/>
            </c:manualLayout>
          </c:layout>
          <c:overlay val="0"/>
        </c:title>
        <c:numFmt formatCode="General" sourceLinked="1"/>
        <c:majorTickMark val="out"/>
        <c:minorTickMark val="none"/>
        <c:tickLblPos val="nextTo"/>
        <c:txPr>
          <a:bodyPr/>
          <a:lstStyle/>
          <a:p>
            <a:pPr>
              <a:defRPr sz="900"/>
            </a:pPr>
            <a:endParaRPr lang="en-US"/>
          </a:p>
        </c:txPr>
        <c:crossAx val="188331520"/>
        <c:crosses val="autoZero"/>
        <c:crossBetween val="between"/>
      </c:valAx>
    </c:plotArea>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Average Years of Life Lost to Cancer,</a:t>
            </a:r>
          </a:p>
          <a:p>
            <a:pPr>
              <a:defRPr/>
            </a:pPr>
            <a:r>
              <a:rPr lang="en-US" sz="1300"/>
              <a:t>by Other Common Cancer Site, Tennessee, 2008-2012</a:t>
            </a:r>
          </a:p>
        </c:rich>
      </c:tx>
      <c:overlay val="0"/>
    </c:title>
    <c:autoTitleDeleted val="0"/>
    <c:plotArea>
      <c:layout/>
      <c:barChart>
        <c:barDir val="col"/>
        <c:grouping val="clustered"/>
        <c:varyColors val="0"/>
        <c:ser>
          <c:idx val="0"/>
          <c:order val="0"/>
          <c:spPr>
            <a:ln>
              <a:solidFill>
                <a:sysClr val="windowText" lastClr="000000"/>
              </a:solidFill>
            </a:ln>
          </c:spPr>
          <c:invertIfNegative val="0"/>
          <c:dPt>
            <c:idx val="0"/>
            <c:invertIfNegative val="0"/>
            <c:bubble3D val="0"/>
            <c:spPr>
              <a:solidFill>
                <a:srgbClr val="FFCCCC"/>
              </a:solidFill>
              <a:ln>
                <a:solidFill>
                  <a:sysClr val="windowText" lastClr="000000"/>
                </a:solidFill>
              </a:ln>
            </c:spPr>
          </c:dPt>
          <c:dPt>
            <c:idx val="1"/>
            <c:invertIfNegative val="0"/>
            <c:bubble3D val="0"/>
            <c:spPr>
              <a:solidFill>
                <a:srgbClr val="92D050"/>
              </a:solidFill>
              <a:ln>
                <a:solidFill>
                  <a:sysClr val="windowText" lastClr="000000"/>
                </a:solidFill>
              </a:ln>
            </c:spPr>
          </c:dPt>
          <c:dPt>
            <c:idx val="2"/>
            <c:invertIfNegative val="0"/>
            <c:bubble3D val="0"/>
            <c:spPr>
              <a:solidFill>
                <a:srgbClr val="FF2F2F"/>
              </a:solidFill>
              <a:ln>
                <a:solidFill>
                  <a:sysClr val="windowText" lastClr="000000"/>
                </a:solidFill>
              </a:ln>
            </c:spPr>
          </c:dPt>
          <c:dPt>
            <c:idx val="3"/>
            <c:invertIfNegative val="0"/>
            <c:bubble3D val="0"/>
            <c:spPr>
              <a:solidFill>
                <a:srgbClr val="0066FF"/>
              </a:solidFill>
              <a:ln>
                <a:solidFill>
                  <a:sysClr val="windowText" lastClr="000000"/>
                </a:solidFill>
              </a:ln>
            </c:spPr>
          </c:dPt>
          <c:dPt>
            <c:idx val="4"/>
            <c:invertIfNegative val="0"/>
            <c:bubble3D val="0"/>
            <c:spPr>
              <a:solidFill>
                <a:srgbClr val="FFCC00"/>
              </a:solidFill>
              <a:ln>
                <a:solidFill>
                  <a:sysClr val="windowText" lastClr="000000"/>
                </a:solidFill>
              </a:ln>
            </c:spPr>
          </c:dPt>
          <c:dPt>
            <c:idx val="5"/>
            <c:invertIfNegative val="0"/>
            <c:bubble3D val="0"/>
            <c:spPr>
              <a:solidFill>
                <a:srgbClr val="FF99FF"/>
              </a:solidFill>
              <a:ln>
                <a:solidFill>
                  <a:sysClr val="windowText" lastClr="000000"/>
                </a:solidFill>
              </a:ln>
            </c:spPr>
          </c:dPt>
          <c:dPt>
            <c:idx val="6"/>
            <c:invertIfNegative val="0"/>
            <c:bubble3D val="0"/>
            <c:spPr>
              <a:solidFill>
                <a:srgbClr val="FF6600"/>
              </a:solidFill>
              <a:ln>
                <a:solidFill>
                  <a:sysClr val="windowText" lastClr="000000"/>
                </a:solidFill>
              </a:ln>
            </c:spPr>
          </c:dPt>
          <c:dPt>
            <c:idx val="7"/>
            <c:invertIfNegative val="0"/>
            <c:bubble3D val="0"/>
            <c:spPr>
              <a:solidFill>
                <a:srgbClr val="7030A0"/>
              </a:solidFill>
              <a:ln>
                <a:solidFill>
                  <a:sysClr val="windowText" lastClr="000000"/>
                </a:solidFill>
              </a:ln>
            </c:spPr>
          </c:dPt>
          <c:dLbls>
            <c:numFmt formatCode="#,##0.0" sourceLinked="0"/>
            <c:txPr>
              <a:bodyPr/>
              <a:lstStyle/>
              <a:p>
                <a:pPr>
                  <a:defRPr sz="800"/>
                </a:pPr>
                <a:endParaRPr lang="en-US"/>
              </a:p>
            </c:txPr>
            <c:showLegendKey val="0"/>
            <c:showVal val="1"/>
            <c:showCatName val="0"/>
            <c:showSerName val="0"/>
            <c:showPercent val="0"/>
            <c:showBubbleSize val="0"/>
            <c:showLeaderLines val="0"/>
          </c:dLbls>
          <c:cat>
            <c:strRef>
              <c:f>'YPLL and AYLL'!$E$96:$E$103</c:f>
              <c:strCache>
                <c:ptCount val="8"/>
                <c:pt idx="0">
                  <c:v>Brain and Other CNS</c:v>
                </c:pt>
                <c:pt idx="1">
                  <c:v>Corpus &amp; Uterus</c:v>
                </c:pt>
                <c:pt idx="2">
                  <c:v>Esophagus</c:v>
                </c:pt>
                <c:pt idx="3">
                  <c:v>Kidney &amp; Renal Pelvis</c:v>
                </c:pt>
                <c:pt idx="4">
                  <c:v>Ovary</c:v>
                </c:pt>
                <c:pt idx="5">
                  <c:v>Stomach</c:v>
                </c:pt>
                <c:pt idx="6">
                  <c:v>Endocrine System including Thyroid</c:v>
                </c:pt>
                <c:pt idx="7">
                  <c:v>Urinary Bladder</c:v>
                </c:pt>
              </c:strCache>
            </c:strRef>
          </c:cat>
          <c:val>
            <c:numRef>
              <c:f>'YPLL and AYLL'!$F$96:$F$103</c:f>
              <c:numCache>
                <c:formatCode>0.0</c:formatCode>
                <c:ptCount val="8"/>
                <c:pt idx="0">
                  <c:v>14.584493999999999</c:v>
                </c:pt>
                <c:pt idx="1">
                  <c:v>8.2296200000000006</c:v>
                </c:pt>
                <c:pt idx="2">
                  <c:v>9.918272</c:v>
                </c:pt>
                <c:pt idx="3">
                  <c:v>8.4668039999999998</c:v>
                </c:pt>
                <c:pt idx="4">
                  <c:v>8.4236160000000009</c:v>
                </c:pt>
                <c:pt idx="5">
                  <c:v>8.5266380000000002</c:v>
                </c:pt>
                <c:pt idx="6">
                  <c:v>14.568265999999999</c:v>
                </c:pt>
                <c:pt idx="7">
                  <c:v>4.6324360000000002</c:v>
                </c:pt>
              </c:numCache>
            </c:numRef>
          </c:val>
        </c:ser>
        <c:dLbls>
          <c:showLegendKey val="0"/>
          <c:showVal val="0"/>
          <c:showCatName val="0"/>
          <c:showSerName val="0"/>
          <c:showPercent val="0"/>
          <c:showBubbleSize val="0"/>
        </c:dLbls>
        <c:gapWidth val="150"/>
        <c:axId val="195070976"/>
        <c:axId val="166536320"/>
      </c:barChart>
      <c:catAx>
        <c:axId val="195070976"/>
        <c:scaling>
          <c:orientation val="minMax"/>
        </c:scaling>
        <c:delete val="0"/>
        <c:axPos val="b"/>
        <c:majorTickMark val="out"/>
        <c:minorTickMark val="none"/>
        <c:tickLblPos val="nextTo"/>
        <c:txPr>
          <a:bodyPr/>
          <a:lstStyle/>
          <a:p>
            <a:pPr>
              <a:defRPr sz="900"/>
            </a:pPr>
            <a:endParaRPr lang="en-US"/>
          </a:p>
        </c:txPr>
        <c:crossAx val="166536320"/>
        <c:crosses val="autoZero"/>
        <c:auto val="1"/>
        <c:lblAlgn val="ctr"/>
        <c:lblOffset val="100"/>
        <c:noMultiLvlLbl val="0"/>
      </c:catAx>
      <c:valAx>
        <c:axId val="166536320"/>
        <c:scaling>
          <c:orientation val="minMax"/>
        </c:scaling>
        <c:delete val="0"/>
        <c:axPos val="l"/>
        <c:title>
          <c:tx>
            <c:rich>
              <a:bodyPr rot="-5400000" vert="horz"/>
              <a:lstStyle/>
              <a:p>
                <a:pPr>
                  <a:defRPr sz="900"/>
                </a:pPr>
                <a:r>
                  <a:rPr lang="en-US" sz="900"/>
                  <a:t>Years</a:t>
                </a:r>
              </a:p>
            </c:rich>
          </c:tx>
          <c:overlay val="0"/>
        </c:title>
        <c:numFmt formatCode="0.0" sourceLinked="1"/>
        <c:majorTickMark val="out"/>
        <c:minorTickMark val="none"/>
        <c:tickLblPos val="nextTo"/>
        <c:txPr>
          <a:bodyPr/>
          <a:lstStyle/>
          <a:p>
            <a:pPr>
              <a:defRPr sz="900"/>
            </a:pPr>
            <a:endParaRPr lang="en-US"/>
          </a:p>
        </c:txPr>
        <c:crossAx val="195070976"/>
        <c:crosses val="autoZero"/>
        <c:crossBetween val="between"/>
      </c:valAx>
    </c:plotArea>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Lung and Bronchus, </a:t>
            </a:r>
          </a:p>
          <a:p>
            <a:pPr>
              <a:defRPr/>
            </a:pPr>
            <a:r>
              <a:rPr lang="en-US" sz="1300"/>
              <a:t>by Gender and Race, Tennessee, 2008-2012</a:t>
            </a:r>
          </a:p>
        </c:rich>
      </c:tx>
      <c:overlay val="0"/>
    </c:title>
    <c:autoTitleDeleted val="0"/>
    <c:plotArea>
      <c:layout>
        <c:manualLayout>
          <c:layoutTarget val="inner"/>
          <c:xMode val="edge"/>
          <c:yMode val="edge"/>
          <c:x val="0.15021164381160917"/>
          <c:y val="0.23538205092784453"/>
          <c:w val="0.69181802274715665"/>
          <c:h val="0.58750364537766109"/>
        </c:manualLayout>
      </c:layout>
      <c:barChart>
        <c:barDir val="col"/>
        <c:grouping val="clustered"/>
        <c:varyColors val="0"/>
        <c:ser>
          <c:idx val="0"/>
          <c:order val="0"/>
          <c:tx>
            <c:strRef>
              <c:f>'Page 13 (Lung)'!$B$1</c:f>
              <c:strCache>
                <c:ptCount val="1"/>
                <c:pt idx="0">
                  <c:v>Black</c:v>
                </c:pt>
              </c:strCache>
            </c:strRef>
          </c:tx>
          <c:spPr>
            <a:ln>
              <a:solidFill>
                <a:sysClr val="windowText" lastClr="000000"/>
              </a:solidFill>
            </a:ln>
          </c:spPr>
          <c:invertIfNegative val="0"/>
          <c:dLbls>
            <c:dLbl>
              <c:idx val="0"/>
              <c:layout>
                <c:manualLayout>
                  <c:x val="-2.7777777777777779E-3"/>
                  <c:y val="0"/>
                </c:manualLayout>
              </c:layout>
              <c:showLegendKey val="0"/>
              <c:showVal val="1"/>
              <c:showCatName val="0"/>
              <c:showSerName val="0"/>
              <c:showPercent val="0"/>
              <c:showBubbleSize val="0"/>
            </c:dLbl>
            <c:dLbl>
              <c:idx val="2"/>
              <c:layout>
                <c:manualLayout>
                  <c:x val="-8.3333333333333332E-3"/>
                  <c:y val="0"/>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13 (Lung)'!$F$2:$F$5</c:f>
                <c:numCache>
                  <c:formatCode>General</c:formatCode>
                  <c:ptCount val="4"/>
                  <c:pt idx="0">
                    <c:v>3</c:v>
                  </c:pt>
                  <c:pt idx="1">
                    <c:v>5.5999999999999943</c:v>
                  </c:pt>
                  <c:pt idx="2">
                    <c:v>2.7000000000000028</c:v>
                  </c:pt>
                  <c:pt idx="3">
                    <c:v>5.4000000000000057</c:v>
                  </c:pt>
                </c:numCache>
              </c:numRef>
            </c:plus>
            <c:minus>
              <c:numRef>
                <c:f>'Page 13 (Lung)'!$G$2:$G$5</c:f>
                <c:numCache>
                  <c:formatCode>General</c:formatCode>
                  <c:ptCount val="4"/>
                  <c:pt idx="0">
                    <c:v>1.2000000000000028</c:v>
                  </c:pt>
                  <c:pt idx="1">
                    <c:v>1.7000000000000028</c:v>
                  </c:pt>
                  <c:pt idx="2">
                    <c:v>1</c:v>
                  </c:pt>
                  <c:pt idx="3">
                    <c:v>1.5999999999999943</c:v>
                  </c:pt>
                </c:numCache>
              </c:numRef>
            </c:minus>
          </c:errBars>
          <c:cat>
            <c:strRef>
              <c:f>'Page 13 (Lung)'!$A$2:$A$5</c:f>
              <c:strCache>
                <c:ptCount val="4"/>
                <c:pt idx="0">
                  <c:v>Female Incidence</c:v>
                </c:pt>
                <c:pt idx="1">
                  <c:v>Male Incidence</c:v>
                </c:pt>
                <c:pt idx="2">
                  <c:v>Female Mortality</c:v>
                </c:pt>
                <c:pt idx="3">
                  <c:v>Male Mortality</c:v>
                </c:pt>
              </c:strCache>
            </c:strRef>
          </c:cat>
          <c:val>
            <c:numRef>
              <c:f>'Page 13 (Lung)'!$B$2:$B$5</c:f>
              <c:numCache>
                <c:formatCode>General</c:formatCode>
                <c:ptCount val="4"/>
                <c:pt idx="0" formatCode="0.0">
                  <c:v>53.2</c:v>
                </c:pt>
                <c:pt idx="1">
                  <c:v>109.7</c:v>
                </c:pt>
                <c:pt idx="2">
                  <c:v>40.5</c:v>
                </c:pt>
                <c:pt idx="3">
                  <c:v>96.3</c:v>
                </c:pt>
              </c:numCache>
            </c:numRef>
          </c:val>
        </c:ser>
        <c:ser>
          <c:idx val="1"/>
          <c:order val="1"/>
          <c:tx>
            <c:strRef>
              <c:f>'Page 13 (Lung)'!$C$1</c:f>
              <c:strCache>
                <c:ptCount val="1"/>
                <c:pt idx="0">
                  <c:v>White</c:v>
                </c:pt>
              </c:strCache>
            </c:strRef>
          </c:tx>
          <c:spPr>
            <a:ln>
              <a:solidFill>
                <a:sysClr val="windowText" lastClr="000000"/>
              </a:solidFill>
            </a:ln>
          </c:spPr>
          <c:invertIfNegative val="0"/>
          <c:dLbls>
            <c:dLbl>
              <c:idx val="1"/>
              <c:layout>
                <c:manualLayout>
                  <c:x val="8.3333333333333332E-3"/>
                  <c:y val="0"/>
                </c:manualLayout>
              </c:layout>
              <c:showLegendKey val="0"/>
              <c:showVal val="1"/>
              <c:showCatName val="0"/>
              <c:showSerName val="0"/>
              <c:showPercent val="0"/>
              <c:showBubbleSize val="0"/>
            </c:dLbl>
            <c:dLbl>
              <c:idx val="2"/>
              <c:layout>
                <c:manualLayout>
                  <c:x val="5.5555555555555558E-3"/>
                  <c:y val="0"/>
                </c:manualLayout>
              </c:layout>
              <c:showLegendKey val="0"/>
              <c:showVal val="1"/>
              <c:showCatName val="0"/>
              <c:showSerName val="0"/>
              <c:showPercent val="0"/>
              <c:showBubbleSize val="0"/>
            </c:dLbl>
            <c:dLbl>
              <c:idx val="3"/>
              <c:layout>
                <c:manualLayout>
                  <c:x val="5.5555555555555558E-3"/>
                  <c:y val="0"/>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13 (Lung)'!$G$2:$G$5</c:f>
                <c:numCache>
                  <c:formatCode>General</c:formatCode>
                  <c:ptCount val="4"/>
                  <c:pt idx="0">
                    <c:v>1.2000000000000028</c:v>
                  </c:pt>
                  <c:pt idx="1">
                    <c:v>1.7000000000000028</c:v>
                  </c:pt>
                  <c:pt idx="2">
                    <c:v>1</c:v>
                  </c:pt>
                  <c:pt idx="3">
                    <c:v>1.5999999999999943</c:v>
                  </c:pt>
                </c:numCache>
              </c:numRef>
            </c:plus>
            <c:minus>
              <c:numRef>
                <c:f>'Page 13 (Lung)'!$E$2:$E$5</c:f>
                <c:numCache>
                  <c:formatCode>General</c:formatCode>
                  <c:ptCount val="4"/>
                  <c:pt idx="0">
                    <c:v>1.2000000000000028</c:v>
                  </c:pt>
                  <c:pt idx="1">
                    <c:v>1.7000000000000028</c:v>
                  </c:pt>
                  <c:pt idx="2">
                    <c:v>1.0999999999999943</c:v>
                  </c:pt>
                  <c:pt idx="3">
                    <c:v>1.6000000000000085</c:v>
                  </c:pt>
                </c:numCache>
              </c:numRef>
            </c:minus>
          </c:errBars>
          <c:cat>
            <c:strRef>
              <c:f>'Page 13 (Lung)'!$A$2:$A$5</c:f>
              <c:strCache>
                <c:ptCount val="4"/>
                <c:pt idx="0">
                  <c:v>Female Incidence</c:v>
                </c:pt>
                <c:pt idx="1">
                  <c:v>Male Incidence</c:v>
                </c:pt>
                <c:pt idx="2">
                  <c:v>Female Mortality</c:v>
                </c:pt>
                <c:pt idx="3">
                  <c:v>Male Mortality</c:v>
                </c:pt>
              </c:strCache>
            </c:strRef>
          </c:cat>
          <c:val>
            <c:numRef>
              <c:f>'Page 13 (Lung)'!$C$2:$C$5</c:f>
              <c:numCache>
                <c:formatCode>General</c:formatCode>
                <c:ptCount val="4"/>
                <c:pt idx="0">
                  <c:v>63.5</c:v>
                </c:pt>
                <c:pt idx="1">
                  <c:v>98.7</c:v>
                </c:pt>
                <c:pt idx="2">
                  <c:v>45.8</c:v>
                </c:pt>
                <c:pt idx="3">
                  <c:v>82.2</c:v>
                </c:pt>
              </c:numCache>
            </c:numRef>
          </c:val>
        </c:ser>
        <c:dLbls>
          <c:showLegendKey val="0"/>
          <c:showVal val="0"/>
          <c:showCatName val="0"/>
          <c:showSerName val="0"/>
          <c:showPercent val="0"/>
          <c:showBubbleSize val="0"/>
        </c:dLbls>
        <c:gapWidth val="150"/>
        <c:axId val="195486208"/>
        <c:axId val="166538048"/>
      </c:barChart>
      <c:catAx>
        <c:axId val="195486208"/>
        <c:scaling>
          <c:orientation val="minMax"/>
        </c:scaling>
        <c:delete val="0"/>
        <c:axPos val="b"/>
        <c:majorTickMark val="out"/>
        <c:minorTickMark val="none"/>
        <c:tickLblPos val="nextTo"/>
        <c:txPr>
          <a:bodyPr/>
          <a:lstStyle/>
          <a:p>
            <a:pPr>
              <a:defRPr sz="900"/>
            </a:pPr>
            <a:endParaRPr lang="en-US"/>
          </a:p>
        </c:txPr>
        <c:crossAx val="166538048"/>
        <c:crosses val="autoZero"/>
        <c:auto val="1"/>
        <c:lblAlgn val="ctr"/>
        <c:lblOffset val="100"/>
        <c:noMultiLvlLbl val="0"/>
      </c:catAx>
      <c:valAx>
        <c:axId val="166538048"/>
        <c:scaling>
          <c:orientation val="minMax"/>
        </c:scaling>
        <c:delete val="0"/>
        <c:axPos val="l"/>
        <c:title>
          <c:tx>
            <c:rich>
              <a:bodyPr rot="-5400000" vert="horz"/>
              <a:lstStyle/>
              <a:p>
                <a:pPr>
                  <a:defRPr sz="900"/>
                </a:pPr>
                <a:r>
                  <a:rPr lang="en-US" sz="900"/>
                  <a:t>Age-Adjusted Rate per 100,000</a:t>
                </a:r>
              </a:p>
            </c:rich>
          </c:tx>
          <c:layout>
            <c:manualLayout>
              <c:xMode val="edge"/>
              <c:yMode val="edge"/>
              <c:x val="2.7777777777777776E-2"/>
              <c:y val="0.20760425780110819"/>
            </c:manualLayout>
          </c:layout>
          <c:overlay val="0"/>
        </c:title>
        <c:numFmt formatCode="0" sourceLinked="0"/>
        <c:majorTickMark val="out"/>
        <c:minorTickMark val="none"/>
        <c:tickLblPos val="nextTo"/>
        <c:txPr>
          <a:bodyPr/>
          <a:lstStyle/>
          <a:p>
            <a:pPr>
              <a:defRPr sz="900"/>
            </a:pPr>
            <a:endParaRPr lang="en-US"/>
          </a:p>
        </c:txPr>
        <c:crossAx val="195486208"/>
        <c:crosses val="autoZero"/>
        <c:crossBetween val="between"/>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Lung and Bronchus, </a:t>
            </a:r>
          </a:p>
          <a:p>
            <a:pPr>
              <a:defRPr/>
            </a:pPr>
            <a:r>
              <a:rPr lang="en-US" sz="1300"/>
              <a:t>by Year, Tennessee, 2008-2012</a:t>
            </a:r>
          </a:p>
        </c:rich>
      </c:tx>
      <c:overlay val="0"/>
    </c:title>
    <c:autoTitleDeleted val="0"/>
    <c:plotArea>
      <c:layout/>
      <c:barChart>
        <c:barDir val="col"/>
        <c:grouping val="clustered"/>
        <c:varyColors val="0"/>
        <c:ser>
          <c:idx val="0"/>
          <c:order val="0"/>
          <c:tx>
            <c:strRef>
              <c:f>'Page 13 (Lung)'!$B$30</c:f>
              <c:strCache>
                <c:ptCount val="1"/>
                <c:pt idx="0">
                  <c:v>Incidence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13 (Lung)'!$E$31:$E$35</c:f>
                <c:numCache>
                  <c:formatCode>General</c:formatCode>
                  <c:ptCount val="5"/>
                  <c:pt idx="0">
                    <c:v>2.1999999999999886</c:v>
                  </c:pt>
                  <c:pt idx="1">
                    <c:v>2.0999999999999943</c:v>
                  </c:pt>
                  <c:pt idx="2">
                    <c:v>2.0999999999999943</c:v>
                  </c:pt>
                  <c:pt idx="3">
                    <c:v>2.1000000000000085</c:v>
                  </c:pt>
                  <c:pt idx="4">
                    <c:v>2</c:v>
                  </c:pt>
                </c:numCache>
              </c:numRef>
            </c:plus>
            <c:minus>
              <c:numRef>
                <c:f>'Page 13 (Lung)'!$D$31:$D$35</c:f>
                <c:numCache>
                  <c:formatCode>General</c:formatCode>
                  <c:ptCount val="5"/>
                  <c:pt idx="0">
                    <c:v>2.1000000000000085</c:v>
                  </c:pt>
                  <c:pt idx="1">
                    <c:v>2.1000000000000085</c:v>
                  </c:pt>
                  <c:pt idx="2">
                    <c:v>2.1000000000000085</c:v>
                  </c:pt>
                  <c:pt idx="3">
                    <c:v>2</c:v>
                  </c:pt>
                  <c:pt idx="4">
                    <c:v>2</c:v>
                  </c:pt>
                </c:numCache>
              </c:numRef>
            </c:minus>
          </c:errBars>
          <c:cat>
            <c:numRef>
              <c:f>'Page 13 (Lung)'!$A$31:$A$35</c:f>
              <c:numCache>
                <c:formatCode>General</c:formatCode>
                <c:ptCount val="5"/>
                <c:pt idx="0">
                  <c:v>2008</c:v>
                </c:pt>
                <c:pt idx="1">
                  <c:v>2009</c:v>
                </c:pt>
                <c:pt idx="2">
                  <c:v>2010</c:v>
                </c:pt>
                <c:pt idx="3">
                  <c:v>2011</c:v>
                </c:pt>
                <c:pt idx="4">
                  <c:v>2012</c:v>
                </c:pt>
              </c:numCache>
            </c:numRef>
          </c:cat>
          <c:val>
            <c:numRef>
              <c:f>'Page 13 (Lung)'!$B$31:$B$35</c:f>
              <c:numCache>
                <c:formatCode>0.0</c:formatCode>
                <c:ptCount val="5"/>
                <c:pt idx="0">
                  <c:v>79.400000000000006</c:v>
                </c:pt>
                <c:pt idx="1">
                  <c:v>80.7</c:v>
                </c:pt>
                <c:pt idx="2">
                  <c:v>78.400000000000006</c:v>
                </c:pt>
                <c:pt idx="3">
                  <c:v>75.8</c:v>
                </c:pt>
                <c:pt idx="4">
                  <c:v>75.3</c:v>
                </c:pt>
              </c:numCache>
            </c:numRef>
          </c:val>
        </c:ser>
        <c:ser>
          <c:idx val="1"/>
          <c:order val="1"/>
          <c:tx>
            <c:strRef>
              <c:f>'Page 13 (Lung)'!$C$30</c:f>
              <c:strCache>
                <c:ptCount val="1"/>
                <c:pt idx="0">
                  <c:v>Mortality</c:v>
                </c:pt>
              </c:strCache>
            </c:strRef>
          </c:tx>
          <c:spPr>
            <a:ln>
              <a:solidFill>
                <a:sysClr val="windowText" lastClr="000000"/>
              </a:solidFill>
            </a:ln>
          </c:spPr>
          <c:invertIfNegative val="0"/>
          <c:dLbls>
            <c:dLbl>
              <c:idx val="0"/>
              <c:layout>
                <c:manualLayout>
                  <c:x val="8.3333333333333332E-3"/>
                  <c:y val="9.2592592592592587E-3"/>
                </c:manualLayout>
              </c:layout>
              <c:showLegendKey val="0"/>
              <c:showVal val="1"/>
              <c:showCatName val="0"/>
              <c:showSerName val="0"/>
              <c:showPercent val="0"/>
              <c:showBubbleSize val="0"/>
            </c:dLbl>
            <c:dLbl>
              <c:idx val="1"/>
              <c:layout>
                <c:manualLayout>
                  <c:x val="8.3333333333333332E-3"/>
                  <c:y val="1.3888888888888888E-2"/>
                </c:manualLayout>
              </c:layout>
              <c:tx>
                <c:rich>
                  <a:bodyPr/>
                  <a:lstStyle/>
                  <a:p>
                    <a:r>
                      <a:rPr lang="en-US"/>
                      <a:t>63.2</a:t>
                    </a:r>
                  </a:p>
                </c:rich>
              </c:tx>
              <c:showLegendKey val="0"/>
              <c:showVal val="1"/>
              <c:showCatName val="0"/>
              <c:showSerName val="0"/>
              <c:showPercent val="0"/>
              <c:showBubbleSize val="0"/>
            </c:dLbl>
            <c:dLbl>
              <c:idx val="2"/>
              <c:layout>
                <c:manualLayout>
                  <c:x val="8.3333333333333332E-3"/>
                  <c:y val="1.3888888888888888E-2"/>
                </c:manualLayout>
              </c:layout>
              <c:showLegendKey val="0"/>
              <c:showVal val="1"/>
              <c:showCatName val="0"/>
              <c:showSerName val="0"/>
              <c:showPercent val="0"/>
              <c:showBubbleSize val="0"/>
            </c:dLbl>
            <c:dLbl>
              <c:idx val="3"/>
              <c:layout>
                <c:manualLayout>
                  <c:x val="8.3333333333333332E-3"/>
                  <c:y val="0"/>
                </c:manualLayout>
              </c:layout>
              <c:showLegendKey val="0"/>
              <c:showVal val="1"/>
              <c:showCatName val="0"/>
              <c:showSerName val="0"/>
              <c:showPercent val="0"/>
              <c:showBubbleSize val="0"/>
            </c:dLbl>
            <c:dLbl>
              <c:idx val="4"/>
              <c:layout>
                <c:manualLayout>
                  <c:x val="8.3333333333332309E-3"/>
                  <c:y val="0"/>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13 (Lung)'!$G$31:$G$35</c:f>
                <c:numCache>
                  <c:formatCode>General</c:formatCode>
                  <c:ptCount val="5"/>
                  <c:pt idx="0">
                    <c:v>2</c:v>
                  </c:pt>
                  <c:pt idx="1">
                    <c:v>1.9999999999999929</c:v>
                  </c:pt>
                  <c:pt idx="2">
                    <c:v>1.8999999999999915</c:v>
                  </c:pt>
                  <c:pt idx="3">
                    <c:v>1.8000000000000043</c:v>
                  </c:pt>
                  <c:pt idx="4">
                    <c:v>1.7999999999999972</c:v>
                  </c:pt>
                </c:numCache>
              </c:numRef>
            </c:plus>
            <c:minus>
              <c:numRef>
                <c:f>'Page 13 (Lung)'!$F$31:$F$35</c:f>
                <c:numCache>
                  <c:formatCode>General</c:formatCode>
                  <c:ptCount val="5"/>
                  <c:pt idx="0">
                    <c:v>1.9000000000000057</c:v>
                  </c:pt>
                  <c:pt idx="1">
                    <c:v>1.8000000000000043</c:v>
                  </c:pt>
                  <c:pt idx="2">
                    <c:v>1.9000000000000057</c:v>
                  </c:pt>
                  <c:pt idx="3">
                    <c:v>1.7999999999999972</c:v>
                  </c:pt>
                  <c:pt idx="4">
                    <c:v>1.7000000000000028</c:v>
                  </c:pt>
                </c:numCache>
              </c:numRef>
            </c:minus>
          </c:errBars>
          <c:cat>
            <c:numRef>
              <c:f>'Page 13 (Lung)'!$A$31:$A$35</c:f>
              <c:numCache>
                <c:formatCode>General</c:formatCode>
                <c:ptCount val="5"/>
                <c:pt idx="0">
                  <c:v>2008</c:v>
                </c:pt>
                <c:pt idx="1">
                  <c:v>2009</c:v>
                </c:pt>
                <c:pt idx="2">
                  <c:v>2010</c:v>
                </c:pt>
                <c:pt idx="3">
                  <c:v>2011</c:v>
                </c:pt>
                <c:pt idx="4">
                  <c:v>2012</c:v>
                </c:pt>
              </c:numCache>
            </c:numRef>
          </c:cat>
          <c:val>
            <c:numRef>
              <c:f>'Page 13 (Lung)'!$C$31:$C$35</c:f>
              <c:numCache>
                <c:formatCode>General</c:formatCode>
                <c:ptCount val="5"/>
                <c:pt idx="0">
                  <c:v>63.2</c:v>
                </c:pt>
                <c:pt idx="1">
                  <c:v>63.1</c:v>
                </c:pt>
                <c:pt idx="2">
                  <c:v>62.2</c:v>
                </c:pt>
                <c:pt idx="3">
                  <c:v>58.9</c:v>
                </c:pt>
                <c:pt idx="4">
                  <c:v>58.2</c:v>
                </c:pt>
              </c:numCache>
            </c:numRef>
          </c:val>
        </c:ser>
        <c:dLbls>
          <c:showLegendKey val="0"/>
          <c:showVal val="0"/>
          <c:showCatName val="0"/>
          <c:showSerName val="0"/>
          <c:showPercent val="0"/>
          <c:showBubbleSize val="0"/>
        </c:dLbls>
        <c:gapWidth val="150"/>
        <c:axId val="196555264"/>
        <c:axId val="187062464"/>
      </c:barChart>
      <c:catAx>
        <c:axId val="196555264"/>
        <c:scaling>
          <c:orientation val="minMax"/>
        </c:scaling>
        <c:delete val="0"/>
        <c:axPos val="b"/>
        <c:title>
          <c:tx>
            <c:rich>
              <a:bodyPr/>
              <a:lstStyle/>
              <a:p>
                <a:pPr>
                  <a:defRPr sz="900"/>
                </a:pPr>
                <a:r>
                  <a:rPr lang="en-US" sz="900"/>
                  <a:t>Year of Diagnosis or Death</a:t>
                </a:r>
              </a:p>
            </c:rich>
          </c:tx>
          <c:overlay val="0"/>
        </c:title>
        <c:numFmt formatCode="General" sourceLinked="1"/>
        <c:majorTickMark val="out"/>
        <c:minorTickMark val="none"/>
        <c:tickLblPos val="nextTo"/>
        <c:crossAx val="187062464"/>
        <c:crosses val="autoZero"/>
        <c:auto val="1"/>
        <c:lblAlgn val="ctr"/>
        <c:lblOffset val="100"/>
        <c:noMultiLvlLbl val="0"/>
      </c:catAx>
      <c:valAx>
        <c:axId val="187062464"/>
        <c:scaling>
          <c:orientation val="minMax"/>
          <c:max val="100"/>
        </c:scaling>
        <c:delete val="0"/>
        <c:axPos val="l"/>
        <c:title>
          <c:tx>
            <c:rich>
              <a:bodyPr rot="-5400000" vert="horz"/>
              <a:lstStyle/>
              <a:p>
                <a:pPr>
                  <a:defRPr sz="900"/>
                </a:pPr>
                <a:r>
                  <a:rPr lang="en-US" sz="900"/>
                  <a:t>Age-Adjusted Rate per 100,000</a:t>
                </a:r>
              </a:p>
            </c:rich>
          </c:tx>
          <c:layout>
            <c:manualLayout>
              <c:xMode val="edge"/>
              <c:yMode val="edge"/>
              <c:x val="1.9444444444444445E-2"/>
              <c:y val="0.22172611847701396"/>
            </c:manualLayout>
          </c:layout>
          <c:overlay val="0"/>
        </c:title>
        <c:numFmt formatCode="0" sourceLinked="0"/>
        <c:majorTickMark val="out"/>
        <c:minorTickMark val="none"/>
        <c:tickLblPos val="nextTo"/>
        <c:txPr>
          <a:bodyPr/>
          <a:lstStyle/>
          <a:p>
            <a:pPr>
              <a:defRPr sz="900"/>
            </a:pPr>
            <a:endParaRPr lang="en-US"/>
          </a:p>
        </c:txPr>
        <c:crossAx val="196555264"/>
        <c:crosses val="autoZero"/>
        <c:crossBetween val="between"/>
        <c:majorUnit val="20"/>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 Lung and Bronchus</a:t>
            </a:r>
          </a:p>
          <a:p>
            <a:pPr>
              <a:defRPr/>
            </a:pPr>
            <a:r>
              <a:rPr lang="en-US" sz="1300"/>
              <a:t>Tennessee, 2008-2012</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'Page 14 (Lung)'!$B$1</c:f>
              <c:strCache>
                <c:ptCount val="1"/>
                <c:pt idx="0">
                  <c:v>Column %</c:v>
                </c:pt>
              </c:strCache>
            </c:strRef>
          </c:tx>
          <c:spPr>
            <a:ln>
              <a:solidFill>
                <a:sysClr val="windowText" lastClr="000000"/>
              </a:solidFill>
            </a:ln>
          </c:spPr>
          <c:dLbls>
            <c:dLbl>
              <c:idx val="0"/>
              <c:layout>
                <c:manualLayout>
                  <c:x val="6.4905131363745552E-2"/>
                  <c:y val="-4.6772741522348581E-2"/>
                </c:manualLayout>
              </c:layout>
              <c:dLblPos val="bestFit"/>
              <c:showLegendKey val="0"/>
              <c:showVal val="1"/>
              <c:showCatName val="1"/>
              <c:showSerName val="0"/>
              <c:showPercent val="0"/>
              <c:showBubbleSize val="0"/>
            </c:dLbl>
            <c:dLbl>
              <c:idx val="4"/>
              <c:layout>
                <c:manualLayout>
                  <c:x val="2.1914397194472753E-2"/>
                  <c:y val="-3.9493127422333608E-2"/>
                </c:manualLayout>
              </c:layout>
              <c:dLblPos val="bestFit"/>
              <c:showLegendKey val="0"/>
              <c:showVal val="1"/>
              <c:showCatName val="1"/>
              <c:showSerName val="0"/>
              <c:showPercent val="0"/>
              <c:showBubbleSize val="0"/>
            </c:dLbl>
            <c:numFmt formatCode="0.0%" sourceLinked="0"/>
            <c:txPr>
              <a:bodyPr/>
              <a:lstStyle/>
              <a:p>
                <a:pPr>
                  <a:defRPr sz="800"/>
                </a:pPr>
                <a:endParaRPr lang="en-US"/>
              </a:p>
            </c:txPr>
            <c:dLblPos val="bestFit"/>
            <c:showLegendKey val="0"/>
            <c:showVal val="1"/>
            <c:showCatName val="1"/>
            <c:showSerName val="0"/>
            <c:showPercent val="0"/>
            <c:showBubbleSize val="0"/>
            <c:showLeaderLines val="1"/>
          </c:dLbls>
          <c:cat>
            <c:strRef>
              <c:f>'Page 14 (Lung)'!$A$2:$A$6</c:f>
              <c:strCache>
                <c:ptCount val="5"/>
                <c:pt idx="0">
                  <c:v>In Situ</c:v>
                </c:pt>
                <c:pt idx="1">
                  <c:v>Localized</c:v>
                </c:pt>
                <c:pt idx="2">
                  <c:v>Regional</c:v>
                </c:pt>
                <c:pt idx="3">
                  <c:v>Distant</c:v>
                </c:pt>
                <c:pt idx="4">
                  <c:v>Unknown</c:v>
                </c:pt>
              </c:strCache>
            </c:strRef>
          </c:cat>
          <c:val>
            <c:numRef>
              <c:f>'Page 14 (Lung)'!$B$2:$B$6</c:f>
              <c:numCache>
                <c:formatCode>0.0%</c:formatCode>
                <c:ptCount val="5"/>
                <c:pt idx="0">
                  <c:v>2E-3</c:v>
                </c:pt>
                <c:pt idx="1">
                  <c:v>0.2</c:v>
                </c:pt>
                <c:pt idx="2">
                  <c:v>0.24299999999999999</c:v>
                </c:pt>
                <c:pt idx="3">
                  <c:v>0.46600000000000003</c:v>
                </c:pt>
                <c:pt idx="4">
                  <c:v>0.09</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 Lung and Bronchus</a:t>
            </a:r>
          </a:p>
          <a:p>
            <a:pPr>
              <a:defRPr/>
            </a:pPr>
            <a:r>
              <a:rPr lang="en-US" sz="1300"/>
              <a:t>By Race, Tennessee, 2008-2012</a:t>
            </a:r>
          </a:p>
        </c:rich>
      </c:tx>
      <c:overlay val="0"/>
    </c:title>
    <c:autoTitleDeleted val="0"/>
    <c:plotArea>
      <c:layout>
        <c:manualLayout>
          <c:layoutTarget val="inner"/>
          <c:xMode val="edge"/>
          <c:yMode val="edge"/>
          <c:x val="0.12516397552358216"/>
          <c:y val="0.21337744586966595"/>
          <c:w val="0.70952548818393524"/>
          <c:h val="0.62758310427987696"/>
        </c:manualLayout>
      </c:layout>
      <c:barChart>
        <c:barDir val="col"/>
        <c:grouping val="percentStacked"/>
        <c:varyColors val="0"/>
        <c:ser>
          <c:idx val="0"/>
          <c:order val="0"/>
          <c:tx>
            <c:strRef>
              <c:f>'Page 14 (Lung)'!$A$11</c:f>
              <c:strCache>
                <c:ptCount val="1"/>
                <c:pt idx="0">
                  <c:v>In Situ</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14 (Lung)'!$B$10:$D$10</c:f>
              <c:strCache>
                <c:ptCount val="3"/>
                <c:pt idx="0">
                  <c:v>Total Population</c:v>
                </c:pt>
                <c:pt idx="1">
                  <c:v>Black </c:v>
                </c:pt>
                <c:pt idx="2">
                  <c:v>White</c:v>
                </c:pt>
              </c:strCache>
            </c:strRef>
          </c:cat>
          <c:val>
            <c:numRef>
              <c:f>'Page 14 (Lung)'!$B$11:$D$11</c:f>
              <c:numCache>
                <c:formatCode>0.0%</c:formatCode>
                <c:ptCount val="3"/>
                <c:pt idx="0">
                  <c:v>2E-3</c:v>
                </c:pt>
                <c:pt idx="1">
                  <c:v>2E-3</c:v>
                </c:pt>
                <c:pt idx="2">
                  <c:v>2E-3</c:v>
                </c:pt>
              </c:numCache>
            </c:numRef>
          </c:val>
        </c:ser>
        <c:ser>
          <c:idx val="1"/>
          <c:order val="1"/>
          <c:tx>
            <c:strRef>
              <c:f>'Page 14 (Lung)'!$A$12</c:f>
              <c:strCache>
                <c:ptCount val="1"/>
                <c:pt idx="0">
                  <c:v>Localized</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14 (Lung)'!$B$10:$D$10</c:f>
              <c:strCache>
                <c:ptCount val="3"/>
                <c:pt idx="0">
                  <c:v>Total Population</c:v>
                </c:pt>
                <c:pt idx="1">
                  <c:v>Black </c:v>
                </c:pt>
                <c:pt idx="2">
                  <c:v>White</c:v>
                </c:pt>
              </c:strCache>
            </c:strRef>
          </c:cat>
          <c:val>
            <c:numRef>
              <c:f>'Page 14 (Lung)'!$B$12:$D$12</c:f>
              <c:numCache>
                <c:formatCode>0.0%</c:formatCode>
                <c:ptCount val="3"/>
                <c:pt idx="0">
                  <c:v>0.22</c:v>
                </c:pt>
                <c:pt idx="1">
                  <c:v>0.185</c:v>
                </c:pt>
                <c:pt idx="2">
                  <c:v>0.224</c:v>
                </c:pt>
              </c:numCache>
            </c:numRef>
          </c:val>
        </c:ser>
        <c:ser>
          <c:idx val="2"/>
          <c:order val="2"/>
          <c:tx>
            <c:strRef>
              <c:f>'Page 14 (Lung)'!$A$13</c:f>
              <c:strCache>
                <c:ptCount val="1"/>
                <c:pt idx="0">
                  <c:v>Regional</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14 (Lung)'!$B$10:$D$10</c:f>
              <c:strCache>
                <c:ptCount val="3"/>
                <c:pt idx="0">
                  <c:v>Total Population</c:v>
                </c:pt>
                <c:pt idx="1">
                  <c:v>Black </c:v>
                </c:pt>
                <c:pt idx="2">
                  <c:v>White</c:v>
                </c:pt>
              </c:strCache>
            </c:strRef>
          </c:cat>
          <c:val>
            <c:numRef>
              <c:f>'Page 14 (Lung)'!$B$13:$D$13</c:f>
              <c:numCache>
                <c:formatCode>0.0%</c:formatCode>
                <c:ptCount val="3"/>
                <c:pt idx="0">
                  <c:v>0.26700000000000002</c:v>
                </c:pt>
                <c:pt idx="1">
                  <c:v>0.25700000000000001</c:v>
                </c:pt>
                <c:pt idx="2">
                  <c:v>0.26800000000000002</c:v>
                </c:pt>
              </c:numCache>
            </c:numRef>
          </c:val>
        </c:ser>
        <c:ser>
          <c:idx val="3"/>
          <c:order val="3"/>
          <c:tx>
            <c:strRef>
              <c:f>'Page 14 (Lung)'!$A$14</c:f>
              <c:strCache>
                <c:ptCount val="1"/>
                <c:pt idx="0">
                  <c:v>Distant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14 (Lung)'!$B$10:$D$10</c:f>
              <c:strCache>
                <c:ptCount val="3"/>
                <c:pt idx="0">
                  <c:v>Total Population</c:v>
                </c:pt>
                <c:pt idx="1">
                  <c:v>Black </c:v>
                </c:pt>
                <c:pt idx="2">
                  <c:v>White</c:v>
                </c:pt>
              </c:strCache>
            </c:strRef>
          </c:cat>
          <c:val>
            <c:numRef>
              <c:f>'Page 14 (Lung)'!$B$14:$D$14</c:f>
              <c:numCache>
                <c:formatCode>0.0%</c:formatCode>
                <c:ptCount val="3"/>
                <c:pt idx="0">
                  <c:v>0.51200000000000001</c:v>
                </c:pt>
                <c:pt idx="1">
                  <c:v>0.55600000000000005</c:v>
                </c:pt>
                <c:pt idx="2">
                  <c:v>0.50600000000000001</c:v>
                </c:pt>
              </c:numCache>
            </c:numRef>
          </c:val>
        </c:ser>
        <c:dLbls>
          <c:showLegendKey val="0"/>
          <c:showVal val="1"/>
          <c:showCatName val="0"/>
          <c:showSerName val="0"/>
          <c:showPercent val="0"/>
          <c:showBubbleSize val="0"/>
        </c:dLbls>
        <c:gapWidth val="150"/>
        <c:overlap val="100"/>
        <c:axId val="197060608"/>
        <c:axId val="166542656"/>
      </c:barChart>
      <c:catAx>
        <c:axId val="197060608"/>
        <c:scaling>
          <c:orientation val="minMax"/>
        </c:scaling>
        <c:delete val="0"/>
        <c:axPos val="b"/>
        <c:majorTickMark val="out"/>
        <c:minorTickMark val="none"/>
        <c:tickLblPos val="nextTo"/>
        <c:txPr>
          <a:bodyPr/>
          <a:lstStyle/>
          <a:p>
            <a:pPr>
              <a:defRPr sz="900"/>
            </a:pPr>
            <a:endParaRPr lang="en-US"/>
          </a:p>
        </c:txPr>
        <c:crossAx val="166542656"/>
        <c:crosses val="autoZero"/>
        <c:auto val="1"/>
        <c:lblAlgn val="ctr"/>
        <c:lblOffset val="100"/>
        <c:noMultiLvlLbl val="0"/>
      </c:catAx>
      <c:valAx>
        <c:axId val="166542656"/>
        <c:scaling>
          <c:orientation val="minMax"/>
        </c:scaling>
        <c:delete val="0"/>
        <c:axPos val="l"/>
        <c:title>
          <c:tx>
            <c:rich>
              <a:bodyPr rot="-5400000" vert="horz"/>
              <a:lstStyle/>
              <a:p>
                <a:pPr>
                  <a:defRPr/>
                </a:pPr>
                <a:r>
                  <a:rPr lang="en-US"/>
                  <a:t>Percent </a:t>
                </a:r>
              </a:p>
            </c:rich>
          </c:tx>
          <c:overlay val="0"/>
        </c:title>
        <c:numFmt formatCode="0%" sourceLinked="1"/>
        <c:majorTickMark val="out"/>
        <c:minorTickMark val="none"/>
        <c:tickLblPos val="nextTo"/>
        <c:txPr>
          <a:bodyPr/>
          <a:lstStyle/>
          <a:p>
            <a:pPr>
              <a:defRPr sz="900"/>
            </a:pPr>
            <a:endParaRPr lang="en-US"/>
          </a:p>
        </c:txPr>
        <c:crossAx val="197060608"/>
        <c:crosses val="autoZero"/>
        <c:crossBetween val="between"/>
        <c:majorUnit val="0.2"/>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a:t>
            </a:r>
            <a:r>
              <a:rPr lang="en-US" sz="1300" baseline="0"/>
              <a:t> and Mortality, Prostate,</a:t>
            </a:r>
          </a:p>
          <a:p>
            <a:pPr>
              <a:defRPr/>
            </a:pPr>
            <a:r>
              <a:rPr lang="en-US" sz="1300" baseline="0"/>
              <a:t> by Race, Tennessee, 2008-2012</a:t>
            </a:r>
            <a:endParaRPr lang="en-US" sz="1300"/>
          </a:p>
        </c:rich>
      </c:tx>
      <c:layout>
        <c:manualLayout>
          <c:xMode val="edge"/>
          <c:yMode val="edge"/>
          <c:x val="0.12336811023622048"/>
          <c:y val="2.3148148148148147E-2"/>
        </c:manualLayout>
      </c:layout>
      <c:overlay val="0"/>
    </c:title>
    <c:autoTitleDeleted val="0"/>
    <c:plotArea>
      <c:layout/>
      <c:barChart>
        <c:barDir val="col"/>
        <c:grouping val="clustered"/>
        <c:varyColors val="0"/>
        <c:ser>
          <c:idx val="0"/>
          <c:order val="0"/>
          <c:tx>
            <c:strRef>
              <c:f>'Page 15 (Prostate)'!$B$1</c:f>
              <c:strCache>
                <c:ptCount val="1"/>
                <c:pt idx="0">
                  <c:v>Black</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15 (Prostate)'!$F$2:$F$3</c:f>
                <c:numCache>
                  <c:formatCode>General</c:formatCode>
                  <c:ptCount val="2"/>
                  <c:pt idx="0">
                    <c:v>7.2000000000000171</c:v>
                  </c:pt>
                  <c:pt idx="1">
                    <c:v>4.5</c:v>
                  </c:pt>
                </c:numCache>
              </c:numRef>
            </c:plus>
            <c:minus>
              <c:numRef>
                <c:f>'Page 15 (Prostate)'!$D$2:$D$3</c:f>
                <c:numCache>
                  <c:formatCode>General</c:formatCode>
                  <c:ptCount val="2"/>
                  <c:pt idx="0">
                    <c:v>7</c:v>
                  </c:pt>
                  <c:pt idx="1">
                    <c:v>4.2000000000000028</c:v>
                  </c:pt>
                </c:numCache>
              </c:numRef>
            </c:minus>
          </c:errBars>
          <c:cat>
            <c:strRef>
              <c:f>'Page 15 (Prostate)'!$A$2:$A$3</c:f>
              <c:strCache>
                <c:ptCount val="2"/>
                <c:pt idx="0">
                  <c:v>Incidence</c:v>
                </c:pt>
                <c:pt idx="1">
                  <c:v>Mortality</c:v>
                </c:pt>
              </c:strCache>
            </c:strRef>
          </c:cat>
          <c:val>
            <c:numRef>
              <c:f>'Page 15 (Prostate)'!$B$2:$B$3</c:f>
              <c:numCache>
                <c:formatCode>General</c:formatCode>
                <c:ptCount val="2"/>
                <c:pt idx="0">
                  <c:v>203.6</c:v>
                </c:pt>
                <c:pt idx="1">
                  <c:v>52.5</c:v>
                </c:pt>
              </c:numCache>
            </c:numRef>
          </c:val>
        </c:ser>
        <c:ser>
          <c:idx val="1"/>
          <c:order val="1"/>
          <c:tx>
            <c:strRef>
              <c:f>'Page 15 (Prostate)'!$C$1</c:f>
              <c:strCache>
                <c:ptCount val="1"/>
                <c:pt idx="0">
                  <c:v>White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15 (Prostate)'!$G$2:$G$3</c:f>
                <c:numCache>
                  <c:formatCode>General</c:formatCode>
                  <c:ptCount val="2"/>
                  <c:pt idx="0">
                    <c:v>1.9000000000000057</c:v>
                  </c:pt>
                  <c:pt idx="1">
                    <c:v>0.79999999999999716</c:v>
                  </c:pt>
                </c:numCache>
              </c:numRef>
            </c:plus>
            <c:minus>
              <c:numRef>
                <c:f>'Page 15 (Prostate)'!$E$2:$E$3</c:f>
                <c:numCache>
                  <c:formatCode>General</c:formatCode>
                  <c:ptCount val="2"/>
                  <c:pt idx="0">
                    <c:v>1.9000000000000057</c:v>
                  </c:pt>
                  <c:pt idx="1">
                    <c:v>0.80000000000000071</c:v>
                  </c:pt>
                </c:numCache>
              </c:numRef>
            </c:minus>
          </c:errBars>
          <c:cat>
            <c:strRef>
              <c:f>'Page 15 (Prostate)'!$A$2:$A$3</c:f>
              <c:strCache>
                <c:ptCount val="2"/>
                <c:pt idx="0">
                  <c:v>Incidence</c:v>
                </c:pt>
                <c:pt idx="1">
                  <c:v>Mortality</c:v>
                </c:pt>
              </c:strCache>
            </c:strRef>
          </c:cat>
          <c:val>
            <c:numRef>
              <c:f>'Page 15 (Prostate)'!$C$2:$C$3</c:f>
              <c:numCache>
                <c:formatCode>General</c:formatCode>
                <c:ptCount val="2"/>
                <c:pt idx="0">
                  <c:v>126.4</c:v>
                </c:pt>
                <c:pt idx="1">
                  <c:v>19.600000000000001</c:v>
                </c:pt>
              </c:numCache>
            </c:numRef>
          </c:val>
        </c:ser>
        <c:dLbls>
          <c:showLegendKey val="0"/>
          <c:showVal val="0"/>
          <c:showCatName val="0"/>
          <c:showSerName val="0"/>
          <c:showPercent val="0"/>
          <c:showBubbleSize val="0"/>
        </c:dLbls>
        <c:gapWidth val="50"/>
        <c:axId val="199738880"/>
        <c:axId val="187063040"/>
      </c:barChart>
      <c:catAx>
        <c:axId val="199738880"/>
        <c:scaling>
          <c:orientation val="minMax"/>
        </c:scaling>
        <c:delete val="0"/>
        <c:axPos val="b"/>
        <c:majorTickMark val="out"/>
        <c:minorTickMark val="none"/>
        <c:tickLblPos val="nextTo"/>
        <c:txPr>
          <a:bodyPr/>
          <a:lstStyle/>
          <a:p>
            <a:pPr>
              <a:defRPr sz="900"/>
            </a:pPr>
            <a:endParaRPr lang="en-US"/>
          </a:p>
        </c:txPr>
        <c:crossAx val="187063040"/>
        <c:crosses val="autoZero"/>
        <c:auto val="1"/>
        <c:lblAlgn val="ctr"/>
        <c:lblOffset val="100"/>
        <c:noMultiLvlLbl val="0"/>
      </c:catAx>
      <c:valAx>
        <c:axId val="187063040"/>
        <c:scaling>
          <c:orientation val="minMax"/>
        </c:scaling>
        <c:delete val="0"/>
        <c:axPos val="l"/>
        <c:title>
          <c:tx>
            <c:rich>
              <a:bodyPr rot="-5400000" vert="horz"/>
              <a:lstStyle/>
              <a:p>
                <a:pPr>
                  <a:defRPr sz="900"/>
                </a:pPr>
                <a:r>
                  <a:rPr lang="en-US" sz="900"/>
                  <a:t>Age-Adjusted Rates per 100,000</a:t>
                </a:r>
              </a:p>
            </c:rich>
          </c:tx>
          <c:overlay val="0"/>
        </c:title>
        <c:numFmt formatCode="General" sourceLinked="1"/>
        <c:majorTickMark val="out"/>
        <c:minorTickMark val="none"/>
        <c:tickLblPos val="nextTo"/>
        <c:txPr>
          <a:bodyPr/>
          <a:lstStyle/>
          <a:p>
            <a:pPr>
              <a:defRPr sz="900"/>
            </a:pPr>
            <a:endParaRPr lang="en-US"/>
          </a:p>
        </c:txPr>
        <c:crossAx val="199738880"/>
        <c:crosses val="autoZero"/>
        <c:crossBetween val="between"/>
      </c:valAx>
      <c:spPr>
        <a:ln>
          <a:noFill/>
        </a:ln>
      </c:spPr>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a:t>
            </a:r>
            <a:r>
              <a:rPr lang="en-US" sz="1300" baseline="0"/>
              <a:t> Incidence and Mortality, Prostate,</a:t>
            </a:r>
          </a:p>
          <a:p>
            <a:pPr>
              <a:defRPr/>
            </a:pPr>
            <a:r>
              <a:rPr lang="en-US" sz="1300" baseline="0"/>
              <a:t>by Year, Tennessee, 2008-2012</a:t>
            </a:r>
            <a:endParaRPr lang="en-US" sz="1300"/>
          </a:p>
        </c:rich>
      </c:tx>
      <c:overlay val="0"/>
    </c:title>
    <c:autoTitleDeleted val="0"/>
    <c:plotArea>
      <c:layout/>
      <c:barChart>
        <c:barDir val="col"/>
        <c:grouping val="clustered"/>
        <c:varyColors val="0"/>
        <c:ser>
          <c:idx val="0"/>
          <c:order val="0"/>
          <c:tx>
            <c:strRef>
              <c:f>'Page 15 (Prostate)'!$B$29</c:f>
              <c:strCache>
                <c:ptCount val="1"/>
                <c:pt idx="0">
                  <c:v>Incidence</c:v>
                </c:pt>
              </c:strCache>
            </c:strRef>
          </c:tx>
          <c:spPr>
            <a:ln>
              <a:solidFill>
                <a:sysClr val="windowText" lastClr="000000"/>
              </a:solidFill>
            </a:ln>
          </c:spPr>
          <c:invertIfNegative val="0"/>
          <c:dLbls>
            <c:txPr>
              <a:bodyPr/>
              <a:lstStyle/>
              <a:p>
                <a:pPr>
                  <a:defRPr sz="900"/>
                </a:pPr>
                <a:endParaRPr lang="en-US"/>
              </a:p>
            </c:txPr>
            <c:showLegendKey val="0"/>
            <c:showVal val="1"/>
            <c:showCatName val="0"/>
            <c:showSerName val="0"/>
            <c:showPercent val="0"/>
            <c:showBubbleSize val="0"/>
            <c:showLeaderLines val="0"/>
          </c:dLbls>
          <c:errBars>
            <c:errBarType val="both"/>
            <c:errValType val="cust"/>
            <c:noEndCap val="0"/>
            <c:plus>
              <c:numRef>
                <c:f>'Page 15 (Prostate)'!$E$30:$E$34</c:f>
                <c:numCache>
                  <c:formatCode>General</c:formatCode>
                  <c:ptCount val="5"/>
                  <c:pt idx="0">
                    <c:v>4.5</c:v>
                  </c:pt>
                  <c:pt idx="1">
                    <c:v>4.2999999999999829</c:v>
                  </c:pt>
                  <c:pt idx="2">
                    <c:v>4.0999999999999943</c:v>
                  </c:pt>
                  <c:pt idx="3">
                    <c:v>4.0999999999999943</c:v>
                  </c:pt>
                  <c:pt idx="4">
                    <c:v>3.7000000000000028</c:v>
                  </c:pt>
                </c:numCache>
              </c:numRef>
            </c:plus>
            <c:minus>
              <c:numRef>
                <c:f>'Page 15 (Prostate)'!$D$30:$D$34</c:f>
                <c:numCache>
                  <c:formatCode>General</c:formatCode>
                  <c:ptCount val="5"/>
                  <c:pt idx="0">
                    <c:v>4.5</c:v>
                  </c:pt>
                  <c:pt idx="1">
                    <c:v>4.0999999999999943</c:v>
                  </c:pt>
                  <c:pt idx="2">
                    <c:v>4</c:v>
                  </c:pt>
                  <c:pt idx="3">
                    <c:v>4</c:v>
                  </c:pt>
                  <c:pt idx="4">
                    <c:v>3.5999999999999943</c:v>
                  </c:pt>
                </c:numCache>
              </c:numRef>
            </c:minus>
          </c:errBars>
          <c:cat>
            <c:numRef>
              <c:f>'Page 15 (Prostate)'!$A$30:$A$34</c:f>
              <c:numCache>
                <c:formatCode>General</c:formatCode>
                <c:ptCount val="5"/>
                <c:pt idx="0">
                  <c:v>2008</c:v>
                </c:pt>
                <c:pt idx="1">
                  <c:v>2009</c:v>
                </c:pt>
                <c:pt idx="2">
                  <c:v>2010</c:v>
                </c:pt>
                <c:pt idx="3">
                  <c:v>2011</c:v>
                </c:pt>
                <c:pt idx="4">
                  <c:v>2012</c:v>
                </c:pt>
              </c:numCache>
            </c:numRef>
          </c:cat>
          <c:val>
            <c:numRef>
              <c:f>'Page 15 (Prostate)'!$B$30:$B$34</c:f>
              <c:numCache>
                <c:formatCode>General</c:formatCode>
                <c:ptCount val="5"/>
                <c:pt idx="0">
                  <c:v>154.4</c:v>
                </c:pt>
                <c:pt idx="1">
                  <c:v>138.4</c:v>
                </c:pt>
                <c:pt idx="2" formatCode="0.0">
                  <c:v>135</c:v>
                </c:pt>
                <c:pt idx="3">
                  <c:v>137.5</c:v>
                </c:pt>
                <c:pt idx="4">
                  <c:v>115.5</c:v>
                </c:pt>
              </c:numCache>
            </c:numRef>
          </c:val>
        </c:ser>
        <c:ser>
          <c:idx val="1"/>
          <c:order val="1"/>
          <c:tx>
            <c:strRef>
              <c:f>'Page 15 (Prostate)'!$C$29</c:f>
              <c:strCache>
                <c:ptCount val="1"/>
                <c:pt idx="0">
                  <c:v>Mortality</c:v>
                </c:pt>
              </c:strCache>
            </c:strRef>
          </c:tx>
          <c:spPr>
            <a:ln>
              <a:solidFill>
                <a:sysClr val="windowText" lastClr="000000"/>
              </a:solidFill>
            </a:ln>
          </c:spPr>
          <c:invertIfNegative val="0"/>
          <c:dLbls>
            <c:txPr>
              <a:bodyPr/>
              <a:lstStyle/>
              <a:p>
                <a:pPr>
                  <a:defRPr sz="900"/>
                </a:pPr>
                <a:endParaRPr lang="en-US"/>
              </a:p>
            </c:txPr>
            <c:showLegendKey val="0"/>
            <c:showVal val="1"/>
            <c:showCatName val="0"/>
            <c:showSerName val="0"/>
            <c:showPercent val="0"/>
            <c:showBubbleSize val="0"/>
            <c:showLeaderLines val="0"/>
          </c:dLbls>
          <c:errBars>
            <c:errBarType val="both"/>
            <c:errValType val="cust"/>
            <c:noEndCap val="0"/>
            <c:plus>
              <c:numRef>
                <c:f>'Page 15 (Prostate)'!$G$30:$G$34</c:f>
                <c:numCache>
                  <c:formatCode>General</c:formatCode>
                  <c:ptCount val="5"/>
                  <c:pt idx="0">
                    <c:v>2.1999999999999993</c:v>
                  </c:pt>
                  <c:pt idx="1">
                    <c:v>2</c:v>
                  </c:pt>
                  <c:pt idx="2">
                    <c:v>2.1000000000000014</c:v>
                  </c:pt>
                  <c:pt idx="3">
                    <c:v>1.9000000000000021</c:v>
                  </c:pt>
                  <c:pt idx="4">
                    <c:v>1.8000000000000007</c:v>
                  </c:pt>
                </c:numCache>
              </c:numRef>
            </c:plus>
            <c:minus>
              <c:numRef>
                <c:f>'Page 15 (Prostate)'!$F$30:$F$34</c:f>
                <c:numCache>
                  <c:formatCode>General</c:formatCode>
                  <c:ptCount val="5"/>
                  <c:pt idx="0">
                    <c:v>2</c:v>
                  </c:pt>
                  <c:pt idx="1">
                    <c:v>1.9000000000000021</c:v>
                  </c:pt>
                  <c:pt idx="2">
                    <c:v>1.8999999999999986</c:v>
                  </c:pt>
                  <c:pt idx="3">
                    <c:v>1.8000000000000007</c:v>
                  </c:pt>
                  <c:pt idx="4">
                    <c:v>1.6999999999999993</c:v>
                  </c:pt>
                </c:numCache>
              </c:numRef>
            </c:minus>
          </c:errBars>
          <c:cat>
            <c:numRef>
              <c:f>'Page 15 (Prostate)'!$A$30:$A$34</c:f>
              <c:numCache>
                <c:formatCode>General</c:formatCode>
                <c:ptCount val="5"/>
                <c:pt idx="0">
                  <c:v>2008</c:v>
                </c:pt>
                <c:pt idx="1">
                  <c:v>2009</c:v>
                </c:pt>
                <c:pt idx="2">
                  <c:v>2010</c:v>
                </c:pt>
                <c:pt idx="3">
                  <c:v>2011</c:v>
                </c:pt>
                <c:pt idx="4">
                  <c:v>2012</c:v>
                </c:pt>
              </c:numCache>
            </c:numRef>
          </c:cat>
          <c:val>
            <c:numRef>
              <c:f>'Page 15 (Prostate)'!$C$30:$C$34</c:f>
              <c:numCache>
                <c:formatCode>General</c:formatCode>
                <c:ptCount val="5"/>
                <c:pt idx="0">
                  <c:v>24.1</c:v>
                </c:pt>
                <c:pt idx="1">
                  <c:v>23.3</c:v>
                </c:pt>
                <c:pt idx="2">
                  <c:v>23.7</c:v>
                </c:pt>
                <c:pt idx="3">
                  <c:v>21.7</c:v>
                </c:pt>
                <c:pt idx="4">
                  <c:v>19.899999999999999</c:v>
                </c:pt>
              </c:numCache>
            </c:numRef>
          </c:val>
        </c:ser>
        <c:dLbls>
          <c:showLegendKey val="0"/>
          <c:showVal val="0"/>
          <c:showCatName val="0"/>
          <c:showSerName val="0"/>
          <c:showPercent val="0"/>
          <c:showBubbleSize val="0"/>
        </c:dLbls>
        <c:gapWidth val="50"/>
        <c:axId val="202547200"/>
        <c:axId val="166652736"/>
      </c:barChart>
      <c:catAx>
        <c:axId val="202547200"/>
        <c:scaling>
          <c:orientation val="minMax"/>
        </c:scaling>
        <c:delete val="0"/>
        <c:axPos val="b"/>
        <c:title>
          <c:tx>
            <c:rich>
              <a:bodyPr/>
              <a:lstStyle/>
              <a:p>
                <a:pPr>
                  <a:defRPr sz="900"/>
                </a:pPr>
                <a:r>
                  <a:rPr lang="en-US" sz="900"/>
                  <a:t>Year of Diagnosis or Death</a:t>
                </a:r>
              </a:p>
            </c:rich>
          </c:tx>
          <c:overlay val="0"/>
        </c:title>
        <c:numFmt formatCode="General" sourceLinked="1"/>
        <c:majorTickMark val="out"/>
        <c:minorTickMark val="none"/>
        <c:tickLblPos val="nextTo"/>
        <c:crossAx val="166652736"/>
        <c:crosses val="autoZero"/>
        <c:auto val="1"/>
        <c:lblAlgn val="ctr"/>
        <c:lblOffset val="100"/>
        <c:noMultiLvlLbl val="0"/>
      </c:catAx>
      <c:valAx>
        <c:axId val="166652736"/>
        <c:scaling>
          <c:orientation val="minMax"/>
        </c:scaling>
        <c:delete val="0"/>
        <c:axPos val="l"/>
        <c:title>
          <c:tx>
            <c:rich>
              <a:bodyPr rot="-5400000" vert="horz"/>
              <a:lstStyle/>
              <a:p>
                <a:pPr>
                  <a:defRPr sz="900"/>
                </a:pPr>
                <a:r>
                  <a:rPr lang="en-US" sz="900"/>
                  <a:t>Age-Adjusted</a:t>
                </a:r>
                <a:r>
                  <a:rPr lang="en-US" sz="900" baseline="0"/>
                  <a:t> Rate per 100,000</a:t>
                </a:r>
                <a:endParaRPr lang="en-US" sz="900"/>
              </a:p>
            </c:rich>
          </c:tx>
          <c:overlay val="0"/>
        </c:title>
        <c:numFmt formatCode="General" sourceLinked="1"/>
        <c:majorTickMark val="out"/>
        <c:minorTickMark val="none"/>
        <c:tickLblPos val="nextTo"/>
        <c:txPr>
          <a:bodyPr/>
          <a:lstStyle/>
          <a:p>
            <a:pPr>
              <a:defRPr sz="900"/>
            </a:pPr>
            <a:endParaRPr lang="en-US"/>
          </a:p>
        </c:txPr>
        <c:crossAx val="202547200"/>
        <c:crosses val="autoZero"/>
        <c:crossBetween val="between"/>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 Prostate</a:t>
            </a:r>
          </a:p>
          <a:p>
            <a:pPr>
              <a:defRPr/>
            </a:pPr>
            <a:r>
              <a:rPr lang="en-US" sz="1300"/>
              <a:t>Tennessee, 2008-2012</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spPr>
            <a:ln>
              <a:solidFill>
                <a:sysClr val="windowText" lastClr="000000"/>
              </a:solidFill>
            </a:ln>
          </c:spPr>
          <c:dLbls>
            <c:dLbl>
              <c:idx val="0"/>
              <c:layout>
                <c:manualLayout>
                  <c:x val="0.11076290463692039"/>
                  <c:y val="-1.2899335538448029E-2"/>
                </c:manualLayout>
              </c:layout>
              <c:dLblPos val="bestFit"/>
              <c:showLegendKey val="0"/>
              <c:showVal val="1"/>
              <c:showCatName val="1"/>
              <c:showSerName val="0"/>
              <c:showPercent val="0"/>
              <c:showBubbleSize val="0"/>
              <c:separator> </c:separator>
            </c:dLbl>
            <c:dLbl>
              <c:idx val="2"/>
              <c:layout>
                <c:manualLayout>
                  <c:x val="-3.0760608048993877E-2"/>
                  <c:y val="-7.1053088624145028E-2"/>
                </c:manualLayout>
              </c:layout>
              <c:dLblPos val="bestFit"/>
              <c:showLegendKey val="0"/>
              <c:showVal val="1"/>
              <c:showCatName val="1"/>
              <c:showSerName val="0"/>
              <c:showPercent val="0"/>
              <c:showBubbleSize val="0"/>
              <c:separator> </c:separator>
            </c:dLbl>
            <c:dLbl>
              <c:idx val="3"/>
              <c:layout>
                <c:manualLayout>
                  <c:x val="-2.3059492563429571E-2"/>
                  <c:y val="-8.6779654401935816E-2"/>
                </c:manualLayout>
              </c:layout>
              <c:dLblPos val="bestFit"/>
              <c:showLegendKey val="0"/>
              <c:showVal val="1"/>
              <c:showCatName val="1"/>
              <c:showSerName val="0"/>
              <c:showPercent val="0"/>
              <c:showBubbleSize val="0"/>
              <c:separator> </c:separator>
            </c:dLbl>
            <c:txPr>
              <a:bodyPr/>
              <a:lstStyle/>
              <a:p>
                <a:pPr>
                  <a:defRPr sz="800"/>
                </a:pPr>
                <a:endParaRPr lang="en-US"/>
              </a:p>
            </c:txPr>
            <c:dLblPos val="bestFit"/>
            <c:showLegendKey val="0"/>
            <c:showVal val="1"/>
            <c:showCatName val="1"/>
            <c:showSerName val="0"/>
            <c:showPercent val="0"/>
            <c:showBubbleSize val="0"/>
            <c:separator> </c:separator>
            <c:showLeaderLines val="1"/>
          </c:dLbls>
          <c:cat>
            <c:strRef>
              <c:f>'Page 16 (Prostate)'!$A$2:$A$6</c:f>
              <c:strCache>
                <c:ptCount val="5"/>
                <c:pt idx="0">
                  <c:v>In Situ</c:v>
                </c:pt>
                <c:pt idx="1">
                  <c:v>Localized</c:v>
                </c:pt>
                <c:pt idx="2">
                  <c:v>Regional</c:v>
                </c:pt>
                <c:pt idx="3">
                  <c:v>Distant</c:v>
                </c:pt>
                <c:pt idx="4">
                  <c:v>Unknown</c:v>
                </c:pt>
              </c:strCache>
            </c:strRef>
          </c:cat>
          <c:val>
            <c:numRef>
              <c:f>'Page 16 (Prostate)'!$B$2:$B$6</c:f>
              <c:numCache>
                <c:formatCode>0.0%</c:formatCode>
                <c:ptCount val="5"/>
                <c:pt idx="0">
                  <c:v>0</c:v>
                </c:pt>
                <c:pt idx="1">
                  <c:v>0.81499999999999995</c:v>
                </c:pt>
                <c:pt idx="2">
                  <c:v>0.112</c:v>
                </c:pt>
                <c:pt idx="3">
                  <c:v>3.3000000000000002E-2</c:v>
                </c:pt>
                <c:pt idx="4">
                  <c:v>0.04</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 Prostate</a:t>
            </a:r>
          </a:p>
          <a:p>
            <a:pPr>
              <a:defRPr/>
            </a:pPr>
            <a:r>
              <a:rPr lang="en-US" sz="1300"/>
              <a:t>By Race, Tennessee,</a:t>
            </a:r>
            <a:r>
              <a:rPr lang="en-US" sz="1300" baseline="0"/>
              <a:t> 2008-2012</a:t>
            </a:r>
            <a:endParaRPr lang="en-US" sz="1300"/>
          </a:p>
        </c:rich>
      </c:tx>
      <c:layout>
        <c:manualLayout>
          <c:xMode val="edge"/>
          <c:yMode val="edge"/>
          <c:x val="0.26959930008748906"/>
          <c:y val="4.1280256634587346E-3"/>
        </c:manualLayout>
      </c:layout>
      <c:overlay val="0"/>
    </c:title>
    <c:autoTitleDeleted val="0"/>
    <c:plotArea>
      <c:layout>
        <c:manualLayout>
          <c:layoutTarget val="inner"/>
          <c:xMode val="edge"/>
          <c:yMode val="edge"/>
          <c:x val="0.17068409092355777"/>
          <c:y val="0.20814195100612423"/>
          <c:w val="0.64808517771171892"/>
          <c:h val="0.62239829396325463"/>
        </c:manualLayout>
      </c:layout>
      <c:barChart>
        <c:barDir val="col"/>
        <c:grouping val="percentStacked"/>
        <c:varyColors val="0"/>
        <c:ser>
          <c:idx val="0"/>
          <c:order val="0"/>
          <c:tx>
            <c:strRef>
              <c:f>'Page 16 (Prostate)'!$A$10</c:f>
              <c:strCache>
                <c:ptCount val="1"/>
                <c:pt idx="0">
                  <c:v>In Situ</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16 (Prostate)'!$B$9:$D$9</c:f>
              <c:strCache>
                <c:ptCount val="3"/>
                <c:pt idx="0">
                  <c:v>Total Population</c:v>
                </c:pt>
                <c:pt idx="1">
                  <c:v>Black</c:v>
                </c:pt>
                <c:pt idx="2">
                  <c:v>White</c:v>
                </c:pt>
              </c:strCache>
            </c:strRef>
          </c:cat>
          <c:val>
            <c:numRef>
              <c:f>'Page 16 (Prostate)'!$B$10:$D$10</c:f>
              <c:numCache>
                <c:formatCode>0.0%</c:formatCode>
                <c:ptCount val="3"/>
                <c:pt idx="0">
                  <c:v>0</c:v>
                </c:pt>
                <c:pt idx="1">
                  <c:v>1E-3</c:v>
                </c:pt>
                <c:pt idx="2">
                  <c:v>0</c:v>
                </c:pt>
              </c:numCache>
            </c:numRef>
          </c:val>
        </c:ser>
        <c:ser>
          <c:idx val="1"/>
          <c:order val="1"/>
          <c:tx>
            <c:strRef>
              <c:f>'Page 16 (Prostate)'!$A$11</c:f>
              <c:strCache>
                <c:ptCount val="1"/>
                <c:pt idx="0">
                  <c:v>Localized</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16 (Prostate)'!$B$9:$D$9</c:f>
              <c:strCache>
                <c:ptCount val="3"/>
                <c:pt idx="0">
                  <c:v>Total Population</c:v>
                </c:pt>
                <c:pt idx="1">
                  <c:v>Black</c:v>
                </c:pt>
                <c:pt idx="2">
                  <c:v>White</c:v>
                </c:pt>
              </c:strCache>
            </c:strRef>
          </c:cat>
          <c:val>
            <c:numRef>
              <c:f>'Page 16 (Prostate)'!$B$11:$D$11</c:f>
              <c:numCache>
                <c:formatCode>0.0%</c:formatCode>
                <c:ptCount val="3"/>
                <c:pt idx="0">
                  <c:v>0.84899999999999998</c:v>
                </c:pt>
                <c:pt idx="1">
                  <c:v>0.84499999999999997</c:v>
                </c:pt>
                <c:pt idx="2">
                  <c:v>0.84899999999999998</c:v>
                </c:pt>
              </c:numCache>
            </c:numRef>
          </c:val>
        </c:ser>
        <c:ser>
          <c:idx val="2"/>
          <c:order val="2"/>
          <c:tx>
            <c:strRef>
              <c:f>'Page 16 (Prostate)'!$A$12</c:f>
              <c:strCache>
                <c:ptCount val="1"/>
                <c:pt idx="0">
                  <c:v>Regional</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16 (Prostate)'!$B$9:$D$9</c:f>
              <c:strCache>
                <c:ptCount val="3"/>
                <c:pt idx="0">
                  <c:v>Total Population</c:v>
                </c:pt>
                <c:pt idx="1">
                  <c:v>Black</c:v>
                </c:pt>
                <c:pt idx="2">
                  <c:v>White</c:v>
                </c:pt>
              </c:strCache>
            </c:strRef>
          </c:cat>
          <c:val>
            <c:numRef>
              <c:f>'Page 16 (Prostate)'!$B$12:$D$12</c:f>
              <c:numCache>
                <c:formatCode>0.0%</c:formatCode>
                <c:ptCount val="3"/>
                <c:pt idx="0">
                  <c:v>0.11700000000000001</c:v>
                </c:pt>
                <c:pt idx="1">
                  <c:v>0.10299999999999999</c:v>
                </c:pt>
                <c:pt idx="2">
                  <c:v>0.121</c:v>
                </c:pt>
              </c:numCache>
            </c:numRef>
          </c:val>
        </c:ser>
        <c:ser>
          <c:idx val="3"/>
          <c:order val="3"/>
          <c:tx>
            <c:strRef>
              <c:f>'Page 16 (Prostate)'!$A$13</c:f>
              <c:strCache>
                <c:ptCount val="1"/>
                <c:pt idx="0">
                  <c:v>Distant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16 (Prostate)'!$B$9:$D$9</c:f>
              <c:strCache>
                <c:ptCount val="3"/>
                <c:pt idx="0">
                  <c:v>Total Population</c:v>
                </c:pt>
                <c:pt idx="1">
                  <c:v>Black</c:v>
                </c:pt>
                <c:pt idx="2">
                  <c:v>White</c:v>
                </c:pt>
              </c:strCache>
            </c:strRef>
          </c:cat>
          <c:val>
            <c:numRef>
              <c:f>'Page 16 (Prostate)'!$B$13:$D$13</c:f>
              <c:numCache>
                <c:formatCode>0.0%</c:formatCode>
                <c:ptCount val="3"/>
                <c:pt idx="0">
                  <c:v>3.4000000000000002E-2</c:v>
                </c:pt>
                <c:pt idx="1">
                  <c:v>5.0999999999999997E-2</c:v>
                </c:pt>
                <c:pt idx="2">
                  <c:v>3.1E-2</c:v>
                </c:pt>
              </c:numCache>
            </c:numRef>
          </c:val>
        </c:ser>
        <c:dLbls>
          <c:showLegendKey val="0"/>
          <c:showVal val="1"/>
          <c:showCatName val="0"/>
          <c:showSerName val="0"/>
          <c:showPercent val="0"/>
          <c:showBubbleSize val="0"/>
        </c:dLbls>
        <c:gapWidth val="150"/>
        <c:overlap val="100"/>
        <c:axId val="202707968"/>
        <c:axId val="166653888"/>
      </c:barChart>
      <c:catAx>
        <c:axId val="202707968"/>
        <c:scaling>
          <c:orientation val="minMax"/>
        </c:scaling>
        <c:delete val="0"/>
        <c:axPos val="b"/>
        <c:majorTickMark val="out"/>
        <c:minorTickMark val="none"/>
        <c:tickLblPos val="nextTo"/>
        <c:txPr>
          <a:bodyPr/>
          <a:lstStyle/>
          <a:p>
            <a:pPr>
              <a:defRPr sz="900"/>
            </a:pPr>
            <a:endParaRPr lang="en-US"/>
          </a:p>
        </c:txPr>
        <c:crossAx val="166653888"/>
        <c:crosses val="autoZero"/>
        <c:auto val="1"/>
        <c:lblAlgn val="ctr"/>
        <c:lblOffset val="100"/>
        <c:noMultiLvlLbl val="0"/>
      </c:catAx>
      <c:valAx>
        <c:axId val="166653888"/>
        <c:scaling>
          <c:orientation val="minMax"/>
        </c:scaling>
        <c:delete val="0"/>
        <c:axPos val="l"/>
        <c:title>
          <c:tx>
            <c:rich>
              <a:bodyPr rot="-5400000" vert="horz"/>
              <a:lstStyle/>
              <a:p>
                <a:pPr>
                  <a:defRPr sz="900"/>
                </a:pPr>
                <a:r>
                  <a:rPr lang="en-US" sz="900"/>
                  <a:t>Percent</a:t>
                </a:r>
              </a:p>
            </c:rich>
          </c:tx>
          <c:overlay val="0"/>
        </c:title>
        <c:numFmt formatCode="0%" sourceLinked="1"/>
        <c:majorTickMark val="out"/>
        <c:minorTickMark val="none"/>
        <c:tickLblPos val="nextTo"/>
        <c:txPr>
          <a:bodyPr/>
          <a:lstStyle/>
          <a:p>
            <a:pPr>
              <a:defRPr sz="900"/>
            </a:pPr>
            <a:endParaRPr lang="en-US"/>
          </a:p>
        </c:txPr>
        <c:crossAx val="202707968"/>
        <c:crosses val="autoZero"/>
        <c:crossBetween val="between"/>
        <c:majorUnit val="0.2"/>
      </c:valAx>
      <c:spPr>
        <a:noFill/>
        <a:ln w="25400">
          <a:noFill/>
        </a:ln>
      </c:spPr>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Black Females</a:t>
            </a:r>
          </a:p>
        </c:rich>
      </c:tx>
      <c:layout>
        <c:manualLayout>
          <c:xMode val="edge"/>
          <c:yMode val="edge"/>
          <c:x val="0.26015991056673471"/>
          <c:y val="6.8853893263342084E-3"/>
        </c:manualLayout>
      </c:layout>
      <c:overlay val="0"/>
    </c:title>
    <c:autoTitleDeleted val="0"/>
    <c:plotArea>
      <c:layout>
        <c:manualLayout>
          <c:layoutTarget val="inner"/>
          <c:xMode val="edge"/>
          <c:yMode val="edge"/>
          <c:x val="0.17056284631087781"/>
          <c:y val="0.21033433320834896"/>
          <c:w val="0.70842266704613732"/>
          <c:h val="0.78051877917915125"/>
        </c:manualLayout>
      </c:layout>
      <c:pieChart>
        <c:varyColors val="1"/>
        <c:ser>
          <c:idx val="1"/>
          <c:order val="0"/>
          <c:tx>
            <c:strRef>
              <c:f>'Page 1'!$C$20</c:f>
              <c:strCache>
                <c:ptCount val="1"/>
                <c:pt idx="0">
                  <c:v>Percentage</c:v>
                </c:pt>
              </c:strCache>
            </c:strRef>
          </c:tx>
          <c:spPr>
            <a:ln>
              <a:solidFill>
                <a:sysClr val="windowText" lastClr="000000"/>
              </a:solidFill>
            </a:ln>
          </c:spPr>
          <c:dPt>
            <c:idx val="0"/>
            <c:bubble3D val="0"/>
            <c:spPr>
              <a:solidFill>
                <a:srgbClr val="F07F09">
                  <a:lumMod val="60000"/>
                  <a:lumOff val="40000"/>
                </a:srgbClr>
              </a:solidFill>
              <a:ln>
                <a:solidFill>
                  <a:sysClr val="windowText" lastClr="000000"/>
                </a:solidFill>
              </a:ln>
            </c:spPr>
          </c:dPt>
          <c:dPt>
            <c:idx val="1"/>
            <c:bubble3D val="0"/>
            <c:spPr>
              <a:solidFill>
                <a:srgbClr val="9F2936">
                  <a:lumMod val="60000"/>
                  <a:lumOff val="40000"/>
                </a:srgbClr>
              </a:solidFill>
              <a:ln>
                <a:solidFill>
                  <a:sysClr val="windowText" lastClr="000000"/>
                </a:solidFill>
              </a:ln>
            </c:spPr>
          </c:dPt>
          <c:dPt>
            <c:idx val="2"/>
            <c:bubble3D val="0"/>
            <c:spPr>
              <a:solidFill>
                <a:srgbClr val="604878">
                  <a:lumMod val="60000"/>
                  <a:lumOff val="40000"/>
                </a:srgbClr>
              </a:solidFill>
              <a:ln>
                <a:solidFill>
                  <a:sysClr val="windowText" lastClr="000000"/>
                </a:solidFill>
              </a:ln>
            </c:spPr>
          </c:dPt>
          <c:dPt>
            <c:idx val="3"/>
            <c:bubble3D val="0"/>
            <c:spPr>
              <a:solidFill>
                <a:srgbClr val="99FF99"/>
              </a:solidFill>
              <a:ln>
                <a:solidFill>
                  <a:sysClr val="windowText" lastClr="000000"/>
                </a:solidFill>
              </a:ln>
            </c:spPr>
          </c:dPt>
          <c:dPt>
            <c:idx val="4"/>
            <c:bubble3D val="0"/>
            <c:spPr>
              <a:solidFill>
                <a:srgbClr val="FF99FF"/>
              </a:solidFill>
              <a:ln>
                <a:solidFill>
                  <a:sysClr val="windowText" lastClr="000000"/>
                </a:solidFill>
              </a:ln>
            </c:spPr>
          </c:dPt>
          <c:dPt>
            <c:idx val="5"/>
            <c:bubble3D val="0"/>
            <c:spPr>
              <a:solidFill>
                <a:sysClr val="window" lastClr="FFFFFF">
                  <a:lumMod val="75000"/>
                </a:sysClr>
              </a:solidFill>
              <a:ln>
                <a:solidFill>
                  <a:sysClr val="windowText" lastClr="000000"/>
                </a:solidFill>
              </a:ln>
            </c:spPr>
          </c:dPt>
          <c:dLbls>
            <c:dLbl>
              <c:idx val="2"/>
              <c:layout>
                <c:manualLayout>
                  <c:x val="-3.4605083660908247E-2"/>
                  <c:y val="4.3569548401638944E-2"/>
                </c:manualLayout>
              </c:layout>
              <c:dLblPos val="bestFit"/>
              <c:showLegendKey val="0"/>
              <c:showVal val="1"/>
              <c:showCatName val="1"/>
              <c:showSerName val="0"/>
              <c:showPercent val="0"/>
              <c:showBubbleSize val="0"/>
              <c:separator>, </c:separator>
            </c:dLbl>
            <c:dLbl>
              <c:idx val="3"/>
              <c:delete val="1"/>
            </c:dLbl>
            <c:dLbl>
              <c:idx val="4"/>
              <c:delete val="1"/>
            </c:dLbl>
            <c:txPr>
              <a:bodyPr/>
              <a:lstStyle/>
              <a:p>
                <a:pPr>
                  <a:defRPr sz="700"/>
                </a:pPr>
                <a:endParaRPr lang="en-US"/>
              </a:p>
            </c:txPr>
            <c:dLblPos val="bestFit"/>
            <c:showLegendKey val="0"/>
            <c:showVal val="1"/>
            <c:showCatName val="1"/>
            <c:showSerName val="0"/>
            <c:showPercent val="0"/>
            <c:showBubbleSize val="0"/>
            <c:separator>, </c:separator>
            <c:showLeaderLines val="1"/>
          </c:dLbls>
          <c:cat>
            <c:strRef>
              <c:f>'Page 1'!$A$21:$A$26</c:f>
              <c:strCache>
                <c:ptCount val="6"/>
                <c:pt idx="0">
                  <c:v>Cancer</c:v>
                </c:pt>
                <c:pt idx="1">
                  <c:v>Heart Disease</c:v>
                </c:pt>
                <c:pt idx="2">
                  <c:v>Stroke</c:v>
                </c:pt>
                <c:pt idx="3">
                  <c:v>Diabetes Mellitus</c:v>
                </c:pt>
                <c:pt idx="4">
                  <c:v>Alzheimer's Disease</c:v>
                </c:pt>
                <c:pt idx="5">
                  <c:v>All Other Causes</c:v>
                </c:pt>
              </c:strCache>
            </c:strRef>
          </c:cat>
          <c:val>
            <c:numRef>
              <c:f>'Page 1'!$C$21:$C$26</c:f>
              <c:numCache>
                <c:formatCode>0.0%</c:formatCode>
                <c:ptCount val="6"/>
                <c:pt idx="0">
                  <c:v>0.22964889466840052</c:v>
                </c:pt>
                <c:pt idx="1">
                  <c:v>0.22314694408322497</c:v>
                </c:pt>
                <c:pt idx="2">
                  <c:v>6.8920676202860853E-2</c:v>
                </c:pt>
                <c:pt idx="3">
                  <c:v>5.4616384915474644E-2</c:v>
                </c:pt>
                <c:pt idx="4">
                  <c:v>4.0572171651495452E-2</c:v>
                </c:pt>
                <c:pt idx="5">
                  <c:v>0.38309492847854354</c:v>
                </c:pt>
              </c:numCache>
            </c:numRef>
          </c:val>
        </c:ser>
        <c:dLbls>
          <c:showLegendKey val="0"/>
          <c:showVal val="0"/>
          <c:showCatName val="0"/>
          <c:showSerName val="0"/>
          <c:showPercent val="0"/>
          <c:showBubbleSize val="0"/>
          <c:showLeaderLines val="1"/>
        </c:dLbls>
        <c:firstSliceAng val="74"/>
      </c:pieChart>
    </c:plotArea>
    <c:plotVisOnly val="1"/>
    <c:dispBlanksAs val="gap"/>
    <c:showDLblsOverMax val="0"/>
  </c:chart>
  <c:spPr>
    <a:ln>
      <a:noFill/>
    </a:ln>
  </c:sp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Female Breast By Race, Tennessee, 2008-2012</a:t>
            </a:r>
          </a:p>
        </c:rich>
      </c:tx>
      <c:overlay val="0"/>
    </c:title>
    <c:autoTitleDeleted val="0"/>
    <c:plotArea>
      <c:layout/>
      <c:barChart>
        <c:barDir val="col"/>
        <c:grouping val="clustered"/>
        <c:varyColors val="0"/>
        <c:ser>
          <c:idx val="0"/>
          <c:order val="0"/>
          <c:tx>
            <c:strRef>
              <c:f>'Page 17 (Breast)'!$B$1</c:f>
              <c:strCache>
                <c:ptCount val="1"/>
                <c:pt idx="0">
                  <c:v>Black</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17 (Breast)'!$G$2:$G$3</c:f>
                <c:numCache>
                  <c:formatCode>General</c:formatCode>
                  <c:ptCount val="2"/>
                  <c:pt idx="0">
                    <c:v>1.8000000000000114</c:v>
                  </c:pt>
                  <c:pt idx="1">
                    <c:v>0.69999999999999929</c:v>
                  </c:pt>
                </c:numCache>
              </c:numRef>
            </c:plus>
            <c:minus>
              <c:numRef>
                <c:f>'Page 17 (Breast)'!$E$2:$E$3</c:f>
                <c:numCache>
                  <c:formatCode>General</c:formatCode>
                  <c:ptCount val="2"/>
                  <c:pt idx="0">
                    <c:v>1.6999999999999886</c:v>
                  </c:pt>
                  <c:pt idx="1">
                    <c:v>0.69999999999999929</c:v>
                  </c:pt>
                </c:numCache>
              </c:numRef>
            </c:minus>
          </c:errBars>
          <c:cat>
            <c:strRef>
              <c:f>'Page 17 (Breast)'!$A$2:$A$3</c:f>
              <c:strCache>
                <c:ptCount val="2"/>
                <c:pt idx="0">
                  <c:v>Incidence</c:v>
                </c:pt>
                <c:pt idx="1">
                  <c:v>Mortality</c:v>
                </c:pt>
              </c:strCache>
            </c:strRef>
          </c:cat>
          <c:val>
            <c:numRef>
              <c:f>'Page 17 (Breast)'!$B$2:$B$3</c:f>
              <c:numCache>
                <c:formatCode>General</c:formatCode>
                <c:ptCount val="2"/>
                <c:pt idx="0">
                  <c:v>125.8</c:v>
                </c:pt>
                <c:pt idx="1">
                  <c:v>33.200000000000003</c:v>
                </c:pt>
              </c:numCache>
            </c:numRef>
          </c:val>
        </c:ser>
        <c:ser>
          <c:idx val="1"/>
          <c:order val="1"/>
          <c:tx>
            <c:strRef>
              <c:f>'Page 17 (Breast)'!$C$1</c:f>
              <c:strCache>
                <c:ptCount val="1"/>
                <c:pt idx="0">
                  <c:v>White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17 (Breast)'!$F$2:$F$3</c:f>
                <c:numCache>
                  <c:formatCode>General</c:formatCode>
                  <c:ptCount val="2"/>
                  <c:pt idx="0">
                    <c:v>4.3999999999999915</c:v>
                  </c:pt>
                  <c:pt idx="1">
                    <c:v>2.2999999999999972</c:v>
                  </c:pt>
                </c:numCache>
              </c:numRef>
            </c:plus>
            <c:minus>
              <c:numRef>
                <c:f>'Page 17 (Breast)'!$D$2:$D$3</c:f>
                <c:numCache>
                  <c:formatCode>General</c:formatCode>
                  <c:ptCount val="2"/>
                  <c:pt idx="0">
                    <c:v>4.3999999999999915</c:v>
                  </c:pt>
                  <c:pt idx="1">
                    <c:v>2.3000000000000043</c:v>
                  </c:pt>
                </c:numCache>
              </c:numRef>
            </c:minus>
          </c:errBars>
          <c:cat>
            <c:strRef>
              <c:f>'Page 17 (Breast)'!$A$2:$A$3</c:f>
              <c:strCache>
                <c:ptCount val="2"/>
                <c:pt idx="0">
                  <c:v>Incidence</c:v>
                </c:pt>
                <c:pt idx="1">
                  <c:v>Mortality</c:v>
                </c:pt>
              </c:strCache>
            </c:strRef>
          </c:cat>
          <c:val>
            <c:numRef>
              <c:f>'Page 17 (Breast)'!$C$2:$C$3</c:f>
              <c:numCache>
                <c:formatCode>General</c:formatCode>
                <c:ptCount val="2"/>
                <c:pt idx="0">
                  <c:v>119.6</c:v>
                </c:pt>
                <c:pt idx="1">
                  <c:v>20.7</c:v>
                </c:pt>
              </c:numCache>
            </c:numRef>
          </c:val>
        </c:ser>
        <c:dLbls>
          <c:showLegendKey val="0"/>
          <c:showVal val="0"/>
          <c:showCatName val="0"/>
          <c:showSerName val="0"/>
          <c:showPercent val="0"/>
          <c:showBubbleSize val="0"/>
        </c:dLbls>
        <c:gapWidth val="50"/>
        <c:axId val="204939264"/>
        <c:axId val="166656768"/>
      </c:barChart>
      <c:catAx>
        <c:axId val="204939264"/>
        <c:scaling>
          <c:orientation val="minMax"/>
        </c:scaling>
        <c:delete val="0"/>
        <c:axPos val="b"/>
        <c:majorTickMark val="out"/>
        <c:minorTickMark val="none"/>
        <c:tickLblPos val="nextTo"/>
        <c:txPr>
          <a:bodyPr/>
          <a:lstStyle/>
          <a:p>
            <a:pPr>
              <a:defRPr sz="900"/>
            </a:pPr>
            <a:endParaRPr lang="en-US"/>
          </a:p>
        </c:txPr>
        <c:crossAx val="166656768"/>
        <c:crosses val="autoZero"/>
        <c:auto val="1"/>
        <c:lblAlgn val="ctr"/>
        <c:lblOffset val="100"/>
        <c:noMultiLvlLbl val="0"/>
      </c:catAx>
      <c:valAx>
        <c:axId val="166656768"/>
        <c:scaling>
          <c:orientation val="minMax"/>
        </c:scaling>
        <c:delete val="0"/>
        <c:axPos val="l"/>
        <c:title>
          <c:tx>
            <c:rich>
              <a:bodyPr rot="-5400000" vert="horz"/>
              <a:lstStyle/>
              <a:p>
                <a:pPr>
                  <a:defRPr sz="900"/>
                </a:pPr>
                <a:r>
                  <a:rPr lang="en-US" sz="900"/>
                  <a:t>Age-Adjusted Rate per 100,000</a:t>
                </a:r>
              </a:p>
            </c:rich>
          </c:tx>
          <c:overlay val="0"/>
        </c:title>
        <c:numFmt formatCode="General" sourceLinked="1"/>
        <c:majorTickMark val="out"/>
        <c:minorTickMark val="none"/>
        <c:tickLblPos val="nextTo"/>
        <c:txPr>
          <a:bodyPr/>
          <a:lstStyle/>
          <a:p>
            <a:pPr>
              <a:defRPr sz="900"/>
            </a:pPr>
            <a:endParaRPr lang="en-US"/>
          </a:p>
        </c:txPr>
        <c:crossAx val="204939264"/>
        <c:crosses val="autoZero"/>
        <c:crossBetween val="between"/>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Female Breast, </a:t>
            </a:r>
          </a:p>
          <a:p>
            <a:pPr>
              <a:defRPr/>
            </a:pPr>
            <a:r>
              <a:rPr lang="en-US" sz="1300"/>
              <a:t>by Year</a:t>
            </a:r>
            <a:r>
              <a:rPr lang="en-US" sz="1300" baseline="0"/>
              <a:t>, Tennessee, 2008-2012</a:t>
            </a:r>
            <a:endParaRPr lang="en-US" sz="1300"/>
          </a:p>
        </c:rich>
      </c:tx>
      <c:overlay val="0"/>
    </c:title>
    <c:autoTitleDeleted val="0"/>
    <c:plotArea>
      <c:layout/>
      <c:barChart>
        <c:barDir val="col"/>
        <c:grouping val="clustered"/>
        <c:varyColors val="0"/>
        <c:ser>
          <c:idx val="0"/>
          <c:order val="0"/>
          <c:tx>
            <c:strRef>
              <c:f>'Page 17 (Breast)'!$B$29</c:f>
              <c:strCache>
                <c:ptCount val="1"/>
                <c:pt idx="0">
                  <c:v>Incidence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17 (Breast)'!$E$30:$E$34</c:f>
                <c:numCache>
                  <c:formatCode>General</c:formatCode>
                  <c:ptCount val="5"/>
                  <c:pt idx="0">
                    <c:v>3.7000000000000028</c:v>
                  </c:pt>
                  <c:pt idx="1">
                    <c:v>3.7000000000000028</c:v>
                  </c:pt>
                  <c:pt idx="2">
                    <c:v>3.5999999999999943</c:v>
                  </c:pt>
                  <c:pt idx="3">
                    <c:v>3.6000000000000085</c:v>
                  </c:pt>
                  <c:pt idx="4">
                    <c:v>3.5999999999999943</c:v>
                  </c:pt>
                </c:numCache>
              </c:numRef>
            </c:plus>
            <c:minus>
              <c:numRef>
                <c:f>'Page 17 (Breast)'!$D$30:$D$34</c:f>
                <c:numCache>
                  <c:formatCode>General</c:formatCode>
                  <c:ptCount val="5"/>
                  <c:pt idx="0">
                    <c:v>3.5999999999999943</c:v>
                  </c:pt>
                  <c:pt idx="1">
                    <c:v>3.5999999999999943</c:v>
                  </c:pt>
                  <c:pt idx="2">
                    <c:v>3.5</c:v>
                  </c:pt>
                  <c:pt idx="3">
                    <c:v>3.5</c:v>
                  </c:pt>
                  <c:pt idx="4">
                    <c:v>3.5</c:v>
                  </c:pt>
                </c:numCache>
              </c:numRef>
            </c:minus>
          </c:errBars>
          <c:cat>
            <c:numRef>
              <c:f>'Page 17 (Breast)'!$A$30:$A$34</c:f>
              <c:numCache>
                <c:formatCode>General</c:formatCode>
                <c:ptCount val="5"/>
                <c:pt idx="0">
                  <c:v>2008</c:v>
                </c:pt>
                <c:pt idx="1">
                  <c:v>2009</c:v>
                </c:pt>
                <c:pt idx="2">
                  <c:v>2010</c:v>
                </c:pt>
                <c:pt idx="3">
                  <c:v>2011</c:v>
                </c:pt>
                <c:pt idx="4">
                  <c:v>2012</c:v>
                </c:pt>
              </c:numCache>
            </c:numRef>
          </c:cat>
          <c:val>
            <c:numRef>
              <c:f>'Page 17 (Breast)'!$B$30:$B$34</c:f>
              <c:numCache>
                <c:formatCode>0.0</c:formatCode>
                <c:ptCount val="5"/>
                <c:pt idx="0">
                  <c:v>121.3</c:v>
                </c:pt>
                <c:pt idx="1">
                  <c:v>123</c:v>
                </c:pt>
                <c:pt idx="2">
                  <c:v>118.4</c:v>
                </c:pt>
                <c:pt idx="3">
                  <c:v>120.1</c:v>
                </c:pt>
                <c:pt idx="4">
                  <c:v>121.2</c:v>
                </c:pt>
              </c:numCache>
            </c:numRef>
          </c:val>
        </c:ser>
        <c:ser>
          <c:idx val="1"/>
          <c:order val="1"/>
          <c:tx>
            <c:strRef>
              <c:f>'Page 17 (Breast)'!$C$29</c:f>
              <c:strCache>
                <c:ptCount val="1"/>
                <c:pt idx="0">
                  <c:v>Mortality</c:v>
                </c:pt>
              </c:strCache>
            </c:strRef>
          </c:tx>
          <c:spPr>
            <a:ln>
              <a:solidFill>
                <a:sysClr val="windowText" lastClr="000000"/>
              </a:solidFill>
            </a:ln>
          </c:spPr>
          <c:invertIfNegative val="0"/>
          <c:dLbls>
            <c:dLbl>
              <c:idx val="0"/>
              <c:layout>
                <c:manualLayout>
                  <c:x val="2.5462668816039986E-17"/>
                  <c:y val="0"/>
                </c:manualLayout>
              </c:layout>
              <c:showLegendKey val="0"/>
              <c:showVal val="1"/>
              <c:showCatName val="0"/>
              <c:showSerName val="0"/>
              <c:showPercent val="0"/>
              <c:showBubbleSize val="0"/>
            </c:dLbl>
            <c:dLbl>
              <c:idx val="1"/>
              <c:layout>
                <c:manualLayout>
                  <c:x val="0"/>
                  <c:y val="-3.6453776611256925E-7"/>
                </c:manualLayout>
              </c:layout>
              <c:showLegendKey val="0"/>
              <c:showVal val="1"/>
              <c:showCatName val="0"/>
              <c:showSerName val="0"/>
              <c:showPercent val="0"/>
              <c:showBubbleSize val="0"/>
            </c:dLbl>
            <c:dLbl>
              <c:idx val="2"/>
              <c:layout>
                <c:manualLayout>
                  <c:x val="2.7777777777777779E-3"/>
                  <c:y val="0"/>
                </c:manualLayout>
              </c:layout>
              <c:showLegendKey val="0"/>
              <c:showVal val="1"/>
              <c:showCatName val="0"/>
              <c:showSerName val="0"/>
              <c:showPercent val="0"/>
              <c:showBubbleSize val="0"/>
            </c:dLbl>
            <c:dLbl>
              <c:idx val="3"/>
              <c:layout>
                <c:manualLayout>
                  <c:x val="0"/>
                  <c:y val="0"/>
                </c:manualLayout>
              </c:layout>
              <c:showLegendKey val="0"/>
              <c:showVal val="1"/>
              <c:showCatName val="0"/>
              <c:showSerName val="0"/>
              <c:showPercent val="0"/>
              <c:showBubbleSize val="0"/>
            </c:dLbl>
            <c:dLbl>
              <c:idx val="4"/>
              <c:layout>
                <c:manualLayout>
                  <c:x val="5.5555555555555558E-3"/>
                  <c:y val="0"/>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17 (Breast)'!$G$30:$G$34</c:f>
                <c:numCache>
                  <c:formatCode>General</c:formatCode>
                  <c:ptCount val="5"/>
                  <c:pt idx="0">
                    <c:v>1.6000000000000014</c:v>
                  </c:pt>
                  <c:pt idx="1">
                    <c:v>1.5999999999999979</c:v>
                  </c:pt>
                  <c:pt idx="2">
                    <c:v>1.5999999999999979</c:v>
                  </c:pt>
                  <c:pt idx="3">
                    <c:v>1.5</c:v>
                  </c:pt>
                  <c:pt idx="4">
                    <c:v>1.6000000000000014</c:v>
                  </c:pt>
                </c:numCache>
              </c:numRef>
            </c:plus>
            <c:minus>
              <c:numRef>
                <c:f>'Page 17 (Breast)'!$F$30:$F$34</c:f>
                <c:numCache>
                  <c:formatCode>General</c:formatCode>
                  <c:ptCount val="5"/>
                  <c:pt idx="0">
                    <c:v>1.5</c:v>
                  </c:pt>
                  <c:pt idx="1">
                    <c:v>1.6000000000000014</c:v>
                  </c:pt>
                  <c:pt idx="2">
                    <c:v>1.5</c:v>
                  </c:pt>
                  <c:pt idx="3">
                    <c:v>1.3999999999999986</c:v>
                  </c:pt>
                  <c:pt idx="4">
                    <c:v>1.3999999999999986</c:v>
                  </c:pt>
                </c:numCache>
              </c:numRef>
            </c:minus>
          </c:errBars>
          <c:cat>
            <c:numRef>
              <c:f>'Page 17 (Breast)'!$A$30:$A$34</c:f>
              <c:numCache>
                <c:formatCode>General</c:formatCode>
                <c:ptCount val="5"/>
                <c:pt idx="0">
                  <c:v>2008</c:v>
                </c:pt>
                <c:pt idx="1">
                  <c:v>2009</c:v>
                </c:pt>
                <c:pt idx="2">
                  <c:v>2010</c:v>
                </c:pt>
                <c:pt idx="3">
                  <c:v>2011</c:v>
                </c:pt>
                <c:pt idx="4">
                  <c:v>2012</c:v>
                </c:pt>
              </c:numCache>
            </c:numRef>
          </c:cat>
          <c:val>
            <c:numRef>
              <c:f>'Page 17 (Breast)'!$C$30:$C$34</c:f>
              <c:numCache>
                <c:formatCode>General</c:formatCode>
                <c:ptCount val="5"/>
                <c:pt idx="0">
                  <c:v>22.4</c:v>
                </c:pt>
                <c:pt idx="1">
                  <c:v>23.1</c:v>
                </c:pt>
                <c:pt idx="2">
                  <c:v>22.3</c:v>
                </c:pt>
                <c:pt idx="3">
                  <c:v>21.5</c:v>
                </c:pt>
                <c:pt idx="4">
                  <c:v>22.4</c:v>
                </c:pt>
              </c:numCache>
            </c:numRef>
          </c:val>
        </c:ser>
        <c:dLbls>
          <c:showLegendKey val="0"/>
          <c:showVal val="0"/>
          <c:showCatName val="0"/>
          <c:showSerName val="0"/>
          <c:showPercent val="0"/>
          <c:showBubbleSize val="0"/>
        </c:dLbls>
        <c:gapWidth val="50"/>
        <c:axId val="204941312"/>
        <c:axId val="167322752"/>
      </c:barChart>
      <c:catAx>
        <c:axId val="204941312"/>
        <c:scaling>
          <c:orientation val="minMax"/>
        </c:scaling>
        <c:delete val="0"/>
        <c:axPos val="b"/>
        <c:title>
          <c:tx>
            <c:rich>
              <a:bodyPr/>
              <a:lstStyle/>
              <a:p>
                <a:pPr>
                  <a:defRPr sz="900"/>
                </a:pPr>
                <a:r>
                  <a:rPr lang="en-US" sz="900"/>
                  <a:t>Year of Diagnosis or Death</a:t>
                </a:r>
              </a:p>
            </c:rich>
          </c:tx>
          <c:overlay val="0"/>
        </c:title>
        <c:numFmt formatCode="General" sourceLinked="1"/>
        <c:majorTickMark val="out"/>
        <c:minorTickMark val="none"/>
        <c:tickLblPos val="nextTo"/>
        <c:txPr>
          <a:bodyPr/>
          <a:lstStyle/>
          <a:p>
            <a:pPr>
              <a:defRPr sz="900"/>
            </a:pPr>
            <a:endParaRPr lang="en-US"/>
          </a:p>
        </c:txPr>
        <c:crossAx val="167322752"/>
        <c:crosses val="autoZero"/>
        <c:auto val="1"/>
        <c:lblAlgn val="ctr"/>
        <c:lblOffset val="100"/>
        <c:noMultiLvlLbl val="0"/>
      </c:catAx>
      <c:valAx>
        <c:axId val="167322752"/>
        <c:scaling>
          <c:orientation val="minMax"/>
        </c:scaling>
        <c:delete val="0"/>
        <c:axPos val="l"/>
        <c:title>
          <c:tx>
            <c:rich>
              <a:bodyPr rot="-5400000" vert="horz"/>
              <a:lstStyle/>
              <a:p>
                <a:pPr>
                  <a:defRPr sz="900"/>
                </a:pPr>
                <a:r>
                  <a:rPr lang="en-US" sz="900"/>
                  <a:t>Age-Adjusted Rate per 100,000</a:t>
                </a:r>
              </a:p>
            </c:rich>
          </c:tx>
          <c:overlay val="0"/>
        </c:title>
        <c:numFmt formatCode="0" sourceLinked="0"/>
        <c:majorTickMark val="out"/>
        <c:minorTickMark val="none"/>
        <c:tickLblPos val="nextTo"/>
        <c:txPr>
          <a:bodyPr/>
          <a:lstStyle/>
          <a:p>
            <a:pPr>
              <a:defRPr sz="900"/>
            </a:pPr>
            <a:endParaRPr lang="en-US"/>
          </a:p>
        </c:txPr>
        <c:crossAx val="204941312"/>
        <c:crosses val="autoZero"/>
        <c:crossBetween val="between"/>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Cancer Stage, Female Breast</a:t>
            </a:r>
          </a:p>
          <a:p>
            <a:pPr>
              <a:defRPr sz="1300"/>
            </a:pPr>
            <a:r>
              <a:rPr lang="en-US" sz="1300"/>
              <a:t>Tennessee, 2008-2012</a:t>
            </a:r>
          </a:p>
        </c:rich>
      </c:tx>
      <c:overlay val="0"/>
    </c:title>
    <c:autoTitleDeleted val="0"/>
    <c:view3D>
      <c:rotX val="15"/>
      <c:rotY val="0"/>
      <c:rAngAx val="0"/>
      <c:perspective val="10"/>
    </c:view3D>
    <c:floor>
      <c:thickness val="0"/>
    </c:floor>
    <c:sideWall>
      <c:thickness val="0"/>
    </c:sideWall>
    <c:backWall>
      <c:thickness val="0"/>
    </c:backWall>
    <c:plotArea>
      <c:layout/>
      <c:pie3DChart>
        <c:varyColors val="1"/>
        <c:ser>
          <c:idx val="0"/>
          <c:order val="0"/>
          <c:tx>
            <c:strRef>
              <c:f>'Page 18 (Breast)'!$B$1</c:f>
              <c:strCache>
                <c:ptCount val="1"/>
                <c:pt idx="0">
                  <c:v>Column %</c:v>
                </c:pt>
              </c:strCache>
            </c:strRef>
          </c:tx>
          <c:spPr>
            <a:ln>
              <a:solidFill>
                <a:sysClr val="windowText" lastClr="000000"/>
              </a:solidFill>
            </a:ln>
          </c:spPr>
          <c:dLbls>
            <c:dLbl>
              <c:idx val="0"/>
              <c:layout>
                <c:manualLayout>
                  <c:x val="-0.10268635170603675"/>
                  <c:y val="-4.8165645960921551E-2"/>
                </c:manualLayout>
              </c:layout>
              <c:dLblPos val="bestFit"/>
              <c:showLegendKey val="0"/>
              <c:showVal val="1"/>
              <c:showCatName val="1"/>
              <c:showSerName val="0"/>
              <c:showPercent val="0"/>
              <c:showBubbleSize val="0"/>
              <c:separator> </c:separator>
            </c:dLbl>
            <c:dLbl>
              <c:idx val="1"/>
              <c:layout>
                <c:manualLayout>
                  <c:x val="4.3719597550306313E-2"/>
                  <c:y val="3.6194954797317005E-2"/>
                </c:manualLayout>
              </c:layout>
              <c:dLblPos val="bestFit"/>
              <c:showLegendKey val="0"/>
              <c:showVal val="1"/>
              <c:showCatName val="1"/>
              <c:showSerName val="0"/>
              <c:showPercent val="0"/>
              <c:showBubbleSize val="0"/>
              <c:separator> </c:separator>
            </c:dLbl>
            <c:dLbl>
              <c:idx val="3"/>
              <c:layout>
                <c:manualLayout>
                  <c:x val="-4.2896872265966751E-2"/>
                  <c:y val="-5.9029965004374456E-2"/>
                </c:manualLayout>
              </c:layout>
              <c:dLblPos val="bestFit"/>
              <c:showLegendKey val="0"/>
              <c:showVal val="1"/>
              <c:showCatName val="1"/>
              <c:showSerName val="0"/>
              <c:showPercent val="0"/>
              <c:showBubbleSize val="0"/>
              <c:separator> </c:separator>
            </c:dLbl>
            <c:dLbl>
              <c:idx val="4"/>
              <c:layout>
                <c:manualLayout>
                  <c:x val="7.1319116360454946E-2"/>
                  <c:y val="-2.0434529017206184E-2"/>
                </c:manualLayout>
              </c:layout>
              <c:dLblPos val="bestFit"/>
              <c:showLegendKey val="0"/>
              <c:showVal val="1"/>
              <c:showCatName val="1"/>
              <c:showSerName val="0"/>
              <c:showPercent val="0"/>
              <c:showBubbleSize val="0"/>
              <c:separator> </c:separator>
            </c:dLbl>
            <c:txPr>
              <a:bodyPr/>
              <a:lstStyle/>
              <a:p>
                <a:pPr>
                  <a:defRPr sz="800"/>
                </a:pPr>
                <a:endParaRPr lang="en-US"/>
              </a:p>
            </c:txPr>
            <c:dLblPos val="bestFit"/>
            <c:showLegendKey val="0"/>
            <c:showVal val="1"/>
            <c:showCatName val="1"/>
            <c:showSerName val="0"/>
            <c:showPercent val="0"/>
            <c:showBubbleSize val="0"/>
            <c:separator> </c:separator>
            <c:showLeaderLines val="1"/>
          </c:dLbls>
          <c:cat>
            <c:strRef>
              <c:f>'Page 18 (Breast)'!$A$2:$A$6</c:f>
              <c:strCache>
                <c:ptCount val="5"/>
                <c:pt idx="0">
                  <c:v>In Situ</c:v>
                </c:pt>
                <c:pt idx="1">
                  <c:v>Localized</c:v>
                </c:pt>
                <c:pt idx="2">
                  <c:v>Regional</c:v>
                </c:pt>
                <c:pt idx="3">
                  <c:v>Distant</c:v>
                </c:pt>
                <c:pt idx="4">
                  <c:v>Unknown</c:v>
                </c:pt>
              </c:strCache>
            </c:strRef>
          </c:cat>
          <c:val>
            <c:numRef>
              <c:f>'Page 18 (Breast)'!$B$2:$B$6</c:f>
              <c:numCache>
                <c:formatCode>0.0%</c:formatCode>
                <c:ptCount val="5"/>
                <c:pt idx="0">
                  <c:v>0.182</c:v>
                </c:pt>
                <c:pt idx="1">
                  <c:v>0.496</c:v>
                </c:pt>
                <c:pt idx="2">
                  <c:v>0.248</c:v>
                </c:pt>
                <c:pt idx="3">
                  <c:v>4.4999999999999998E-2</c:v>
                </c:pt>
                <c:pt idx="4">
                  <c:v>2.9000000000000001E-2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a:t>
            </a:r>
            <a:r>
              <a:rPr lang="en-US" sz="1300" baseline="0"/>
              <a:t> Stage, Female Breast</a:t>
            </a:r>
          </a:p>
          <a:p>
            <a:pPr>
              <a:defRPr/>
            </a:pPr>
            <a:r>
              <a:rPr lang="en-US" sz="1300" baseline="0"/>
              <a:t>By Race, Tennessee, 2008-2012</a:t>
            </a:r>
            <a:endParaRPr lang="en-US" sz="1300"/>
          </a:p>
        </c:rich>
      </c:tx>
      <c:layout>
        <c:manualLayout>
          <c:xMode val="edge"/>
          <c:yMode val="edge"/>
          <c:x val="0.27243251123276985"/>
          <c:y val="5.3026918467981342E-3"/>
        </c:manualLayout>
      </c:layout>
      <c:overlay val="0"/>
    </c:title>
    <c:autoTitleDeleted val="0"/>
    <c:plotArea>
      <c:layout>
        <c:manualLayout>
          <c:layoutTarget val="inner"/>
          <c:xMode val="edge"/>
          <c:yMode val="edge"/>
          <c:x val="0.17972618091623949"/>
          <c:y val="0.20596991244295432"/>
          <c:w val="0.65655327391392404"/>
          <c:h val="0.59225389455576383"/>
        </c:manualLayout>
      </c:layout>
      <c:barChart>
        <c:barDir val="col"/>
        <c:grouping val="percentStacked"/>
        <c:varyColors val="0"/>
        <c:ser>
          <c:idx val="0"/>
          <c:order val="0"/>
          <c:tx>
            <c:strRef>
              <c:f>'Page 18 (Breast)'!$A$10</c:f>
              <c:strCache>
                <c:ptCount val="1"/>
                <c:pt idx="0">
                  <c:v>In Situ</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18 (Breast)'!$B$9:$D$9</c:f>
              <c:strCache>
                <c:ptCount val="3"/>
                <c:pt idx="0">
                  <c:v>Total Population</c:v>
                </c:pt>
                <c:pt idx="1">
                  <c:v>Black</c:v>
                </c:pt>
                <c:pt idx="2">
                  <c:v>White</c:v>
                </c:pt>
              </c:strCache>
            </c:strRef>
          </c:cat>
          <c:val>
            <c:numRef>
              <c:f>'Page 18 (Breast)'!$B$10:$D$10</c:f>
              <c:numCache>
                <c:formatCode>0.0%</c:formatCode>
                <c:ptCount val="3"/>
                <c:pt idx="0">
                  <c:v>0.188</c:v>
                </c:pt>
                <c:pt idx="1">
                  <c:v>0.184</c:v>
                </c:pt>
                <c:pt idx="2">
                  <c:v>0.188</c:v>
                </c:pt>
              </c:numCache>
            </c:numRef>
          </c:val>
        </c:ser>
        <c:ser>
          <c:idx val="1"/>
          <c:order val="1"/>
          <c:tx>
            <c:strRef>
              <c:f>'Page 18 (Breast)'!$A$11</c:f>
              <c:strCache>
                <c:ptCount val="1"/>
                <c:pt idx="0">
                  <c:v>Localized</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18 (Breast)'!$B$9:$D$9</c:f>
              <c:strCache>
                <c:ptCount val="3"/>
                <c:pt idx="0">
                  <c:v>Total Population</c:v>
                </c:pt>
                <c:pt idx="1">
                  <c:v>Black</c:v>
                </c:pt>
                <c:pt idx="2">
                  <c:v>White</c:v>
                </c:pt>
              </c:strCache>
            </c:strRef>
          </c:cat>
          <c:val>
            <c:numRef>
              <c:f>'Page 18 (Breast)'!$B$11:$D$11</c:f>
              <c:numCache>
                <c:formatCode>0.0%</c:formatCode>
                <c:ptCount val="3"/>
                <c:pt idx="0">
                  <c:v>0.51100000000000001</c:v>
                </c:pt>
                <c:pt idx="1">
                  <c:v>0.439</c:v>
                </c:pt>
                <c:pt idx="2">
                  <c:v>0.52400000000000002</c:v>
                </c:pt>
              </c:numCache>
            </c:numRef>
          </c:val>
        </c:ser>
        <c:ser>
          <c:idx val="2"/>
          <c:order val="2"/>
          <c:tx>
            <c:strRef>
              <c:f>'Page 18 (Breast)'!$A$12</c:f>
              <c:strCache>
                <c:ptCount val="1"/>
                <c:pt idx="0">
                  <c:v>Regional</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18 (Breast)'!$B$9:$D$9</c:f>
              <c:strCache>
                <c:ptCount val="3"/>
                <c:pt idx="0">
                  <c:v>Total Population</c:v>
                </c:pt>
                <c:pt idx="1">
                  <c:v>Black</c:v>
                </c:pt>
                <c:pt idx="2">
                  <c:v>White</c:v>
                </c:pt>
              </c:strCache>
            </c:strRef>
          </c:cat>
          <c:val>
            <c:numRef>
              <c:f>'Page 18 (Breast)'!$B$12:$D$12</c:f>
              <c:numCache>
                <c:formatCode>0.0%</c:formatCode>
                <c:ptCount val="3"/>
                <c:pt idx="0">
                  <c:v>0.255</c:v>
                </c:pt>
                <c:pt idx="1">
                  <c:v>0.307</c:v>
                </c:pt>
                <c:pt idx="2">
                  <c:v>0.246</c:v>
                </c:pt>
              </c:numCache>
            </c:numRef>
          </c:val>
        </c:ser>
        <c:ser>
          <c:idx val="3"/>
          <c:order val="3"/>
          <c:tx>
            <c:strRef>
              <c:f>'Page 18 (Breast)'!$A$13</c:f>
              <c:strCache>
                <c:ptCount val="1"/>
                <c:pt idx="0">
                  <c:v>Distant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18 (Breast)'!$B$9:$D$9</c:f>
              <c:strCache>
                <c:ptCount val="3"/>
                <c:pt idx="0">
                  <c:v>Total Population</c:v>
                </c:pt>
                <c:pt idx="1">
                  <c:v>Black</c:v>
                </c:pt>
                <c:pt idx="2">
                  <c:v>White</c:v>
                </c:pt>
              </c:strCache>
            </c:strRef>
          </c:cat>
          <c:val>
            <c:numRef>
              <c:f>'Page 18 (Breast)'!$B$13:$D$13</c:f>
              <c:numCache>
                <c:formatCode>0.0%</c:formatCode>
                <c:ptCount val="3"/>
                <c:pt idx="0">
                  <c:v>4.7E-2</c:v>
                </c:pt>
                <c:pt idx="1">
                  <c:v>7.0000000000000007E-2</c:v>
                </c:pt>
                <c:pt idx="2">
                  <c:v>4.2000000000000003E-2</c:v>
                </c:pt>
              </c:numCache>
            </c:numRef>
          </c:val>
        </c:ser>
        <c:dLbls>
          <c:showLegendKey val="0"/>
          <c:showVal val="0"/>
          <c:showCatName val="0"/>
          <c:showSerName val="0"/>
          <c:showPercent val="0"/>
          <c:showBubbleSize val="0"/>
        </c:dLbls>
        <c:gapWidth val="150"/>
        <c:overlap val="100"/>
        <c:axId val="205073408"/>
        <c:axId val="167325632"/>
      </c:barChart>
      <c:catAx>
        <c:axId val="205073408"/>
        <c:scaling>
          <c:orientation val="minMax"/>
        </c:scaling>
        <c:delete val="0"/>
        <c:axPos val="b"/>
        <c:majorTickMark val="out"/>
        <c:minorTickMark val="none"/>
        <c:tickLblPos val="nextTo"/>
        <c:txPr>
          <a:bodyPr/>
          <a:lstStyle/>
          <a:p>
            <a:pPr>
              <a:defRPr sz="900"/>
            </a:pPr>
            <a:endParaRPr lang="en-US"/>
          </a:p>
        </c:txPr>
        <c:crossAx val="167325632"/>
        <c:crosses val="autoZero"/>
        <c:auto val="1"/>
        <c:lblAlgn val="ctr"/>
        <c:lblOffset val="100"/>
        <c:noMultiLvlLbl val="0"/>
      </c:catAx>
      <c:valAx>
        <c:axId val="167325632"/>
        <c:scaling>
          <c:orientation val="minMax"/>
        </c:scaling>
        <c:delete val="0"/>
        <c:axPos val="l"/>
        <c:title>
          <c:tx>
            <c:rich>
              <a:bodyPr rot="-5400000" vert="horz"/>
              <a:lstStyle/>
              <a:p>
                <a:pPr>
                  <a:defRPr sz="900"/>
                </a:pPr>
                <a:r>
                  <a:rPr lang="en-US" sz="900"/>
                  <a:t>Percent</a:t>
                </a:r>
              </a:p>
            </c:rich>
          </c:tx>
          <c:overlay val="0"/>
        </c:title>
        <c:numFmt formatCode="0%" sourceLinked="1"/>
        <c:majorTickMark val="out"/>
        <c:minorTickMark val="none"/>
        <c:tickLblPos val="nextTo"/>
        <c:txPr>
          <a:bodyPr/>
          <a:lstStyle/>
          <a:p>
            <a:pPr>
              <a:defRPr sz="900"/>
            </a:pPr>
            <a:endParaRPr lang="en-US"/>
          </a:p>
        </c:txPr>
        <c:crossAx val="205073408"/>
        <c:crosses val="autoZero"/>
        <c:crossBetween val="between"/>
        <c:majorUnit val="0.2"/>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Colon and Rectum</a:t>
            </a:r>
            <a:r>
              <a:rPr lang="en-US" sz="1300" baseline="0"/>
              <a:t> by Gender and Race, Tennessee, 2008-2012</a:t>
            </a:r>
            <a:endParaRPr lang="en-US" sz="1300"/>
          </a:p>
        </c:rich>
      </c:tx>
      <c:layout>
        <c:manualLayout>
          <c:xMode val="edge"/>
          <c:yMode val="edge"/>
          <c:x val="0.12682349353633701"/>
          <c:y val="0"/>
        </c:manualLayout>
      </c:layout>
      <c:overlay val="0"/>
    </c:title>
    <c:autoTitleDeleted val="0"/>
    <c:plotArea>
      <c:layout>
        <c:manualLayout>
          <c:layoutTarget val="inner"/>
          <c:xMode val="edge"/>
          <c:yMode val="edge"/>
          <c:x val="0.14215291954246459"/>
          <c:y val="0.1729088100549416"/>
          <c:w val="0.76203809586042404"/>
          <c:h val="0.67195817192215745"/>
        </c:manualLayout>
      </c:layout>
      <c:barChart>
        <c:barDir val="col"/>
        <c:grouping val="clustered"/>
        <c:varyColors val="0"/>
        <c:ser>
          <c:idx val="0"/>
          <c:order val="0"/>
          <c:tx>
            <c:strRef>
              <c:f>'Page 19 (ColoRectal)'!$B$1</c:f>
              <c:strCache>
                <c:ptCount val="1"/>
                <c:pt idx="0">
                  <c:v>Black</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19 (ColoRectal)'!$F$2:$F$5</c:f>
                <c:numCache>
                  <c:formatCode>General</c:formatCode>
                  <c:ptCount val="4"/>
                  <c:pt idx="0">
                    <c:v>2.8000000000000043</c:v>
                  </c:pt>
                  <c:pt idx="1">
                    <c:v>4.1999999999999957</c:v>
                  </c:pt>
                  <c:pt idx="2">
                    <c:v>2</c:v>
                  </c:pt>
                  <c:pt idx="3">
                    <c:v>3.2999999999999972</c:v>
                  </c:pt>
                </c:numCache>
              </c:numRef>
            </c:plus>
            <c:minus>
              <c:numRef>
                <c:f>'Page 19 (ColoRectal)'!$D$2:$D$5</c:f>
                <c:numCache>
                  <c:formatCode>General</c:formatCode>
                  <c:ptCount val="4"/>
                  <c:pt idx="0">
                    <c:v>2.6999999999999957</c:v>
                  </c:pt>
                  <c:pt idx="1">
                    <c:v>4</c:v>
                  </c:pt>
                  <c:pt idx="2">
                    <c:v>1.9000000000000021</c:v>
                  </c:pt>
                  <c:pt idx="3">
                    <c:v>3.1000000000000014</c:v>
                  </c:pt>
                </c:numCache>
              </c:numRef>
            </c:minus>
          </c:errBars>
          <c:cat>
            <c:strRef>
              <c:f>'Page 19 (ColoRectal)'!$A$2:$A$5</c:f>
              <c:strCache>
                <c:ptCount val="4"/>
                <c:pt idx="0">
                  <c:v>Female Incidence</c:v>
                </c:pt>
                <c:pt idx="1">
                  <c:v>Male Incidence</c:v>
                </c:pt>
                <c:pt idx="2">
                  <c:v>Female Mortality</c:v>
                </c:pt>
                <c:pt idx="3">
                  <c:v>Male Mortality</c:v>
                </c:pt>
              </c:strCache>
            </c:strRef>
          </c:cat>
          <c:val>
            <c:numRef>
              <c:f>'Page 19 (ColoRectal)'!$B$2:$B$5</c:f>
              <c:numCache>
                <c:formatCode>General</c:formatCode>
                <c:ptCount val="4"/>
                <c:pt idx="0">
                  <c:v>45.9</c:v>
                </c:pt>
                <c:pt idx="1">
                  <c:v>63.9</c:v>
                </c:pt>
                <c:pt idx="2">
                  <c:v>21.1</c:v>
                </c:pt>
                <c:pt idx="3">
                  <c:v>34.1</c:v>
                </c:pt>
              </c:numCache>
            </c:numRef>
          </c:val>
        </c:ser>
        <c:ser>
          <c:idx val="1"/>
          <c:order val="1"/>
          <c:tx>
            <c:strRef>
              <c:f>'Page 19 (ColoRectal)'!$C$1</c:f>
              <c:strCache>
                <c:ptCount val="1"/>
                <c:pt idx="0">
                  <c:v>White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19 (ColoRectal)'!$G$2:$G$5</c:f>
                <c:numCache>
                  <c:formatCode>General</c:formatCode>
                  <c:ptCount val="4"/>
                  <c:pt idx="0">
                    <c:v>0.89999999999999858</c:v>
                  </c:pt>
                  <c:pt idx="1">
                    <c:v>1.1999999999999957</c:v>
                  </c:pt>
                  <c:pt idx="2">
                    <c:v>0.59999999999999964</c:v>
                  </c:pt>
                  <c:pt idx="3">
                    <c:v>0.80000000000000071</c:v>
                  </c:pt>
                </c:numCache>
              </c:numRef>
            </c:plus>
            <c:minus>
              <c:numRef>
                <c:f>'Page 19 (ColoRectal)'!$E$2:$E$5</c:f>
                <c:numCache>
                  <c:formatCode>General</c:formatCode>
                  <c:ptCount val="4"/>
                  <c:pt idx="0">
                    <c:v>0.89999999999999858</c:v>
                  </c:pt>
                  <c:pt idx="1">
                    <c:v>1.2000000000000028</c:v>
                  </c:pt>
                  <c:pt idx="2">
                    <c:v>0.60000000000000142</c:v>
                  </c:pt>
                  <c:pt idx="3">
                    <c:v>0.79999999999999716</c:v>
                  </c:pt>
                </c:numCache>
              </c:numRef>
            </c:minus>
          </c:errBars>
          <c:cat>
            <c:strRef>
              <c:f>'Page 19 (ColoRectal)'!$A$2:$A$5</c:f>
              <c:strCache>
                <c:ptCount val="4"/>
                <c:pt idx="0">
                  <c:v>Female Incidence</c:v>
                </c:pt>
                <c:pt idx="1">
                  <c:v>Male Incidence</c:v>
                </c:pt>
                <c:pt idx="2">
                  <c:v>Female Mortality</c:v>
                </c:pt>
                <c:pt idx="3">
                  <c:v>Male Mortality</c:v>
                </c:pt>
              </c:strCache>
            </c:strRef>
          </c:cat>
          <c:val>
            <c:numRef>
              <c:f>'Page 19 (ColoRectal)'!$C$2:$C$5</c:f>
              <c:numCache>
                <c:formatCode>General</c:formatCode>
                <c:ptCount val="4"/>
                <c:pt idx="0">
                  <c:v>36.5</c:v>
                </c:pt>
                <c:pt idx="1">
                  <c:v>48.7</c:v>
                </c:pt>
                <c:pt idx="2">
                  <c:v>13.8</c:v>
                </c:pt>
                <c:pt idx="3">
                  <c:v>19.899999999999999</c:v>
                </c:pt>
              </c:numCache>
            </c:numRef>
          </c:val>
        </c:ser>
        <c:dLbls>
          <c:showLegendKey val="0"/>
          <c:showVal val="0"/>
          <c:showCatName val="0"/>
          <c:showSerName val="0"/>
          <c:showPercent val="0"/>
          <c:showBubbleSize val="0"/>
        </c:dLbls>
        <c:gapWidth val="50"/>
        <c:axId val="206329856"/>
        <c:axId val="167326784"/>
      </c:barChart>
      <c:catAx>
        <c:axId val="206329856"/>
        <c:scaling>
          <c:orientation val="minMax"/>
        </c:scaling>
        <c:delete val="0"/>
        <c:axPos val="b"/>
        <c:majorTickMark val="out"/>
        <c:minorTickMark val="none"/>
        <c:tickLblPos val="nextTo"/>
        <c:txPr>
          <a:bodyPr/>
          <a:lstStyle/>
          <a:p>
            <a:pPr>
              <a:defRPr sz="900"/>
            </a:pPr>
            <a:endParaRPr lang="en-US"/>
          </a:p>
        </c:txPr>
        <c:crossAx val="167326784"/>
        <c:crosses val="autoZero"/>
        <c:auto val="1"/>
        <c:lblAlgn val="ctr"/>
        <c:lblOffset val="100"/>
        <c:noMultiLvlLbl val="0"/>
      </c:catAx>
      <c:valAx>
        <c:axId val="167326784"/>
        <c:scaling>
          <c:orientation val="minMax"/>
        </c:scaling>
        <c:delete val="0"/>
        <c:axPos val="l"/>
        <c:title>
          <c:tx>
            <c:rich>
              <a:bodyPr rot="-5400000" vert="horz"/>
              <a:lstStyle/>
              <a:p>
                <a:pPr>
                  <a:defRPr sz="900"/>
                </a:pPr>
                <a:r>
                  <a:rPr lang="en-US" sz="900"/>
                  <a:t>Age-Adjusted Rate</a:t>
                </a:r>
                <a:r>
                  <a:rPr lang="en-US" sz="900" baseline="0"/>
                  <a:t> per 100,000</a:t>
                </a:r>
              </a:p>
            </c:rich>
          </c:tx>
          <c:overlay val="0"/>
        </c:title>
        <c:numFmt formatCode="General" sourceLinked="1"/>
        <c:majorTickMark val="out"/>
        <c:minorTickMark val="none"/>
        <c:tickLblPos val="nextTo"/>
        <c:txPr>
          <a:bodyPr/>
          <a:lstStyle/>
          <a:p>
            <a:pPr>
              <a:defRPr sz="900"/>
            </a:pPr>
            <a:endParaRPr lang="en-US"/>
          </a:p>
        </c:txPr>
        <c:crossAx val="206329856"/>
        <c:crosses val="autoZero"/>
        <c:crossBetween val="between"/>
      </c:valAx>
    </c:plotArea>
    <c:legend>
      <c:legendPos val="r"/>
      <c:layout>
        <c:manualLayout>
          <c:xMode val="edge"/>
          <c:yMode val="edge"/>
          <c:x val="0.79889267670454156"/>
          <c:y val="0.23142949522614017"/>
          <c:w val="0.10398367742321339"/>
          <c:h val="0.1455951158279128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Colon and Rectum,</a:t>
            </a:r>
          </a:p>
          <a:p>
            <a:pPr>
              <a:defRPr/>
            </a:pPr>
            <a:r>
              <a:rPr lang="en-US" sz="1300" baseline="0"/>
              <a:t>by Year, Tennessee, 2008-2012</a:t>
            </a:r>
            <a:endParaRPr lang="en-US" sz="1300"/>
          </a:p>
        </c:rich>
      </c:tx>
      <c:overlay val="0"/>
    </c:title>
    <c:autoTitleDeleted val="0"/>
    <c:plotArea>
      <c:layout/>
      <c:barChart>
        <c:barDir val="col"/>
        <c:grouping val="clustered"/>
        <c:varyColors val="0"/>
        <c:ser>
          <c:idx val="0"/>
          <c:order val="0"/>
          <c:tx>
            <c:strRef>
              <c:f>'Page 19 (ColoRectal)'!$B$31</c:f>
              <c:strCache>
                <c:ptCount val="1"/>
                <c:pt idx="0">
                  <c:v>Incidence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19 (ColoRectal)'!$E$32:$E$36</c:f>
                <c:numCache>
                  <c:formatCode>General</c:formatCode>
                  <c:ptCount val="5"/>
                  <c:pt idx="0">
                    <c:v>1.7000000000000028</c:v>
                  </c:pt>
                  <c:pt idx="1">
                    <c:v>1.6000000000000014</c:v>
                  </c:pt>
                  <c:pt idx="2">
                    <c:v>1.6000000000000014</c:v>
                  </c:pt>
                  <c:pt idx="3">
                    <c:v>1.5</c:v>
                  </c:pt>
                  <c:pt idx="4">
                    <c:v>1.5</c:v>
                  </c:pt>
                </c:numCache>
              </c:numRef>
            </c:plus>
            <c:minus>
              <c:numRef>
                <c:f>'Page 19 (ColoRectal)'!$D$32:$D$36</c:f>
                <c:numCache>
                  <c:formatCode>General</c:formatCode>
                  <c:ptCount val="5"/>
                  <c:pt idx="0">
                    <c:v>1.6999999999999957</c:v>
                  </c:pt>
                  <c:pt idx="1">
                    <c:v>1.6000000000000014</c:v>
                  </c:pt>
                  <c:pt idx="2">
                    <c:v>1.6000000000000014</c:v>
                  </c:pt>
                  <c:pt idx="3">
                    <c:v>1.5</c:v>
                  </c:pt>
                  <c:pt idx="4">
                    <c:v>1.5</c:v>
                  </c:pt>
                </c:numCache>
              </c:numRef>
            </c:minus>
          </c:errBars>
          <c:cat>
            <c:numRef>
              <c:f>'Page 19 (ColoRectal)'!$A$32:$A$36</c:f>
              <c:numCache>
                <c:formatCode>General</c:formatCode>
                <c:ptCount val="5"/>
                <c:pt idx="0">
                  <c:v>2008</c:v>
                </c:pt>
                <c:pt idx="1">
                  <c:v>2009</c:v>
                </c:pt>
                <c:pt idx="2">
                  <c:v>2010</c:v>
                </c:pt>
                <c:pt idx="3">
                  <c:v>2011</c:v>
                </c:pt>
                <c:pt idx="4">
                  <c:v>2012</c:v>
                </c:pt>
              </c:numCache>
            </c:numRef>
          </c:cat>
          <c:val>
            <c:numRef>
              <c:f>'Page 19 (ColoRectal)'!$B$32:$B$36</c:f>
              <c:numCache>
                <c:formatCode>General</c:formatCode>
                <c:ptCount val="5"/>
                <c:pt idx="0">
                  <c:v>47.9</c:v>
                </c:pt>
                <c:pt idx="1">
                  <c:v>43.9</c:v>
                </c:pt>
                <c:pt idx="2">
                  <c:v>43.4</c:v>
                </c:pt>
                <c:pt idx="3">
                  <c:v>40.700000000000003</c:v>
                </c:pt>
                <c:pt idx="4">
                  <c:v>41.3</c:v>
                </c:pt>
              </c:numCache>
            </c:numRef>
          </c:val>
        </c:ser>
        <c:ser>
          <c:idx val="1"/>
          <c:order val="1"/>
          <c:tx>
            <c:strRef>
              <c:f>'Page 19 (ColoRectal)'!$C$31</c:f>
              <c:strCache>
                <c:ptCount val="1"/>
                <c:pt idx="0">
                  <c:v>Mortality</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19 (ColoRectal)'!$G$32:$G$36</c:f>
                <c:numCache>
                  <c:formatCode>General</c:formatCode>
                  <c:ptCount val="5"/>
                  <c:pt idx="0">
                    <c:v>1.1000000000000014</c:v>
                  </c:pt>
                  <c:pt idx="1">
                    <c:v>1</c:v>
                  </c:pt>
                  <c:pt idx="2">
                    <c:v>1.1000000000000014</c:v>
                  </c:pt>
                  <c:pt idx="3">
                    <c:v>1</c:v>
                  </c:pt>
                  <c:pt idx="4">
                    <c:v>1</c:v>
                  </c:pt>
                </c:numCache>
              </c:numRef>
            </c:plus>
            <c:minus>
              <c:numRef>
                <c:f>'Page 19 (ColoRectal)'!$F$32:$F$36</c:f>
                <c:numCache>
                  <c:formatCode>General</c:formatCode>
                  <c:ptCount val="5"/>
                  <c:pt idx="0">
                    <c:v>1</c:v>
                  </c:pt>
                  <c:pt idx="1">
                    <c:v>1</c:v>
                  </c:pt>
                  <c:pt idx="2">
                    <c:v>0.89999999999999858</c:v>
                  </c:pt>
                  <c:pt idx="3">
                    <c:v>1</c:v>
                  </c:pt>
                  <c:pt idx="4">
                    <c:v>0.90000000000000036</c:v>
                  </c:pt>
                </c:numCache>
              </c:numRef>
            </c:minus>
          </c:errBars>
          <c:cat>
            <c:numRef>
              <c:f>'Page 19 (ColoRectal)'!$A$32:$A$36</c:f>
              <c:numCache>
                <c:formatCode>General</c:formatCode>
                <c:ptCount val="5"/>
                <c:pt idx="0">
                  <c:v>2008</c:v>
                </c:pt>
                <c:pt idx="1">
                  <c:v>2009</c:v>
                </c:pt>
                <c:pt idx="2">
                  <c:v>2010</c:v>
                </c:pt>
                <c:pt idx="3">
                  <c:v>2011</c:v>
                </c:pt>
                <c:pt idx="4">
                  <c:v>2012</c:v>
                </c:pt>
              </c:numCache>
            </c:numRef>
          </c:cat>
          <c:val>
            <c:numRef>
              <c:f>'Page 19 (ColoRectal)'!$C$32:$C$36</c:f>
              <c:numCache>
                <c:formatCode>General</c:formatCode>
                <c:ptCount val="5"/>
                <c:pt idx="0">
                  <c:v>18.5</c:v>
                </c:pt>
                <c:pt idx="1">
                  <c:v>17.600000000000001</c:v>
                </c:pt>
                <c:pt idx="2">
                  <c:v>17.2</c:v>
                </c:pt>
                <c:pt idx="3">
                  <c:v>17.5</c:v>
                </c:pt>
                <c:pt idx="4">
                  <c:v>16.3</c:v>
                </c:pt>
              </c:numCache>
            </c:numRef>
          </c:val>
        </c:ser>
        <c:dLbls>
          <c:showLegendKey val="0"/>
          <c:showVal val="0"/>
          <c:showCatName val="0"/>
          <c:showSerName val="0"/>
          <c:showPercent val="0"/>
          <c:showBubbleSize val="0"/>
        </c:dLbls>
        <c:gapWidth val="50"/>
        <c:axId val="206581760"/>
        <c:axId val="167329088"/>
      </c:barChart>
      <c:catAx>
        <c:axId val="206581760"/>
        <c:scaling>
          <c:orientation val="minMax"/>
        </c:scaling>
        <c:delete val="0"/>
        <c:axPos val="b"/>
        <c:title>
          <c:tx>
            <c:rich>
              <a:bodyPr/>
              <a:lstStyle/>
              <a:p>
                <a:pPr>
                  <a:defRPr sz="900"/>
                </a:pPr>
                <a:r>
                  <a:rPr lang="en-US" sz="900"/>
                  <a:t>Year of Diagnosis or Death</a:t>
                </a:r>
              </a:p>
            </c:rich>
          </c:tx>
          <c:overlay val="0"/>
        </c:title>
        <c:numFmt formatCode="General" sourceLinked="1"/>
        <c:majorTickMark val="out"/>
        <c:minorTickMark val="none"/>
        <c:tickLblPos val="nextTo"/>
        <c:txPr>
          <a:bodyPr/>
          <a:lstStyle/>
          <a:p>
            <a:pPr>
              <a:defRPr sz="900"/>
            </a:pPr>
            <a:endParaRPr lang="en-US"/>
          </a:p>
        </c:txPr>
        <c:crossAx val="167329088"/>
        <c:crosses val="autoZero"/>
        <c:auto val="1"/>
        <c:lblAlgn val="ctr"/>
        <c:lblOffset val="100"/>
        <c:noMultiLvlLbl val="0"/>
      </c:catAx>
      <c:valAx>
        <c:axId val="167329088"/>
        <c:scaling>
          <c:orientation val="minMax"/>
        </c:scaling>
        <c:delete val="0"/>
        <c:axPos val="l"/>
        <c:title>
          <c:tx>
            <c:rich>
              <a:bodyPr rot="-5400000" vert="horz"/>
              <a:lstStyle/>
              <a:p>
                <a:pPr>
                  <a:defRPr sz="900"/>
                </a:pPr>
                <a:r>
                  <a:rPr lang="en-US" sz="900"/>
                  <a:t>Age-Adjusted</a:t>
                </a:r>
                <a:r>
                  <a:rPr lang="en-US" sz="900" baseline="0"/>
                  <a:t> Rate per 100,000</a:t>
                </a:r>
                <a:endParaRPr lang="en-US" sz="900"/>
              </a:p>
            </c:rich>
          </c:tx>
          <c:overlay val="0"/>
        </c:title>
        <c:numFmt formatCode="General" sourceLinked="1"/>
        <c:majorTickMark val="out"/>
        <c:minorTickMark val="none"/>
        <c:tickLblPos val="nextTo"/>
        <c:crossAx val="206581760"/>
        <c:crosses val="autoZero"/>
        <c:crossBetween val="between"/>
      </c:valAx>
    </c:plotArea>
    <c:legend>
      <c:legendPos val="r"/>
      <c:layout>
        <c:manualLayout>
          <c:xMode val="edge"/>
          <c:yMode val="edge"/>
          <c:x val="0.8423744023698283"/>
          <c:y val="0.50692074948964716"/>
          <c:w val="0.14102808725672777"/>
          <c:h val="0.156251093613298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a:t>
            </a:r>
            <a:r>
              <a:rPr lang="en-US" sz="1300" baseline="0"/>
              <a:t> Stage, Colon and Rectum</a:t>
            </a:r>
          </a:p>
          <a:p>
            <a:pPr>
              <a:defRPr/>
            </a:pPr>
            <a:r>
              <a:rPr lang="en-US" sz="1300" baseline="0"/>
              <a:t>Tennessee, 2008-2012</a:t>
            </a:r>
            <a:endParaRPr lang="en-US" sz="1300"/>
          </a:p>
        </c:rich>
      </c:tx>
      <c:overlay val="0"/>
    </c:title>
    <c:autoTitleDeleted val="0"/>
    <c:view3D>
      <c:rotX val="15"/>
      <c:rotY val="0"/>
      <c:rAngAx val="0"/>
      <c:perspective val="0"/>
    </c:view3D>
    <c:floor>
      <c:thickness val="0"/>
    </c:floor>
    <c:sideWall>
      <c:thickness val="0"/>
    </c:sideWall>
    <c:backWall>
      <c:thickness val="0"/>
    </c:backWall>
    <c:plotArea>
      <c:layout/>
      <c:pie3DChart>
        <c:varyColors val="1"/>
        <c:ser>
          <c:idx val="0"/>
          <c:order val="0"/>
          <c:tx>
            <c:strRef>
              <c:f>'Page 20 (ColoRectal)'!$B$1</c:f>
              <c:strCache>
                <c:ptCount val="1"/>
                <c:pt idx="0">
                  <c:v>Column %</c:v>
                </c:pt>
              </c:strCache>
            </c:strRef>
          </c:tx>
          <c:spPr>
            <a:ln>
              <a:solidFill>
                <a:sysClr val="windowText" lastClr="000000"/>
              </a:solidFill>
            </a:ln>
          </c:spPr>
          <c:dLbls>
            <c:txPr>
              <a:bodyPr/>
              <a:lstStyle/>
              <a:p>
                <a:pPr>
                  <a:defRPr sz="800"/>
                </a:pPr>
                <a:endParaRPr lang="en-US"/>
              </a:p>
            </c:txPr>
            <c:showLegendKey val="0"/>
            <c:showVal val="1"/>
            <c:showCatName val="1"/>
            <c:showSerName val="0"/>
            <c:showPercent val="0"/>
            <c:showBubbleSize val="0"/>
            <c:separator> </c:separator>
            <c:showLeaderLines val="1"/>
          </c:dLbls>
          <c:cat>
            <c:strRef>
              <c:f>'Page 20 (ColoRectal)'!$A$2:$A$6</c:f>
              <c:strCache>
                <c:ptCount val="5"/>
                <c:pt idx="0">
                  <c:v>In Situ</c:v>
                </c:pt>
                <c:pt idx="1">
                  <c:v>Localized</c:v>
                </c:pt>
                <c:pt idx="2">
                  <c:v>Regional</c:v>
                </c:pt>
                <c:pt idx="3">
                  <c:v>Distant</c:v>
                </c:pt>
                <c:pt idx="4">
                  <c:v>Unknown</c:v>
                </c:pt>
              </c:strCache>
            </c:strRef>
          </c:cat>
          <c:val>
            <c:numRef>
              <c:f>'Page 20 (ColoRectal)'!$B$2:$B$6</c:f>
              <c:numCache>
                <c:formatCode>0.0%</c:formatCode>
                <c:ptCount val="5"/>
                <c:pt idx="0">
                  <c:v>3.9E-2</c:v>
                </c:pt>
                <c:pt idx="1">
                  <c:v>0.38400000000000001</c:v>
                </c:pt>
                <c:pt idx="2">
                  <c:v>0.32400000000000001</c:v>
                </c:pt>
                <c:pt idx="3">
                  <c:v>0.19</c:v>
                </c:pt>
                <c:pt idx="4">
                  <c:v>6.3E-2</c:v>
                </c:pt>
              </c:numCache>
            </c:numRef>
          </c:val>
        </c:ser>
        <c:dLbls>
          <c:showLegendKey val="0"/>
          <c:showVal val="0"/>
          <c:showCatName val="0"/>
          <c:showSerName val="0"/>
          <c:showPercent val="0"/>
          <c:showBubbleSize val="0"/>
          <c:showLeaderLines val="1"/>
        </c:dLbls>
      </c:pie3DChart>
      <c:spPr>
        <a:ln>
          <a:noFill/>
        </a:ln>
      </c:spPr>
    </c:plotArea>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 Colon and Rectum</a:t>
            </a:r>
          </a:p>
          <a:p>
            <a:pPr>
              <a:defRPr/>
            </a:pPr>
            <a:r>
              <a:rPr lang="en-US" sz="1300"/>
              <a:t>By Race, Tennessee, 2008-2012</a:t>
            </a:r>
          </a:p>
        </c:rich>
      </c:tx>
      <c:layout>
        <c:manualLayout>
          <c:xMode val="edge"/>
          <c:yMode val="edge"/>
          <c:x val="0.26087864984999415"/>
          <c:y val="1.5712681453633363E-2"/>
        </c:manualLayout>
      </c:layout>
      <c:overlay val="0"/>
    </c:title>
    <c:autoTitleDeleted val="0"/>
    <c:plotArea>
      <c:layout>
        <c:manualLayout>
          <c:layoutTarget val="inner"/>
          <c:xMode val="edge"/>
          <c:yMode val="edge"/>
          <c:x val="0.17622420887988843"/>
          <c:y val="0.22394612653533724"/>
          <c:w val="0.65309309379657754"/>
          <c:h val="0.61829154076244863"/>
        </c:manualLayout>
      </c:layout>
      <c:barChart>
        <c:barDir val="col"/>
        <c:grouping val="percentStacked"/>
        <c:varyColors val="0"/>
        <c:ser>
          <c:idx val="0"/>
          <c:order val="0"/>
          <c:tx>
            <c:strRef>
              <c:f>'Page 20 (ColoRectal)'!$A$11</c:f>
              <c:strCache>
                <c:ptCount val="1"/>
                <c:pt idx="0">
                  <c:v>In Situ</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20 (ColoRectal)'!$B$10:$D$10</c:f>
              <c:strCache>
                <c:ptCount val="3"/>
                <c:pt idx="0">
                  <c:v>Total Population</c:v>
                </c:pt>
                <c:pt idx="1">
                  <c:v>Black</c:v>
                </c:pt>
                <c:pt idx="2">
                  <c:v>White</c:v>
                </c:pt>
              </c:strCache>
            </c:strRef>
          </c:cat>
          <c:val>
            <c:numRef>
              <c:f>'Page 20 (ColoRectal)'!$B$11:$D$11</c:f>
              <c:numCache>
                <c:formatCode>0.0%</c:formatCode>
                <c:ptCount val="3"/>
                <c:pt idx="0">
                  <c:v>4.2000000000000003E-2</c:v>
                </c:pt>
                <c:pt idx="1">
                  <c:v>4.5999999999999999E-2</c:v>
                </c:pt>
                <c:pt idx="2">
                  <c:v>4.1134409897967385E-2</c:v>
                </c:pt>
              </c:numCache>
            </c:numRef>
          </c:val>
        </c:ser>
        <c:ser>
          <c:idx val="1"/>
          <c:order val="1"/>
          <c:tx>
            <c:strRef>
              <c:f>'Page 20 (ColoRectal)'!$A$12</c:f>
              <c:strCache>
                <c:ptCount val="1"/>
                <c:pt idx="0">
                  <c:v>Localized</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20 (ColoRectal)'!$B$10:$D$10</c:f>
              <c:strCache>
                <c:ptCount val="3"/>
                <c:pt idx="0">
                  <c:v>Total Population</c:v>
                </c:pt>
                <c:pt idx="1">
                  <c:v>Black</c:v>
                </c:pt>
                <c:pt idx="2">
                  <c:v>White</c:v>
                </c:pt>
              </c:strCache>
            </c:strRef>
          </c:cat>
          <c:val>
            <c:numRef>
              <c:f>'Page 20 (ColoRectal)'!$B$12:$D$12</c:f>
              <c:numCache>
                <c:formatCode>0.0%</c:formatCode>
                <c:ptCount val="3"/>
                <c:pt idx="0">
                  <c:v>0.40899999999999997</c:v>
                </c:pt>
                <c:pt idx="1">
                  <c:v>0.38400000000000001</c:v>
                </c:pt>
                <c:pt idx="2">
                  <c:v>0.41262954928898532</c:v>
                </c:pt>
              </c:numCache>
            </c:numRef>
          </c:val>
        </c:ser>
        <c:ser>
          <c:idx val="2"/>
          <c:order val="2"/>
          <c:tx>
            <c:strRef>
              <c:f>'Page 20 (ColoRectal)'!$A$13</c:f>
              <c:strCache>
                <c:ptCount val="1"/>
                <c:pt idx="0">
                  <c:v>Regional</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20 (ColoRectal)'!$B$10:$D$10</c:f>
              <c:strCache>
                <c:ptCount val="3"/>
                <c:pt idx="0">
                  <c:v>Total Population</c:v>
                </c:pt>
                <c:pt idx="1">
                  <c:v>Black</c:v>
                </c:pt>
                <c:pt idx="2">
                  <c:v>White</c:v>
                </c:pt>
              </c:strCache>
            </c:strRef>
          </c:cat>
          <c:val>
            <c:numRef>
              <c:f>'Page 20 (ColoRectal)'!$B$13:$D$13</c:f>
              <c:numCache>
                <c:formatCode>0.0%</c:formatCode>
                <c:ptCount val="3"/>
                <c:pt idx="0">
                  <c:v>0.34599999999999997</c:v>
                </c:pt>
                <c:pt idx="1">
                  <c:v>0.32800000000000001</c:v>
                </c:pt>
                <c:pt idx="2">
                  <c:v>0.349080099622399</c:v>
                </c:pt>
              </c:numCache>
            </c:numRef>
          </c:val>
        </c:ser>
        <c:ser>
          <c:idx val="3"/>
          <c:order val="3"/>
          <c:tx>
            <c:strRef>
              <c:f>'Page 20 (ColoRectal)'!$A$14</c:f>
              <c:strCache>
                <c:ptCount val="1"/>
                <c:pt idx="0">
                  <c:v>Distant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20 (ColoRectal)'!$B$10:$D$10</c:f>
              <c:strCache>
                <c:ptCount val="3"/>
                <c:pt idx="0">
                  <c:v>Total Population</c:v>
                </c:pt>
                <c:pt idx="1">
                  <c:v>Black</c:v>
                </c:pt>
                <c:pt idx="2">
                  <c:v>White</c:v>
                </c:pt>
              </c:strCache>
            </c:strRef>
          </c:cat>
          <c:val>
            <c:numRef>
              <c:f>'Page 20 (ColoRectal)'!$B$14:$D$14</c:f>
              <c:numCache>
                <c:formatCode>0.0%</c:formatCode>
                <c:ptCount val="3"/>
                <c:pt idx="0">
                  <c:v>0.20300000000000001</c:v>
                </c:pt>
                <c:pt idx="1">
                  <c:v>0.24199999999999999</c:v>
                </c:pt>
                <c:pt idx="2">
                  <c:v>0.19715594119064836</c:v>
                </c:pt>
              </c:numCache>
            </c:numRef>
          </c:val>
        </c:ser>
        <c:dLbls>
          <c:showLegendKey val="0"/>
          <c:showVal val="0"/>
          <c:showCatName val="0"/>
          <c:showSerName val="0"/>
          <c:showPercent val="0"/>
          <c:showBubbleSize val="0"/>
        </c:dLbls>
        <c:gapWidth val="150"/>
        <c:overlap val="100"/>
        <c:axId val="206667776"/>
        <c:axId val="167954688"/>
      </c:barChart>
      <c:catAx>
        <c:axId val="206667776"/>
        <c:scaling>
          <c:orientation val="minMax"/>
        </c:scaling>
        <c:delete val="0"/>
        <c:axPos val="b"/>
        <c:majorTickMark val="out"/>
        <c:minorTickMark val="none"/>
        <c:tickLblPos val="nextTo"/>
        <c:txPr>
          <a:bodyPr/>
          <a:lstStyle/>
          <a:p>
            <a:pPr>
              <a:defRPr sz="900"/>
            </a:pPr>
            <a:endParaRPr lang="en-US"/>
          </a:p>
        </c:txPr>
        <c:crossAx val="167954688"/>
        <c:crosses val="autoZero"/>
        <c:auto val="1"/>
        <c:lblAlgn val="ctr"/>
        <c:lblOffset val="100"/>
        <c:noMultiLvlLbl val="0"/>
      </c:catAx>
      <c:valAx>
        <c:axId val="167954688"/>
        <c:scaling>
          <c:orientation val="minMax"/>
        </c:scaling>
        <c:delete val="0"/>
        <c:axPos val="l"/>
        <c:title>
          <c:tx>
            <c:rich>
              <a:bodyPr rot="-5400000" vert="horz"/>
              <a:lstStyle/>
              <a:p>
                <a:pPr>
                  <a:defRPr sz="900"/>
                </a:pPr>
                <a:r>
                  <a:rPr lang="en-US" sz="900"/>
                  <a:t>Percent</a:t>
                </a:r>
              </a:p>
            </c:rich>
          </c:tx>
          <c:overlay val="0"/>
        </c:title>
        <c:numFmt formatCode="0%" sourceLinked="1"/>
        <c:majorTickMark val="out"/>
        <c:minorTickMark val="none"/>
        <c:tickLblPos val="nextTo"/>
        <c:txPr>
          <a:bodyPr/>
          <a:lstStyle/>
          <a:p>
            <a:pPr>
              <a:defRPr sz="900"/>
            </a:pPr>
            <a:endParaRPr lang="en-US"/>
          </a:p>
        </c:txPr>
        <c:crossAx val="206667776"/>
        <c:crosses val="autoZero"/>
        <c:crossBetween val="between"/>
        <c:majorUnit val="0.2"/>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sz="1300" baseline="0"/>
              <a:t>Cancer Incidence and Mortality, Melanoma of the Skin, by Gender and Race, Tennessee, 2008-2012</a:t>
            </a:r>
          </a:p>
        </c:rich>
      </c:tx>
      <c:layout>
        <c:manualLayout>
          <c:xMode val="edge"/>
          <c:yMode val="edge"/>
          <c:x val="0.13692364946918947"/>
          <c:y val="2.3173605371151807E-2"/>
        </c:manualLayout>
      </c:layout>
      <c:overlay val="0"/>
    </c:title>
    <c:autoTitleDeleted val="0"/>
    <c:plotArea>
      <c:layout>
        <c:manualLayout>
          <c:layoutTarget val="inner"/>
          <c:xMode val="edge"/>
          <c:yMode val="edge"/>
          <c:x val="0.14200240594925634"/>
          <c:y val="0.19834499854184895"/>
          <c:w val="0.70590135608048998"/>
          <c:h val="0.5689851268591426"/>
        </c:manualLayout>
      </c:layout>
      <c:barChart>
        <c:barDir val="col"/>
        <c:grouping val="clustered"/>
        <c:varyColors val="0"/>
        <c:ser>
          <c:idx val="0"/>
          <c:order val="0"/>
          <c:tx>
            <c:strRef>
              <c:f>'Page 21 (Skin)'!$B$1</c:f>
              <c:strCache>
                <c:ptCount val="1"/>
                <c:pt idx="0">
                  <c:v>Black</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21 (Skin)'!$F$2:$F$5</c:f>
                <c:numCache>
                  <c:formatCode>General</c:formatCode>
                  <c:ptCount val="4"/>
                  <c:pt idx="0">
                    <c:v>0.4</c:v>
                  </c:pt>
                  <c:pt idx="1">
                    <c:v>0.59999999999999987</c:v>
                  </c:pt>
                  <c:pt idx="2">
                    <c:v>0.4</c:v>
                  </c:pt>
                  <c:pt idx="3">
                    <c:v>0</c:v>
                  </c:pt>
                </c:numCache>
              </c:numRef>
            </c:plus>
            <c:minus>
              <c:numRef>
                <c:f>'Page 21 (Skin)'!$D$2:$D$5</c:f>
                <c:numCache>
                  <c:formatCode>General</c:formatCode>
                  <c:ptCount val="4"/>
                  <c:pt idx="0">
                    <c:v>0.4</c:v>
                  </c:pt>
                  <c:pt idx="1">
                    <c:v>0.50000000000000011</c:v>
                  </c:pt>
                  <c:pt idx="2">
                    <c:v>0.3</c:v>
                  </c:pt>
                  <c:pt idx="3">
                    <c:v>0</c:v>
                  </c:pt>
                </c:numCache>
              </c:numRef>
            </c:minus>
          </c:errBars>
          <c:cat>
            <c:strRef>
              <c:f>'Page 21 (Skin)'!$A$2:$A$5</c:f>
              <c:strCache>
                <c:ptCount val="4"/>
                <c:pt idx="0">
                  <c:v>Female Incidence</c:v>
                </c:pt>
                <c:pt idx="1">
                  <c:v>Male Incidence</c:v>
                </c:pt>
                <c:pt idx="2">
                  <c:v>Female Mortality</c:v>
                </c:pt>
                <c:pt idx="3">
                  <c:v>Male Mortality</c:v>
                </c:pt>
              </c:strCache>
            </c:strRef>
          </c:cat>
          <c:val>
            <c:numRef>
              <c:f>'Page 21 (Skin)'!$B$2:$B$5</c:f>
              <c:numCache>
                <c:formatCode>General</c:formatCode>
                <c:ptCount val="4"/>
                <c:pt idx="0">
                  <c:v>0.9</c:v>
                </c:pt>
                <c:pt idx="1">
                  <c:v>1.1000000000000001</c:v>
                </c:pt>
                <c:pt idx="2">
                  <c:v>0.5</c:v>
                </c:pt>
              </c:numCache>
            </c:numRef>
          </c:val>
        </c:ser>
        <c:ser>
          <c:idx val="1"/>
          <c:order val="1"/>
          <c:tx>
            <c:strRef>
              <c:f>'Page 21 (Skin)'!$C$1</c:f>
              <c:strCache>
                <c:ptCount val="1"/>
                <c:pt idx="0">
                  <c:v>White</c:v>
                </c:pt>
              </c:strCache>
            </c:strRef>
          </c:tx>
          <c:spPr>
            <a:ln>
              <a:solidFill>
                <a:sysClr val="windowText" lastClr="000000"/>
              </a:solidFill>
            </a:ln>
          </c:spPr>
          <c:invertIfNegative val="0"/>
          <c:dLbls>
            <c:dLbl>
              <c:idx val="1"/>
              <c:tx>
                <c:rich>
                  <a:bodyPr/>
                  <a:lstStyle/>
                  <a:p>
                    <a:r>
                      <a:rPr lang="en-US"/>
                      <a:t>30.2</a:t>
                    </a:r>
                  </a:p>
                </c:rich>
              </c:tx>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21 (Skin)'!$G$2:$G$5</c:f>
                <c:numCache>
                  <c:formatCode>General</c:formatCode>
                  <c:ptCount val="4"/>
                  <c:pt idx="0">
                    <c:v>0.80000000000000071</c:v>
                  </c:pt>
                  <c:pt idx="1">
                    <c:v>1</c:v>
                  </c:pt>
                  <c:pt idx="2">
                    <c:v>0.30000000000000027</c:v>
                  </c:pt>
                  <c:pt idx="3">
                    <c:v>0.5</c:v>
                  </c:pt>
                </c:numCache>
              </c:numRef>
            </c:plus>
            <c:minus>
              <c:numRef>
                <c:f>'Page 21 (Skin)'!$E$2:$E$5</c:f>
                <c:numCache>
                  <c:formatCode>General</c:formatCode>
                  <c:ptCount val="4"/>
                  <c:pt idx="0">
                    <c:v>0.69999999999999929</c:v>
                  </c:pt>
                  <c:pt idx="1">
                    <c:v>0.90000000000000213</c:v>
                  </c:pt>
                  <c:pt idx="2">
                    <c:v>0.19999999999999996</c:v>
                  </c:pt>
                  <c:pt idx="3">
                    <c:v>0.40000000000000036</c:v>
                  </c:pt>
                </c:numCache>
              </c:numRef>
            </c:minus>
          </c:errBars>
          <c:cat>
            <c:strRef>
              <c:f>'Page 21 (Skin)'!$A$2:$A$5</c:f>
              <c:strCache>
                <c:ptCount val="4"/>
                <c:pt idx="0">
                  <c:v>Female Incidence</c:v>
                </c:pt>
                <c:pt idx="1">
                  <c:v>Male Incidence</c:v>
                </c:pt>
                <c:pt idx="2">
                  <c:v>Female Mortality</c:v>
                </c:pt>
                <c:pt idx="3">
                  <c:v>Male Mortality</c:v>
                </c:pt>
              </c:strCache>
            </c:strRef>
          </c:cat>
          <c:val>
            <c:numRef>
              <c:f>'Page 21 (Skin)'!$C$2:$C$5</c:f>
              <c:numCache>
                <c:formatCode>General</c:formatCode>
                <c:ptCount val="4"/>
                <c:pt idx="0">
                  <c:v>19.399999999999999</c:v>
                </c:pt>
                <c:pt idx="1">
                  <c:v>30.1</c:v>
                </c:pt>
                <c:pt idx="2">
                  <c:v>1.9</c:v>
                </c:pt>
                <c:pt idx="3">
                  <c:v>5.5</c:v>
                </c:pt>
              </c:numCache>
            </c:numRef>
          </c:val>
        </c:ser>
        <c:dLbls>
          <c:showLegendKey val="0"/>
          <c:showVal val="0"/>
          <c:showCatName val="0"/>
          <c:showSerName val="0"/>
          <c:showPercent val="0"/>
          <c:showBubbleSize val="0"/>
        </c:dLbls>
        <c:gapWidth val="150"/>
        <c:axId val="206668800"/>
        <c:axId val="167323328"/>
      </c:barChart>
      <c:catAx>
        <c:axId val="206668800"/>
        <c:scaling>
          <c:orientation val="minMax"/>
        </c:scaling>
        <c:delete val="0"/>
        <c:axPos val="b"/>
        <c:majorTickMark val="out"/>
        <c:minorTickMark val="none"/>
        <c:tickLblPos val="nextTo"/>
        <c:crossAx val="167323328"/>
        <c:crosses val="autoZero"/>
        <c:auto val="1"/>
        <c:lblAlgn val="ctr"/>
        <c:lblOffset val="100"/>
        <c:noMultiLvlLbl val="0"/>
      </c:catAx>
      <c:valAx>
        <c:axId val="167323328"/>
        <c:scaling>
          <c:orientation val="minMax"/>
        </c:scaling>
        <c:delete val="0"/>
        <c:axPos val="l"/>
        <c:title>
          <c:tx>
            <c:rich>
              <a:bodyPr rot="-5400000" vert="horz"/>
              <a:lstStyle/>
              <a:p>
                <a:pPr>
                  <a:defRPr sz="900"/>
                </a:pPr>
                <a:r>
                  <a:rPr lang="en-US" sz="900"/>
                  <a:t>Age-Adjusted Rate per 100,000</a:t>
                </a:r>
              </a:p>
            </c:rich>
          </c:tx>
          <c:overlay val="0"/>
        </c:title>
        <c:numFmt formatCode="General" sourceLinked="1"/>
        <c:majorTickMark val="out"/>
        <c:minorTickMark val="none"/>
        <c:tickLblPos val="nextTo"/>
        <c:txPr>
          <a:bodyPr/>
          <a:lstStyle/>
          <a:p>
            <a:pPr>
              <a:defRPr sz="900"/>
            </a:pPr>
            <a:endParaRPr lang="en-US"/>
          </a:p>
        </c:txPr>
        <c:crossAx val="206668800"/>
        <c:crosses val="autoZero"/>
        <c:crossBetween val="between"/>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a:t>
            </a:r>
            <a:r>
              <a:rPr lang="en-US" sz="1300" baseline="0"/>
              <a:t> Melanoma of the Skin, by Year, Tennessee, 2008-2012</a:t>
            </a:r>
            <a:endParaRPr lang="en-US" sz="1300"/>
          </a:p>
        </c:rich>
      </c:tx>
      <c:overlay val="0"/>
    </c:title>
    <c:autoTitleDeleted val="0"/>
    <c:plotArea>
      <c:layout/>
      <c:barChart>
        <c:barDir val="col"/>
        <c:grouping val="clustered"/>
        <c:varyColors val="0"/>
        <c:ser>
          <c:idx val="0"/>
          <c:order val="0"/>
          <c:tx>
            <c:strRef>
              <c:f>'Page 21 (Skin)'!$B$30</c:f>
              <c:strCache>
                <c:ptCount val="1"/>
                <c:pt idx="0">
                  <c:v>Incidence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21 (Skin)'!$G$31:$G$35</c:f>
                <c:numCache>
                  <c:formatCode>General</c:formatCode>
                  <c:ptCount val="5"/>
                  <c:pt idx="0">
                    <c:v>0.39999999999999991</c:v>
                  </c:pt>
                  <c:pt idx="1">
                    <c:v>0.5</c:v>
                  </c:pt>
                  <c:pt idx="2">
                    <c:v>0.5</c:v>
                  </c:pt>
                  <c:pt idx="3">
                    <c:v>0.39999999999999991</c:v>
                  </c:pt>
                  <c:pt idx="4">
                    <c:v>0.5</c:v>
                  </c:pt>
                </c:numCache>
              </c:numRef>
            </c:plus>
            <c:minus>
              <c:numRef>
                <c:f>'Page 21 (Skin)'!$F$31:$F$35</c:f>
                <c:numCache>
                  <c:formatCode>General</c:formatCode>
                  <c:ptCount val="5"/>
                  <c:pt idx="0">
                    <c:v>0.39999999999999991</c:v>
                  </c:pt>
                  <c:pt idx="1">
                    <c:v>0.39999999999999991</c:v>
                  </c:pt>
                  <c:pt idx="2">
                    <c:v>0.40000000000000036</c:v>
                  </c:pt>
                  <c:pt idx="3">
                    <c:v>0.40000000000000036</c:v>
                  </c:pt>
                  <c:pt idx="4">
                    <c:v>0.29999999999999982</c:v>
                  </c:pt>
                </c:numCache>
              </c:numRef>
            </c:minus>
          </c:errBars>
          <c:cat>
            <c:numRef>
              <c:f>'Page 21 (Skin)'!$A$31:$A$35</c:f>
              <c:numCache>
                <c:formatCode>General</c:formatCode>
                <c:ptCount val="5"/>
                <c:pt idx="0">
                  <c:v>2008</c:v>
                </c:pt>
                <c:pt idx="1">
                  <c:v>2009</c:v>
                </c:pt>
                <c:pt idx="2">
                  <c:v>2010</c:v>
                </c:pt>
                <c:pt idx="3">
                  <c:v>2011</c:v>
                </c:pt>
                <c:pt idx="4">
                  <c:v>2012</c:v>
                </c:pt>
              </c:numCache>
            </c:numRef>
          </c:cat>
          <c:val>
            <c:numRef>
              <c:f>'Page 21 (Skin)'!$B$31:$B$35</c:f>
              <c:numCache>
                <c:formatCode>General</c:formatCode>
                <c:ptCount val="5"/>
                <c:pt idx="0" formatCode="0.0">
                  <c:v>19</c:v>
                </c:pt>
                <c:pt idx="1">
                  <c:v>23.3</c:v>
                </c:pt>
                <c:pt idx="2">
                  <c:v>21.6</c:v>
                </c:pt>
                <c:pt idx="3">
                  <c:v>20.399999999999999</c:v>
                </c:pt>
                <c:pt idx="4">
                  <c:v>19.600000000000001</c:v>
                </c:pt>
              </c:numCache>
            </c:numRef>
          </c:val>
        </c:ser>
        <c:ser>
          <c:idx val="1"/>
          <c:order val="1"/>
          <c:tx>
            <c:strRef>
              <c:f>'Page 21 (Skin)'!$C$30</c:f>
              <c:strCache>
                <c:ptCount val="1"/>
                <c:pt idx="0">
                  <c:v>Mortality</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stdDev"/>
            <c:noEndCap val="0"/>
            <c:val val="1"/>
          </c:errBars>
          <c:cat>
            <c:numRef>
              <c:f>'Page 21 (Skin)'!$A$31:$A$35</c:f>
              <c:numCache>
                <c:formatCode>General</c:formatCode>
                <c:ptCount val="5"/>
                <c:pt idx="0">
                  <c:v>2008</c:v>
                </c:pt>
                <c:pt idx="1">
                  <c:v>2009</c:v>
                </c:pt>
                <c:pt idx="2">
                  <c:v>2010</c:v>
                </c:pt>
                <c:pt idx="3">
                  <c:v>2011</c:v>
                </c:pt>
                <c:pt idx="4">
                  <c:v>2012</c:v>
                </c:pt>
              </c:numCache>
            </c:numRef>
          </c:cat>
          <c:val>
            <c:numRef>
              <c:f>'Page 21 (Skin)'!$C$31:$C$35</c:f>
              <c:numCache>
                <c:formatCode>General</c:formatCode>
                <c:ptCount val="5"/>
                <c:pt idx="0">
                  <c:v>3.1</c:v>
                </c:pt>
                <c:pt idx="1">
                  <c:v>2.9</c:v>
                </c:pt>
                <c:pt idx="2">
                  <c:v>3.2</c:v>
                </c:pt>
                <c:pt idx="3">
                  <c:v>3.2</c:v>
                </c:pt>
                <c:pt idx="4">
                  <c:v>2.9</c:v>
                </c:pt>
              </c:numCache>
            </c:numRef>
          </c:val>
        </c:ser>
        <c:dLbls>
          <c:showLegendKey val="0"/>
          <c:showVal val="0"/>
          <c:showCatName val="0"/>
          <c:showSerName val="0"/>
          <c:showPercent val="0"/>
          <c:showBubbleSize val="0"/>
        </c:dLbls>
        <c:gapWidth val="150"/>
        <c:axId val="216432128"/>
        <c:axId val="167957568"/>
      </c:barChart>
      <c:catAx>
        <c:axId val="216432128"/>
        <c:scaling>
          <c:orientation val="minMax"/>
        </c:scaling>
        <c:delete val="0"/>
        <c:axPos val="b"/>
        <c:title>
          <c:tx>
            <c:rich>
              <a:bodyPr/>
              <a:lstStyle/>
              <a:p>
                <a:pPr>
                  <a:defRPr sz="900"/>
                </a:pPr>
                <a:r>
                  <a:rPr lang="en-US" sz="900"/>
                  <a:t>Year of Diagnosis or Death</a:t>
                </a:r>
              </a:p>
            </c:rich>
          </c:tx>
          <c:overlay val="0"/>
        </c:title>
        <c:numFmt formatCode="General" sourceLinked="1"/>
        <c:majorTickMark val="out"/>
        <c:minorTickMark val="none"/>
        <c:tickLblPos val="nextTo"/>
        <c:txPr>
          <a:bodyPr/>
          <a:lstStyle/>
          <a:p>
            <a:pPr>
              <a:defRPr sz="900"/>
            </a:pPr>
            <a:endParaRPr lang="en-US"/>
          </a:p>
        </c:txPr>
        <c:crossAx val="167957568"/>
        <c:crosses val="autoZero"/>
        <c:auto val="1"/>
        <c:lblAlgn val="ctr"/>
        <c:lblOffset val="100"/>
        <c:noMultiLvlLbl val="0"/>
      </c:catAx>
      <c:valAx>
        <c:axId val="167957568"/>
        <c:scaling>
          <c:orientation val="minMax"/>
        </c:scaling>
        <c:delete val="0"/>
        <c:axPos val="l"/>
        <c:title>
          <c:tx>
            <c:rich>
              <a:bodyPr rot="-5400000" vert="horz"/>
              <a:lstStyle/>
              <a:p>
                <a:pPr>
                  <a:defRPr sz="900"/>
                </a:pPr>
                <a:r>
                  <a:rPr lang="en-US" sz="900"/>
                  <a:t>Age-Adjusted Rate per 100,000</a:t>
                </a:r>
              </a:p>
            </c:rich>
          </c:tx>
          <c:overlay val="0"/>
        </c:title>
        <c:numFmt formatCode="0" sourceLinked="0"/>
        <c:majorTickMark val="out"/>
        <c:minorTickMark val="none"/>
        <c:tickLblPos val="nextTo"/>
        <c:txPr>
          <a:bodyPr/>
          <a:lstStyle/>
          <a:p>
            <a:pPr>
              <a:defRPr sz="900"/>
            </a:pPr>
            <a:endParaRPr lang="en-US"/>
          </a:p>
        </c:txPr>
        <c:crossAx val="216432128"/>
        <c:crosses val="autoZero"/>
        <c:crossBetween val="between"/>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White Females</a:t>
            </a:r>
          </a:p>
        </c:rich>
      </c:tx>
      <c:layout>
        <c:manualLayout>
          <c:xMode val="edge"/>
          <c:yMode val="edge"/>
          <c:x val="0.19251257655293089"/>
          <c:y val="0"/>
        </c:manualLayout>
      </c:layout>
      <c:overlay val="0"/>
    </c:title>
    <c:autoTitleDeleted val="0"/>
    <c:plotArea>
      <c:layout>
        <c:manualLayout>
          <c:layoutTarget val="inner"/>
          <c:xMode val="edge"/>
          <c:yMode val="edge"/>
          <c:x val="0.12406496062992126"/>
          <c:y val="0.20097514724535032"/>
          <c:w val="0.69449311023622051"/>
          <c:h val="0.79750405003202351"/>
        </c:manualLayout>
      </c:layout>
      <c:pieChart>
        <c:varyColors val="1"/>
        <c:ser>
          <c:idx val="1"/>
          <c:order val="0"/>
          <c:tx>
            <c:strRef>
              <c:f>'Page 1'!$C$36</c:f>
              <c:strCache>
                <c:ptCount val="1"/>
                <c:pt idx="0">
                  <c:v>Percentage</c:v>
                </c:pt>
              </c:strCache>
            </c:strRef>
          </c:tx>
          <c:spPr>
            <a:ln>
              <a:solidFill>
                <a:sysClr val="windowText" lastClr="000000"/>
              </a:solidFill>
            </a:ln>
          </c:spPr>
          <c:dPt>
            <c:idx val="0"/>
            <c:bubble3D val="0"/>
            <c:spPr>
              <a:solidFill>
                <a:srgbClr val="9F2936">
                  <a:lumMod val="60000"/>
                  <a:lumOff val="40000"/>
                </a:srgbClr>
              </a:solidFill>
              <a:ln>
                <a:solidFill>
                  <a:sysClr val="windowText" lastClr="000000"/>
                </a:solidFill>
              </a:ln>
            </c:spPr>
          </c:dPt>
          <c:dPt>
            <c:idx val="1"/>
            <c:bubble3D val="0"/>
            <c:spPr>
              <a:solidFill>
                <a:srgbClr val="F07F09">
                  <a:lumMod val="60000"/>
                  <a:lumOff val="40000"/>
                </a:srgbClr>
              </a:solidFill>
              <a:ln>
                <a:solidFill>
                  <a:sysClr val="windowText" lastClr="000000"/>
                </a:solidFill>
              </a:ln>
            </c:spPr>
          </c:dPt>
          <c:dPt>
            <c:idx val="2"/>
            <c:bubble3D val="0"/>
            <c:spPr>
              <a:solidFill>
                <a:srgbClr val="1B587C">
                  <a:lumMod val="60000"/>
                  <a:lumOff val="40000"/>
                </a:srgbClr>
              </a:solidFill>
              <a:ln>
                <a:solidFill>
                  <a:sysClr val="windowText" lastClr="000000"/>
                </a:solidFill>
              </a:ln>
            </c:spPr>
          </c:dPt>
          <c:dPt>
            <c:idx val="3"/>
            <c:bubble3D val="0"/>
            <c:spPr>
              <a:solidFill>
                <a:srgbClr val="FF99FF"/>
              </a:solidFill>
              <a:ln>
                <a:solidFill>
                  <a:sysClr val="windowText" lastClr="000000"/>
                </a:solidFill>
              </a:ln>
            </c:spPr>
          </c:dPt>
          <c:dPt>
            <c:idx val="4"/>
            <c:bubble3D val="0"/>
            <c:spPr>
              <a:solidFill>
                <a:srgbClr val="604878">
                  <a:lumMod val="60000"/>
                  <a:lumOff val="40000"/>
                </a:srgbClr>
              </a:solidFill>
              <a:ln>
                <a:solidFill>
                  <a:sysClr val="windowText" lastClr="000000"/>
                </a:solidFill>
              </a:ln>
            </c:spPr>
          </c:dPt>
          <c:dPt>
            <c:idx val="5"/>
            <c:bubble3D val="0"/>
            <c:spPr>
              <a:solidFill>
                <a:sysClr val="window" lastClr="FFFFFF">
                  <a:lumMod val="75000"/>
                </a:sysClr>
              </a:solidFill>
              <a:ln>
                <a:solidFill>
                  <a:sysClr val="windowText" lastClr="000000"/>
                </a:solidFill>
              </a:ln>
            </c:spPr>
          </c:dPt>
          <c:dLbls>
            <c:dLbl>
              <c:idx val="0"/>
              <c:layout>
                <c:manualLayout>
                  <c:x val="0.17185672514619882"/>
                  <c:y val="0.15443710534924218"/>
                </c:manualLayout>
              </c:layout>
              <c:tx>
                <c:rich>
                  <a:bodyPr/>
                  <a:lstStyle/>
                  <a:p>
                    <a:r>
                      <a:rPr lang="en-US"/>
                      <a:t>Heart Disease 22.4%</a:t>
                    </a:r>
                  </a:p>
                </c:rich>
              </c:tx>
              <c:dLblPos val="bestFit"/>
              <c:showLegendKey val="0"/>
              <c:showVal val="1"/>
              <c:showCatName val="1"/>
              <c:showSerName val="0"/>
              <c:showPercent val="0"/>
              <c:showBubbleSize val="0"/>
              <c:separator>, </c:separator>
            </c:dLbl>
            <c:dLbl>
              <c:idx val="2"/>
              <c:layout>
                <c:manualLayout>
                  <c:x val="1.3005233877050274E-2"/>
                  <c:y val="-1.0909886264216974E-2"/>
                </c:manualLayout>
              </c:layout>
              <c:dLblPos val="bestFit"/>
              <c:showLegendKey val="0"/>
              <c:showVal val="1"/>
              <c:showCatName val="1"/>
              <c:showSerName val="0"/>
              <c:showPercent val="0"/>
              <c:showBubbleSize val="0"/>
              <c:separator>, </c:separator>
            </c:dLbl>
            <c:dLbl>
              <c:idx val="3"/>
              <c:delete val="1"/>
            </c:dLbl>
            <c:dLbl>
              <c:idx val="4"/>
              <c:layout>
                <c:manualLayout>
                  <c:x val="5.35144271710647E-2"/>
                  <c:y val="0.14750109361329833"/>
                </c:manualLayout>
              </c:layout>
              <c:dLblPos val="bestFit"/>
              <c:showLegendKey val="0"/>
              <c:showVal val="1"/>
              <c:showCatName val="1"/>
              <c:showSerName val="0"/>
              <c:showPercent val="0"/>
              <c:showBubbleSize val="0"/>
              <c:separator>, </c:separator>
            </c:dLbl>
            <c:dLbl>
              <c:idx val="5"/>
              <c:layout>
                <c:manualLayout>
                  <c:x val="3.5079661094994705E-2"/>
                  <c:y val="-2.5125628140703519E-2"/>
                </c:manualLayout>
              </c:layout>
              <c:dLblPos val="bestFit"/>
              <c:showLegendKey val="0"/>
              <c:showVal val="1"/>
              <c:showCatName val="1"/>
              <c:showSerName val="0"/>
              <c:showPercent val="0"/>
              <c:showBubbleSize val="0"/>
              <c:separator>, </c:separator>
            </c:dLbl>
            <c:txPr>
              <a:bodyPr/>
              <a:lstStyle/>
              <a:p>
                <a:pPr>
                  <a:defRPr sz="700"/>
                </a:pPr>
                <a:endParaRPr lang="en-US"/>
              </a:p>
            </c:txPr>
            <c:dLblPos val="bestFit"/>
            <c:showLegendKey val="0"/>
            <c:showVal val="1"/>
            <c:showCatName val="1"/>
            <c:showSerName val="0"/>
            <c:showPercent val="0"/>
            <c:showBubbleSize val="0"/>
            <c:separator>, </c:separator>
            <c:showLeaderLines val="1"/>
          </c:dLbls>
          <c:cat>
            <c:strRef>
              <c:f>'Page 1'!$A$37:$A$42</c:f>
              <c:strCache>
                <c:ptCount val="6"/>
                <c:pt idx="0">
                  <c:v>Heart Disease</c:v>
                </c:pt>
                <c:pt idx="1">
                  <c:v>Cancer </c:v>
                </c:pt>
                <c:pt idx="2">
                  <c:v>CLRD</c:v>
                </c:pt>
                <c:pt idx="3">
                  <c:v>Alzheimer's Disease</c:v>
                </c:pt>
                <c:pt idx="4">
                  <c:v>Stroke</c:v>
                </c:pt>
                <c:pt idx="5">
                  <c:v>All Other Causes</c:v>
                </c:pt>
              </c:strCache>
            </c:strRef>
          </c:cat>
          <c:val>
            <c:numRef>
              <c:f>'Page 1'!$C$37:$C$42</c:f>
              <c:numCache>
                <c:formatCode>0.0%</c:formatCode>
                <c:ptCount val="6"/>
                <c:pt idx="0">
                  <c:v>0.22417109008385261</c:v>
                </c:pt>
                <c:pt idx="1">
                  <c:v>0.20247711362412493</c:v>
                </c:pt>
                <c:pt idx="2">
                  <c:v>6.9197630586968234E-2</c:v>
                </c:pt>
                <c:pt idx="3">
                  <c:v>6.0658512193245633E-2</c:v>
                </c:pt>
                <c:pt idx="4">
                  <c:v>5.5850450034618047E-2</c:v>
                </c:pt>
                <c:pt idx="5">
                  <c:v>0.38764520347719056</c:v>
                </c:pt>
              </c:numCache>
            </c:numRef>
          </c:val>
        </c:ser>
        <c:dLbls>
          <c:showLegendKey val="0"/>
          <c:showVal val="0"/>
          <c:showCatName val="0"/>
          <c:showSerName val="0"/>
          <c:showPercent val="0"/>
          <c:showBubbleSize val="0"/>
          <c:showLeaderLines val="1"/>
        </c:dLbls>
        <c:firstSliceAng val="253"/>
      </c:pieChart>
    </c:plotArea>
    <c:plotVisOnly val="1"/>
    <c:dispBlanksAs val="gap"/>
    <c:showDLblsOverMax val="0"/>
  </c:chart>
  <c:spPr>
    <a:ln>
      <a:noFill/>
    </a:ln>
  </c:sp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a:t>
            </a:r>
            <a:r>
              <a:rPr lang="en-US" sz="1300" baseline="0"/>
              <a:t> Melanoma of the Skin</a:t>
            </a:r>
          </a:p>
          <a:p>
            <a:pPr>
              <a:defRPr/>
            </a:pPr>
            <a:r>
              <a:rPr lang="en-US" sz="1300" baseline="0"/>
              <a:t>Tennessee, 2008-2012</a:t>
            </a:r>
            <a:endParaRPr lang="en-US" sz="1300"/>
          </a:p>
        </c:rich>
      </c:tx>
      <c:overlay val="0"/>
    </c:title>
    <c:autoTitleDeleted val="0"/>
    <c:view3D>
      <c:rotX val="15"/>
      <c:rotY val="15"/>
      <c:rAngAx val="0"/>
      <c:perspective val="0"/>
    </c:view3D>
    <c:floor>
      <c:thickness val="0"/>
    </c:floor>
    <c:sideWall>
      <c:thickness val="0"/>
    </c:sideWall>
    <c:backWall>
      <c:thickness val="0"/>
    </c:backWall>
    <c:plotArea>
      <c:layout/>
      <c:pie3DChart>
        <c:varyColors val="1"/>
        <c:ser>
          <c:idx val="0"/>
          <c:order val="0"/>
          <c:tx>
            <c:strRef>
              <c:f>'Page 22 (Skin)'!$B$1</c:f>
              <c:strCache>
                <c:ptCount val="1"/>
                <c:pt idx="0">
                  <c:v>Column %</c:v>
                </c:pt>
              </c:strCache>
            </c:strRef>
          </c:tx>
          <c:spPr>
            <a:ln>
              <a:solidFill>
                <a:sysClr val="windowText" lastClr="000000"/>
              </a:solidFill>
            </a:ln>
          </c:spPr>
          <c:dLbls>
            <c:txPr>
              <a:bodyPr/>
              <a:lstStyle/>
              <a:p>
                <a:pPr>
                  <a:defRPr sz="800"/>
                </a:pPr>
                <a:endParaRPr lang="en-US"/>
              </a:p>
            </c:txPr>
            <c:dLblPos val="bestFit"/>
            <c:showLegendKey val="0"/>
            <c:showVal val="1"/>
            <c:showCatName val="1"/>
            <c:showSerName val="0"/>
            <c:showPercent val="0"/>
            <c:showBubbleSize val="0"/>
            <c:showLeaderLines val="1"/>
          </c:dLbls>
          <c:cat>
            <c:strRef>
              <c:f>'Page 22 (Skin)'!$A$2:$A$6</c:f>
              <c:strCache>
                <c:ptCount val="5"/>
                <c:pt idx="0">
                  <c:v>In Situ</c:v>
                </c:pt>
                <c:pt idx="1">
                  <c:v>Localized</c:v>
                </c:pt>
                <c:pt idx="2">
                  <c:v>Regional</c:v>
                </c:pt>
                <c:pt idx="3">
                  <c:v>Distant</c:v>
                </c:pt>
                <c:pt idx="4">
                  <c:v>Unknown</c:v>
                </c:pt>
              </c:strCache>
            </c:strRef>
          </c:cat>
          <c:val>
            <c:numRef>
              <c:f>'Page 22 (Skin)'!$B$2:$B$6</c:f>
              <c:numCache>
                <c:formatCode>0.0%</c:formatCode>
                <c:ptCount val="5"/>
                <c:pt idx="0">
                  <c:v>0.36099999999999999</c:v>
                </c:pt>
                <c:pt idx="1">
                  <c:v>0.50800000000000001</c:v>
                </c:pt>
                <c:pt idx="2">
                  <c:v>6.0999999999999999E-2</c:v>
                </c:pt>
                <c:pt idx="3">
                  <c:v>3.1E-2</c:v>
                </c:pt>
                <c:pt idx="4">
                  <c:v>3.7999999999999999E-2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 Melanoma</a:t>
            </a:r>
            <a:r>
              <a:rPr lang="en-US" sz="1300" baseline="0"/>
              <a:t> of the Skin</a:t>
            </a:r>
          </a:p>
          <a:p>
            <a:pPr>
              <a:defRPr/>
            </a:pPr>
            <a:r>
              <a:rPr lang="en-US" sz="1300" baseline="0"/>
              <a:t>by Race, Tennessee, 2008-2012</a:t>
            </a:r>
            <a:endParaRPr lang="en-US" sz="1300"/>
          </a:p>
        </c:rich>
      </c:tx>
      <c:layout>
        <c:manualLayout>
          <c:xMode val="edge"/>
          <c:yMode val="edge"/>
          <c:x val="0.21862489063867016"/>
          <c:y val="0"/>
        </c:manualLayout>
      </c:layout>
      <c:overlay val="0"/>
    </c:title>
    <c:autoTitleDeleted val="0"/>
    <c:plotArea>
      <c:layout>
        <c:manualLayout>
          <c:layoutTarget val="inner"/>
          <c:xMode val="edge"/>
          <c:yMode val="edge"/>
          <c:x val="0.16748497270473656"/>
          <c:y val="0.21714937059434455"/>
          <c:w val="0.67367798595985018"/>
          <c:h val="0.61678085397864224"/>
        </c:manualLayout>
      </c:layout>
      <c:barChart>
        <c:barDir val="col"/>
        <c:grouping val="percentStacked"/>
        <c:varyColors val="0"/>
        <c:ser>
          <c:idx val="0"/>
          <c:order val="0"/>
          <c:tx>
            <c:strRef>
              <c:f>'Page 22 (Skin)'!$A$11</c:f>
              <c:strCache>
                <c:ptCount val="1"/>
                <c:pt idx="0">
                  <c:v>In Situ</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22 (Skin)'!$B$10:$D$10</c:f>
              <c:strCache>
                <c:ptCount val="3"/>
                <c:pt idx="0">
                  <c:v>Total Population</c:v>
                </c:pt>
                <c:pt idx="1">
                  <c:v>Black</c:v>
                </c:pt>
                <c:pt idx="2">
                  <c:v>White</c:v>
                </c:pt>
              </c:strCache>
            </c:strRef>
          </c:cat>
          <c:val>
            <c:numRef>
              <c:f>'Page 22 (Skin)'!$B$11:$D$11</c:f>
              <c:numCache>
                <c:formatCode>0.0%</c:formatCode>
                <c:ptCount val="3"/>
                <c:pt idx="0">
                  <c:v>0.375</c:v>
                </c:pt>
                <c:pt idx="1">
                  <c:v>0.1</c:v>
                </c:pt>
                <c:pt idx="2">
                  <c:v>0.373</c:v>
                </c:pt>
              </c:numCache>
            </c:numRef>
          </c:val>
        </c:ser>
        <c:ser>
          <c:idx val="1"/>
          <c:order val="1"/>
          <c:tx>
            <c:strRef>
              <c:f>'Page 22 (Skin)'!$A$12</c:f>
              <c:strCache>
                <c:ptCount val="1"/>
                <c:pt idx="0">
                  <c:v>Localized</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22 (Skin)'!$B$10:$D$10</c:f>
              <c:strCache>
                <c:ptCount val="3"/>
                <c:pt idx="0">
                  <c:v>Total Population</c:v>
                </c:pt>
                <c:pt idx="1">
                  <c:v>Black</c:v>
                </c:pt>
                <c:pt idx="2">
                  <c:v>White</c:v>
                </c:pt>
              </c:strCache>
            </c:strRef>
          </c:cat>
          <c:val>
            <c:numRef>
              <c:f>'Page 22 (Skin)'!$B$12:$D$12</c:f>
              <c:numCache>
                <c:formatCode>0.0%</c:formatCode>
                <c:ptCount val="3"/>
                <c:pt idx="0">
                  <c:v>0.52800000000000002</c:v>
                </c:pt>
                <c:pt idx="1">
                  <c:v>0.6</c:v>
                </c:pt>
                <c:pt idx="2">
                  <c:v>0.53</c:v>
                </c:pt>
              </c:numCache>
            </c:numRef>
          </c:val>
        </c:ser>
        <c:ser>
          <c:idx val="2"/>
          <c:order val="2"/>
          <c:tx>
            <c:strRef>
              <c:f>'Page 22 (Skin)'!$A$13</c:f>
              <c:strCache>
                <c:ptCount val="1"/>
                <c:pt idx="0">
                  <c:v>Regional</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22 (Skin)'!$B$10:$D$10</c:f>
              <c:strCache>
                <c:ptCount val="3"/>
                <c:pt idx="0">
                  <c:v>Total Population</c:v>
                </c:pt>
                <c:pt idx="1">
                  <c:v>Black</c:v>
                </c:pt>
                <c:pt idx="2">
                  <c:v>White</c:v>
                </c:pt>
              </c:strCache>
            </c:strRef>
          </c:cat>
          <c:val>
            <c:numRef>
              <c:f>'Page 22 (Skin)'!$B$13:$D$13</c:f>
              <c:numCache>
                <c:formatCode>0.0%</c:formatCode>
                <c:ptCount val="3"/>
                <c:pt idx="0">
                  <c:v>6.4000000000000001E-2</c:v>
                </c:pt>
                <c:pt idx="1">
                  <c:v>0.14599999999999999</c:v>
                </c:pt>
                <c:pt idx="2">
                  <c:v>6.4000000000000001E-2</c:v>
                </c:pt>
              </c:numCache>
            </c:numRef>
          </c:val>
        </c:ser>
        <c:ser>
          <c:idx val="3"/>
          <c:order val="3"/>
          <c:tx>
            <c:strRef>
              <c:f>'Page 22 (Skin)'!$A$14</c:f>
              <c:strCache>
                <c:ptCount val="1"/>
                <c:pt idx="0">
                  <c:v>Distant</c:v>
                </c:pt>
              </c:strCache>
            </c:strRef>
          </c:tx>
          <c:invertIfNegative val="0"/>
          <c:dLbls>
            <c:dLbl>
              <c:idx val="0"/>
              <c:layout>
                <c:manualLayout>
                  <c:x val="2.7777777777777779E-3"/>
                  <c:y val="-1.8518518518518517E-2"/>
                </c:manualLayout>
              </c:layout>
              <c:showLegendKey val="0"/>
              <c:showVal val="1"/>
              <c:showCatName val="0"/>
              <c:showSerName val="0"/>
              <c:showPercent val="0"/>
              <c:showBubbleSize val="0"/>
            </c:dLbl>
            <c:dLbl>
              <c:idx val="2"/>
              <c:layout>
                <c:manualLayout>
                  <c:x val="0"/>
                  <c:y val="-2.7777777777777776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'Page 22 (Skin)'!$B$10:$D$10</c:f>
              <c:strCache>
                <c:ptCount val="3"/>
                <c:pt idx="0">
                  <c:v>Total Population</c:v>
                </c:pt>
                <c:pt idx="1">
                  <c:v>Black</c:v>
                </c:pt>
                <c:pt idx="2">
                  <c:v>White</c:v>
                </c:pt>
              </c:strCache>
            </c:strRef>
          </c:cat>
          <c:val>
            <c:numRef>
              <c:f>'Page 22 (Skin)'!$B$14:$D$14</c:f>
              <c:numCache>
                <c:formatCode>0.0%</c:formatCode>
                <c:ptCount val="3"/>
                <c:pt idx="0">
                  <c:v>3.3000000000000002E-2</c:v>
                </c:pt>
                <c:pt idx="1">
                  <c:v>0.17100000000000001</c:v>
                </c:pt>
                <c:pt idx="2">
                  <c:v>3.3000000000000002E-2</c:v>
                </c:pt>
              </c:numCache>
            </c:numRef>
          </c:val>
        </c:ser>
        <c:dLbls>
          <c:showLegendKey val="0"/>
          <c:showVal val="0"/>
          <c:showCatName val="0"/>
          <c:showSerName val="0"/>
          <c:showPercent val="0"/>
          <c:showBubbleSize val="0"/>
        </c:dLbls>
        <c:gapWidth val="150"/>
        <c:overlap val="100"/>
        <c:axId val="217256960"/>
        <c:axId val="168108608"/>
      </c:barChart>
      <c:catAx>
        <c:axId val="217256960"/>
        <c:scaling>
          <c:orientation val="minMax"/>
        </c:scaling>
        <c:delete val="0"/>
        <c:axPos val="b"/>
        <c:majorTickMark val="out"/>
        <c:minorTickMark val="none"/>
        <c:tickLblPos val="nextTo"/>
        <c:txPr>
          <a:bodyPr/>
          <a:lstStyle/>
          <a:p>
            <a:pPr>
              <a:defRPr sz="900"/>
            </a:pPr>
            <a:endParaRPr lang="en-US"/>
          </a:p>
        </c:txPr>
        <c:crossAx val="168108608"/>
        <c:crosses val="autoZero"/>
        <c:auto val="1"/>
        <c:lblAlgn val="ctr"/>
        <c:lblOffset val="100"/>
        <c:noMultiLvlLbl val="0"/>
      </c:catAx>
      <c:valAx>
        <c:axId val="168108608"/>
        <c:scaling>
          <c:orientation val="minMax"/>
        </c:scaling>
        <c:delete val="0"/>
        <c:axPos val="l"/>
        <c:title>
          <c:tx>
            <c:rich>
              <a:bodyPr rot="-5400000" vert="horz"/>
              <a:lstStyle/>
              <a:p>
                <a:pPr>
                  <a:defRPr sz="900"/>
                </a:pPr>
                <a:r>
                  <a:rPr lang="en-US" sz="900"/>
                  <a:t>Percent</a:t>
                </a:r>
              </a:p>
            </c:rich>
          </c:tx>
          <c:overlay val="0"/>
        </c:title>
        <c:numFmt formatCode="0%" sourceLinked="1"/>
        <c:majorTickMark val="out"/>
        <c:minorTickMark val="none"/>
        <c:tickLblPos val="nextTo"/>
        <c:txPr>
          <a:bodyPr/>
          <a:lstStyle/>
          <a:p>
            <a:pPr>
              <a:defRPr sz="900"/>
            </a:pPr>
            <a:endParaRPr lang="en-US"/>
          </a:p>
        </c:txPr>
        <c:crossAx val="217256960"/>
        <c:crosses val="autoZero"/>
        <c:crossBetween val="between"/>
        <c:majorUnit val="0.2"/>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Cancer Incidence and Mortality, Pancreas</a:t>
            </a:r>
          </a:p>
          <a:p>
            <a:pPr>
              <a:defRPr sz="1300"/>
            </a:pPr>
            <a:r>
              <a:rPr lang="en-US" sz="1300"/>
              <a:t>by Gender and Race, Tennessee, 2008-2012</a:t>
            </a:r>
          </a:p>
        </c:rich>
      </c:tx>
      <c:overlay val="0"/>
    </c:title>
    <c:autoTitleDeleted val="0"/>
    <c:plotArea>
      <c:layout/>
      <c:barChart>
        <c:barDir val="col"/>
        <c:grouping val="clustered"/>
        <c:varyColors val="0"/>
        <c:ser>
          <c:idx val="0"/>
          <c:order val="0"/>
          <c:tx>
            <c:strRef>
              <c:f>'Page 23 (Pancreas)'!$B$1</c:f>
              <c:strCache>
                <c:ptCount val="1"/>
                <c:pt idx="0">
                  <c:v>Black</c:v>
                </c:pt>
              </c:strCache>
            </c:strRef>
          </c:tx>
          <c:spPr>
            <a:ln>
              <a:solidFill>
                <a:sysClr val="windowText" lastClr="000000"/>
              </a:solidFill>
            </a:ln>
          </c:spPr>
          <c:invertIfNegative val="0"/>
          <c:dLbls>
            <c:dLbl>
              <c:idx val="0"/>
              <c:layout>
                <c:manualLayout>
                  <c:x val="5.3333333333333332E-3"/>
                  <c:y val="-3.7426900584795322E-2"/>
                </c:manualLayout>
              </c:layout>
              <c:showLegendKey val="0"/>
              <c:showVal val="1"/>
              <c:showCatName val="0"/>
              <c:showSerName val="0"/>
              <c:showPercent val="0"/>
              <c:showBubbleSize val="0"/>
            </c:dLbl>
            <c:dLbl>
              <c:idx val="1"/>
              <c:layout>
                <c:manualLayout>
                  <c:x val="5.3333333333333332E-3"/>
                  <c:y val="-4.6783625730994149E-2"/>
                </c:manualLayout>
              </c:layout>
              <c:showLegendKey val="0"/>
              <c:showVal val="1"/>
              <c:showCatName val="0"/>
              <c:showSerName val="0"/>
              <c:showPercent val="0"/>
              <c:showBubbleSize val="0"/>
            </c:dLbl>
            <c:dLbl>
              <c:idx val="2"/>
              <c:layout>
                <c:manualLayout>
                  <c:x val="2.6666666666666666E-3"/>
                  <c:y val="-2.8070175438596492E-2"/>
                </c:manualLayout>
              </c:layout>
              <c:showLegendKey val="0"/>
              <c:showVal val="1"/>
              <c:showCatName val="0"/>
              <c:showSerName val="0"/>
              <c:showPercent val="0"/>
              <c:showBubbleSize val="0"/>
            </c:dLbl>
            <c:dLbl>
              <c:idx val="3"/>
              <c:layout>
                <c:manualLayout>
                  <c:x val="5.3333333333332351E-3"/>
                  <c:y val="-5.6140350877192984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23 (Pancreas)'!$F$2:$F$5</c:f>
                <c:numCache>
                  <c:formatCode>General</c:formatCode>
                  <c:ptCount val="4"/>
                  <c:pt idx="0">
                    <c:v>1.5999999999999996</c:v>
                  </c:pt>
                  <c:pt idx="1">
                    <c:v>2.3000000000000007</c:v>
                  </c:pt>
                  <c:pt idx="2">
                    <c:v>1.5999999999999996</c:v>
                  </c:pt>
                  <c:pt idx="3">
                    <c:v>2.4000000000000021</c:v>
                  </c:pt>
                </c:numCache>
              </c:numRef>
            </c:plus>
            <c:minus>
              <c:numRef>
                <c:f>'Page 23 (Pancreas)'!$D$2:$D$5</c:f>
                <c:numCache>
                  <c:formatCode>General</c:formatCode>
                  <c:ptCount val="4"/>
                  <c:pt idx="0">
                    <c:v>1.4000000000000004</c:v>
                  </c:pt>
                  <c:pt idx="1">
                    <c:v>2.0999999999999979</c:v>
                  </c:pt>
                  <c:pt idx="2">
                    <c:v>1.2999999999999989</c:v>
                  </c:pt>
                  <c:pt idx="3">
                    <c:v>5.2999999999999989</c:v>
                  </c:pt>
                </c:numCache>
              </c:numRef>
            </c:minus>
          </c:errBars>
          <c:cat>
            <c:strRef>
              <c:f>'Page 23 (Pancreas)'!$A$2:$A$5</c:f>
              <c:strCache>
                <c:ptCount val="4"/>
                <c:pt idx="0">
                  <c:v>Female Incidence</c:v>
                </c:pt>
                <c:pt idx="1">
                  <c:v>Male Incidence</c:v>
                </c:pt>
                <c:pt idx="2">
                  <c:v>Female Mortality</c:v>
                </c:pt>
                <c:pt idx="3">
                  <c:v>Male Mortality</c:v>
                </c:pt>
              </c:strCache>
            </c:strRef>
          </c:cat>
          <c:val>
            <c:numRef>
              <c:f>'Page 23 (Pancreas)'!$B$2:$B$5</c:f>
              <c:numCache>
                <c:formatCode>General</c:formatCode>
                <c:ptCount val="4"/>
                <c:pt idx="0">
                  <c:v>13.4</c:v>
                </c:pt>
                <c:pt idx="1">
                  <c:v>17.399999999999999</c:v>
                </c:pt>
                <c:pt idx="2">
                  <c:v>12.1</c:v>
                </c:pt>
                <c:pt idx="3">
                  <c:v>17.2</c:v>
                </c:pt>
              </c:numCache>
            </c:numRef>
          </c:val>
        </c:ser>
        <c:ser>
          <c:idx val="1"/>
          <c:order val="1"/>
          <c:tx>
            <c:strRef>
              <c:f>'Page 23 (Pancreas)'!$C$1</c:f>
              <c:strCache>
                <c:ptCount val="1"/>
                <c:pt idx="0">
                  <c:v>White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23 (Pancreas)'!$G$2:$G$5</c:f>
                <c:numCache>
                  <c:formatCode>General</c:formatCode>
                  <c:ptCount val="4"/>
                  <c:pt idx="0">
                    <c:v>0.5</c:v>
                  </c:pt>
                  <c:pt idx="1">
                    <c:v>0.59999999999999964</c:v>
                  </c:pt>
                  <c:pt idx="2">
                    <c:v>0.5</c:v>
                  </c:pt>
                  <c:pt idx="3">
                    <c:v>0.69999999999999929</c:v>
                  </c:pt>
                </c:numCache>
              </c:numRef>
            </c:plus>
            <c:minus>
              <c:numRef>
                <c:f>'Page 23 (Pancreas)'!$E$2:$E$5</c:f>
                <c:numCache>
                  <c:formatCode>General</c:formatCode>
                  <c:ptCount val="4"/>
                  <c:pt idx="0">
                    <c:v>0.5</c:v>
                  </c:pt>
                  <c:pt idx="1">
                    <c:v>0.59999999999999964</c:v>
                  </c:pt>
                  <c:pt idx="2">
                    <c:v>0.5</c:v>
                  </c:pt>
                  <c:pt idx="3">
                    <c:v>0.59999999999999964</c:v>
                  </c:pt>
                </c:numCache>
              </c:numRef>
            </c:minus>
          </c:errBars>
          <c:cat>
            <c:strRef>
              <c:f>'Page 23 (Pancreas)'!$A$2:$A$5</c:f>
              <c:strCache>
                <c:ptCount val="4"/>
                <c:pt idx="0">
                  <c:v>Female Incidence</c:v>
                </c:pt>
                <c:pt idx="1">
                  <c:v>Male Incidence</c:v>
                </c:pt>
                <c:pt idx="2">
                  <c:v>Female Mortality</c:v>
                </c:pt>
                <c:pt idx="3">
                  <c:v>Male Mortality</c:v>
                </c:pt>
              </c:strCache>
            </c:strRef>
          </c:cat>
          <c:val>
            <c:numRef>
              <c:f>'Page 23 (Pancreas)'!$C$2:$C$5</c:f>
              <c:numCache>
                <c:formatCode>0.0</c:formatCode>
                <c:ptCount val="4"/>
                <c:pt idx="0">
                  <c:v>10</c:v>
                </c:pt>
                <c:pt idx="1">
                  <c:v>13</c:v>
                </c:pt>
                <c:pt idx="2" formatCode="General">
                  <c:v>9.1999999999999993</c:v>
                </c:pt>
                <c:pt idx="3" formatCode="General">
                  <c:v>12.5</c:v>
                </c:pt>
              </c:numCache>
            </c:numRef>
          </c:val>
        </c:ser>
        <c:dLbls>
          <c:showLegendKey val="0"/>
          <c:showVal val="0"/>
          <c:showCatName val="0"/>
          <c:showSerName val="0"/>
          <c:showPercent val="0"/>
          <c:showBubbleSize val="0"/>
        </c:dLbls>
        <c:gapWidth val="50"/>
        <c:axId val="217612288"/>
        <c:axId val="167958720"/>
      </c:barChart>
      <c:catAx>
        <c:axId val="217612288"/>
        <c:scaling>
          <c:orientation val="minMax"/>
        </c:scaling>
        <c:delete val="0"/>
        <c:axPos val="b"/>
        <c:majorTickMark val="out"/>
        <c:minorTickMark val="none"/>
        <c:tickLblPos val="nextTo"/>
        <c:txPr>
          <a:bodyPr/>
          <a:lstStyle/>
          <a:p>
            <a:pPr>
              <a:defRPr sz="900"/>
            </a:pPr>
            <a:endParaRPr lang="en-US"/>
          </a:p>
        </c:txPr>
        <c:crossAx val="167958720"/>
        <c:crosses val="autoZero"/>
        <c:auto val="1"/>
        <c:lblAlgn val="ctr"/>
        <c:lblOffset val="100"/>
        <c:noMultiLvlLbl val="0"/>
      </c:catAx>
      <c:valAx>
        <c:axId val="167958720"/>
        <c:scaling>
          <c:orientation val="minMax"/>
        </c:scaling>
        <c:delete val="0"/>
        <c:axPos val="l"/>
        <c:title>
          <c:tx>
            <c:rich>
              <a:bodyPr rot="-5400000" vert="horz"/>
              <a:lstStyle/>
              <a:p>
                <a:pPr>
                  <a:defRPr sz="900"/>
                </a:pPr>
                <a:r>
                  <a:rPr lang="en-US" sz="900"/>
                  <a:t>Age-Adjusted Rate per 100,000</a:t>
                </a:r>
              </a:p>
            </c:rich>
          </c:tx>
          <c:overlay val="0"/>
        </c:title>
        <c:numFmt formatCode="General" sourceLinked="1"/>
        <c:majorTickMark val="out"/>
        <c:minorTickMark val="none"/>
        <c:tickLblPos val="nextTo"/>
        <c:txPr>
          <a:bodyPr/>
          <a:lstStyle/>
          <a:p>
            <a:pPr>
              <a:defRPr sz="900"/>
            </a:pPr>
            <a:endParaRPr lang="en-US"/>
          </a:p>
        </c:txPr>
        <c:crossAx val="217612288"/>
        <c:crosses val="autoZero"/>
        <c:crossBetween val="between"/>
      </c:valAx>
    </c:plotArea>
    <c:legend>
      <c:legendPos val="r"/>
      <c:layout>
        <c:manualLayout>
          <c:xMode val="edge"/>
          <c:yMode val="edge"/>
          <c:x val="0.88010092032956522"/>
          <c:y val="0.51634650088757617"/>
          <c:w val="0.10601597540832178"/>
          <c:h val="0.1578589159049225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Pancreas, </a:t>
            </a:r>
          </a:p>
          <a:p>
            <a:pPr>
              <a:defRPr/>
            </a:pPr>
            <a:r>
              <a:rPr lang="en-US" sz="1300"/>
              <a:t>by Year, Tennessee, 2008-2012</a:t>
            </a:r>
          </a:p>
        </c:rich>
      </c:tx>
      <c:overlay val="0"/>
    </c:title>
    <c:autoTitleDeleted val="0"/>
    <c:plotArea>
      <c:layout/>
      <c:barChart>
        <c:barDir val="col"/>
        <c:grouping val="clustered"/>
        <c:varyColors val="0"/>
        <c:ser>
          <c:idx val="0"/>
          <c:order val="0"/>
          <c:tx>
            <c:strRef>
              <c:f>'Page 23 (Pancreas)'!$B$29</c:f>
              <c:strCache>
                <c:ptCount val="1"/>
                <c:pt idx="0">
                  <c:v>Incidence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23 (Pancreas)'!$E$30:$E$34</c:f>
                <c:numCache>
                  <c:formatCode>General</c:formatCode>
                  <c:ptCount val="5"/>
                  <c:pt idx="0">
                    <c:v>0.79999999999999893</c:v>
                  </c:pt>
                  <c:pt idx="1">
                    <c:v>0.90000000000000036</c:v>
                  </c:pt>
                  <c:pt idx="2">
                    <c:v>0.89999999999999858</c:v>
                  </c:pt>
                  <c:pt idx="3">
                    <c:v>0.80000000000000071</c:v>
                  </c:pt>
                  <c:pt idx="4">
                    <c:v>0.80000000000000071</c:v>
                  </c:pt>
                </c:numCache>
              </c:numRef>
            </c:plus>
            <c:minus>
              <c:numRef>
                <c:f>'Page 23 (Pancreas)'!$D$30:$D$34</c:f>
                <c:numCache>
                  <c:formatCode>General</c:formatCode>
                  <c:ptCount val="5"/>
                  <c:pt idx="0">
                    <c:v>0.80000000000000071</c:v>
                  </c:pt>
                  <c:pt idx="1">
                    <c:v>0.80000000000000071</c:v>
                  </c:pt>
                  <c:pt idx="2">
                    <c:v>0.80000000000000071</c:v>
                  </c:pt>
                  <c:pt idx="3">
                    <c:v>0.79999999999999893</c:v>
                  </c:pt>
                  <c:pt idx="4">
                    <c:v>0.79999999999999893</c:v>
                  </c:pt>
                </c:numCache>
              </c:numRef>
            </c:minus>
          </c:errBars>
          <c:cat>
            <c:numRef>
              <c:f>'Page 23 (Pancreas)'!$A$30:$A$34</c:f>
              <c:numCache>
                <c:formatCode>General</c:formatCode>
                <c:ptCount val="5"/>
                <c:pt idx="0">
                  <c:v>2008</c:v>
                </c:pt>
                <c:pt idx="1">
                  <c:v>2009</c:v>
                </c:pt>
                <c:pt idx="2">
                  <c:v>2010</c:v>
                </c:pt>
                <c:pt idx="3">
                  <c:v>2011</c:v>
                </c:pt>
                <c:pt idx="4">
                  <c:v>2012</c:v>
                </c:pt>
              </c:numCache>
            </c:numRef>
          </c:cat>
          <c:val>
            <c:numRef>
              <c:f>'Page 23 (Pancreas)'!$B$30:$B$34</c:f>
              <c:numCache>
                <c:formatCode>General</c:formatCode>
                <c:ptCount val="5"/>
                <c:pt idx="0">
                  <c:v>11.9</c:v>
                </c:pt>
                <c:pt idx="1">
                  <c:v>11.9</c:v>
                </c:pt>
                <c:pt idx="2">
                  <c:v>11.8</c:v>
                </c:pt>
                <c:pt idx="3">
                  <c:v>11.7</c:v>
                </c:pt>
                <c:pt idx="4">
                  <c:v>11.6</c:v>
                </c:pt>
              </c:numCache>
            </c:numRef>
          </c:val>
        </c:ser>
        <c:ser>
          <c:idx val="1"/>
          <c:order val="1"/>
          <c:tx>
            <c:strRef>
              <c:f>'Page 23 (Pancreas)'!$C$29</c:f>
              <c:strCache>
                <c:ptCount val="1"/>
                <c:pt idx="0">
                  <c:v>Mortality</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23 (Pancreas)'!$G$30:$G$34</c:f>
                <c:numCache>
                  <c:formatCode>General</c:formatCode>
                  <c:ptCount val="5"/>
                  <c:pt idx="0">
                    <c:v>0.90000000000000036</c:v>
                  </c:pt>
                  <c:pt idx="1">
                    <c:v>0.80000000000000071</c:v>
                  </c:pt>
                  <c:pt idx="2">
                    <c:v>0.80000000000000071</c:v>
                  </c:pt>
                  <c:pt idx="3">
                    <c:v>0.79999999999999893</c:v>
                  </c:pt>
                  <c:pt idx="4">
                    <c:v>0.70000000000000107</c:v>
                  </c:pt>
                </c:numCache>
              </c:numRef>
            </c:plus>
            <c:minus>
              <c:numRef>
                <c:f>'Page 23 (Pancreas)'!$F$30:$F$34</c:f>
                <c:numCache>
                  <c:formatCode>General</c:formatCode>
                  <c:ptCount val="5"/>
                  <c:pt idx="0">
                    <c:v>0.80000000000000071</c:v>
                  </c:pt>
                  <c:pt idx="1">
                    <c:v>0.79999999999999893</c:v>
                  </c:pt>
                  <c:pt idx="2">
                    <c:v>0.79999999999999893</c:v>
                  </c:pt>
                  <c:pt idx="3">
                    <c:v>0.80000000000000071</c:v>
                  </c:pt>
                  <c:pt idx="4">
                    <c:v>0.79999999999999893</c:v>
                  </c:pt>
                </c:numCache>
              </c:numRef>
            </c:minus>
          </c:errBars>
          <c:cat>
            <c:numRef>
              <c:f>'Page 23 (Pancreas)'!$A$30:$A$34</c:f>
              <c:numCache>
                <c:formatCode>General</c:formatCode>
                <c:ptCount val="5"/>
                <c:pt idx="0">
                  <c:v>2008</c:v>
                </c:pt>
                <c:pt idx="1">
                  <c:v>2009</c:v>
                </c:pt>
                <c:pt idx="2">
                  <c:v>2010</c:v>
                </c:pt>
                <c:pt idx="3">
                  <c:v>2011</c:v>
                </c:pt>
                <c:pt idx="4">
                  <c:v>2012</c:v>
                </c:pt>
              </c:numCache>
            </c:numRef>
          </c:cat>
          <c:val>
            <c:numRef>
              <c:f>'Page 23 (Pancreas)'!$C$30:$C$34</c:f>
              <c:numCache>
                <c:formatCode>General</c:formatCode>
                <c:ptCount val="5"/>
                <c:pt idx="0">
                  <c:v>11.4</c:v>
                </c:pt>
                <c:pt idx="1">
                  <c:v>11.1</c:v>
                </c:pt>
                <c:pt idx="2">
                  <c:v>11.2</c:v>
                </c:pt>
                <c:pt idx="3">
                  <c:v>10.8</c:v>
                </c:pt>
                <c:pt idx="4">
                  <c:v>10.6</c:v>
                </c:pt>
              </c:numCache>
            </c:numRef>
          </c:val>
        </c:ser>
        <c:dLbls>
          <c:showLegendKey val="0"/>
          <c:showVal val="0"/>
          <c:showCatName val="0"/>
          <c:showSerName val="0"/>
          <c:showPercent val="0"/>
          <c:showBubbleSize val="0"/>
        </c:dLbls>
        <c:gapWidth val="50"/>
        <c:axId val="217614336"/>
        <c:axId val="168112064"/>
      </c:barChart>
      <c:catAx>
        <c:axId val="217614336"/>
        <c:scaling>
          <c:orientation val="minMax"/>
        </c:scaling>
        <c:delete val="0"/>
        <c:axPos val="b"/>
        <c:title>
          <c:tx>
            <c:rich>
              <a:bodyPr/>
              <a:lstStyle/>
              <a:p>
                <a:pPr>
                  <a:defRPr sz="900"/>
                </a:pPr>
                <a:r>
                  <a:rPr lang="en-US" sz="900"/>
                  <a:t>Year of Diagnosis or Death</a:t>
                </a:r>
              </a:p>
            </c:rich>
          </c:tx>
          <c:overlay val="0"/>
        </c:title>
        <c:numFmt formatCode="General" sourceLinked="1"/>
        <c:majorTickMark val="out"/>
        <c:minorTickMark val="none"/>
        <c:tickLblPos val="nextTo"/>
        <c:txPr>
          <a:bodyPr/>
          <a:lstStyle/>
          <a:p>
            <a:pPr>
              <a:defRPr sz="900"/>
            </a:pPr>
            <a:endParaRPr lang="en-US"/>
          </a:p>
        </c:txPr>
        <c:crossAx val="168112064"/>
        <c:crosses val="autoZero"/>
        <c:auto val="1"/>
        <c:lblAlgn val="ctr"/>
        <c:lblOffset val="100"/>
        <c:noMultiLvlLbl val="0"/>
      </c:catAx>
      <c:valAx>
        <c:axId val="168112064"/>
        <c:scaling>
          <c:orientation val="minMax"/>
        </c:scaling>
        <c:delete val="0"/>
        <c:axPos val="l"/>
        <c:title>
          <c:tx>
            <c:rich>
              <a:bodyPr rot="-5400000" vert="horz"/>
              <a:lstStyle/>
              <a:p>
                <a:pPr>
                  <a:defRPr sz="900"/>
                </a:pPr>
                <a:r>
                  <a:rPr lang="en-US" sz="900"/>
                  <a:t>Age-Adjusted Rate per 100,000</a:t>
                </a:r>
              </a:p>
            </c:rich>
          </c:tx>
          <c:layout>
            <c:manualLayout>
              <c:xMode val="edge"/>
              <c:yMode val="edge"/>
              <c:x val="3.0555630717981556E-2"/>
              <c:y val="0.22388285674816968"/>
            </c:manualLayout>
          </c:layout>
          <c:overlay val="0"/>
        </c:title>
        <c:numFmt formatCode="General" sourceLinked="1"/>
        <c:majorTickMark val="out"/>
        <c:minorTickMark val="none"/>
        <c:tickLblPos val="nextTo"/>
        <c:txPr>
          <a:bodyPr/>
          <a:lstStyle/>
          <a:p>
            <a:pPr>
              <a:defRPr sz="900"/>
            </a:pPr>
            <a:endParaRPr lang="en-US"/>
          </a:p>
        </c:txPr>
        <c:crossAx val="217614336"/>
        <c:crosses val="autoZero"/>
        <c:crossBetween val="between"/>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 Pancreas</a:t>
            </a:r>
          </a:p>
          <a:p>
            <a:pPr>
              <a:defRPr/>
            </a:pPr>
            <a:r>
              <a:rPr lang="en-US" sz="1300"/>
              <a:t>Tennessee, 2008-2012</a:t>
            </a:r>
          </a:p>
        </c:rich>
      </c:tx>
      <c:overlay val="0"/>
    </c:title>
    <c:autoTitleDeleted val="0"/>
    <c:view3D>
      <c:rotX val="15"/>
      <c:rotY val="0"/>
      <c:rAngAx val="0"/>
      <c:perspective val="0"/>
    </c:view3D>
    <c:floor>
      <c:thickness val="0"/>
    </c:floor>
    <c:sideWall>
      <c:thickness val="0"/>
    </c:sideWall>
    <c:backWall>
      <c:thickness val="0"/>
    </c:backWall>
    <c:plotArea>
      <c:layout/>
      <c:pie3DChart>
        <c:varyColors val="1"/>
        <c:ser>
          <c:idx val="0"/>
          <c:order val="0"/>
          <c:tx>
            <c:strRef>
              <c:f>'Page 24 (Pancreas)'!$B$1</c:f>
              <c:strCache>
                <c:ptCount val="1"/>
                <c:pt idx="0">
                  <c:v>Column %</c:v>
                </c:pt>
              </c:strCache>
            </c:strRef>
          </c:tx>
          <c:spPr>
            <a:ln>
              <a:solidFill>
                <a:sysClr val="windowText" lastClr="000000"/>
              </a:solidFill>
            </a:ln>
          </c:spPr>
          <c:dLbls>
            <c:txPr>
              <a:bodyPr/>
              <a:lstStyle/>
              <a:p>
                <a:pPr>
                  <a:defRPr sz="800"/>
                </a:pPr>
                <a:endParaRPr lang="en-US"/>
              </a:p>
            </c:txPr>
            <c:dLblPos val="bestFit"/>
            <c:showLegendKey val="0"/>
            <c:showVal val="1"/>
            <c:showCatName val="1"/>
            <c:showSerName val="0"/>
            <c:showPercent val="0"/>
            <c:showBubbleSize val="0"/>
            <c:separator> </c:separator>
            <c:showLeaderLines val="1"/>
          </c:dLbls>
          <c:cat>
            <c:strRef>
              <c:f>'Page 24 (Pancreas)'!$A$2:$A$6</c:f>
              <c:strCache>
                <c:ptCount val="5"/>
                <c:pt idx="0">
                  <c:v>In Situ</c:v>
                </c:pt>
                <c:pt idx="1">
                  <c:v>Localized</c:v>
                </c:pt>
                <c:pt idx="2">
                  <c:v>Regional</c:v>
                </c:pt>
                <c:pt idx="3">
                  <c:v>Distant</c:v>
                </c:pt>
                <c:pt idx="4">
                  <c:v>Unknown</c:v>
                </c:pt>
              </c:strCache>
            </c:strRef>
          </c:cat>
          <c:val>
            <c:numRef>
              <c:f>'Page 24 (Pancreas)'!$B$2:$B$6</c:f>
              <c:numCache>
                <c:formatCode>0.0%</c:formatCode>
                <c:ptCount val="5"/>
                <c:pt idx="0">
                  <c:v>5.0000000000000001E-3</c:v>
                </c:pt>
                <c:pt idx="1">
                  <c:v>0.124</c:v>
                </c:pt>
                <c:pt idx="2">
                  <c:v>0.27800000000000002</c:v>
                </c:pt>
                <c:pt idx="3">
                  <c:v>0.442</c:v>
                </c:pt>
                <c:pt idx="4">
                  <c:v>0.151</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a:t>
            </a:r>
            <a:r>
              <a:rPr lang="en-US" sz="1300" baseline="0"/>
              <a:t> Pancreas</a:t>
            </a:r>
          </a:p>
          <a:p>
            <a:pPr>
              <a:defRPr/>
            </a:pPr>
            <a:r>
              <a:rPr lang="en-US" sz="1300" baseline="0"/>
              <a:t>By Race, Tennessee, 2008-2012</a:t>
            </a:r>
            <a:endParaRPr lang="en-US" sz="1300"/>
          </a:p>
        </c:rich>
      </c:tx>
      <c:overlay val="0"/>
    </c:title>
    <c:autoTitleDeleted val="0"/>
    <c:plotArea>
      <c:layout>
        <c:manualLayout>
          <c:layoutTarget val="inner"/>
          <c:xMode val="edge"/>
          <c:yMode val="edge"/>
          <c:x val="0.13894574828631859"/>
          <c:y val="0.19371552240180503"/>
          <c:w val="0.66571342659837418"/>
          <c:h val="0.64400845727617384"/>
        </c:manualLayout>
      </c:layout>
      <c:barChart>
        <c:barDir val="col"/>
        <c:grouping val="percentStacked"/>
        <c:varyColors val="0"/>
        <c:ser>
          <c:idx val="0"/>
          <c:order val="0"/>
          <c:tx>
            <c:strRef>
              <c:f>'Page 24 (Pancreas)'!$A$11</c:f>
              <c:strCache>
                <c:ptCount val="1"/>
                <c:pt idx="0">
                  <c:v>In Situ</c:v>
                </c:pt>
              </c:strCache>
            </c:strRef>
          </c:tx>
          <c:invertIfNegative val="0"/>
          <c:dLbls>
            <c:dLbl>
              <c:idx val="0"/>
              <c:layout>
                <c:manualLayout>
                  <c:x val="0"/>
                  <c:y val="8.5629921259842527E-3"/>
                </c:manualLayout>
              </c:layout>
              <c:dLblPos val="ctr"/>
              <c:showLegendKey val="0"/>
              <c:showVal val="1"/>
              <c:showCatName val="0"/>
              <c:showSerName val="0"/>
              <c:showPercent val="0"/>
              <c:showBubbleSize val="0"/>
            </c:dLbl>
            <c:dLbl>
              <c:idx val="1"/>
              <c:layout>
                <c:manualLayout>
                  <c:x val="2.7777777777777779E-3"/>
                  <c:y val="1.8401866433362497E-3"/>
                </c:manualLayout>
              </c:layout>
              <c:dLblPos val="ctr"/>
              <c:showLegendKey val="0"/>
              <c:showVal val="1"/>
              <c:showCatName val="0"/>
              <c:showSerName val="0"/>
              <c:showPercent val="0"/>
              <c:showBubbleSize val="0"/>
            </c:dLbl>
            <c:dLbl>
              <c:idx val="2"/>
              <c:layout>
                <c:manualLayout>
                  <c:x val="0"/>
                  <c:y val="8.8207203266258381E-3"/>
                </c:manualLayout>
              </c:layout>
              <c:dLblPos val="ctr"/>
              <c:showLegendKey val="0"/>
              <c:showVal val="1"/>
              <c:showCatName val="0"/>
              <c:showSerName val="0"/>
              <c:showPercent val="0"/>
              <c:showBubbleSize val="0"/>
            </c:dLbl>
            <c:numFmt formatCode="0.0%" sourceLinked="0"/>
            <c:txPr>
              <a:bodyPr/>
              <a:lstStyle/>
              <a:p>
                <a:pPr>
                  <a:defRPr sz="800"/>
                </a:pPr>
                <a:endParaRPr lang="en-US"/>
              </a:p>
            </c:txPr>
            <c:dLblPos val="inBase"/>
            <c:showLegendKey val="0"/>
            <c:showVal val="1"/>
            <c:showCatName val="0"/>
            <c:showSerName val="0"/>
            <c:showPercent val="0"/>
            <c:showBubbleSize val="0"/>
            <c:showLeaderLines val="0"/>
          </c:dLbls>
          <c:cat>
            <c:strRef>
              <c:f>'Page 24 (Pancreas)'!$B$10:$D$10</c:f>
              <c:strCache>
                <c:ptCount val="3"/>
                <c:pt idx="0">
                  <c:v>Total Population</c:v>
                </c:pt>
                <c:pt idx="1">
                  <c:v>Black</c:v>
                </c:pt>
                <c:pt idx="2">
                  <c:v>White</c:v>
                </c:pt>
              </c:strCache>
            </c:strRef>
          </c:cat>
          <c:val>
            <c:numRef>
              <c:f>'Page 24 (Pancreas)'!$B$11:$D$11</c:f>
              <c:numCache>
                <c:formatCode>0.00%</c:formatCode>
                <c:ptCount val="3"/>
                <c:pt idx="0">
                  <c:v>6.0000000000000001E-3</c:v>
                </c:pt>
                <c:pt idx="1">
                  <c:v>0</c:v>
                </c:pt>
                <c:pt idx="2">
                  <c:v>7.0000000000000001E-3</c:v>
                </c:pt>
              </c:numCache>
            </c:numRef>
          </c:val>
        </c:ser>
        <c:ser>
          <c:idx val="1"/>
          <c:order val="1"/>
          <c:tx>
            <c:strRef>
              <c:f>'Page 24 (Pancreas)'!$A$12</c:f>
              <c:strCache>
                <c:ptCount val="1"/>
                <c:pt idx="0">
                  <c:v>Localized</c:v>
                </c:pt>
              </c:strCache>
            </c:strRef>
          </c:tx>
          <c:invertIfNegative val="0"/>
          <c:dLbls>
            <c:numFmt formatCode="0.0%" sourceLinked="0"/>
            <c:txPr>
              <a:bodyPr/>
              <a:lstStyle/>
              <a:p>
                <a:pPr>
                  <a:defRPr sz="800"/>
                </a:pPr>
                <a:endParaRPr lang="en-US"/>
              </a:p>
            </c:txPr>
            <c:dLblPos val="inBase"/>
            <c:showLegendKey val="0"/>
            <c:showVal val="1"/>
            <c:showCatName val="0"/>
            <c:showSerName val="0"/>
            <c:showPercent val="0"/>
            <c:showBubbleSize val="0"/>
            <c:separator> </c:separator>
            <c:showLeaderLines val="0"/>
          </c:dLbls>
          <c:cat>
            <c:strRef>
              <c:f>'Page 24 (Pancreas)'!$B$10:$D$10</c:f>
              <c:strCache>
                <c:ptCount val="3"/>
                <c:pt idx="0">
                  <c:v>Total Population</c:v>
                </c:pt>
                <c:pt idx="1">
                  <c:v>Black</c:v>
                </c:pt>
                <c:pt idx="2">
                  <c:v>White</c:v>
                </c:pt>
              </c:strCache>
            </c:strRef>
          </c:cat>
          <c:val>
            <c:numRef>
              <c:f>'Page 24 (Pancreas)'!$B$12:$D$12</c:f>
              <c:numCache>
                <c:formatCode>0.00%</c:formatCode>
                <c:ptCount val="3"/>
                <c:pt idx="0">
                  <c:v>0.14599999999999999</c:v>
                </c:pt>
                <c:pt idx="1">
                  <c:v>0.14000000000000001</c:v>
                </c:pt>
                <c:pt idx="2">
                  <c:v>0.14599999999999999</c:v>
                </c:pt>
              </c:numCache>
            </c:numRef>
          </c:val>
        </c:ser>
        <c:ser>
          <c:idx val="2"/>
          <c:order val="2"/>
          <c:tx>
            <c:strRef>
              <c:f>'Page 24 (Pancreas)'!$A$13</c:f>
              <c:strCache>
                <c:ptCount val="1"/>
                <c:pt idx="0">
                  <c:v>Regional</c:v>
                </c:pt>
              </c:strCache>
            </c:strRef>
          </c:tx>
          <c:invertIfNegative val="0"/>
          <c:dLbls>
            <c:numFmt formatCode="0.0%" sourceLinked="0"/>
            <c:txPr>
              <a:bodyPr/>
              <a:lstStyle/>
              <a:p>
                <a:pPr>
                  <a:defRPr sz="800"/>
                </a:pPr>
                <a:endParaRPr lang="en-US"/>
              </a:p>
            </c:txPr>
            <c:dLblPos val="inBase"/>
            <c:showLegendKey val="0"/>
            <c:showVal val="1"/>
            <c:showCatName val="0"/>
            <c:showSerName val="0"/>
            <c:showPercent val="0"/>
            <c:showBubbleSize val="0"/>
            <c:showLeaderLines val="0"/>
          </c:dLbls>
          <c:cat>
            <c:strRef>
              <c:f>'Page 24 (Pancreas)'!$B$10:$D$10</c:f>
              <c:strCache>
                <c:ptCount val="3"/>
                <c:pt idx="0">
                  <c:v>Total Population</c:v>
                </c:pt>
                <c:pt idx="1">
                  <c:v>Black</c:v>
                </c:pt>
                <c:pt idx="2">
                  <c:v>White</c:v>
                </c:pt>
              </c:strCache>
            </c:strRef>
          </c:cat>
          <c:val>
            <c:numRef>
              <c:f>'Page 24 (Pancreas)'!$B$13:$D$13</c:f>
              <c:numCache>
                <c:formatCode>0.00%</c:formatCode>
                <c:ptCount val="3"/>
                <c:pt idx="0">
                  <c:v>0.32700000000000001</c:v>
                </c:pt>
                <c:pt idx="1">
                  <c:v>0.29499999999999998</c:v>
                </c:pt>
                <c:pt idx="2">
                  <c:v>0.33300000000000002</c:v>
                </c:pt>
              </c:numCache>
            </c:numRef>
          </c:val>
        </c:ser>
        <c:ser>
          <c:idx val="3"/>
          <c:order val="3"/>
          <c:tx>
            <c:strRef>
              <c:f>'Page 24 (Pancreas)'!$A$14</c:f>
              <c:strCache>
                <c:ptCount val="1"/>
                <c:pt idx="0">
                  <c:v>Distant</c:v>
                </c:pt>
              </c:strCache>
            </c:strRef>
          </c:tx>
          <c:invertIfNegative val="0"/>
          <c:dLbls>
            <c:numFmt formatCode="0.0%" sourceLinked="0"/>
            <c:txPr>
              <a:bodyPr/>
              <a:lstStyle/>
              <a:p>
                <a:pPr>
                  <a:defRPr sz="800"/>
                </a:pPr>
                <a:endParaRPr lang="en-US"/>
              </a:p>
            </c:txPr>
            <c:dLblPos val="ctr"/>
            <c:showLegendKey val="0"/>
            <c:showVal val="1"/>
            <c:showCatName val="0"/>
            <c:showSerName val="0"/>
            <c:showPercent val="0"/>
            <c:showBubbleSize val="0"/>
            <c:showLeaderLines val="0"/>
          </c:dLbls>
          <c:cat>
            <c:strRef>
              <c:f>'Page 24 (Pancreas)'!$B$10:$D$10</c:f>
              <c:strCache>
                <c:ptCount val="3"/>
                <c:pt idx="0">
                  <c:v>Total Population</c:v>
                </c:pt>
                <c:pt idx="1">
                  <c:v>Black</c:v>
                </c:pt>
                <c:pt idx="2">
                  <c:v>White</c:v>
                </c:pt>
              </c:strCache>
            </c:strRef>
          </c:cat>
          <c:val>
            <c:numRef>
              <c:f>'Page 24 (Pancreas)'!$B$14:$D$14</c:f>
              <c:numCache>
                <c:formatCode>0.00%</c:formatCode>
                <c:ptCount val="3"/>
                <c:pt idx="0">
                  <c:v>0.52</c:v>
                </c:pt>
                <c:pt idx="1">
                  <c:v>0.56499999999999995</c:v>
                </c:pt>
                <c:pt idx="2">
                  <c:v>0.51300000000000001</c:v>
                </c:pt>
              </c:numCache>
            </c:numRef>
          </c:val>
        </c:ser>
        <c:dLbls>
          <c:dLblPos val="inBase"/>
          <c:showLegendKey val="0"/>
          <c:showVal val="1"/>
          <c:showCatName val="0"/>
          <c:showSerName val="0"/>
          <c:showPercent val="0"/>
          <c:showBubbleSize val="0"/>
        </c:dLbls>
        <c:gapWidth val="150"/>
        <c:overlap val="100"/>
        <c:axId val="217906176"/>
        <c:axId val="168113216"/>
      </c:barChart>
      <c:catAx>
        <c:axId val="217906176"/>
        <c:scaling>
          <c:orientation val="minMax"/>
        </c:scaling>
        <c:delete val="0"/>
        <c:axPos val="b"/>
        <c:majorTickMark val="out"/>
        <c:minorTickMark val="none"/>
        <c:tickLblPos val="nextTo"/>
        <c:txPr>
          <a:bodyPr/>
          <a:lstStyle/>
          <a:p>
            <a:pPr>
              <a:defRPr sz="900"/>
            </a:pPr>
            <a:endParaRPr lang="en-US"/>
          </a:p>
        </c:txPr>
        <c:crossAx val="168113216"/>
        <c:crosses val="autoZero"/>
        <c:auto val="1"/>
        <c:lblAlgn val="ctr"/>
        <c:lblOffset val="100"/>
        <c:noMultiLvlLbl val="0"/>
      </c:catAx>
      <c:valAx>
        <c:axId val="168113216"/>
        <c:scaling>
          <c:orientation val="minMax"/>
          <c:max val="1"/>
          <c:min val="0"/>
        </c:scaling>
        <c:delete val="0"/>
        <c:axPos val="l"/>
        <c:title>
          <c:tx>
            <c:rich>
              <a:bodyPr rot="-5400000" vert="horz"/>
              <a:lstStyle/>
              <a:p>
                <a:pPr>
                  <a:defRPr sz="900"/>
                </a:pPr>
                <a:r>
                  <a:rPr lang="en-US" sz="900"/>
                  <a:t>Percent</a:t>
                </a:r>
              </a:p>
            </c:rich>
          </c:tx>
          <c:overlay val="0"/>
        </c:title>
        <c:numFmt formatCode="0%" sourceLinked="1"/>
        <c:majorTickMark val="out"/>
        <c:minorTickMark val="none"/>
        <c:tickLblPos val="nextTo"/>
        <c:txPr>
          <a:bodyPr/>
          <a:lstStyle/>
          <a:p>
            <a:pPr>
              <a:defRPr sz="900"/>
            </a:pPr>
            <a:endParaRPr lang="en-US"/>
          </a:p>
        </c:txPr>
        <c:crossAx val="217906176"/>
        <c:crosses val="autoZero"/>
        <c:crossBetween val="between"/>
        <c:majorUnit val="0.2"/>
      </c:valAx>
    </c:plotArea>
    <c:legend>
      <c:legendPos val="r"/>
      <c:layout>
        <c:manualLayout>
          <c:xMode val="edge"/>
          <c:yMode val="edge"/>
          <c:x val="0.85650026756364195"/>
          <c:y val="0.50289929548280154"/>
          <c:w val="0.1279657518538338"/>
          <c:h val="0.25029460791085323"/>
        </c:manualLayout>
      </c:layout>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Children 0-19 Years Old, Tennessee, 2008-2012</a:t>
            </a:r>
          </a:p>
        </c:rich>
      </c:tx>
      <c:overlay val="0"/>
    </c:title>
    <c:autoTitleDeleted val="0"/>
    <c:plotArea>
      <c:layout>
        <c:manualLayout>
          <c:layoutTarget val="inner"/>
          <c:xMode val="edge"/>
          <c:yMode val="edge"/>
          <c:x val="0.1696482853152417"/>
          <c:y val="0.23718801076568424"/>
          <c:w val="0.7885913982200693"/>
          <c:h val="0.59235652268830852"/>
        </c:manualLayout>
      </c:layout>
      <c:barChart>
        <c:barDir val="col"/>
        <c:grouping val="clustered"/>
        <c:varyColors val="0"/>
        <c:ser>
          <c:idx val="0"/>
          <c:order val="0"/>
          <c:tx>
            <c:strRef>
              <c:f>'Page 25 (Children)'!$B$1</c:f>
              <c:strCache>
                <c:ptCount val="1"/>
                <c:pt idx="0">
                  <c:v>Black</c:v>
                </c:pt>
              </c:strCache>
            </c:strRef>
          </c:tx>
          <c:spPr>
            <a:ln>
              <a:solidFill>
                <a:sysClr val="windowText" lastClr="000000"/>
              </a:solidFill>
            </a:ln>
          </c:spPr>
          <c:invertIfNegative val="0"/>
          <c:dLbls>
            <c:dLbl>
              <c:idx val="0"/>
              <c:layout>
                <c:manualLayout>
                  <c:x val="0"/>
                  <c:y val="-4.6783625730994198E-2"/>
                </c:manualLayout>
              </c:layout>
              <c:showLegendKey val="0"/>
              <c:showVal val="1"/>
              <c:showCatName val="0"/>
              <c:showSerName val="0"/>
              <c:showPercent val="0"/>
              <c:showBubbleSize val="0"/>
            </c:dLbl>
            <c:dLbl>
              <c:idx val="1"/>
              <c:layout>
                <c:manualLayout>
                  <c:x val="-4.8635419943092689E-17"/>
                  <c:y val="-4.6783625730994108E-2"/>
                </c:manualLayout>
              </c:layout>
              <c:showLegendKey val="0"/>
              <c:showVal val="1"/>
              <c:showCatName val="0"/>
              <c:showSerName val="0"/>
              <c:showPercent val="0"/>
              <c:showBubbleSize val="0"/>
            </c:dLbl>
            <c:dLbl>
              <c:idx val="2"/>
              <c:layout>
                <c:manualLayout>
                  <c:x val="5.3057434673033557E-3"/>
                  <c:y val="-2.3391812865497075E-2"/>
                </c:manualLayout>
              </c:layout>
              <c:showLegendKey val="0"/>
              <c:showVal val="1"/>
              <c:showCatName val="0"/>
              <c:showSerName val="0"/>
              <c:showPercent val="0"/>
              <c:showBubbleSize val="0"/>
            </c:dLbl>
            <c:dLbl>
              <c:idx val="3"/>
              <c:layout>
                <c:manualLayout>
                  <c:x val="9.7270839886185377E-17"/>
                  <c:y val="-2.8070543813602248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25 (Children)'!$F$2:$F$5</c:f>
                <c:numCache>
                  <c:formatCode>General</c:formatCode>
                  <c:ptCount val="4"/>
                  <c:pt idx="0">
                    <c:v>27.299999999999983</c:v>
                  </c:pt>
                  <c:pt idx="1">
                    <c:v>28</c:v>
                  </c:pt>
                  <c:pt idx="2">
                    <c:v>11.099999999999998</c:v>
                  </c:pt>
                  <c:pt idx="3">
                    <c:v>13.799999999999997</c:v>
                  </c:pt>
                </c:numCache>
              </c:numRef>
            </c:plus>
            <c:minus>
              <c:numRef>
                <c:f>'Page 25 (Children)'!$D$2:$D$5</c:f>
                <c:numCache>
                  <c:formatCode>General</c:formatCode>
                  <c:ptCount val="4"/>
                  <c:pt idx="0">
                    <c:v>24</c:v>
                  </c:pt>
                  <c:pt idx="1">
                    <c:v>24.700000000000017</c:v>
                  </c:pt>
                  <c:pt idx="2">
                    <c:v>7.8000000000000007</c:v>
                  </c:pt>
                  <c:pt idx="3">
                    <c:v>10.400000000000002</c:v>
                  </c:pt>
                </c:numCache>
              </c:numRef>
            </c:minus>
          </c:errBars>
          <c:cat>
            <c:strRef>
              <c:f>'Page 25 (Children)'!$A$2:$A$5</c:f>
              <c:strCache>
                <c:ptCount val="4"/>
                <c:pt idx="0">
                  <c:v>Female Incidence</c:v>
                </c:pt>
                <c:pt idx="1">
                  <c:v>Male Incidence</c:v>
                </c:pt>
                <c:pt idx="2">
                  <c:v>Female Mortality</c:v>
                </c:pt>
                <c:pt idx="3">
                  <c:v>Male Mortality</c:v>
                </c:pt>
              </c:strCache>
            </c:strRef>
          </c:cat>
          <c:val>
            <c:numRef>
              <c:f>'Page 25 (Children)'!$B$2:$B$5</c:f>
              <c:numCache>
                <c:formatCode>General</c:formatCode>
                <c:ptCount val="4"/>
                <c:pt idx="0" formatCode="0.0">
                  <c:v>148.9</c:v>
                </c:pt>
                <c:pt idx="1">
                  <c:v>159.9</c:v>
                </c:pt>
                <c:pt idx="2">
                  <c:v>18.600000000000001</c:v>
                </c:pt>
                <c:pt idx="3">
                  <c:v>31.6</c:v>
                </c:pt>
              </c:numCache>
            </c:numRef>
          </c:val>
        </c:ser>
        <c:ser>
          <c:idx val="1"/>
          <c:order val="1"/>
          <c:tx>
            <c:strRef>
              <c:f>'Page 25 (Children)'!$C$1</c:f>
              <c:strCache>
                <c:ptCount val="1"/>
                <c:pt idx="0">
                  <c:v>White</c:v>
                </c:pt>
              </c:strCache>
            </c:strRef>
          </c:tx>
          <c:spPr>
            <a:ln>
              <a:solidFill>
                <a:sysClr val="windowText" lastClr="000000"/>
              </a:solidFill>
            </a:ln>
          </c:spPr>
          <c:invertIfNegative val="0"/>
          <c:dLbls>
            <c:dLbl>
              <c:idx val="0"/>
              <c:layout>
                <c:manualLayout>
                  <c:x val="0"/>
                  <c:y val="-2.8070175438596492E-2"/>
                </c:manualLayout>
              </c:layout>
              <c:showLegendKey val="0"/>
              <c:showVal val="1"/>
              <c:showCatName val="0"/>
              <c:showSerName val="0"/>
              <c:showPercent val="0"/>
              <c:showBubbleSize val="0"/>
            </c:dLbl>
            <c:dLbl>
              <c:idx val="1"/>
              <c:layout>
                <c:manualLayout>
                  <c:x val="0"/>
                  <c:y val="-1.8713450292397703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25 (Children)'!$G$2:$G$5</c:f>
                <c:numCache>
                  <c:formatCode>General</c:formatCode>
                  <c:ptCount val="4"/>
                  <c:pt idx="0">
                    <c:v>15.599999999999994</c:v>
                  </c:pt>
                  <c:pt idx="1">
                    <c:v>15.699999999999989</c:v>
                  </c:pt>
                  <c:pt idx="2">
                    <c:v>6</c:v>
                  </c:pt>
                  <c:pt idx="3">
                    <c:v>6.1999999999999993</c:v>
                  </c:pt>
                </c:numCache>
              </c:numRef>
            </c:plus>
            <c:minus>
              <c:numRef>
                <c:f>'Page 25 (Children)'!$E$2:$E$5</c:f>
                <c:numCache>
                  <c:formatCode>General</c:formatCode>
                  <c:ptCount val="4"/>
                  <c:pt idx="0">
                    <c:v>14.5</c:v>
                  </c:pt>
                  <c:pt idx="1">
                    <c:v>14.800000000000011</c:v>
                  </c:pt>
                  <c:pt idx="2">
                    <c:v>5</c:v>
                  </c:pt>
                  <c:pt idx="3">
                    <c:v>5.3000000000000007</c:v>
                  </c:pt>
                </c:numCache>
              </c:numRef>
            </c:minus>
          </c:errBars>
          <c:cat>
            <c:strRef>
              <c:f>'Page 25 (Children)'!$A$2:$A$5</c:f>
              <c:strCache>
                <c:ptCount val="4"/>
                <c:pt idx="0">
                  <c:v>Female Incidence</c:v>
                </c:pt>
                <c:pt idx="1">
                  <c:v>Male Incidence</c:v>
                </c:pt>
                <c:pt idx="2">
                  <c:v>Female Mortality</c:v>
                </c:pt>
                <c:pt idx="3">
                  <c:v>Male Mortality</c:v>
                </c:pt>
              </c:strCache>
            </c:strRef>
          </c:cat>
          <c:val>
            <c:numRef>
              <c:f>'Page 25 (Children)'!$C$2:$C$5</c:f>
              <c:numCache>
                <c:formatCode>0.0</c:formatCode>
                <c:ptCount val="4"/>
                <c:pt idx="0">
                  <c:v>177.5</c:v>
                </c:pt>
                <c:pt idx="1">
                  <c:v>192</c:v>
                </c:pt>
                <c:pt idx="2" formatCode="General">
                  <c:v>22.8</c:v>
                </c:pt>
                <c:pt idx="3" formatCode="General">
                  <c:v>26.7</c:v>
                </c:pt>
              </c:numCache>
            </c:numRef>
          </c:val>
        </c:ser>
        <c:dLbls>
          <c:showLegendKey val="0"/>
          <c:showVal val="0"/>
          <c:showCatName val="0"/>
          <c:showSerName val="0"/>
          <c:showPercent val="0"/>
          <c:showBubbleSize val="0"/>
        </c:dLbls>
        <c:gapWidth val="50"/>
        <c:axId val="218041344"/>
        <c:axId val="170844160"/>
      </c:barChart>
      <c:catAx>
        <c:axId val="218041344"/>
        <c:scaling>
          <c:orientation val="minMax"/>
        </c:scaling>
        <c:delete val="0"/>
        <c:axPos val="b"/>
        <c:majorTickMark val="out"/>
        <c:minorTickMark val="none"/>
        <c:tickLblPos val="nextTo"/>
        <c:txPr>
          <a:bodyPr/>
          <a:lstStyle/>
          <a:p>
            <a:pPr>
              <a:defRPr sz="900"/>
            </a:pPr>
            <a:endParaRPr lang="en-US"/>
          </a:p>
        </c:txPr>
        <c:crossAx val="170844160"/>
        <c:crosses val="autoZero"/>
        <c:auto val="1"/>
        <c:lblAlgn val="ctr"/>
        <c:lblOffset val="100"/>
        <c:noMultiLvlLbl val="0"/>
      </c:catAx>
      <c:valAx>
        <c:axId val="170844160"/>
        <c:scaling>
          <c:orientation val="minMax"/>
        </c:scaling>
        <c:delete val="0"/>
        <c:axPos val="l"/>
        <c:title>
          <c:tx>
            <c:rich>
              <a:bodyPr rot="-5400000" vert="horz"/>
              <a:lstStyle/>
              <a:p>
                <a:pPr>
                  <a:defRPr sz="900"/>
                </a:pPr>
                <a:r>
                  <a:rPr lang="en-US" sz="900"/>
                  <a:t>Age-Adjusted Rate per 1,000,000</a:t>
                </a:r>
              </a:p>
            </c:rich>
          </c:tx>
          <c:overlay val="0"/>
        </c:title>
        <c:numFmt formatCode="0" sourceLinked="0"/>
        <c:majorTickMark val="out"/>
        <c:minorTickMark val="none"/>
        <c:tickLblPos val="nextTo"/>
        <c:txPr>
          <a:bodyPr/>
          <a:lstStyle/>
          <a:p>
            <a:pPr>
              <a:defRPr sz="900"/>
            </a:pPr>
            <a:endParaRPr lang="en-US"/>
          </a:p>
        </c:txPr>
        <c:crossAx val="218041344"/>
        <c:crosses val="autoZero"/>
        <c:crossBetween val="between"/>
      </c:valAx>
      <c:spPr>
        <a:noFill/>
      </c:spPr>
    </c:plotArea>
    <c:legend>
      <c:legendPos val="r"/>
      <c:layout>
        <c:manualLayout>
          <c:xMode val="edge"/>
          <c:yMode val="edge"/>
          <c:x val="0.88279174016896911"/>
          <c:y val="0.3759992632499885"/>
          <c:w val="0.1012910294291208"/>
          <c:h val="0.15789584196712253"/>
        </c:manualLayout>
      </c:layout>
      <c:overlay val="0"/>
      <c:txPr>
        <a:bodyPr/>
        <a:lstStyle/>
        <a:p>
          <a:pPr>
            <a:defRPr sz="900"/>
          </a:pPr>
          <a:endParaRPr lang="en-US"/>
        </a:p>
      </c:txPr>
    </c:legend>
    <c:plotVisOnly val="1"/>
    <c:dispBlanksAs val="gap"/>
    <c:showDLblsOverMax val="0"/>
  </c:chart>
  <c:spPr>
    <a:noFill/>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Incidence and Mortality Time, Children 0-19 Years Old, by Year,</a:t>
            </a:r>
            <a:r>
              <a:rPr lang="en-US" sz="1300" baseline="0"/>
              <a:t> Tennessee, 2008-2012</a:t>
            </a:r>
            <a:endParaRPr lang="en-US" sz="1300"/>
          </a:p>
        </c:rich>
      </c:tx>
      <c:overlay val="0"/>
    </c:title>
    <c:autoTitleDeleted val="0"/>
    <c:plotArea>
      <c:layout>
        <c:manualLayout>
          <c:layoutTarget val="inner"/>
          <c:xMode val="edge"/>
          <c:yMode val="edge"/>
          <c:x val="0.14743182525913073"/>
          <c:y val="0.23149497742010189"/>
          <c:w val="0.64642488544864096"/>
          <c:h val="0.61134754544260617"/>
        </c:manualLayout>
      </c:layout>
      <c:barChart>
        <c:barDir val="col"/>
        <c:grouping val="clustered"/>
        <c:varyColors val="0"/>
        <c:ser>
          <c:idx val="0"/>
          <c:order val="0"/>
          <c:tx>
            <c:strRef>
              <c:f>'Page 25 (Children)'!$B$30</c:f>
              <c:strCache>
                <c:ptCount val="1"/>
                <c:pt idx="0">
                  <c:v>Incidence</c:v>
                </c:pt>
              </c:strCache>
            </c:strRef>
          </c:tx>
          <c:spPr>
            <a:ln>
              <a:solidFill>
                <a:sysClr val="windowText" lastClr="000000"/>
              </a:solidFill>
            </a:ln>
          </c:spPr>
          <c:invertIfNegative val="0"/>
          <c:dLbls>
            <c:dLbl>
              <c:idx val="0"/>
              <c:layout>
                <c:manualLayout>
                  <c:x val="0"/>
                  <c:y val="-3.2748538011695909E-2"/>
                </c:manualLayout>
              </c:layout>
              <c:showLegendKey val="0"/>
              <c:showVal val="1"/>
              <c:showCatName val="0"/>
              <c:showSerName val="0"/>
              <c:showPercent val="0"/>
              <c:showBubbleSize val="0"/>
            </c:dLbl>
            <c:dLbl>
              <c:idx val="1"/>
              <c:layout>
                <c:manualLayout>
                  <c:x val="0"/>
                  <c:y val="-2.8070175438596492E-2"/>
                </c:manualLayout>
              </c:layout>
              <c:showLegendKey val="0"/>
              <c:showVal val="1"/>
              <c:showCatName val="0"/>
              <c:showSerName val="0"/>
              <c:showPercent val="0"/>
              <c:showBubbleSize val="0"/>
            </c:dLbl>
            <c:dLbl>
              <c:idx val="2"/>
              <c:layout>
                <c:manualLayout>
                  <c:x val="4.6881783780971206E-17"/>
                  <c:y val="-2.3391812865497033E-2"/>
                </c:manualLayout>
              </c:layout>
              <c:showLegendKey val="0"/>
              <c:showVal val="1"/>
              <c:showCatName val="0"/>
              <c:showSerName val="0"/>
              <c:showPercent val="0"/>
              <c:showBubbleSize val="0"/>
            </c:dLbl>
            <c:dLbl>
              <c:idx val="3"/>
              <c:layout>
                <c:manualLayout>
                  <c:x val="5.1144354941823292E-3"/>
                  <c:y val="-3.2748538011695909E-2"/>
                </c:manualLayout>
              </c:layout>
              <c:showLegendKey val="0"/>
              <c:showVal val="1"/>
              <c:showCatName val="0"/>
              <c:showSerName val="0"/>
              <c:showPercent val="0"/>
              <c:showBubbleSize val="0"/>
            </c:dLbl>
            <c:dLbl>
              <c:idx val="4"/>
              <c:layout>
                <c:manualLayout>
                  <c:x val="0"/>
                  <c:y val="-4.6783625730994149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25 (Children)'!$E$31:$E$35</c:f>
                <c:numCache>
                  <c:formatCode>General</c:formatCode>
                  <c:ptCount val="5"/>
                  <c:pt idx="0">
                    <c:v>22.199999999999989</c:v>
                  </c:pt>
                  <c:pt idx="1">
                    <c:v>21.599999999999994</c:v>
                  </c:pt>
                  <c:pt idx="2">
                    <c:v>20.5</c:v>
                  </c:pt>
                  <c:pt idx="3">
                    <c:v>22.299999999999983</c:v>
                  </c:pt>
                  <c:pt idx="4">
                    <c:v>21.5</c:v>
                  </c:pt>
                </c:numCache>
              </c:numRef>
            </c:plus>
            <c:minus>
              <c:numRef>
                <c:f>'Page 25 (Children)'!$D$31:$D$35</c:f>
                <c:numCache>
                  <c:formatCode>General</c:formatCode>
                  <c:ptCount val="5"/>
                  <c:pt idx="0">
                    <c:v>20.400000000000006</c:v>
                  </c:pt>
                  <c:pt idx="1">
                    <c:v>19.900000000000006</c:v>
                  </c:pt>
                  <c:pt idx="2">
                    <c:v>18.800000000000011</c:v>
                  </c:pt>
                  <c:pt idx="3">
                    <c:v>20.600000000000023</c:v>
                  </c:pt>
                  <c:pt idx="4">
                    <c:v>19.599999999999994</c:v>
                  </c:pt>
                </c:numCache>
              </c:numRef>
            </c:minus>
          </c:errBars>
          <c:cat>
            <c:numRef>
              <c:f>'Page 25 (Children)'!$A$31:$A$35</c:f>
              <c:numCache>
                <c:formatCode>General</c:formatCode>
                <c:ptCount val="5"/>
                <c:pt idx="0">
                  <c:v>2008</c:v>
                </c:pt>
                <c:pt idx="1">
                  <c:v>2009</c:v>
                </c:pt>
                <c:pt idx="2">
                  <c:v>2010</c:v>
                </c:pt>
                <c:pt idx="3">
                  <c:v>2011</c:v>
                </c:pt>
                <c:pt idx="4">
                  <c:v>2012</c:v>
                </c:pt>
              </c:numCache>
            </c:numRef>
          </c:cat>
          <c:val>
            <c:numRef>
              <c:f>'Page 25 (Children)'!$B$31:$B$35</c:f>
              <c:numCache>
                <c:formatCode>#,##0.0</c:formatCode>
                <c:ptCount val="5"/>
                <c:pt idx="0">
                  <c:v>192.4</c:v>
                </c:pt>
                <c:pt idx="1">
                  <c:v>183.3</c:v>
                </c:pt>
                <c:pt idx="2">
                  <c:v>163.4</c:v>
                </c:pt>
                <c:pt idx="3">
                  <c:v>193.8</c:v>
                </c:pt>
                <c:pt idx="4">
                  <c:v>177.6</c:v>
                </c:pt>
              </c:numCache>
            </c:numRef>
          </c:val>
        </c:ser>
        <c:ser>
          <c:idx val="1"/>
          <c:order val="1"/>
          <c:tx>
            <c:strRef>
              <c:f>'Page 25 (Children)'!$C$30</c:f>
              <c:strCache>
                <c:ptCount val="1"/>
                <c:pt idx="0">
                  <c:v>Mortality</c:v>
                </c:pt>
              </c:strCache>
            </c:strRef>
          </c:tx>
          <c:spPr>
            <a:ln>
              <a:solidFill>
                <a:sysClr val="windowText" lastClr="000000"/>
              </a:solidFill>
            </a:ln>
          </c:spPr>
          <c:invertIfNegative val="0"/>
          <c:dLbls>
            <c:dLbl>
              <c:idx val="0"/>
              <c:layout>
                <c:manualLayout>
                  <c:x val="1.1111111111111112E-2"/>
                  <c:y val="0"/>
                </c:manualLayout>
              </c:layout>
              <c:showLegendKey val="0"/>
              <c:showVal val="1"/>
              <c:showCatName val="0"/>
              <c:showSerName val="0"/>
              <c:showPercent val="0"/>
              <c:showBubbleSize val="0"/>
            </c:dLbl>
            <c:dLbl>
              <c:idx val="1"/>
              <c:layout>
                <c:manualLayout>
                  <c:x val="8.3333333333333332E-3"/>
                  <c:y val="0"/>
                </c:manualLayout>
              </c:layout>
              <c:showLegendKey val="0"/>
              <c:showVal val="1"/>
              <c:showCatName val="0"/>
              <c:showSerName val="0"/>
              <c:showPercent val="0"/>
              <c:showBubbleSize val="0"/>
            </c:dLbl>
            <c:dLbl>
              <c:idx val="2"/>
              <c:layout>
                <c:manualLayout>
                  <c:x val="8.3333333333333332E-3"/>
                  <c:y val="4.6296296296296294E-3"/>
                </c:manualLayout>
              </c:layout>
              <c:showLegendKey val="0"/>
              <c:showVal val="1"/>
              <c:showCatName val="0"/>
              <c:showSerName val="0"/>
              <c:showPercent val="0"/>
              <c:showBubbleSize val="0"/>
            </c:dLbl>
            <c:dLbl>
              <c:idx val="3"/>
              <c:layout>
                <c:manualLayout>
                  <c:x val="8.3333333333333332E-3"/>
                  <c:y val="0"/>
                </c:manualLayout>
              </c:layout>
              <c:showLegendKey val="0"/>
              <c:showVal val="1"/>
              <c:showCatName val="0"/>
              <c:showSerName val="0"/>
              <c:showPercent val="0"/>
              <c:showBubbleSize val="0"/>
            </c:dLbl>
            <c:dLbl>
              <c:idx val="4"/>
              <c:layout>
                <c:manualLayout>
                  <c:x val="8.3333333333333332E-3"/>
                  <c:y val="0"/>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25 (Children)'!$G$31:$G$35</c:f>
                <c:numCache>
                  <c:formatCode>General</c:formatCode>
                  <c:ptCount val="5"/>
                  <c:pt idx="0">
                    <c:v>8.5999999999999979</c:v>
                  </c:pt>
                  <c:pt idx="1">
                    <c:v>8.8000000000000043</c:v>
                  </c:pt>
                  <c:pt idx="2">
                    <c:v>9.2999999999999972</c:v>
                  </c:pt>
                  <c:pt idx="3">
                    <c:v>8.5</c:v>
                  </c:pt>
                  <c:pt idx="4">
                    <c:v>8.8000000000000007</c:v>
                  </c:pt>
                </c:numCache>
              </c:numRef>
            </c:plus>
            <c:minus>
              <c:numRef>
                <c:f>'Page 25 (Children)'!$F$31:$F$35</c:f>
                <c:numCache>
                  <c:formatCode>General</c:formatCode>
                  <c:ptCount val="5"/>
                  <c:pt idx="0">
                    <c:v>6.6999999999999993</c:v>
                  </c:pt>
                  <c:pt idx="1">
                    <c:v>7</c:v>
                  </c:pt>
                  <c:pt idx="2">
                    <c:v>7.5</c:v>
                  </c:pt>
                  <c:pt idx="3">
                    <c:v>6.6999999999999993</c:v>
                  </c:pt>
                  <c:pt idx="4">
                    <c:v>7.0999999999999979</c:v>
                  </c:pt>
                </c:numCache>
              </c:numRef>
            </c:minus>
          </c:errBars>
          <c:cat>
            <c:numRef>
              <c:f>'Page 25 (Children)'!$A$31:$A$35</c:f>
              <c:numCache>
                <c:formatCode>General</c:formatCode>
                <c:ptCount val="5"/>
                <c:pt idx="0">
                  <c:v>2008</c:v>
                </c:pt>
                <c:pt idx="1">
                  <c:v>2009</c:v>
                </c:pt>
                <c:pt idx="2">
                  <c:v>2010</c:v>
                </c:pt>
                <c:pt idx="3">
                  <c:v>2011</c:v>
                </c:pt>
                <c:pt idx="4">
                  <c:v>2012</c:v>
                </c:pt>
              </c:numCache>
            </c:numRef>
          </c:cat>
          <c:val>
            <c:numRef>
              <c:f>'Page 25 (Children)'!$C$31:$C$35</c:f>
              <c:numCache>
                <c:formatCode>#,##0.0</c:formatCode>
                <c:ptCount val="5"/>
                <c:pt idx="0">
                  <c:v>23.3</c:v>
                </c:pt>
                <c:pt idx="1">
                  <c:v>24.9</c:v>
                </c:pt>
                <c:pt idx="2">
                  <c:v>28.6</c:v>
                </c:pt>
                <c:pt idx="3">
                  <c:v>22.8</c:v>
                </c:pt>
                <c:pt idx="4">
                  <c:v>25.2</c:v>
                </c:pt>
              </c:numCache>
            </c:numRef>
          </c:val>
        </c:ser>
        <c:dLbls>
          <c:showLegendKey val="0"/>
          <c:showVal val="0"/>
          <c:showCatName val="0"/>
          <c:showSerName val="0"/>
          <c:showPercent val="0"/>
          <c:showBubbleSize val="0"/>
        </c:dLbls>
        <c:gapWidth val="50"/>
        <c:axId val="218240000"/>
        <c:axId val="170845888"/>
      </c:barChart>
      <c:catAx>
        <c:axId val="218240000"/>
        <c:scaling>
          <c:orientation val="minMax"/>
        </c:scaling>
        <c:delete val="0"/>
        <c:axPos val="b"/>
        <c:title>
          <c:tx>
            <c:rich>
              <a:bodyPr/>
              <a:lstStyle/>
              <a:p>
                <a:pPr>
                  <a:defRPr/>
                </a:pPr>
                <a:r>
                  <a:rPr lang="en-US"/>
                  <a:t>Year of Diagnosis or Death</a:t>
                </a:r>
              </a:p>
            </c:rich>
          </c:tx>
          <c:overlay val="0"/>
        </c:title>
        <c:numFmt formatCode="General" sourceLinked="1"/>
        <c:majorTickMark val="out"/>
        <c:minorTickMark val="none"/>
        <c:tickLblPos val="nextTo"/>
        <c:txPr>
          <a:bodyPr/>
          <a:lstStyle/>
          <a:p>
            <a:pPr>
              <a:defRPr sz="900"/>
            </a:pPr>
            <a:endParaRPr lang="en-US"/>
          </a:p>
        </c:txPr>
        <c:crossAx val="170845888"/>
        <c:crosses val="autoZero"/>
        <c:auto val="1"/>
        <c:lblAlgn val="ctr"/>
        <c:lblOffset val="100"/>
        <c:noMultiLvlLbl val="0"/>
      </c:catAx>
      <c:valAx>
        <c:axId val="170845888"/>
        <c:scaling>
          <c:orientation val="minMax"/>
        </c:scaling>
        <c:delete val="0"/>
        <c:axPos val="l"/>
        <c:title>
          <c:tx>
            <c:rich>
              <a:bodyPr rot="-5400000" vert="horz"/>
              <a:lstStyle/>
              <a:p>
                <a:pPr>
                  <a:defRPr/>
                </a:pPr>
                <a:r>
                  <a:rPr lang="en-US"/>
                  <a:t>Age-Adjusted Rate per 1,000,000</a:t>
                </a:r>
              </a:p>
            </c:rich>
          </c:tx>
          <c:layout>
            <c:manualLayout>
              <c:xMode val="edge"/>
              <c:yMode val="edge"/>
              <c:x val="2.8129395218002812E-2"/>
              <c:y val="0.19575447805866372"/>
            </c:manualLayout>
          </c:layout>
          <c:overlay val="0"/>
        </c:title>
        <c:numFmt formatCode="#,##0" sourceLinked="0"/>
        <c:majorTickMark val="out"/>
        <c:minorTickMark val="none"/>
        <c:tickLblPos val="nextTo"/>
        <c:crossAx val="2182400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a:t>
            </a:r>
            <a:r>
              <a:rPr lang="en-US" sz="1300" baseline="0"/>
              <a:t> All Sites Combined</a:t>
            </a:r>
          </a:p>
          <a:p>
            <a:pPr>
              <a:defRPr/>
            </a:pPr>
            <a:r>
              <a:rPr lang="en-US" sz="1300" baseline="0"/>
              <a:t>Children 0-19, Tennessee, 2008-2012</a:t>
            </a:r>
            <a:endParaRPr lang="en-US" sz="1300"/>
          </a:p>
        </c:rich>
      </c:tx>
      <c:overlay val="0"/>
    </c:title>
    <c:autoTitleDeleted val="0"/>
    <c:view3D>
      <c:rotX val="15"/>
      <c:rotY val="0"/>
      <c:rAngAx val="0"/>
      <c:perspective val="0"/>
    </c:view3D>
    <c:floor>
      <c:thickness val="0"/>
    </c:floor>
    <c:sideWall>
      <c:thickness val="0"/>
    </c:sideWall>
    <c:backWall>
      <c:thickness val="0"/>
    </c:backWall>
    <c:plotArea>
      <c:layout/>
      <c:pie3DChart>
        <c:varyColors val="1"/>
        <c:ser>
          <c:idx val="0"/>
          <c:order val="0"/>
          <c:tx>
            <c:strRef>
              <c:f>'Page 26 (Children)'!$B$1</c:f>
              <c:strCache>
                <c:ptCount val="1"/>
                <c:pt idx="0">
                  <c:v>Column %</c:v>
                </c:pt>
              </c:strCache>
            </c:strRef>
          </c:tx>
          <c:spPr>
            <a:ln>
              <a:solidFill>
                <a:sysClr val="windowText" lastClr="000000"/>
              </a:solidFill>
            </a:ln>
          </c:spPr>
          <c:dLbls>
            <c:dLbl>
              <c:idx val="0"/>
              <c:layout>
                <c:manualLayout>
                  <c:x val="0.11148302417253136"/>
                  <c:y val="-1.2021500731559687E-2"/>
                </c:manualLayout>
              </c:layout>
              <c:dLblPos val="bestFit"/>
              <c:showLegendKey val="0"/>
              <c:showVal val="1"/>
              <c:showCatName val="1"/>
              <c:showSerName val="0"/>
              <c:showPercent val="0"/>
              <c:showBubbleSize val="0"/>
              <c:separator> </c:separator>
            </c:dLbl>
            <c:dLbl>
              <c:idx val="1"/>
              <c:layout>
                <c:manualLayout>
                  <c:x val="-0.19293394014743145"/>
                  <c:y val="7.4588233411917431E-3"/>
                </c:manualLayout>
              </c:layout>
              <c:dLblPos val="bestFit"/>
              <c:showLegendKey val="0"/>
              <c:showVal val="1"/>
              <c:showCatName val="1"/>
              <c:showSerName val="0"/>
              <c:showPercent val="0"/>
              <c:showBubbleSize val="0"/>
              <c:separator> </c:separator>
            </c:dLbl>
            <c:dLbl>
              <c:idx val="3"/>
              <c:layout>
                <c:manualLayout>
                  <c:x val="0.23068758475503678"/>
                  <c:y val="6.3709116174573265E-3"/>
                </c:manualLayout>
              </c:layout>
              <c:dLblPos val="bestFit"/>
              <c:showLegendKey val="0"/>
              <c:showVal val="1"/>
              <c:showCatName val="1"/>
              <c:showSerName val="0"/>
              <c:showPercent val="0"/>
              <c:showBubbleSize val="0"/>
              <c:separator> </c:separator>
            </c:dLbl>
            <c:txPr>
              <a:bodyPr/>
              <a:lstStyle/>
              <a:p>
                <a:pPr>
                  <a:defRPr sz="800"/>
                </a:pPr>
                <a:endParaRPr lang="en-US"/>
              </a:p>
            </c:txPr>
            <c:dLblPos val="bestFit"/>
            <c:showLegendKey val="0"/>
            <c:showVal val="1"/>
            <c:showCatName val="1"/>
            <c:showSerName val="0"/>
            <c:showPercent val="0"/>
            <c:showBubbleSize val="0"/>
            <c:separator> </c:separator>
            <c:showLeaderLines val="1"/>
          </c:dLbls>
          <c:cat>
            <c:strRef>
              <c:f>'Page 26 (Children)'!$A$2:$A$6</c:f>
              <c:strCache>
                <c:ptCount val="5"/>
                <c:pt idx="0">
                  <c:v>In Situ</c:v>
                </c:pt>
                <c:pt idx="1">
                  <c:v>Localized</c:v>
                </c:pt>
                <c:pt idx="2">
                  <c:v>Regional</c:v>
                </c:pt>
                <c:pt idx="3">
                  <c:v>Distant</c:v>
                </c:pt>
                <c:pt idx="4">
                  <c:v>Unknown</c:v>
                </c:pt>
              </c:strCache>
            </c:strRef>
          </c:cat>
          <c:val>
            <c:numRef>
              <c:f>'Page 26 (Children)'!$B$2:$B$6</c:f>
              <c:numCache>
                <c:formatCode>0.0%</c:formatCode>
                <c:ptCount val="5"/>
                <c:pt idx="0">
                  <c:v>5.0000000000000001E-3</c:v>
                </c:pt>
                <c:pt idx="1">
                  <c:v>0.38900000000000001</c:v>
                </c:pt>
                <c:pt idx="2">
                  <c:v>0.14799999999999999</c:v>
                </c:pt>
                <c:pt idx="3">
                  <c:v>0.436</c:v>
                </c:pt>
                <c:pt idx="4">
                  <c:v>2.1999999999999999E-2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Cancer Stage,</a:t>
            </a:r>
            <a:r>
              <a:rPr lang="en-US" sz="1300" baseline="0"/>
              <a:t> Children 0-19</a:t>
            </a:r>
          </a:p>
          <a:p>
            <a:pPr>
              <a:defRPr/>
            </a:pPr>
            <a:r>
              <a:rPr lang="en-US" sz="1300" baseline="0"/>
              <a:t>By Race, Tennessee, 2008-2012</a:t>
            </a:r>
            <a:endParaRPr lang="en-US" sz="1300"/>
          </a:p>
        </c:rich>
      </c:tx>
      <c:layout>
        <c:manualLayout>
          <c:xMode val="edge"/>
          <c:yMode val="edge"/>
          <c:x val="0.25963188976377954"/>
          <c:y val="1.4031805425631431E-2"/>
        </c:manualLayout>
      </c:layout>
      <c:overlay val="0"/>
    </c:title>
    <c:autoTitleDeleted val="0"/>
    <c:plotArea>
      <c:layout>
        <c:manualLayout>
          <c:layoutTarget val="inner"/>
          <c:xMode val="edge"/>
          <c:yMode val="edge"/>
          <c:x val="0.16483573928258968"/>
          <c:y val="0.20760425780110819"/>
          <c:w val="0.63723447069116357"/>
          <c:h val="0.6361703998165279"/>
        </c:manualLayout>
      </c:layout>
      <c:barChart>
        <c:barDir val="col"/>
        <c:grouping val="percentStacked"/>
        <c:varyColors val="0"/>
        <c:ser>
          <c:idx val="0"/>
          <c:order val="0"/>
          <c:tx>
            <c:strRef>
              <c:f>'Page 26 (Children)'!$A$10</c:f>
              <c:strCache>
                <c:ptCount val="1"/>
                <c:pt idx="0">
                  <c:v>In Situ</c:v>
                </c:pt>
              </c:strCache>
            </c:strRef>
          </c:tx>
          <c:invertIfNegative val="0"/>
          <c:dLbls>
            <c:dLbl>
              <c:idx val="0"/>
              <c:layout>
                <c:manualLayout>
                  <c:x val="-2.1872265966754156E-7"/>
                  <c:y val="2.464639836687081E-3"/>
                </c:manualLayout>
              </c:layout>
              <c:dLblPos val="ctr"/>
              <c:showLegendKey val="0"/>
              <c:showVal val="1"/>
              <c:showCatName val="0"/>
              <c:showSerName val="0"/>
              <c:showPercent val="0"/>
              <c:showBubbleSize val="0"/>
            </c:dLbl>
            <c:dLbl>
              <c:idx val="1"/>
              <c:layout>
                <c:manualLayout>
                  <c:x val="5.0925337632079971E-17"/>
                  <c:y val="9.051472732575094E-3"/>
                </c:manualLayout>
              </c:layout>
              <c:dLblPos val="ctr"/>
              <c:showLegendKey val="0"/>
              <c:showVal val="1"/>
              <c:showCatName val="0"/>
              <c:showSerName val="0"/>
              <c:showPercent val="0"/>
              <c:showBubbleSize val="0"/>
            </c:dLbl>
            <c:dLbl>
              <c:idx val="2"/>
              <c:layout>
                <c:manualLayout>
                  <c:x val="-2.7777777777777779E-3"/>
                  <c:y val="6.3447798191892677E-3"/>
                </c:manualLayout>
              </c:layout>
              <c:dLblPos val="ctr"/>
              <c:showLegendKey val="0"/>
              <c:showVal val="1"/>
              <c:showCatName val="0"/>
              <c:showSerName val="0"/>
              <c:showPercent val="0"/>
              <c:showBubbleSize val="0"/>
            </c:dLbl>
            <c:txPr>
              <a:bodyPr/>
              <a:lstStyle/>
              <a:p>
                <a:pPr>
                  <a:defRPr sz="800"/>
                </a:pPr>
                <a:endParaRPr lang="en-US"/>
              </a:p>
            </c:txPr>
            <c:dLblPos val="inEnd"/>
            <c:showLegendKey val="0"/>
            <c:showVal val="1"/>
            <c:showCatName val="0"/>
            <c:showSerName val="0"/>
            <c:showPercent val="0"/>
            <c:showBubbleSize val="0"/>
            <c:showLeaderLines val="0"/>
          </c:dLbls>
          <c:cat>
            <c:strRef>
              <c:f>'Page 26 (Children)'!$B$9:$D$9</c:f>
              <c:strCache>
                <c:ptCount val="3"/>
                <c:pt idx="0">
                  <c:v>Total Population</c:v>
                </c:pt>
                <c:pt idx="1">
                  <c:v>Black</c:v>
                </c:pt>
                <c:pt idx="2">
                  <c:v>White</c:v>
                </c:pt>
              </c:strCache>
            </c:strRef>
          </c:cat>
          <c:val>
            <c:numRef>
              <c:f>'Page 26 (Children)'!$B$10:$D$10</c:f>
              <c:numCache>
                <c:formatCode>0.0%</c:formatCode>
                <c:ptCount val="3"/>
                <c:pt idx="0">
                  <c:v>5.0000000000000001E-3</c:v>
                </c:pt>
                <c:pt idx="1">
                  <c:v>0</c:v>
                </c:pt>
                <c:pt idx="2">
                  <c:v>6.0000000000000001E-3</c:v>
                </c:pt>
              </c:numCache>
            </c:numRef>
          </c:val>
        </c:ser>
        <c:ser>
          <c:idx val="1"/>
          <c:order val="1"/>
          <c:tx>
            <c:strRef>
              <c:f>'Page 26 (Children)'!$A$11</c:f>
              <c:strCache>
                <c:ptCount val="1"/>
                <c:pt idx="0">
                  <c:v>Localized</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26 (Children)'!$B$9:$D$9</c:f>
              <c:strCache>
                <c:ptCount val="3"/>
                <c:pt idx="0">
                  <c:v>Total Population</c:v>
                </c:pt>
                <c:pt idx="1">
                  <c:v>Black</c:v>
                </c:pt>
                <c:pt idx="2">
                  <c:v>White</c:v>
                </c:pt>
              </c:strCache>
            </c:strRef>
          </c:cat>
          <c:val>
            <c:numRef>
              <c:f>'Page 26 (Children)'!$B$11:$D$11</c:f>
              <c:numCache>
                <c:formatCode>0.0%</c:formatCode>
                <c:ptCount val="3"/>
                <c:pt idx="0">
                  <c:v>0.39800000000000002</c:v>
                </c:pt>
                <c:pt idx="1">
                  <c:v>0.4</c:v>
                </c:pt>
                <c:pt idx="2">
                  <c:v>0.39900000000000002</c:v>
                </c:pt>
              </c:numCache>
            </c:numRef>
          </c:val>
        </c:ser>
        <c:ser>
          <c:idx val="2"/>
          <c:order val="2"/>
          <c:tx>
            <c:strRef>
              <c:f>'Page 26 (Children)'!$A$12</c:f>
              <c:strCache>
                <c:ptCount val="1"/>
                <c:pt idx="0">
                  <c:v>Regional</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26 (Children)'!$B$9:$D$9</c:f>
              <c:strCache>
                <c:ptCount val="3"/>
                <c:pt idx="0">
                  <c:v>Total Population</c:v>
                </c:pt>
                <c:pt idx="1">
                  <c:v>Black</c:v>
                </c:pt>
                <c:pt idx="2">
                  <c:v>White</c:v>
                </c:pt>
              </c:strCache>
            </c:strRef>
          </c:cat>
          <c:val>
            <c:numRef>
              <c:f>'Page 26 (Children)'!$B$12:$D$12</c:f>
              <c:numCache>
                <c:formatCode>0.0%</c:formatCode>
                <c:ptCount val="3"/>
                <c:pt idx="0">
                  <c:v>0.151</c:v>
                </c:pt>
                <c:pt idx="1">
                  <c:v>0.14899999999999999</c:v>
                </c:pt>
                <c:pt idx="2">
                  <c:v>0.154</c:v>
                </c:pt>
              </c:numCache>
            </c:numRef>
          </c:val>
        </c:ser>
        <c:ser>
          <c:idx val="3"/>
          <c:order val="3"/>
          <c:tx>
            <c:strRef>
              <c:f>'Page 26 (Children)'!$A$13</c:f>
              <c:strCache>
                <c:ptCount val="1"/>
                <c:pt idx="0">
                  <c:v>Distant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'Page 26 (Children)'!$B$9:$D$9</c:f>
              <c:strCache>
                <c:ptCount val="3"/>
                <c:pt idx="0">
                  <c:v>Total Population</c:v>
                </c:pt>
                <c:pt idx="1">
                  <c:v>Black</c:v>
                </c:pt>
                <c:pt idx="2">
                  <c:v>White</c:v>
                </c:pt>
              </c:strCache>
            </c:strRef>
          </c:cat>
          <c:val>
            <c:numRef>
              <c:f>'Page 26 (Children)'!$B$13:$D$13</c:f>
              <c:numCache>
                <c:formatCode>0.0%</c:formatCode>
                <c:ptCount val="3"/>
                <c:pt idx="0">
                  <c:v>0.44600000000000001</c:v>
                </c:pt>
                <c:pt idx="1">
                  <c:v>0.45100000000000001</c:v>
                </c:pt>
                <c:pt idx="2">
                  <c:v>0.441</c:v>
                </c:pt>
              </c:numCache>
            </c:numRef>
          </c:val>
        </c:ser>
        <c:dLbls>
          <c:showLegendKey val="0"/>
          <c:showVal val="1"/>
          <c:showCatName val="0"/>
          <c:showSerName val="0"/>
          <c:showPercent val="0"/>
          <c:showBubbleSize val="0"/>
        </c:dLbls>
        <c:gapWidth val="150"/>
        <c:overlap val="100"/>
        <c:axId val="218242048"/>
        <c:axId val="170849344"/>
      </c:barChart>
      <c:catAx>
        <c:axId val="218242048"/>
        <c:scaling>
          <c:orientation val="minMax"/>
        </c:scaling>
        <c:delete val="0"/>
        <c:axPos val="b"/>
        <c:majorTickMark val="out"/>
        <c:minorTickMark val="none"/>
        <c:tickLblPos val="nextTo"/>
        <c:txPr>
          <a:bodyPr/>
          <a:lstStyle/>
          <a:p>
            <a:pPr>
              <a:defRPr sz="900"/>
            </a:pPr>
            <a:endParaRPr lang="en-US"/>
          </a:p>
        </c:txPr>
        <c:crossAx val="170849344"/>
        <c:crosses val="autoZero"/>
        <c:auto val="1"/>
        <c:lblAlgn val="ctr"/>
        <c:lblOffset val="100"/>
        <c:noMultiLvlLbl val="0"/>
      </c:catAx>
      <c:valAx>
        <c:axId val="170849344"/>
        <c:scaling>
          <c:orientation val="minMax"/>
        </c:scaling>
        <c:delete val="0"/>
        <c:axPos val="l"/>
        <c:title>
          <c:tx>
            <c:rich>
              <a:bodyPr rot="-5400000" vert="horz"/>
              <a:lstStyle/>
              <a:p>
                <a:pPr>
                  <a:defRPr sz="900"/>
                </a:pPr>
                <a:r>
                  <a:rPr lang="en-US" sz="900"/>
                  <a:t>Percent</a:t>
                </a:r>
              </a:p>
            </c:rich>
          </c:tx>
          <c:overlay val="0"/>
        </c:title>
        <c:numFmt formatCode="0%" sourceLinked="1"/>
        <c:majorTickMark val="out"/>
        <c:minorTickMark val="none"/>
        <c:tickLblPos val="nextTo"/>
        <c:txPr>
          <a:bodyPr/>
          <a:lstStyle/>
          <a:p>
            <a:pPr>
              <a:defRPr sz="900"/>
            </a:pPr>
            <a:endParaRPr lang="en-US"/>
          </a:p>
        </c:txPr>
        <c:crossAx val="218242048"/>
        <c:crosses val="autoZero"/>
        <c:crossBetween val="between"/>
        <c:majorUnit val="0.2"/>
      </c:valAx>
    </c:plotArea>
    <c:legend>
      <c:legendPos val="r"/>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Cancer Mortality, All Sites Combined, </a:t>
            </a:r>
          </a:p>
          <a:p>
            <a:pPr>
              <a:defRPr/>
            </a:pPr>
            <a:r>
              <a:rPr lang="en-US"/>
              <a:t>Tennessee and the United States, 1992-2012</a:t>
            </a:r>
          </a:p>
        </c:rich>
      </c:tx>
      <c:layout>
        <c:manualLayout>
          <c:xMode val="edge"/>
          <c:yMode val="edge"/>
          <c:x val="0.29348783923802801"/>
          <c:y val="2.4008235716044955E-2"/>
        </c:manualLayout>
      </c:layout>
      <c:overlay val="0"/>
    </c:title>
    <c:autoTitleDeleted val="0"/>
    <c:plotArea>
      <c:layout>
        <c:manualLayout>
          <c:layoutTarget val="inner"/>
          <c:xMode val="edge"/>
          <c:yMode val="edge"/>
          <c:x val="0.11305390219746815"/>
          <c:y val="0.15407332147997629"/>
          <c:w val="0.84456859611104029"/>
          <c:h val="0.63064789049696235"/>
        </c:manualLayout>
      </c:layout>
      <c:lineChart>
        <c:grouping val="standard"/>
        <c:varyColors val="0"/>
        <c:ser>
          <c:idx val="0"/>
          <c:order val="0"/>
          <c:tx>
            <c:strRef>
              <c:f>'Page 2 (Mortality Trend)'!$B$2</c:f>
              <c:strCache>
                <c:ptCount val="1"/>
                <c:pt idx="0">
                  <c:v>Tennessee</c:v>
                </c:pt>
              </c:strCache>
            </c:strRef>
          </c:tx>
          <c:marker>
            <c:symbol val="triangle"/>
            <c:size val="6"/>
          </c:marker>
          <c:dLbls>
            <c:numFmt formatCode="#,##0" sourceLinked="0"/>
            <c:txPr>
              <a:bodyPr/>
              <a:lstStyle/>
              <a:p>
                <a:pPr>
                  <a:defRPr sz="800"/>
                </a:pPr>
                <a:endParaRPr lang="en-US"/>
              </a:p>
            </c:txPr>
            <c:dLblPos val="t"/>
            <c:showLegendKey val="0"/>
            <c:showVal val="1"/>
            <c:showCatName val="0"/>
            <c:showSerName val="0"/>
            <c:showPercent val="0"/>
            <c:showBubbleSize val="0"/>
            <c:showLeaderLines val="0"/>
          </c:dLbls>
          <c:cat>
            <c:numRef>
              <c:f>'Page 2 (Mortality Trend)'!$A$3:$A$23</c:f>
              <c:numCache>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Cache>
            </c:numRef>
          </c:cat>
          <c:val>
            <c:numRef>
              <c:f>'Page 2 (Mortality Trend)'!$B$3:$B$23</c:f>
              <c:numCache>
                <c:formatCode>0.0</c:formatCode>
                <c:ptCount val="21"/>
                <c:pt idx="0">
                  <c:v>219.7</c:v>
                </c:pt>
                <c:pt idx="1">
                  <c:v>221</c:v>
                </c:pt>
                <c:pt idx="2">
                  <c:v>223</c:v>
                </c:pt>
                <c:pt idx="3">
                  <c:v>223.3</c:v>
                </c:pt>
                <c:pt idx="4">
                  <c:v>219.2</c:v>
                </c:pt>
                <c:pt idx="5">
                  <c:v>219.4</c:v>
                </c:pt>
                <c:pt idx="6">
                  <c:v>217.9</c:v>
                </c:pt>
                <c:pt idx="7">
                  <c:v>214</c:v>
                </c:pt>
                <c:pt idx="8">
                  <c:v>218</c:v>
                </c:pt>
                <c:pt idx="9">
                  <c:v>213.2</c:v>
                </c:pt>
                <c:pt idx="10">
                  <c:v>215</c:v>
                </c:pt>
                <c:pt idx="11">
                  <c:v>212.8</c:v>
                </c:pt>
                <c:pt idx="12">
                  <c:v>208.4</c:v>
                </c:pt>
                <c:pt idx="13">
                  <c:v>210.6</c:v>
                </c:pt>
                <c:pt idx="14">
                  <c:v>205</c:v>
                </c:pt>
                <c:pt idx="15">
                  <c:v>200.9</c:v>
                </c:pt>
                <c:pt idx="16">
                  <c:v>196.3</c:v>
                </c:pt>
                <c:pt idx="17">
                  <c:v>196.6</c:v>
                </c:pt>
                <c:pt idx="18">
                  <c:v>193.5</c:v>
                </c:pt>
                <c:pt idx="19">
                  <c:v>187.6</c:v>
                </c:pt>
                <c:pt idx="20">
                  <c:v>186</c:v>
                </c:pt>
              </c:numCache>
            </c:numRef>
          </c:val>
          <c:smooth val="0"/>
        </c:ser>
        <c:ser>
          <c:idx val="1"/>
          <c:order val="1"/>
          <c:tx>
            <c:strRef>
              <c:f>'Page 2 (Mortality Trend)'!$C$2</c:f>
              <c:strCache>
                <c:ptCount val="1"/>
                <c:pt idx="0">
                  <c:v>United States</c:v>
                </c:pt>
              </c:strCache>
            </c:strRef>
          </c:tx>
          <c:marker>
            <c:symbol val="circle"/>
            <c:size val="6"/>
          </c:marker>
          <c:dLbls>
            <c:numFmt formatCode="#,##0" sourceLinked="0"/>
            <c:txPr>
              <a:bodyPr/>
              <a:lstStyle/>
              <a:p>
                <a:pPr>
                  <a:defRPr sz="800"/>
                </a:pPr>
                <a:endParaRPr lang="en-US"/>
              </a:p>
            </c:txPr>
            <c:dLblPos val="b"/>
            <c:showLegendKey val="0"/>
            <c:showVal val="1"/>
            <c:showCatName val="0"/>
            <c:showSerName val="0"/>
            <c:showPercent val="0"/>
            <c:showBubbleSize val="0"/>
            <c:showLeaderLines val="0"/>
          </c:dLbls>
          <c:cat>
            <c:numRef>
              <c:f>'Page 2 (Mortality Trend)'!$A$3:$A$23</c:f>
              <c:numCache>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Cache>
            </c:numRef>
          </c:cat>
          <c:val>
            <c:numRef>
              <c:f>'Page 2 (Mortality Trend)'!$C$3:$C$23</c:f>
              <c:numCache>
                <c:formatCode>0.0</c:formatCode>
                <c:ptCount val="21"/>
                <c:pt idx="0">
                  <c:v>213.5</c:v>
                </c:pt>
                <c:pt idx="1">
                  <c:v>213.4</c:v>
                </c:pt>
                <c:pt idx="2">
                  <c:v>211.7</c:v>
                </c:pt>
                <c:pt idx="3">
                  <c:v>209.9</c:v>
                </c:pt>
                <c:pt idx="4">
                  <c:v>207</c:v>
                </c:pt>
                <c:pt idx="5">
                  <c:v>203.6</c:v>
                </c:pt>
                <c:pt idx="6">
                  <c:v>200.8</c:v>
                </c:pt>
                <c:pt idx="7">
                  <c:v>200.7</c:v>
                </c:pt>
                <c:pt idx="8">
                  <c:v>198.8</c:v>
                </c:pt>
                <c:pt idx="9">
                  <c:v>196.3</c:v>
                </c:pt>
                <c:pt idx="10">
                  <c:v>194.4</c:v>
                </c:pt>
                <c:pt idx="11">
                  <c:v>190.9</c:v>
                </c:pt>
                <c:pt idx="12">
                  <c:v>186.8</c:v>
                </c:pt>
                <c:pt idx="13">
                  <c:v>185.2</c:v>
                </c:pt>
                <c:pt idx="14">
                  <c:v>182</c:v>
                </c:pt>
                <c:pt idx="15">
                  <c:v>179.3</c:v>
                </c:pt>
                <c:pt idx="16">
                  <c:v>176.3</c:v>
                </c:pt>
                <c:pt idx="17">
                  <c:v>173.4</c:v>
                </c:pt>
                <c:pt idx="18">
                  <c:v>171.8</c:v>
                </c:pt>
                <c:pt idx="19">
                  <c:v>168.7</c:v>
                </c:pt>
                <c:pt idx="20">
                  <c:v>166.4</c:v>
                </c:pt>
              </c:numCache>
            </c:numRef>
          </c:val>
          <c:smooth val="0"/>
        </c:ser>
        <c:dLbls>
          <c:showLegendKey val="0"/>
          <c:showVal val="0"/>
          <c:showCatName val="0"/>
          <c:showSerName val="0"/>
          <c:showPercent val="0"/>
          <c:showBubbleSize val="0"/>
        </c:dLbls>
        <c:marker val="1"/>
        <c:smooth val="0"/>
        <c:axId val="171312640"/>
        <c:axId val="218698240"/>
      </c:lineChart>
      <c:catAx>
        <c:axId val="171312640"/>
        <c:scaling>
          <c:orientation val="minMax"/>
        </c:scaling>
        <c:delete val="0"/>
        <c:axPos val="b"/>
        <c:title>
          <c:tx>
            <c:rich>
              <a:bodyPr/>
              <a:lstStyle/>
              <a:p>
                <a:pPr>
                  <a:defRPr/>
                </a:pPr>
                <a:r>
                  <a:rPr lang="en-US"/>
                  <a:t>Year of Death</a:t>
                </a:r>
              </a:p>
            </c:rich>
          </c:tx>
          <c:layout>
            <c:manualLayout>
              <c:xMode val="edge"/>
              <c:yMode val="edge"/>
              <c:x val="0.4776497408977724"/>
              <c:y val="0.8524043187478767"/>
            </c:manualLayout>
          </c:layout>
          <c:overlay val="0"/>
        </c:title>
        <c:numFmt formatCode="General" sourceLinked="1"/>
        <c:majorTickMark val="out"/>
        <c:minorTickMark val="none"/>
        <c:tickLblPos val="low"/>
        <c:txPr>
          <a:bodyPr rot="0" vert="horz"/>
          <a:lstStyle/>
          <a:p>
            <a:pPr>
              <a:defRPr sz="900"/>
            </a:pPr>
            <a:endParaRPr lang="en-US"/>
          </a:p>
        </c:txPr>
        <c:crossAx val="218698240"/>
        <c:crosses val="autoZero"/>
        <c:auto val="1"/>
        <c:lblAlgn val="ctr"/>
        <c:lblOffset val="100"/>
        <c:tickLblSkip val="2"/>
        <c:noMultiLvlLbl val="0"/>
      </c:catAx>
      <c:valAx>
        <c:axId val="218698240"/>
        <c:scaling>
          <c:orientation val="minMax"/>
          <c:max val="300"/>
        </c:scaling>
        <c:delete val="0"/>
        <c:axPos val="l"/>
        <c:title>
          <c:tx>
            <c:rich>
              <a:bodyPr rot="-5400000" vert="horz"/>
              <a:lstStyle/>
              <a:p>
                <a:pPr>
                  <a:defRPr sz="900"/>
                </a:pPr>
                <a:r>
                  <a:rPr lang="en-US" sz="900"/>
                  <a:t>Age-Adjusted Rate per 100,000</a:t>
                </a:r>
              </a:p>
            </c:rich>
          </c:tx>
          <c:layout>
            <c:manualLayout>
              <c:xMode val="edge"/>
              <c:yMode val="edge"/>
              <c:x val="2.1759001681676018E-2"/>
              <c:y val="0.32466502977450407"/>
            </c:manualLayout>
          </c:layout>
          <c:overlay val="0"/>
        </c:title>
        <c:numFmt formatCode="0" sourceLinked="0"/>
        <c:majorTickMark val="out"/>
        <c:minorTickMark val="none"/>
        <c:tickLblPos val="nextTo"/>
        <c:crossAx val="171312640"/>
        <c:crosses val="autoZero"/>
        <c:crossBetween val="between"/>
      </c:valAx>
    </c:plotArea>
    <c:legend>
      <c:legendPos val="b"/>
      <c:layout>
        <c:manualLayout>
          <c:xMode val="edge"/>
          <c:yMode val="edge"/>
          <c:x val="0.39080878779041511"/>
          <c:y val="0.91370586341801618"/>
          <c:w val="0.32686822800996024"/>
          <c:h val="6.6978399548964465E-2"/>
        </c:manualLayout>
      </c:layout>
      <c:overlay val="0"/>
      <c:txPr>
        <a:bodyPr/>
        <a:lstStyle/>
        <a:p>
          <a:pPr>
            <a:defRPr sz="900"/>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Leading</a:t>
            </a:r>
            <a:r>
              <a:rPr lang="en-US" sz="1300" baseline="0"/>
              <a:t> Causes of Cancer Incidence</a:t>
            </a:r>
          </a:p>
          <a:p>
            <a:pPr>
              <a:defRPr/>
            </a:pPr>
            <a:r>
              <a:rPr lang="en-US" sz="1300" baseline="0"/>
              <a:t>Children 0 -19 Years Old, Tennessee, 2008-2012</a:t>
            </a:r>
            <a:endParaRPr lang="en-US" sz="1300"/>
          </a:p>
        </c:rich>
      </c:tx>
      <c:layout>
        <c:manualLayout>
          <c:xMode val="edge"/>
          <c:yMode val="edge"/>
          <c:x val="0.40931362841255459"/>
          <c:y val="3.4048461319509567E-3"/>
        </c:manualLayout>
      </c:layout>
      <c:overlay val="0"/>
    </c:title>
    <c:autoTitleDeleted val="0"/>
    <c:plotArea>
      <c:layout>
        <c:manualLayout>
          <c:layoutTarget val="inner"/>
          <c:xMode val="edge"/>
          <c:yMode val="edge"/>
          <c:x val="0.2826516916826291"/>
          <c:y val="0.15252387089541983"/>
          <c:w val="0.70106030630049865"/>
          <c:h val="0.6716325737483122"/>
        </c:manualLayout>
      </c:layout>
      <c:barChart>
        <c:barDir val="bar"/>
        <c:grouping val="clustered"/>
        <c:varyColors val="0"/>
        <c:ser>
          <c:idx val="0"/>
          <c:order val="0"/>
          <c:tx>
            <c:v>Count</c:v>
          </c:tx>
          <c:spPr>
            <a:solidFill>
              <a:srgbClr val="FFC000"/>
            </a:solidFill>
            <a:ln>
              <a:solidFill>
                <a:schemeClr val="tx1"/>
              </a:solidFill>
            </a:ln>
          </c:spPr>
          <c:invertIfNegative val="0"/>
          <c:dLbls>
            <c:dLbl>
              <c:idx val="0"/>
              <c:layout>
                <c:manualLayout>
                  <c:x val="8.1172106036656085E-3"/>
                  <c:y val="0"/>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'Page 27 (Children)'!$A$2:$A$17</c:f>
              <c:strCache>
                <c:ptCount val="16"/>
                <c:pt idx="0">
                  <c:v>Other and Unspecified Malignant Neoplasms</c:v>
                </c:pt>
                <c:pt idx="1">
                  <c:v>Hepatic Tumors</c:v>
                </c:pt>
                <c:pt idx="2">
                  <c:v>Retinoblastoma</c:v>
                </c:pt>
                <c:pt idx="3">
                  <c:v>Malignant Bone Tumors</c:v>
                </c:pt>
                <c:pt idx="4">
                  <c:v>Neuroblastoma/Other Peripheral Nervous Cell Tumors</c:v>
                </c:pt>
                <c:pt idx="5">
                  <c:v>Germ Cell/Trophoblastic Tumors/Neoplasms of Gonads</c:v>
                </c:pt>
                <c:pt idx="6">
                  <c:v>Renal Tumors</c:v>
                </c:pt>
                <c:pt idx="7">
                  <c:v>Soft Tissue and Other Extraosseous Sarcomas</c:v>
                </c:pt>
                <c:pt idx="8">
                  <c:v>Other Malignant Epithelial Neoplasms &amp; Melanomas</c:v>
                </c:pt>
                <c:pt idx="9">
                  <c:v>Lymphomas </c:v>
                </c:pt>
                <c:pt idx="10">
                  <c:v>Cranial Nervous System</c:v>
                </c:pt>
                <c:pt idx="11">
                  <c:v>Leukemias</c:v>
                </c:pt>
                <c:pt idx="13">
                  <c:v>Not classified by ICCC or in situ</c:v>
                </c:pt>
                <c:pt idx="15">
                  <c:v>*Rates are per 1,000,000 and age-adjusted to the 2000 US Std Population (19 age groups - Census P25-1130) standard; Confidence intervals (Tiwari mod) are 95% for rates.</c:v>
                </c:pt>
              </c:strCache>
            </c:strRef>
          </c:cat>
          <c:val>
            <c:numRef>
              <c:f>'Page 27 (Children)'!$B$2:$B$13</c:f>
              <c:numCache>
                <c:formatCode>General</c:formatCode>
                <c:ptCount val="12"/>
                <c:pt idx="0">
                  <c:v>8</c:v>
                </c:pt>
                <c:pt idx="1">
                  <c:v>17</c:v>
                </c:pt>
                <c:pt idx="2">
                  <c:v>34</c:v>
                </c:pt>
                <c:pt idx="3">
                  <c:v>60</c:v>
                </c:pt>
                <c:pt idx="4">
                  <c:v>69</c:v>
                </c:pt>
                <c:pt idx="5">
                  <c:v>72</c:v>
                </c:pt>
                <c:pt idx="6">
                  <c:v>73</c:v>
                </c:pt>
                <c:pt idx="7">
                  <c:v>112</c:v>
                </c:pt>
                <c:pt idx="8">
                  <c:v>154</c:v>
                </c:pt>
                <c:pt idx="9">
                  <c:v>220</c:v>
                </c:pt>
                <c:pt idx="10">
                  <c:v>291</c:v>
                </c:pt>
                <c:pt idx="11">
                  <c:v>363</c:v>
                </c:pt>
              </c:numCache>
            </c:numRef>
          </c:val>
        </c:ser>
        <c:dLbls>
          <c:showLegendKey val="0"/>
          <c:showVal val="0"/>
          <c:showCatName val="0"/>
          <c:showSerName val="0"/>
          <c:showPercent val="0"/>
          <c:showBubbleSize val="0"/>
        </c:dLbls>
        <c:gapWidth val="150"/>
        <c:axId val="218409984"/>
        <c:axId val="170851072"/>
      </c:barChart>
      <c:barChart>
        <c:barDir val="bar"/>
        <c:grouping val="clustered"/>
        <c:varyColors val="0"/>
        <c:ser>
          <c:idx val="1"/>
          <c:order val="1"/>
          <c:tx>
            <c:v>Rate</c:v>
          </c:tx>
          <c:spPr>
            <a:ln>
              <a:solidFill>
                <a:schemeClr val="accent1"/>
              </a:solidFill>
            </a:ln>
          </c:spPr>
          <c:invertIfNegative val="0"/>
          <c:dLbls>
            <c:dLbl>
              <c:idx val="0"/>
              <c:layout>
                <c:manualLayout>
                  <c:x val="-6.8026759574038838E-3"/>
                  <c:y val="1.0845855798164582E-16"/>
                </c:manualLayout>
              </c:layout>
              <c:dLblPos val="outEnd"/>
              <c:showLegendKey val="0"/>
              <c:showVal val="1"/>
              <c:showCatName val="0"/>
              <c:showSerName val="0"/>
              <c:showPercent val="0"/>
              <c:showBubbleSize val="0"/>
            </c:dLbl>
            <c:dLbl>
              <c:idx val="2"/>
              <c:layout>
                <c:manualLayout>
                  <c:x val="-6.0657933314000722E-3"/>
                  <c:y val="0"/>
                </c:manualLayout>
              </c:layout>
              <c:dLblPos val="outEnd"/>
              <c:showLegendKey val="0"/>
              <c:showVal val="1"/>
              <c:showCatName val="0"/>
              <c:showSerName val="0"/>
              <c:showPercent val="0"/>
              <c:showBubbleSize val="0"/>
            </c:dLbl>
            <c:dLbl>
              <c:idx val="3"/>
              <c:layout>
                <c:manualLayout>
                  <c:x val="-5.4104102716897983E-3"/>
                  <c:y val="0"/>
                </c:manualLayout>
              </c:layout>
              <c:dLblPos val="outEnd"/>
              <c:showLegendKey val="0"/>
              <c:showVal val="1"/>
              <c:showCatName val="0"/>
              <c:showSerName val="0"/>
              <c:showPercent val="0"/>
              <c:showBubbleSize val="0"/>
            </c:dLbl>
            <c:dLbl>
              <c:idx val="4"/>
              <c:layout>
                <c:manualLayout>
                  <c:x val="-5.1950020440828994E-3"/>
                  <c:y val="0"/>
                </c:manualLayout>
              </c:layout>
              <c:dLblPos val="outEnd"/>
              <c:showLegendKey val="0"/>
              <c:showVal val="1"/>
              <c:showCatName val="0"/>
              <c:showSerName val="0"/>
              <c:showPercent val="0"/>
              <c:showBubbleSize val="0"/>
            </c:dLbl>
            <c:dLbl>
              <c:idx val="5"/>
              <c:layout>
                <c:manualLayout>
                  <c:x val="-5.303962056278106E-3"/>
                  <c:y val="-2.3262825260822797E-7"/>
                </c:manualLayout>
              </c:layout>
              <c:dLblPos val="outEnd"/>
              <c:showLegendKey val="0"/>
              <c:showVal val="1"/>
              <c:showCatName val="0"/>
              <c:showSerName val="0"/>
              <c:showPercent val="0"/>
              <c:showBubbleSize val="0"/>
            </c:dLbl>
            <c:dLbl>
              <c:idx val="6"/>
              <c:layout>
                <c:manualLayout>
                  <c:x val="-4.7859256230988294E-3"/>
                  <c:y val="0"/>
                </c:manualLayout>
              </c:layout>
              <c:dLblPos val="outEnd"/>
              <c:showLegendKey val="0"/>
              <c:showVal val="1"/>
              <c:showCatName val="0"/>
              <c:showSerName val="0"/>
              <c:showPercent val="0"/>
              <c:showBubbleSize val="0"/>
            </c:dLbl>
            <c:dLbl>
              <c:idx val="7"/>
              <c:layout>
                <c:manualLayout>
                  <c:x val="-2.4999996002111526E-2"/>
                  <c:y val="1.2630819620902323E-5"/>
                </c:manualLayout>
              </c:layout>
              <c:dLblPos val="outEnd"/>
              <c:showLegendKey val="0"/>
              <c:showVal val="1"/>
              <c:showCatName val="0"/>
              <c:showSerName val="0"/>
              <c:showPercent val="0"/>
              <c:showBubbleSize val="0"/>
            </c:dLbl>
            <c:txPr>
              <a:bodyPr/>
              <a:lstStyle/>
              <a:p>
                <a:pPr>
                  <a:defRPr sz="800"/>
                </a:pPr>
                <a:endParaRPr lang="en-US"/>
              </a:p>
            </c:txPr>
            <c:dLblPos val="inBase"/>
            <c:showLegendKey val="0"/>
            <c:showVal val="1"/>
            <c:showCatName val="0"/>
            <c:showSerName val="0"/>
            <c:showPercent val="0"/>
            <c:showBubbleSize val="0"/>
            <c:showLeaderLines val="0"/>
          </c:dLbls>
          <c:val>
            <c:numRef>
              <c:f>'Page 27 (Children)'!$C$2:$C$13</c:f>
              <c:numCache>
                <c:formatCode>0.0</c:formatCode>
                <c:ptCount val="12"/>
                <c:pt idx="0">
                  <c:v>1</c:v>
                </c:pt>
                <c:pt idx="1">
                  <c:v>2</c:v>
                </c:pt>
                <c:pt idx="2">
                  <c:v>4.0999999999999996</c:v>
                </c:pt>
                <c:pt idx="3">
                  <c:v>7.2</c:v>
                </c:pt>
                <c:pt idx="4">
                  <c:v>8.3000000000000007</c:v>
                </c:pt>
                <c:pt idx="5">
                  <c:v>9</c:v>
                </c:pt>
                <c:pt idx="6">
                  <c:v>8.6999999999999993</c:v>
                </c:pt>
                <c:pt idx="7">
                  <c:v>13.3</c:v>
                </c:pt>
                <c:pt idx="8">
                  <c:v>18</c:v>
                </c:pt>
                <c:pt idx="9">
                  <c:v>26.1</c:v>
                </c:pt>
                <c:pt idx="10">
                  <c:v>34.9</c:v>
                </c:pt>
                <c:pt idx="11">
                  <c:v>43.4</c:v>
                </c:pt>
              </c:numCache>
            </c:numRef>
          </c:val>
        </c:ser>
        <c:dLbls>
          <c:showLegendKey val="0"/>
          <c:showVal val="0"/>
          <c:showCatName val="0"/>
          <c:showSerName val="0"/>
          <c:showPercent val="0"/>
          <c:showBubbleSize val="0"/>
        </c:dLbls>
        <c:gapWidth val="150"/>
        <c:axId val="218890240"/>
        <c:axId val="170851648"/>
      </c:barChart>
      <c:catAx>
        <c:axId val="218409984"/>
        <c:scaling>
          <c:orientation val="minMax"/>
        </c:scaling>
        <c:delete val="0"/>
        <c:axPos val="l"/>
        <c:majorTickMark val="out"/>
        <c:minorTickMark val="none"/>
        <c:tickLblPos val="nextTo"/>
        <c:txPr>
          <a:bodyPr/>
          <a:lstStyle/>
          <a:p>
            <a:pPr>
              <a:defRPr sz="900"/>
            </a:pPr>
            <a:endParaRPr lang="en-US"/>
          </a:p>
        </c:txPr>
        <c:crossAx val="170851072"/>
        <c:crosses val="autoZero"/>
        <c:auto val="1"/>
        <c:lblAlgn val="ctr"/>
        <c:lblOffset val="100"/>
        <c:noMultiLvlLbl val="0"/>
      </c:catAx>
      <c:valAx>
        <c:axId val="170851072"/>
        <c:scaling>
          <c:orientation val="minMax"/>
        </c:scaling>
        <c:delete val="0"/>
        <c:axPos val="b"/>
        <c:title>
          <c:tx>
            <c:rich>
              <a:bodyPr/>
              <a:lstStyle/>
              <a:p>
                <a:pPr>
                  <a:defRPr/>
                </a:pPr>
                <a:r>
                  <a:rPr lang="en-US"/>
                  <a:t>Number</a:t>
                </a:r>
                <a:r>
                  <a:rPr lang="en-US" baseline="0"/>
                  <a:t> (Rate </a:t>
                </a:r>
                <a:r>
                  <a:rPr lang="en-US"/>
                  <a:t>of New</a:t>
                </a:r>
                <a:r>
                  <a:rPr lang="en-US" baseline="0"/>
                  <a:t> Cases*)</a:t>
                </a:r>
                <a:endParaRPr lang="en-US"/>
              </a:p>
            </c:rich>
          </c:tx>
          <c:overlay val="0"/>
        </c:title>
        <c:numFmt formatCode="General" sourceLinked="1"/>
        <c:majorTickMark val="out"/>
        <c:minorTickMark val="none"/>
        <c:tickLblPos val="nextTo"/>
        <c:txPr>
          <a:bodyPr/>
          <a:lstStyle/>
          <a:p>
            <a:pPr>
              <a:defRPr sz="900"/>
            </a:pPr>
            <a:endParaRPr lang="en-US"/>
          </a:p>
        </c:txPr>
        <c:crossAx val="218409984"/>
        <c:crosses val="autoZero"/>
        <c:crossBetween val="between"/>
        <c:majorUnit val="100"/>
      </c:valAx>
      <c:valAx>
        <c:axId val="170851648"/>
        <c:scaling>
          <c:orientation val="minMax"/>
        </c:scaling>
        <c:delete val="1"/>
        <c:axPos val="t"/>
        <c:numFmt formatCode="0.0" sourceLinked="1"/>
        <c:majorTickMark val="out"/>
        <c:minorTickMark val="none"/>
        <c:tickLblPos val="nextTo"/>
        <c:crossAx val="218890240"/>
        <c:crosses val="max"/>
        <c:crossBetween val="between"/>
      </c:valAx>
      <c:catAx>
        <c:axId val="218890240"/>
        <c:scaling>
          <c:orientation val="minMax"/>
        </c:scaling>
        <c:delete val="1"/>
        <c:axPos val="l"/>
        <c:majorTickMark val="out"/>
        <c:minorTickMark val="none"/>
        <c:tickLblPos val="nextTo"/>
        <c:crossAx val="170851648"/>
        <c:crosses val="autoZero"/>
        <c:auto val="1"/>
        <c:lblAlgn val="ctr"/>
        <c:lblOffset val="100"/>
        <c:noMultiLvlLbl val="0"/>
      </c:catAx>
      <c:spPr>
        <a:solidFill>
          <a:schemeClr val="accent6">
            <a:lumMod val="20000"/>
            <a:lumOff val="80000"/>
          </a:schemeClr>
        </a:solidFill>
      </c:spPr>
    </c:plotArea>
    <c:legend>
      <c:legendPos val="r"/>
      <c:layout>
        <c:manualLayout>
          <c:xMode val="edge"/>
          <c:yMode val="edge"/>
          <c:x val="0.90289706649555745"/>
          <c:y val="0.5561340311502978"/>
          <c:w val="6.0413534098516228E-2"/>
          <c:h val="8.726951449485329E-2"/>
        </c:manualLayout>
      </c:layout>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Prevalence of Screening, Tennessee, 2012</a:t>
            </a:r>
          </a:p>
        </c:rich>
      </c:tx>
      <c:overlay val="0"/>
    </c:title>
    <c:autoTitleDeleted val="0"/>
    <c:plotArea>
      <c:layout>
        <c:manualLayout>
          <c:layoutTarget val="inner"/>
          <c:xMode val="edge"/>
          <c:yMode val="edge"/>
          <c:x val="0.10716907261592301"/>
          <c:y val="0.14850721784776902"/>
          <c:w val="0.88072965879265097"/>
          <c:h val="0.6260940194146819"/>
        </c:manualLayout>
      </c:layout>
      <c:barChart>
        <c:barDir val="col"/>
        <c:grouping val="clustered"/>
        <c:varyColors val="0"/>
        <c:ser>
          <c:idx val="0"/>
          <c:order val="0"/>
          <c:tx>
            <c:strRef>
              <c:f>Screening!$B$49</c:f>
              <c:strCache>
                <c:ptCount val="1"/>
                <c:pt idx="0">
                  <c:v>Tennessee</c:v>
                </c:pt>
              </c:strCache>
            </c:strRef>
          </c:tx>
          <c:spPr>
            <a:solidFill>
              <a:schemeClr val="tx2"/>
            </a:solidFill>
            <a:ln>
              <a:solidFill>
                <a:sysClr val="windowText" lastClr="000000"/>
              </a:solidFill>
            </a:ln>
          </c:spPr>
          <c:invertIfNegative val="0"/>
          <c:dLbls>
            <c:txPr>
              <a:bodyPr/>
              <a:lstStyle/>
              <a:p>
                <a:pPr>
                  <a:defRPr sz="900"/>
                </a:pPr>
                <a:endParaRPr lang="en-US"/>
              </a:p>
            </c:txPr>
            <c:showLegendKey val="0"/>
            <c:showVal val="1"/>
            <c:showCatName val="0"/>
            <c:showSerName val="0"/>
            <c:showPercent val="0"/>
            <c:showBubbleSize val="0"/>
            <c:showLeaderLines val="0"/>
          </c:dLbls>
          <c:cat>
            <c:strRef>
              <c:f>Screening!$A$50:$A$53</c:f>
              <c:strCache>
                <c:ptCount val="4"/>
                <c:pt idx="0">
                  <c:v>Ever had a Sigmoidoscopy or Colonoscopy, Ages 50+</c:v>
                </c:pt>
                <c:pt idx="1">
                  <c:v>Mammogram in Past 2 Years, Women Ages 40+</c:v>
                </c:pt>
                <c:pt idx="2">
                  <c:v>Ever had a Pap test, Women Ages 18+</c:v>
                </c:pt>
                <c:pt idx="3">
                  <c:v>PSA Test in Past 2 Years, Men Ages 40+</c:v>
                </c:pt>
              </c:strCache>
            </c:strRef>
          </c:cat>
          <c:val>
            <c:numRef>
              <c:f>Screening!$B$50:$B$53</c:f>
              <c:numCache>
                <c:formatCode>0.0</c:formatCode>
                <c:ptCount val="4"/>
                <c:pt idx="0">
                  <c:v>67.8</c:v>
                </c:pt>
                <c:pt idx="1">
                  <c:v>74</c:v>
                </c:pt>
                <c:pt idx="2">
                  <c:v>91.7</c:v>
                </c:pt>
                <c:pt idx="3">
                  <c:v>51.2</c:v>
                </c:pt>
              </c:numCache>
            </c:numRef>
          </c:val>
        </c:ser>
        <c:dLbls>
          <c:showLegendKey val="0"/>
          <c:showVal val="0"/>
          <c:showCatName val="0"/>
          <c:showSerName val="0"/>
          <c:showPercent val="0"/>
          <c:showBubbleSize val="0"/>
        </c:dLbls>
        <c:gapWidth val="150"/>
        <c:axId val="218893312"/>
        <c:axId val="193274432"/>
      </c:barChart>
      <c:catAx>
        <c:axId val="218893312"/>
        <c:scaling>
          <c:orientation val="minMax"/>
        </c:scaling>
        <c:delete val="0"/>
        <c:axPos val="b"/>
        <c:majorTickMark val="out"/>
        <c:minorTickMark val="none"/>
        <c:tickLblPos val="nextTo"/>
        <c:txPr>
          <a:bodyPr/>
          <a:lstStyle/>
          <a:p>
            <a:pPr>
              <a:defRPr sz="900"/>
            </a:pPr>
            <a:endParaRPr lang="en-US"/>
          </a:p>
        </c:txPr>
        <c:crossAx val="193274432"/>
        <c:crosses val="autoZero"/>
        <c:auto val="1"/>
        <c:lblAlgn val="ctr"/>
        <c:lblOffset val="100"/>
        <c:noMultiLvlLbl val="0"/>
      </c:catAx>
      <c:valAx>
        <c:axId val="193274432"/>
        <c:scaling>
          <c:orientation val="minMax"/>
        </c:scaling>
        <c:delete val="0"/>
        <c:axPos val="l"/>
        <c:title>
          <c:tx>
            <c:rich>
              <a:bodyPr rot="-5400000" vert="horz"/>
              <a:lstStyle/>
              <a:p>
                <a:pPr>
                  <a:defRPr sz="900"/>
                </a:pPr>
                <a:r>
                  <a:rPr lang="en-US" sz="900"/>
                  <a:t>Percent</a:t>
                </a:r>
              </a:p>
            </c:rich>
          </c:tx>
          <c:overlay val="0"/>
        </c:title>
        <c:numFmt formatCode="0.0" sourceLinked="1"/>
        <c:majorTickMark val="out"/>
        <c:minorTickMark val="none"/>
        <c:tickLblPos val="nextTo"/>
        <c:txPr>
          <a:bodyPr/>
          <a:lstStyle/>
          <a:p>
            <a:pPr>
              <a:defRPr sz="900"/>
            </a:pPr>
            <a:endParaRPr lang="en-US"/>
          </a:p>
        </c:txPr>
        <c:crossAx val="218893312"/>
        <c:crosses val="autoZero"/>
        <c:crossBetween val="between"/>
      </c:valAx>
    </c:plotArea>
    <c:plotVisOnly val="1"/>
    <c:dispBlanksAs val="gap"/>
    <c:showDLblsOverMax val="0"/>
  </c:chart>
  <c:spPr>
    <a:noFill/>
    <a:ln>
      <a:noFill/>
    </a:ln>
  </c:sp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Prevalence of Current Cigarette Use Among Adults, </a:t>
            </a:r>
          </a:p>
          <a:p>
            <a:pPr>
              <a:defRPr sz="1300"/>
            </a:pPr>
            <a:r>
              <a:rPr lang="en-US" sz="1300"/>
              <a:t>Tennessee, 1995-2012</a:t>
            </a:r>
          </a:p>
        </c:rich>
      </c:tx>
      <c:overlay val="0"/>
    </c:title>
    <c:autoTitleDeleted val="0"/>
    <c:plotArea>
      <c:layout>
        <c:manualLayout>
          <c:layoutTarget val="inner"/>
          <c:xMode val="edge"/>
          <c:yMode val="edge"/>
          <c:x val="0.10702696579657811"/>
          <c:y val="0.16936081009241602"/>
          <c:w val="0.8929730731246438"/>
          <c:h val="0.68648535734801752"/>
        </c:manualLayout>
      </c:layout>
      <c:barChart>
        <c:barDir val="col"/>
        <c:grouping val="clustered"/>
        <c:varyColors val="0"/>
        <c:ser>
          <c:idx val="0"/>
          <c:order val="0"/>
          <c:spPr>
            <a:solidFill>
              <a:srgbClr val="FF9933"/>
            </a:solidFill>
            <a:ln w="12700">
              <a:solidFill>
                <a:sysClr val="windowText" lastClr="000000"/>
              </a:solidFill>
            </a:ln>
          </c:spPr>
          <c:invertIfNegative val="0"/>
          <c:dLbls>
            <c:showLegendKey val="0"/>
            <c:showVal val="1"/>
            <c:showCatName val="0"/>
            <c:showSerName val="0"/>
            <c:showPercent val="0"/>
            <c:showBubbleSize val="0"/>
            <c:showLeaderLines val="0"/>
          </c:dLbls>
          <c:cat>
            <c:numRef>
              <c:f>'Page 28 (Prevalence)'!$M$25:$M$42</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'Page 28 (Prevalence)'!$N$25:$N$42</c:f>
              <c:numCache>
                <c:formatCode>0.0%</c:formatCode>
                <c:ptCount val="18"/>
                <c:pt idx="0">
                  <c:v>0.26500000000000001</c:v>
                </c:pt>
                <c:pt idx="1">
                  <c:v>0.28000000000000003</c:v>
                </c:pt>
                <c:pt idx="2">
                  <c:v>0.26900000000000002</c:v>
                </c:pt>
                <c:pt idx="3">
                  <c:v>0.26</c:v>
                </c:pt>
                <c:pt idx="4">
                  <c:v>0.248</c:v>
                </c:pt>
                <c:pt idx="5">
                  <c:v>0.25700000000000001</c:v>
                </c:pt>
                <c:pt idx="6">
                  <c:v>0.24399999999999999</c:v>
                </c:pt>
                <c:pt idx="7">
                  <c:v>0.27700000000000002</c:v>
                </c:pt>
                <c:pt idx="8">
                  <c:v>0.25600000000000001</c:v>
                </c:pt>
                <c:pt idx="9">
                  <c:v>0.26200000000000001</c:v>
                </c:pt>
                <c:pt idx="10">
                  <c:v>0.26700000000000002</c:v>
                </c:pt>
                <c:pt idx="11">
                  <c:v>0.22600000000000001</c:v>
                </c:pt>
                <c:pt idx="12">
                  <c:v>0.24299999999999999</c:v>
                </c:pt>
                <c:pt idx="13">
                  <c:v>0.23100000000000001</c:v>
                </c:pt>
                <c:pt idx="14">
                  <c:v>0.22</c:v>
                </c:pt>
                <c:pt idx="15">
                  <c:v>0.20100000000000001</c:v>
                </c:pt>
                <c:pt idx="16">
                  <c:v>0.23</c:v>
                </c:pt>
                <c:pt idx="17">
                  <c:v>0.249</c:v>
                </c:pt>
              </c:numCache>
            </c:numRef>
          </c:val>
        </c:ser>
        <c:dLbls>
          <c:showLegendKey val="0"/>
          <c:showVal val="0"/>
          <c:showCatName val="0"/>
          <c:showSerName val="0"/>
          <c:showPercent val="0"/>
          <c:showBubbleSize val="0"/>
        </c:dLbls>
        <c:gapWidth val="150"/>
        <c:axId val="219665408"/>
        <c:axId val="193276736"/>
      </c:barChart>
      <c:catAx>
        <c:axId val="219665408"/>
        <c:scaling>
          <c:orientation val="minMax"/>
        </c:scaling>
        <c:delete val="0"/>
        <c:axPos val="b"/>
        <c:title>
          <c:tx>
            <c:rich>
              <a:bodyPr rot="0" vert="horz"/>
              <a:lstStyle/>
              <a:p>
                <a:pPr>
                  <a:defRPr/>
                </a:pPr>
                <a:r>
                  <a:rPr lang="en-US"/>
                  <a:t>Year</a:t>
                </a:r>
              </a:p>
            </c:rich>
          </c:tx>
          <c:layout>
            <c:manualLayout>
              <c:xMode val="edge"/>
              <c:yMode val="edge"/>
              <c:x val="0.49805600060421684"/>
              <c:y val="0.91424960273435429"/>
            </c:manualLayout>
          </c:layout>
          <c:overlay val="0"/>
        </c:title>
        <c:numFmt formatCode="General" sourceLinked="1"/>
        <c:majorTickMark val="out"/>
        <c:minorTickMark val="none"/>
        <c:tickLblPos val="nextTo"/>
        <c:txPr>
          <a:bodyPr rot="0" vert="horz"/>
          <a:lstStyle/>
          <a:p>
            <a:pPr>
              <a:defRPr/>
            </a:pPr>
            <a:endParaRPr lang="en-US"/>
          </a:p>
        </c:txPr>
        <c:crossAx val="193276736"/>
        <c:crosses val="autoZero"/>
        <c:auto val="1"/>
        <c:lblAlgn val="ctr"/>
        <c:lblOffset val="100"/>
        <c:noMultiLvlLbl val="0"/>
      </c:catAx>
      <c:valAx>
        <c:axId val="193276736"/>
        <c:scaling>
          <c:orientation val="minMax"/>
        </c:scaling>
        <c:delete val="0"/>
        <c:axPos val="l"/>
        <c:title>
          <c:tx>
            <c:rich>
              <a:bodyPr rot="-5400000" vert="horz"/>
              <a:lstStyle/>
              <a:p>
                <a:pPr>
                  <a:defRPr/>
                </a:pPr>
                <a:r>
                  <a:rPr lang="en-US"/>
                  <a:t>Percent of Smokers</a:t>
                </a:r>
              </a:p>
            </c:rich>
          </c:tx>
          <c:overlay val="0"/>
        </c:title>
        <c:numFmt formatCode="0%" sourceLinked="0"/>
        <c:majorTickMark val="out"/>
        <c:minorTickMark val="none"/>
        <c:tickLblPos val="nextTo"/>
        <c:crossAx val="219665408"/>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en-US" sz="1300"/>
              <a:t>Incidence Rates, All Sites,</a:t>
            </a:r>
            <a:r>
              <a:rPr lang="en-US" sz="1300" baseline="0"/>
              <a:t> </a:t>
            </a:r>
          </a:p>
          <a:p>
            <a:pPr>
              <a:defRPr sz="1300"/>
            </a:pPr>
            <a:r>
              <a:rPr lang="en-US" sz="1300" baseline="0"/>
              <a:t>Tennessee and United States, 2012</a:t>
            </a:r>
            <a:r>
              <a:rPr lang="en-US" sz="1300"/>
              <a:t> </a:t>
            </a:r>
          </a:p>
        </c:rich>
      </c:tx>
      <c:overlay val="0"/>
    </c:title>
    <c:autoTitleDeleted val="0"/>
    <c:plotArea>
      <c:layout>
        <c:manualLayout>
          <c:layoutTarget val="inner"/>
          <c:xMode val="edge"/>
          <c:yMode val="edge"/>
          <c:x val="0.12463371659432262"/>
          <c:y val="0.21570743749016957"/>
          <c:w val="0.85473556399969275"/>
          <c:h val="0.50815215806357539"/>
        </c:manualLayout>
      </c:layout>
      <c:barChart>
        <c:barDir val="col"/>
        <c:grouping val="clustered"/>
        <c:varyColors val="0"/>
        <c:ser>
          <c:idx val="0"/>
          <c:order val="0"/>
          <c:tx>
            <c:strRef>
              <c:f>'Page 3 (TN Ranking I)'!$B$22</c:f>
              <c:strCache>
                <c:ptCount val="1"/>
                <c:pt idx="0">
                  <c:v>Tennessee</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3 (TN Ranking I)'!$H$23:$H$27</c:f>
                <c:numCache>
                  <c:formatCode>General</c:formatCode>
                  <c:ptCount val="5"/>
                  <c:pt idx="0">
                    <c:v>5</c:v>
                  </c:pt>
                  <c:pt idx="1">
                    <c:v>7.8999999999999773</c:v>
                  </c:pt>
                  <c:pt idx="2">
                    <c:v>6.5</c:v>
                  </c:pt>
                  <c:pt idx="3">
                    <c:v>14.299999999999955</c:v>
                  </c:pt>
                  <c:pt idx="4">
                    <c:v>5.3999999999999773</c:v>
                  </c:pt>
                </c:numCache>
              </c:numRef>
            </c:plus>
            <c:minus>
              <c:numRef>
                <c:f>'Page 3 (TN Ranking I)'!$G$23:$G$27</c:f>
                <c:numCache>
                  <c:formatCode>General</c:formatCode>
                  <c:ptCount val="5"/>
                  <c:pt idx="0">
                    <c:v>4.9000000000000341</c:v>
                  </c:pt>
                  <c:pt idx="1">
                    <c:v>7.8999999999999773</c:v>
                  </c:pt>
                  <c:pt idx="2">
                    <c:v>6.5</c:v>
                  </c:pt>
                  <c:pt idx="3">
                    <c:v>14</c:v>
                  </c:pt>
                  <c:pt idx="4">
                    <c:v>5.3000000000000114</c:v>
                  </c:pt>
                </c:numCache>
              </c:numRef>
            </c:minus>
          </c:errBars>
          <c:cat>
            <c:strRef>
              <c:f>'Page 3 (TN Ranking I)'!$A$23:$A$27</c:f>
              <c:strCache>
                <c:ptCount val="5"/>
                <c:pt idx="0">
                  <c:v>Total Population</c:v>
                </c:pt>
                <c:pt idx="1">
                  <c:v>Male</c:v>
                </c:pt>
                <c:pt idx="2">
                  <c:v>Female</c:v>
                </c:pt>
                <c:pt idx="3">
                  <c:v>Black</c:v>
                </c:pt>
                <c:pt idx="4">
                  <c:v>White</c:v>
                </c:pt>
              </c:strCache>
            </c:strRef>
          </c:cat>
          <c:val>
            <c:numRef>
              <c:f>'Page 3 (TN Ranking I)'!$B$23:$B$27</c:f>
              <c:numCache>
                <c:formatCode>General</c:formatCode>
                <c:ptCount val="5"/>
                <c:pt idx="0">
                  <c:v>452.6</c:v>
                </c:pt>
                <c:pt idx="1">
                  <c:v>511.5</c:v>
                </c:pt>
                <c:pt idx="2">
                  <c:v>412</c:v>
                </c:pt>
                <c:pt idx="3">
                  <c:v>448.6</c:v>
                </c:pt>
                <c:pt idx="4">
                  <c:v>451.5</c:v>
                </c:pt>
              </c:numCache>
            </c:numRef>
          </c:val>
        </c:ser>
        <c:ser>
          <c:idx val="1"/>
          <c:order val="1"/>
          <c:tx>
            <c:strRef>
              <c:f>'Page 3 (TN Ranking I)'!$C$22</c:f>
              <c:strCache>
                <c:ptCount val="1"/>
                <c:pt idx="0">
                  <c:v>United States</c:v>
                </c:pt>
              </c:strCache>
            </c:strRef>
          </c:tx>
          <c:spPr>
            <a:ln>
              <a:solidFill>
                <a:sysClr val="windowText" lastClr="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3 (TN Ranking I)'!$F$23:$F$27</c:f>
                <c:numCache>
                  <c:formatCode>General</c:formatCode>
                  <c:ptCount val="5"/>
                  <c:pt idx="0">
                    <c:v>0.69999999999998863</c:v>
                  </c:pt>
                  <c:pt idx="1">
                    <c:v>1</c:v>
                  </c:pt>
                  <c:pt idx="2">
                    <c:v>1</c:v>
                  </c:pt>
                  <c:pt idx="3">
                    <c:v>2.1999999999999886</c:v>
                  </c:pt>
                  <c:pt idx="4">
                    <c:v>0.69999999999998863</c:v>
                  </c:pt>
                </c:numCache>
              </c:numRef>
            </c:plus>
            <c:minus>
              <c:numRef>
                <c:f>'Page 3 (TN Ranking I)'!$E$23:$E$27</c:f>
                <c:numCache>
                  <c:formatCode>General</c:formatCode>
                  <c:ptCount val="5"/>
                  <c:pt idx="0">
                    <c:v>0.69999999999998863</c:v>
                  </c:pt>
                  <c:pt idx="1">
                    <c:v>1.0999999999999659</c:v>
                  </c:pt>
                  <c:pt idx="2">
                    <c:v>0.89999999999997726</c:v>
                  </c:pt>
                  <c:pt idx="3">
                    <c:v>2.1999999999999886</c:v>
                  </c:pt>
                  <c:pt idx="4">
                    <c:v>0.80000000000001137</c:v>
                  </c:pt>
                </c:numCache>
              </c:numRef>
            </c:minus>
          </c:errBars>
          <c:cat>
            <c:strRef>
              <c:f>'Page 3 (TN Ranking I)'!$A$23:$A$27</c:f>
              <c:strCache>
                <c:ptCount val="5"/>
                <c:pt idx="0">
                  <c:v>Total Population</c:v>
                </c:pt>
                <c:pt idx="1">
                  <c:v>Male</c:v>
                </c:pt>
                <c:pt idx="2">
                  <c:v>Female</c:v>
                </c:pt>
                <c:pt idx="3">
                  <c:v>Black</c:v>
                </c:pt>
                <c:pt idx="4">
                  <c:v>White</c:v>
                </c:pt>
              </c:strCache>
            </c:strRef>
          </c:cat>
          <c:val>
            <c:numRef>
              <c:f>'Page 3 (TN Ranking I)'!$C$23:$C$27</c:f>
              <c:numCache>
                <c:formatCode>General</c:formatCode>
                <c:ptCount val="5"/>
                <c:pt idx="0">
                  <c:v>432.3</c:v>
                </c:pt>
                <c:pt idx="1">
                  <c:v>472.9</c:v>
                </c:pt>
                <c:pt idx="2">
                  <c:v>405.2</c:v>
                </c:pt>
                <c:pt idx="3">
                  <c:v>439.3</c:v>
                </c:pt>
                <c:pt idx="4">
                  <c:v>432.2</c:v>
                </c:pt>
              </c:numCache>
            </c:numRef>
          </c:val>
        </c:ser>
        <c:dLbls>
          <c:showLegendKey val="0"/>
          <c:showVal val="0"/>
          <c:showCatName val="0"/>
          <c:showSerName val="0"/>
          <c:showPercent val="0"/>
          <c:showBubbleSize val="0"/>
        </c:dLbls>
        <c:gapWidth val="50"/>
        <c:axId val="187121664"/>
        <c:axId val="218699968"/>
      </c:barChart>
      <c:barChart>
        <c:barDir val="col"/>
        <c:grouping val="clustered"/>
        <c:varyColors val="0"/>
        <c:ser>
          <c:idx val="2"/>
          <c:order val="2"/>
          <c:tx>
            <c:strRef>
              <c:f>'Page 3 (TN Ranking I)'!$D$22</c:f>
              <c:strCache>
                <c:ptCount val="1"/>
                <c:pt idx="0">
                  <c:v>TN Ranking (Highest)</c:v>
                </c:pt>
              </c:strCache>
            </c:strRef>
          </c:tx>
          <c:spPr>
            <a:noFill/>
          </c:spPr>
          <c:invertIfNegative val="0"/>
          <c:dPt>
            <c:idx val="4"/>
            <c:invertIfNegative val="0"/>
            <c:bubble3D val="0"/>
            <c:spPr>
              <a:noFill/>
              <a:ln>
                <a:noFill/>
              </a:ln>
            </c:spPr>
          </c:dPt>
          <c:dLbls>
            <c:dLbl>
              <c:idx val="0"/>
              <c:layout>
                <c:manualLayout>
                  <c:x val="0"/>
                  <c:y val="4.3678915135608051E-2"/>
                </c:manualLayout>
              </c:layout>
              <c:dLblPos val="outEnd"/>
              <c:showLegendKey val="0"/>
              <c:showVal val="1"/>
              <c:showCatName val="0"/>
              <c:showSerName val="0"/>
              <c:showPercent val="0"/>
              <c:showBubbleSize val="0"/>
            </c:dLbl>
            <c:dLbl>
              <c:idx val="1"/>
              <c:layout>
                <c:manualLayout>
                  <c:x val="0"/>
                  <c:y val="3.8537109944590343E-2"/>
                </c:manualLayout>
              </c:layout>
              <c:dLblPos val="outEnd"/>
              <c:showLegendKey val="0"/>
              <c:showVal val="1"/>
              <c:showCatName val="0"/>
              <c:showSerName val="0"/>
              <c:showPercent val="0"/>
              <c:showBubbleSize val="0"/>
            </c:dLbl>
            <c:dLbl>
              <c:idx val="2"/>
              <c:layout>
                <c:manualLayout>
                  <c:x val="0"/>
                  <c:y val="5.259368620589093E-2"/>
                </c:manualLayout>
              </c:layout>
              <c:tx>
                <c:rich>
                  <a:bodyPr/>
                  <a:lstStyle/>
                  <a:p>
                    <a:r>
                      <a:rPr lang="en-US" sz="900"/>
                      <a:t>22nd</a:t>
                    </a:r>
                    <a:endParaRPr lang="en-US"/>
                  </a:p>
                </c:rich>
              </c:tx>
              <c:dLblPos val="outEnd"/>
              <c:showLegendKey val="0"/>
              <c:showVal val="1"/>
              <c:showCatName val="0"/>
              <c:showSerName val="0"/>
              <c:showPercent val="0"/>
              <c:showBubbleSize val="0"/>
            </c:dLbl>
            <c:dLbl>
              <c:idx val="3"/>
              <c:layout>
                <c:manualLayout>
                  <c:x val="0"/>
                  <c:y val="5.0022965879265094E-2"/>
                </c:manualLayout>
              </c:layout>
              <c:dLblPos val="outEnd"/>
              <c:showLegendKey val="0"/>
              <c:showVal val="1"/>
              <c:showCatName val="0"/>
              <c:showSerName val="0"/>
              <c:showPercent val="0"/>
              <c:showBubbleSize val="0"/>
            </c:dLbl>
            <c:dLbl>
              <c:idx val="4"/>
              <c:layout>
                <c:manualLayout>
                  <c:x val="0"/>
                  <c:y val="4.3678915135608051E-2"/>
                </c:manualLayout>
              </c:layout>
              <c:dLblPos val="outEnd"/>
              <c:showLegendKey val="0"/>
              <c:showVal val="1"/>
              <c:showCatName val="0"/>
              <c:showSerName val="0"/>
              <c:showPercent val="0"/>
              <c:showBubbleSize val="0"/>
            </c:dLbl>
            <c:numFmt formatCode="##&quot;th&quot;" sourceLinked="0"/>
            <c:spPr>
              <a:solidFill>
                <a:schemeClr val="bg2">
                  <a:lumMod val="90000"/>
                </a:schemeClr>
              </a:solidFill>
              <a:ln>
                <a:solidFill>
                  <a:sysClr val="windowText" lastClr="000000"/>
                </a:solidFill>
              </a:ln>
            </c:spPr>
            <c:txPr>
              <a:bodyPr/>
              <a:lstStyle/>
              <a:p>
                <a:pPr>
                  <a:defRPr sz="900"/>
                </a:pPr>
                <a:endParaRPr lang="en-US"/>
              </a:p>
            </c:txPr>
            <c:dLblPos val="inBase"/>
            <c:showLegendKey val="0"/>
            <c:showVal val="1"/>
            <c:showCatName val="0"/>
            <c:showSerName val="0"/>
            <c:showPercent val="0"/>
            <c:showBubbleSize val="0"/>
            <c:showLeaderLines val="0"/>
          </c:dLbls>
          <c:cat>
            <c:strRef>
              <c:f>'Page 3 (TN Ranking I)'!$A$23:$A$27</c:f>
              <c:strCache>
                <c:ptCount val="5"/>
                <c:pt idx="0">
                  <c:v>Total Population</c:v>
                </c:pt>
                <c:pt idx="1">
                  <c:v>Male</c:v>
                </c:pt>
                <c:pt idx="2">
                  <c:v>Female</c:v>
                </c:pt>
                <c:pt idx="3">
                  <c:v>Black</c:v>
                </c:pt>
                <c:pt idx="4">
                  <c:v>White</c:v>
                </c:pt>
              </c:strCache>
            </c:strRef>
          </c:cat>
          <c:val>
            <c:numRef>
              <c:f>'Page 3 (TN Ranking I)'!$D$23:$D$27</c:f>
              <c:numCache>
                <c:formatCode>General</c:formatCode>
                <c:ptCount val="5"/>
                <c:pt idx="0">
                  <c:v>17</c:v>
                </c:pt>
                <c:pt idx="1">
                  <c:v>11</c:v>
                </c:pt>
                <c:pt idx="2" formatCode="0">
                  <c:v>22</c:v>
                </c:pt>
                <c:pt idx="3" formatCode="0">
                  <c:v>19</c:v>
                </c:pt>
                <c:pt idx="4" formatCode="0">
                  <c:v>17</c:v>
                </c:pt>
              </c:numCache>
            </c:numRef>
          </c:val>
        </c:ser>
        <c:dLbls>
          <c:showLegendKey val="0"/>
          <c:showVal val="0"/>
          <c:showCatName val="0"/>
          <c:showSerName val="0"/>
          <c:showPercent val="0"/>
          <c:showBubbleSize val="0"/>
        </c:dLbls>
        <c:gapWidth val="150"/>
        <c:axId val="187122176"/>
        <c:axId val="218700544"/>
      </c:barChart>
      <c:catAx>
        <c:axId val="187121664"/>
        <c:scaling>
          <c:orientation val="minMax"/>
        </c:scaling>
        <c:delete val="0"/>
        <c:axPos val="b"/>
        <c:majorTickMark val="none"/>
        <c:minorTickMark val="none"/>
        <c:tickLblPos val="nextTo"/>
        <c:txPr>
          <a:bodyPr/>
          <a:lstStyle/>
          <a:p>
            <a:pPr>
              <a:defRPr sz="900"/>
            </a:pPr>
            <a:endParaRPr lang="en-US"/>
          </a:p>
        </c:txPr>
        <c:crossAx val="218699968"/>
        <c:crosses val="autoZero"/>
        <c:auto val="1"/>
        <c:lblAlgn val="ctr"/>
        <c:lblOffset val="100"/>
        <c:noMultiLvlLbl val="0"/>
      </c:catAx>
      <c:valAx>
        <c:axId val="218699968"/>
        <c:scaling>
          <c:orientation val="minMax"/>
        </c:scaling>
        <c:delete val="0"/>
        <c:axPos val="l"/>
        <c:title>
          <c:tx>
            <c:rich>
              <a:bodyPr/>
              <a:lstStyle/>
              <a:p>
                <a:pPr>
                  <a:defRPr sz="900"/>
                </a:pPr>
                <a:r>
                  <a:rPr lang="en-US" sz="900"/>
                  <a:t>Age-Adjusted rate per 100,000</a:t>
                </a:r>
              </a:p>
            </c:rich>
          </c:tx>
          <c:layout>
            <c:manualLayout>
              <c:xMode val="edge"/>
              <c:yMode val="edge"/>
              <c:x val="3.1133015337691954E-2"/>
              <c:y val="0.18935950714494018"/>
            </c:manualLayout>
          </c:layout>
          <c:overlay val="0"/>
        </c:title>
        <c:numFmt formatCode="General" sourceLinked="1"/>
        <c:majorTickMark val="out"/>
        <c:minorTickMark val="none"/>
        <c:tickLblPos val="nextTo"/>
        <c:txPr>
          <a:bodyPr/>
          <a:lstStyle/>
          <a:p>
            <a:pPr>
              <a:defRPr sz="900"/>
            </a:pPr>
            <a:endParaRPr lang="en-US"/>
          </a:p>
        </c:txPr>
        <c:crossAx val="187121664"/>
        <c:crosses val="autoZero"/>
        <c:crossBetween val="between"/>
      </c:valAx>
      <c:valAx>
        <c:axId val="218700544"/>
        <c:scaling>
          <c:orientation val="minMax"/>
        </c:scaling>
        <c:delete val="1"/>
        <c:axPos val="r"/>
        <c:numFmt formatCode="General" sourceLinked="1"/>
        <c:majorTickMark val="out"/>
        <c:minorTickMark val="none"/>
        <c:tickLblPos val="nextTo"/>
        <c:crossAx val="187122176"/>
        <c:crosses val="max"/>
        <c:crossBetween val="between"/>
      </c:valAx>
      <c:catAx>
        <c:axId val="187122176"/>
        <c:scaling>
          <c:orientation val="minMax"/>
        </c:scaling>
        <c:delete val="1"/>
        <c:axPos val="b"/>
        <c:majorTickMark val="out"/>
        <c:minorTickMark val="none"/>
        <c:tickLblPos val="nextTo"/>
        <c:crossAx val="218700544"/>
        <c:crosses val="autoZero"/>
        <c:auto val="1"/>
        <c:lblAlgn val="ctr"/>
        <c:lblOffset val="100"/>
        <c:noMultiLvlLbl val="0"/>
      </c:catAx>
      <c:spPr>
        <a:noFill/>
      </c:spPr>
    </c:plotArea>
    <c:legend>
      <c:legendPos val="b"/>
      <c:layout>
        <c:manualLayout>
          <c:xMode val="edge"/>
          <c:yMode val="edge"/>
          <c:x val="0.21801009129408772"/>
          <c:y val="0.80054206765820934"/>
          <c:w val="0.60113151793401443"/>
          <c:h val="8.3717191601049873E-2"/>
        </c:manualLayout>
      </c:layout>
      <c:overlay val="0"/>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Mortality</a:t>
            </a:r>
            <a:r>
              <a:rPr lang="en-US" sz="1300" baseline="0"/>
              <a:t> Rates, All Sites Combined,</a:t>
            </a:r>
          </a:p>
          <a:p>
            <a:pPr>
              <a:defRPr/>
            </a:pPr>
            <a:r>
              <a:rPr lang="en-US" sz="1300" baseline="0"/>
              <a:t>Tennessee and United States, 2012</a:t>
            </a:r>
            <a:endParaRPr lang="en-US" sz="1300"/>
          </a:p>
        </c:rich>
      </c:tx>
      <c:overlay val="0"/>
    </c:title>
    <c:autoTitleDeleted val="0"/>
    <c:plotArea>
      <c:layout>
        <c:manualLayout>
          <c:layoutTarget val="inner"/>
          <c:xMode val="edge"/>
          <c:yMode val="edge"/>
          <c:x val="0.13108573928258968"/>
          <c:y val="0.20297462817147857"/>
          <c:w val="0.85289994408313585"/>
          <c:h val="0.49841097987751531"/>
        </c:manualLayout>
      </c:layout>
      <c:barChart>
        <c:barDir val="col"/>
        <c:grouping val="clustered"/>
        <c:varyColors val="0"/>
        <c:ser>
          <c:idx val="0"/>
          <c:order val="0"/>
          <c:tx>
            <c:strRef>
              <c:f>'Page 4 (TN Ranking M)'!$B$21</c:f>
              <c:strCache>
                <c:ptCount val="1"/>
                <c:pt idx="0">
                  <c:v>Tennessee</c:v>
                </c:pt>
              </c:strCache>
            </c:strRef>
          </c:tx>
          <c:spPr>
            <a:ln>
              <a:solidFill>
                <a:sysClr val="windowText" lastClr="000000"/>
              </a:solidFill>
            </a:ln>
          </c:spPr>
          <c:invertIfNegative val="0"/>
          <c:dLbls>
            <c:dLbl>
              <c:idx val="0"/>
              <c:layout>
                <c:manualLayout>
                  <c:x val="0"/>
                  <c:y val="-1.3797633977379889E-2"/>
                </c:manualLayout>
              </c:layout>
              <c:tx>
                <c:rich>
                  <a:bodyPr/>
                  <a:lstStyle/>
                  <a:p>
                    <a:r>
                      <a:rPr lang="en-US"/>
                      <a:t>187.9</a:t>
                    </a:r>
                  </a:p>
                </c:rich>
              </c:tx>
              <c:showLegendKey val="0"/>
              <c:showVal val="1"/>
              <c:showCatName val="0"/>
              <c:showSerName val="0"/>
              <c:showPercent val="0"/>
              <c:showBubbleSize val="0"/>
            </c:dLbl>
            <c:dLbl>
              <c:idx val="1"/>
              <c:layout>
                <c:manualLayout>
                  <c:x val="0"/>
                  <c:y val="-9.1984226515866071E-3"/>
                </c:manualLayout>
              </c:layout>
              <c:showLegendKey val="0"/>
              <c:showVal val="1"/>
              <c:showCatName val="0"/>
              <c:showSerName val="0"/>
              <c:showPercent val="0"/>
              <c:showBubbleSize val="0"/>
            </c:dLbl>
            <c:dLbl>
              <c:idx val="2"/>
              <c:layout>
                <c:manualLayout>
                  <c:x val="0"/>
                  <c:y val="-2.2996056628966411E-2"/>
                </c:manualLayout>
              </c:layout>
              <c:showLegendKey val="0"/>
              <c:showVal val="1"/>
              <c:showCatName val="0"/>
              <c:showSerName val="0"/>
              <c:showPercent val="0"/>
              <c:showBubbleSize val="0"/>
            </c:dLbl>
            <c:dLbl>
              <c:idx val="3"/>
              <c:layout>
                <c:manualLayout>
                  <c:x val="0"/>
                  <c:y val="-9.1984226515865655E-3"/>
                </c:manualLayout>
              </c:layout>
              <c:showLegendKey val="0"/>
              <c:showVal val="1"/>
              <c:showCatName val="0"/>
              <c:showSerName val="0"/>
              <c:showPercent val="0"/>
              <c:showBubbleSize val="0"/>
            </c:dLbl>
            <c:dLbl>
              <c:idx val="4"/>
              <c:layout>
                <c:manualLayout>
                  <c:x val="-1.0163557774660173E-16"/>
                  <c:y val="-1.8396845303173131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4 (TN Ranking M)'!$H$22:$H$26</c:f>
                <c:numCache>
                  <c:formatCode>General</c:formatCode>
                  <c:ptCount val="5"/>
                  <c:pt idx="0">
                    <c:v>6.4000000000000057</c:v>
                  </c:pt>
                  <c:pt idx="1">
                    <c:v>5.5999999999999943</c:v>
                  </c:pt>
                  <c:pt idx="2">
                    <c:v>3.9000000000000057</c:v>
                  </c:pt>
                  <c:pt idx="3">
                    <c:v>10.699999999999989</c:v>
                  </c:pt>
                  <c:pt idx="4">
                    <c:v>3.3999999999999773</c:v>
                  </c:pt>
                </c:numCache>
              </c:numRef>
            </c:plus>
            <c:minus>
              <c:numRef>
                <c:f>'Page 4 (TN Ranking M)'!$G$22:$G$26</c:f>
                <c:numCache>
                  <c:formatCode>General</c:formatCode>
                  <c:ptCount val="5"/>
                  <c:pt idx="0">
                    <c:v>0</c:v>
                  </c:pt>
                  <c:pt idx="1">
                    <c:v>5.5</c:v>
                  </c:pt>
                  <c:pt idx="2">
                    <c:v>3.7999999999999829</c:v>
                  </c:pt>
                  <c:pt idx="3">
                    <c:v>10.400000000000006</c:v>
                  </c:pt>
                  <c:pt idx="4">
                    <c:v>3.3000000000000114</c:v>
                  </c:pt>
                </c:numCache>
              </c:numRef>
            </c:minus>
          </c:errBars>
          <c:cat>
            <c:strRef>
              <c:f>'Page 4 (TN Ranking M)'!$A$22:$A$26</c:f>
              <c:strCache>
                <c:ptCount val="5"/>
                <c:pt idx="0">
                  <c:v>Total Population</c:v>
                </c:pt>
                <c:pt idx="1">
                  <c:v>Male</c:v>
                </c:pt>
                <c:pt idx="2">
                  <c:v>Female</c:v>
                </c:pt>
                <c:pt idx="3">
                  <c:v>Black</c:v>
                </c:pt>
                <c:pt idx="4">
                  <c:v>White</c:v>
                </c:pt>
              </c:strCache>
            </c:strRef>
          </c:cat>
          <c:val>
            <c:numRef>
              <c:f>'Page 4 (TN Ranking M)'!$B$22:$B$26</c:f>
              <c:numCache>
                <c:formatCode>General</c:formatCode>
                <c:ptCount val="5"/>
                <c:pt idx="0" formatCode="0.0">
                  <c:v>184.7</c:v>
                </c:pt>
                <c:pt idx="1">
                  <c:v>235.5</c:v>
                </c:pt>
                <c:pt idx="2">
                  <c:v>153.69999999999999</c:v>
                </c:pt>
                <c:pt idx="3">
                  <c:v>225.5</c:v>
                </c:pt>
                <c:pt idx="4">
                  <c:v>184.3</c:v>
                </c:pt>
              </c:numCache>
            </c:numRef>
          </c:val>
        </c:ser>
        <c:ser>
          <c:idx val="1"/>
          <c:order val="1"/>
          <c:tx>
            <c:strRef>
              <c:f>'Page 4 (TN Ranking M)'!$C$21</c:f>
              <c:strCache>
                <c:ptCount val="1"/>
                <c:pt idx="0">
                  <c:v>United States</c:v>
                </c:pt>
              </c:strCache>
            </c:strRef>
          </c:tx>
          <c:spPr>
            <a:ln>
              <a:solidFill>
                <a:sysClr val="windowText" lastClr="000000"/>
              </a:solidFill>
            </a:ln>
          </c:spPr>
          <c:invertIfNegative val="0"/>
          <c:dLbls>
            <c:dLbl>
              <c:idx val="0"/>
              <c:layout>
                <c:manualLayout>
                  <c:x val="0"/>
                  <c:y val="-1.8396845303173131E-2"/>
                </c:manualLayout>
              </c:layout>
              <c:tx>
                <c:rich>
                  <a:bodyPr/>
                  <a:lstStyle/>
                  <a:p>
                    <a:r>
                      <a:rPr lang="en-US"/>
                      <a:t>166.4</a:t>
                    </a:r>
                  </a:p>
                </c:rich>
              </c:tx>
              <c:showLegendKey val="0"/>
              <c:showVal val="1"/>
              <c:showCatName val="0"/>
              <c:showSerName val="0"/>
              <c:showPercent val="0"/>
              <c:showBubbleSize val="0"/>
            </c:dLbl>
            <c:dLbl>
              <c:idx val="1"/>
              <c:layout>
                <c:manualLayout>
                  <c:x val="0"/>
                  <c:y val="-1.3797633977379847E-2"/>
                </c:manualLayout>
              </c:layout>
              <c:showLegendKey val="0"/>
              <c:showVal val="1"/>
              <c:showCatName val="0"/>
              <c:showSerName val="0"/>
              <c:showPercent val="0"/>
              <c:showBubbleSize val="0"/>
            </c:dLbl>
            <c:dLbl>
              <c:idx val="2"/>
              <c:layout>
                <c:manualLayout>
                  <c:x val="0"/>
                  <c:y val="-1.8396845303173131E-2"/>
                </c:manualLayout>
              </c:layout>
              <c:showLegendKey val="0"/>
              <c:showVal val="1"/>
              <c:showCatName val="0"/>
              <c:showSerName val="0"/>
              <c:showPercent val="0"/>
              <c:showBubbleSize val="0"/>
            </c:dLbl>
            <c:dLbl>
              <c:idx val="3"/>
              <c:layout>
                <c:manualLayout>
                  <c:x val="0"/>
                  <c:y val="-1.3797633977379806E-2"/>
                </c:manualLayout>
              </c:layout>
              <c:showLegendKey val="0"/>
              <c:showVal val="1"/>
              <c:showCatName val="0"/>
              <c:showSerName val="0"/>
              <c:showPercent val="0"/>
              <c:showBubbleSize val="0"/>
            </c:dLbl>
            <c:dLbl>
              <c:idx val="4"/>
              <c:layout>
                <c:manualLayout>
                  <c:x val="1.0163557774660173E-16"/>
                  <c:y val="-1.3797633977379847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4 (TN Ranking M)'!$F$22:$F$26</c:f>
                <c:numCache>
                  <c:formatCode>General</c:formatCode>
                  <c:ptCount val="5"/>
                  <c:pt idx="0">
                    <c:v>0.80000000000001137</c:v>
                  </c:pt>
                  <c:pt idx="1">
                    <c:v>0.70000000000001705</c:v>
                  </c:pt>
                  <c:pt idx="2">
                    <c:v>0.5</c:v>
                  </c:pt>
                  <c:pt idx="3">
                    <c:v>1.5</c:v>
                  </c:pt>
                  <c:pt idx="4">
                    <c:v>0.5</c:v>
                  </c:pt>
                </c:numCache>
              </c:numRef>
            </c:plus>
            <c:minus>
              <c:numRef>
                <c:f>'Page 4 (TN Ranking M)'!$E$22:$E$26</c:f>
                <c:numCache>
                  <c:formatCode>General</c:formatCode>
                  <c:ptCount val="5"/>
                  <c:pt idx="0">
                    <c:v>0</c:v>
                  </c:pt>
                  <c:pt idx="1">
                    <c:v>0.69999999999998863</c:v>
                  </c:pt>
                  <c:pt idx="2">
                    <c:v>0.59999999999999432</c:v>
                  </c:pt>
                  <c:pt idx="3">
                    <c:v>1.5</c:v>
                  </c:pt>
                  <c:pt idx="4">
                    <c:v>0.40000000000000568</c:v>
                  </c:pt>
                </c:numCache>
              </c:numRef>
            </c:minus>
          </c:errBars>
          <c:cat>
            <c:strRef>
              <c:f>'Page 4 (TN Ranking M)'!$A$22:$A$26</c:f>
              <c:strCache>
                <c:ptCount val="5"/>
                <c:pt idx="0">
                  <c:v>Total Population</c:v>
                </c:pt>
                <c:pt idx="1">
                  <c:v>Male</c:v>
                </c:pt>
                <c:pt idx="2">
                  <c:v>Female</c:v>
                </c:pt>
                <c:pt idx="3">
                  <c:v>Black</c:v>
                </c:pt>
                <c:pt idx="4">
                  <c:v>White</c:v>
                </c:pt>
              </c:strCache>
            </c:strRef>
          </c:cat>
          <c:val>
            <c:numRef>
              <c:f>'Page 4 (TN Ranking M)'!$C$22:$C$26</c:f>
              <c:numCache>
                <c:formatCode>General</c:formatCode>
                <c:ptCount val="5"/>
                <c:pt idx="0">
                  <c:v>166</c:v>
                </c:pt>
                <c:pt idx="1">
                  <c:v>200.6</c:v>
                </c:pt>
                <c:pt idx="2">
                  <c:v>141.9</c:v>
                </c:pt>
                <c:pt idx="3">
                  <c:v>194.4</c:v>
                </c:pt>
                <c:pt idx="4">
                  <c:v>166.4</c:v>
                </c:pt>
              </c:numCache>
            </c:numRef>
          </c:val>
        </c:ser>
        <c:dLbls>
          <c:showLegendKey val="0"/>
          <c:showVal val="0"/>
          <c:showCatName val="0"/>
          <c:showSerName val="0"/>
          <c:showPercent val="0"/>
          <c:showBubbleSize val="0"/>
        </c:dLbls>
        <c:gapWidth val="50"/>
        <c:axId val="170880512"/>
        <c:axId val="220439104"/>
      </c:barChart>
      <c:barChart>
        <c:barDir val="col"/>
        <c:grouping val="clustered"/>
        <c:varyColors val="0"/>
        <c:ser>
          <c:idx val="2"/>
          <c:order val="2"/>
          <c:tx>
            <c:strRef>
              <c:f>'Page 4 (TN Ranking M)'!$D$21</c:f>
              <c:strCache>
                <c:ptCount val="1"/>
                <c:pt idx="0">
                  <c:v>TN Ranking (Highest)</c:v>
                </c:pt>
              </c:strCache>
            </c:strRef>
          </c:tx>
          <c:spPr>
            <a:noFill/>
          </c:spPr>
          <c:invertIfNegative val="0"/>
          <c:dPt>
            <c:idx val="0"/>
            <c:invertIfNegative val="0"/>
            <c:bubble3D val="0"/>
          </c:dPt>
          <c:dLbls>
            <c:dLbl>
              <c:idx val="0"/>
              <c:layout>
                <c:manualLayout>
                  <c:x val="0"/>
                  <c:y val="4.2064377369495483E-2"/>
                </c:manualLayout>
              </c:layout>
              <c:showLegendKey val="0"/>
              <c:showVal val="1"/>
              <c:showCatName val="0"/>
              <c:showSerName val="0"/>
              <c:showPercent val="0"/>
              <c:showBubbleSize val="0"/>
            </c:dLbl>
            <c:dLbl>
              <c:idx val="1"/>
              <c:layout>
                <c:manualLayout>
                  <c:x val="-3.6566634376490991E-7"/>
                  <c:y val="3.7853601633129196E-2"/>
                </c:manualLayout>
              </c:layout>
              <c:showLegendKey val="0"/>
              <c:showVal val="1"/>
              <c:showCatName val="0"/>
              <c:showSerName val="0"/>
              <c:showPercent val="0"/>
              <c:showBubbleSize val="0"/>
            </c:dLbl>
            <c:dLbl>
              <c:idx val="2"/>
              <c:layout>
                <c:manualLayout>
                  <c:x val="-1.828331718611704E-7"/>
                  <c:y val="4.6316345873432488E-2"/>
                </c:manualLayout>
              </c:layout>
              <c:showLegendKey val="0"/>
              <c:showVal val="1"/>
              <c:showCatName val="0"/>
              <c:showSerName val="0"/>
              <c:showPercent val="0"/>
              <c:showBubbleSize val="0"/>
            </c:dLbl>
            <c:dLbl>
              <c:idx val="3"/>
              <c:layout>
                <c:manualLayout>
                  <c:x val="0"/>
                  <c:y val="3.1206255468066491E-2"/>
                </c:manualLayout>
              </c:layout>
              <c:tx>
                <c:rich>
                  <a:bodyPr/>
                  <a:lstStyle/>
                  <a:p>
                    <a:r>
                      <a:rPr lang="en-US"/>
                      <a:t>3rd</a:t>
                    </a:r>
                  </a:p>
                </c:rich>
              </c:tx>
              <c:showLegendKey val="0"/>
              <c:showVal val="1"/>
              <c:showCatName val="0"/>
              <c:showSerName val="0"/>
              <c:showPercent val="0"/>
              <c:showBubbleSize val="0"/>
            </c:dLbl>
            <c:dLbl>
              <c:idx val="4"/>
              <c:layout>
                <c:manualLayout>
                  <c:x val="0"/>
                  <c:y val="3.3056649168853897E-2"/>
                </c:manualLayout>
              </c:layout>
              <c:showLegendKey val="0"/>
              <c:showVal val="1"/>
              <c:showCatName val="0"/>
              <c:showSerName val="0"/>
              <c:showPercent val="0"/>
              <c:showBubbleSize val="0"/>
            </c:dLbl>
            <c:numFmt formatCode="##&quot;th&quot;" sourceLinked="0"/>
            <c:spPr>
              <a:solidFill>
                <a:schemeClr val="bg2">
                  <a:lumMod val="90000"/>
                </a:schemeClr>
              </a:solidFill>
              <a:ln>
                <a:solidFill>
                  <a:srgbClr val="000000"/>
                </a:solidFill>
              </a:ln>
            </c:spPr>
            <c:txPr>
              <a:bodyPr/>
              <a:lstStyle/>
              <a:p>
                <a:pPr>
                  <a:defRPr sz="900"/>
                </a:pPr>
                <a:endParaRPr lang="en-US"/>
              </a:p>
            </c:txPr>
            <c:showLegendKey val="0"/>
            <c:showVal val="1"/>
            <c:showCatName val="0"/>
            <c:showSerName val="0"/>
            <c:showPercent val="0"/>
            <c:showBubbleSize val="0"/>
            <c:showLeaderLines val="0"/>
          </c:dLbls>
          <c:cat>
            <c:strRef>
              <c:f>'Page 4 (TN Ranking M)'!$A$22:$A$26</c:f>
              <c:strCache>
                <c:ptCount val="5"/>
                <c:pt idx="0">
                  <c:v>Total Population</c:v>
                </c:pt>
                <c:pt idx="1">
                  <c:v>Male</c:v>
                </c:pt>
                <c:pt idx="2">
                  <c:v>Female</c:v>
                </c:pt>
                <c:pt idx="3">
                  <c:v>Black</c:v>
                </c:pt>
                <c:pt idx="4">
                  <c:v>White</c:v>
                </c:pt>
              </c:strCache>
            </c:strRef>
          </c:cat>
          <c:val>
            <c:numRef>
              <c:f>'Page 4 (TN Ranking M)'!$D$22:$D$26</c:f>
              <c:numCache>
                <c:formatCode>General</c:formatCode>
                <c:ptCount val="5"/>
                <c:pt idx="0">
                  <c:v>7</c:v>
                </c:pt>
                <c:pt idx="1">
                  <c:v>6</c:v>
                </c:pt>
                <c:pt idx="2">
                  <c:v>11</c:v>
                </c:pt>
                <c:pt idx="3">
                  <c:v>3</c:v>
                </c:pt>
                <c:pt idx="4">
                  <c:v>6</c:v>
                </c:pt>
              </c:numCache>
            </c:numRef>
          </c:val>
        </c:ser>
        <c:dLbls>
          <c:showLegendKey val="0"/>
          <c:showVal val="0"/>
          <c:showCatName val="0"/>
          <c:showSerName val="0"/>
          <c:showPercent val="0"/>
          <c:showBubbleSize val="0"/>
        </c:dLbls>
        <c:gapWidth val="150"/>
        <c:axId val="187125248"/>
        <c:axId val="220439680"/>
      </c:barChart>
      <c:catAx>
        <c:axId val="170880512"/>
        <c:scaling>
          <c:orientation val="minMax"/>
        </c:scaling>
        <c:delete val="0"/>
        <c:axPos val="b"/>
        <c:majorTickMark val="out"/>
        <c:minorTickMark val="none"/>
        <c:tickLblPos val="nextTo"/>
        <c:txPr>
          <a:bodyPr/>
          <a:lstStyle/>
          <a:p>
            <a:pPr>
              <a:defRPr sz="900"/>
            </a:pPr>
            <a:endParaRPr lang="en-US"/>
          </a:p>
        </c:txPr>
        <c:crossAx val="220439104"/>
        <c:crosses val="autoZero"/>
        <c:auto val="1"/>
        <c:lblAlgn val="ctr"/>
        <c:lblOffset val="100"/>
        <c:noMultiLvlLbl val="0"/>
      </c:catAx>
      <c:valAx>
        <c:axId val="220439104"/>
        <c:scaling>
          <c:orientation val="minMax"/>
        </c:scaling>
        <c:delete val="0"/>
        <c:axPos val="l"/>
        <c:title>
          <c:tx>
            <c:rich>
              <a:bodyPr rot="-5400000" vert="horz"/>
              <a:lstStyle/>
              <a:p>
                <a:pPr>
                  <a:defRPr sz="900"/>
                </a:pPr>
                <a:r>
                  <a:rPr lang="en-US" sz="900"/>
                  <a:t>Age-Adjusted Rate per 100,000</a:t>
                </a:r>
              </a:p>
            </c:rich>
          </c:tx>
          <c:layout>
            <c:manualLayout>
              <c:xMode val="edge"/>
              <c:yMode val="edge"/>
              <c:x val="3.2464772161528717E-2"/>
              <c:y val="0.18340332458442693"/>
            </c:manualLayout>
          </c:layout>
          <c:overlay val="0"/>
        </c:title>
        <c:numFmt formatCode="#,##0" sourceLinked="0"/>
        <c:majorTickMark val="out"/>
        <c:minorTickMark val="none"/>
        <c:tickLblPos val="nextTo"/>
        <c:txPr>
          <a:bodyPr/>
          <a:lstStyle/>
          <a:p>
            <a:pPr>
              <a:defRPr sz="900"/>
            </a:pPr>
            <a:endParaRPr lang="en-US"/>
          </a:p>
        </c:txPr>
        <c:crossAx val="170880512"/>
        <c:crosses val="autoZero"/>
        <c:crossBetween val="between"/>
      </c:valAx>
      <c:valAx>
        <c:axId val="220439680"/>
        <c:scaling>
          <c:orientation val="minMax"/>
        </c:scaling>
        <c:delete val="1"/>
        <c:axPos val="r"/>
        <c:numFmt formatCode="General" sourceLinked="1"/>
        <c:majorTickMark val="out"/>
        <c:minorTickMark val="none"/>
        <c:tickLblPos val="nextTo"/>
        <c:crossAx val="187125248"/>
        <c:crosses val="max"/>
        <c:crossBetween val="between"/>
      </c:valAx>
      <c:catAx>
        <c:axId val="187125248"/>
        <c:scaling>
          <c:orientation val="minMax"/>
        </c:scaling>
        <c:delete val="1"/>
        <c:axPos val="b"/>
        <c:majorTickMark val="out"/>
        <c:minorTickMark val="none"/>
        <c:tickLblPos val="nextTo"/>
        <c:crossAx val="220439680"/>
        <c:crosses val="autoZero"/>
        <c:auto val="1"/>
        <c:lblAlgn val="ctr"/>
        <c:lblOffset val="100"/>
        <c:noMultiLvlLbl val="0"/>
      </c:catAx>
    </c:plotArea>
    <c:legend>
      <c:legendPos val="b"/>
      <c:layout>
        <c:manualLayout>
          <c:xMode val="edge"/>
          <c:yMode val="edge"/>
          <c:x val="0.20407817694409192"/>
          <c:y val="0.76813466025080201"/>
          <c:w val="0.60113151793401443"/>
          <c:h val="8.3717191601049873E-2"/>
        </c:manualLayout>
      </c:layout>
      <c:overlay val="0"/>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00"/>
              <a:t>Incidence Rates, by</a:t>
            </a:r>
            <a:r>
              <a:rPr lang="en-US" sz="1300" baseline="0"/>
              <a:t> Site, </a:t>
            </a:r>
          </a:p>
          <a:p>
            <a:pPr>
              <a:defRPr/>
            </a:pPr>
            <a:r>
              <a:rPr lang="en-US" sz="1300" baseline="0"/>
              <a:t>Tennessee and United States, 2008-2012</a:t>
            </a:r>
            <a:endParaRPr lang="en-US" sz="1300"/>
          </a:p>
        </c:rich>
      </c:tx>
      <c:layout>
        <c:manualLayout>
          <c:xMode val="edge"/>
          <c:yMode val="edge"/>
          <c:x val="0.24127358490566037"/>
          <c:y val="0"/>
        </c:manualLayout>
      </c:layout>
      <c:overlay val="0"/>
    </c:title>
    <c:autoTitleDeleted val="0"/>
    <c:plotArea>
      <c:layout>
        <c:manualLayout>
          <c:layoutTarget val="inner"/>
          <c:xMode val="edge"/>
          <c:yMode val="edge"/>
          <c:x val="0.1271176315244914"/>
          <c:y val="0.15979496374834334"/>
          <c:w val="0.85641808602836411"/>
          <c:h val="0.530038432695913"/>
        </c:manualLayout>
      </c:layout>
      <c:barChart>
        <c:barDir val="col"/>
        <c:grouping val="clustered"/>
        <c:varyColors val="0"/>
        <c:ser>
          <c:idx val="0"/>
          <c:order val="0"/>
          <c:tx>
            <c:strRef>
              <c:f>'Page 3 (TN Ranking I)'!$B$31</c:f>
              <c:strCache>
                <c:ptCount val="1"/>
                <c:pt idx="0">
                  <c:v>Tennessee</c:v>
                </c:pt>
              </c:strCache>
            </c:strRef>
          </c:tx>
          <c:spPr>
            <a:ln>
              <a:solidFill>
                <a:srgbClr val="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Lit>
                <c:formatCode>General</c:formatCode>
                <c:ptCount val="1"/>
                <c:pt idx="0">
                  <c:v>1</c:v>
                </c:pt>
              </c:numLit>
            </c:plus>
            <c:minus>
              <c:numLit>
                <c:formatCode>General</c:formatCode>
                <c:ptCount val="1"/>
                <c:pt idx="0">
                  <c:v>1</c:v>
                </c:pt>
              </c:numLit>
            </c:minus>
          </c:errBars>
          <c:cat>
            <c:strRef>
              <c:f>'Page 3 (TN Ranking I)'!$A$32:$A$37</c:f>
              <c:strCache>
                <c:ptCount val="6"/>
                <c:pt idx="0">
                  <c:v>Lung and Bronchus</c:v>
                </c:pt>
                <c:pt idx="1">
                  <c:v>Female Breast</c:v>
                </c:pt>
                <c:pt idx="2">
                  <c:v>Prostate</c:v>
                </c:pt>
                <c:pt idx="3">
                  <c:v>Colon and Rectum</c:v>
                </c:pt>
                <c:pt idx="4">
                  <c:v>Pancreas</c:v>
                </c:pt>
                <c:pt idx="5">
                  <c:v>Melanoma of the Skin</c:v>
                </c:pt>
              </c:strCache>
            </c:strRef>
          </c:cat>
          <c:val>
            <c:numRef>
              <c:f>'Page 3 (TN Ranking I)'!$B$32:$B$37</c:f>
              <c:numCache>
                <c:formatCode>0.0</c:formatCode>
                <c:ptCount val="6"/>
                <c:pt idx="0" formatCode="General">
                  <c:v>74.900000000000006</c:v>
                </c:pt>
                <c:pt idx="1">
                  <c:v>120.8</c:v>
                </c:pt>
                <c:pt idx="2" formatCode="General">
                  <c:v>115.1</c:v>
                </c:pt>
                <c:pt idx="3" formatCode="General">
                  <c:v>41.1</c:v>
                </c:pt>
                <c:pt idx="4" formatCode="General">
                  <c:v>11.5</c:v>
                </c:pt>
                <c:pt idx="5" formatCode="General">
                  <c:v>19.600000000000001</c:v>
                </c:pt>
              </c:numCache>
            </c:numRef>
          </c:val>
        </c:ser>
        <c:ser>
          <c:idx val="1"/>
          <c:order val="1"/>
          <c:tx>
            <c:strRef>
              <c:f>'Page 3 (TN Ranking I)'!$C$31</c:f>
              <c:strCache>
                <c:ptCount val="1"/>
                <c:pt idx="0">
                  <c:v>United States</c:v>
                </c:pt>
              </c:strCache>
            </c:strRef>
          </c:tx>
          <c:spPr>
            <a:ln>
              <a:solidFill>
                <a:srgbClr val="000000"/>
              </a:solidFill>
            </a:ln>
          </c:spPr>
          <c:invertIfNegative val="0"/>
          <c:dLbls>
            <c:txPr>
              <a:bodyPr/>
              <a:lstStyle/>
              <a:p>
                <a:pPr>
                  <a:defRPr sz="800"/>
                </a:pPr>
                <a:endParaRPr lang="en-US"/>
              </a:p>
            </c:txPr>
            <c:showLegendKey val="0"/>
            <c:showVal val="1"/>
            <c:showCatName val="0"/>
            <c:showSerName val="0"/>
            <c:showPercent val="0"/>
            <c:showBubbleSize val="0"/>
            <c:showLeaderLines val="0"/>
          </c:dLbls>
          <c:errBars>
            <c:errBarType val="both"/>
            <c:errValType val="cust"/>
            <c:noEndCap val="0"/>
            <c:plus>
              <c:numRef>
                <c:f>'Page 3 (TN Ranking I)'!$F$32:$F$36</c:f>
                <c:numCache>
                  <c:formatCode>General</c:formatCode>
                  <c:ptCount val="5"/>
                  <c:pt idx="0">
                    <c:v>0.30000000000000426</c:v>
                  </c:pt>
                  <c:pt idx="1">
                    <c:v>0.5</c:v>
                  </c:pt>
                  <c:pt idx="2">
                    <c:v>0.5</c:v>
                  </c:pt>
                  <c:pt idx="3">
                    <c:v>0.20000000000000284</c:v>
                  </c:pt>
                  <c:pt idx="4">
                    <c:v>9.9999999999999645E-2</c:v>
                  </c:pt>
                </c:numCache>
              </c:numRef>
            </c:plus>
            <c:minus>
              <c:numRef>
                <c:f>'Page 3 (TN Ranking I)'!$E$32:$E$36</c:f>
                <c:numCache>
                  <c:formatCode>General</c:formatCode>
                  <c:ptCount val="5"/>
                  <c:pt idx="0">
                    <c:v>0.29999999999999716</c:v>
                  </c:pt>
                  <c:pt idx="1">
                    <c:v>0.5</c:v>
                  </c:pt>
                  <c:pt idx="2">
                    <c:v>0.5</c:v>
                  </c:pt>
                  <c:pt idx="3">
                    <c:v>0.19999999999999574</c:v>
                  </c:pt>
                  <c:pt idx="4">
                    <c:v>0.10000000000000142</c:v>
                  </c:pt>
                </c:numCache>
              </c:numRef>
            </c:minus>
          </c:errBars>
          <c:cat>
            <c:strRef>
              <c:f>'Page 3 (TN Ranking I)'!$A$32:$A$37</c:f>
              <c:strCache>
                <c:ptCount val="6"/>
                <c:pt idx="0">
                  <c:v>Lung and Bronchus</c:v>
                </c:pt>
                <c:pt idx="1">
                  <c:v>Female Breast</c:v>
                </c:pt>
                <c:pt idx="2">
                  <c:v>Prostate</c:v>
                </c:pt>
                <c:pt idx="3">
                  <c:v>Colon and Rectum</c:v>
                </c:pt>
                <c:pt idx="4">
                  <c:v>Pancreas</c:v>
                </c:pt>
                <c:pt idx="5">
                  <c:v>Melanoma of the Skin</c:v>
                </c:pt>
              </c:strCache>
            </c:strRef>
          </c:cat>
          <c:val>
            <c:numRef>
              <c:f>'Page 3 (TN Ranking I)'!$C$32:$C$37</c:f>
              <c:numCache>
                <c:formatCode>0.0</c:formatCode>
                <c:ptCount val="6"/>
                <c:pt idx="0">
                  <c:v>60.4</c:v>
                </c:pt>
                <c:pt idx="1">
                  <c:v>122.1</c:v>
                </c:pt>
                <c:pt idx="2">
                  <c:v>105.1</c:v>
                </c:pt>
                <c:pt idx="3">
                  <c:v>38.9</c:v>
                </c:pt>
                <c:pt idx="4">
                  <c:v>12.3</c:v>
                </c:pt>
                <c:pt idx="5">
                  <c:v>19.8</c:v>
                </c:pt>
              </c:numCache>
            </c:numRef>
          </c:val>
        </c:ser>
        <c:dLbls>
          <c:showLegendKey val="0"/>
          <c:showVal val="0"/>
          <c:showCatName val="0"/>
          <c:showSerName val="0"/>
          <c:showPercent val="0"/>
          <c:showBubbleSize val="0"/>
        </c:dLbls>
        <c:gapWidth val="50"/>
        <c:axId val="171311104"/>
        <c:axId val="220441408"/>
      </c:barChart>
      <c:barChart>
        <c:barDir val="col"/>
        <c:grouping val="clustered"/>
        <c:varyColors val="0"/>
        <c:ser>
          <c:idx val="2"/>
          <c:order val="2"/>
          <c:tx>
            <c:strRef>
              <c:f>'Page 3 (TN Ranking I)'!$D$31</c:f>
              <c:strCache>
                <c:ptCount val="1"/>
                <c:pt idx="0">
                  <c:v>TN Ranking (Highest)</c:v>
                </c:pt>
              </c:strCache>
            </c:strRef>
          </c:tx>
          <c:spPr>
            <a:noFill/>
          </c:spPr>
          <c:invertIfNegative val="0"/>
          <c:dPt>
            <c:idx val="4"/>
            <c:invertIfNegative val="0"/>
            <c:bubble3D val="0"/>
            <c:spPr>
              <a:noFill/>
              <a:ln>
                <a:noFill/>
              </a:ln>
            </c:spPr>
          </c:dPt>
          <c:dLbls>
            <c:dLbl>
              <c:idx val="0"/>
              <c:layout>
                <c:manualLayout>
                  <c:x val="0"/>
                  <c:y val="6.4271945965703722E-2"/>
                </c:manualLayout>
              </c:layout>
              <c:dLblPos val="outEnd"/>
              <c:showLegendKey val="0"/>
              <c:showVal val="1"/>
              <c:showCatName val="0"/>
              <c:showSerName val="0"/>
              <c:showPercent val="0"/>
              <c:showBubbleSize val="0"/>
            </c:dLbl>
            <c:dLbl>
              <c:idx val="1"/>
              <c:layout>
                <c:manualLayout>
                  <c:x val="0"/>
                  <c:y val="0.16074452327122477"/>
                </c:manualLayout>
              </c:layout>
              <c:dLblPos val="outEnd"/>
              <c:showLegendKey val="0"/>
              <c:showVal val="1"/>
              <c:showCatName val="0"/>
              <c:showSerName val="0"/>
              <c:showPercent val="0"/>
              <c:showBubbleSize val="0"/>
            </c:dLbl>
            <c:dLbl>
              <c:idx val="2"/>
              <c:layout>
                <c:manualLayout>
                  <c:x val="0"/>
                  <c:y val="9.147879150673198E-2"/>
                </c:manualLayout>
              </c:layout>
              <c:dLblPos val="outEnd"/>
              <c:showLegendKey val="0"/>
              <c:showVal val="1"/>
              <c:showCatName val="0"/>
              <c:showSerName val="0"/>
              <c:showPercent val="0"/>
              <c:showBubbleSize val="0"/>
            </c:dLbl>
            <c:dLbl>
              <c:idx val="3"/>
              <c:layout>
                <c:manualLayout>
                  <c:x val="0"/>
                  <c:y val="0.11437652494743725"/>
                </c:manualLayout>
              </c:layout>
              <c:dLblPos val="outEnd"/>
              <c:showLegendKey val="0"/>
              <c:showVal val="1"/>
              <c:showCatName val="0"/>
              <c:showSerName val="0"/>
              <c:showPercent val="0"/>
              <c:showBubbleSize val="0"/>
            </c:dLbl>
            <c:dLbl>
              <c:idx val="4"/>
              <c:layout>
                <c:manualLayout>
                  <c:x val="-1.8570791858564848E-7"/>
                  <c:y val="0.18295899274966868"/>
                </c:manualLayout>
              </c:layout>
              <c:tx>
                <c:rich>
                  <a:bodyPr/>
                  <a:lstStyle/>
                  <a:p>
                    <a:r>
                      <a:rPr lang="en-US" sz="900"/>
                      <a:t>42nd</a:t>
                    </a:r>
                    <a:endParaRPr lang="en-US"/>
                  </a:p>
                </c:rich>
              </c:tx>
              <c:dLblPos val="outEnd"/>
              <c:showLegendKey val="0"/>
              <c:showVal val="1"/>
              <c:showCatName val="0"/>
              <c:showSerName val="0"/>
              <c:showPercent val="0"/>
              <c:showBubbleSize val="0"/>
            </c:dLbl>
            <c:dLbl>
              <c:idx val="5"/>
              <c:layout>
                <c:manualLayout>
                  <c:x val="-2.3584905660377358E-3"/>
                  <c:y val="0.14820573789662431"/>
                </c:manualLayout>
              </c:layout>
              <c:tx>
                <c:rich>
                  <a:bodyPr/>
                  <a:lstStyle/>
                  <a:p>
                    <a:r>
                      <a:rPr lang="en-US" sz="900"/>
                      <a:t>32nd</a:t>
                    </a:r>
                    <a:endParaRPr lang="en-US"/>
                  </a:p>
                </c:rich>
              </c:tx>
              <c:dLblPos val="outEnd"/>
              <c:showLegendKey val="0"/>
              <c:showVal val="1"/>
              <c:showCatName val="0"/>
              <c:showSerName val="0"/>
              <c:showPercent val="0"/>
              <c:showBubbleSize val="0"/>
            </c:dLbl>
            <c:numFmt formatCode="##&quot;th&quot;" sourceLinked="0"/>
            <c:spPr>
              <a:solidFill>
                <a:schemeClr val="bg2">
                  <a:lumMod val="90000"/>
                </a:schemeClr>
              </a:solidFill>
              <a:ln>
                <a:solidFill>
                  <a:srgbClr val="000000"/>
                </a:solidFill>
              </a:ln>
            </c:spPr>
            <c:txPr>
              <a:bodyPr/>
              <a:lstStyle/>
              <a:p>
                <a:pPr>
                  <a:defRPr sz="900"/>
                </a:pPr>
                <a:endParaRPr lang="en-US"/>
              </a:p>
            </c:txPr>
            <c:dLblPos val="inBase"/>
            <c:showLegendKey val="0"/>
            <c:showVal val="1"/>
            <c:showCatName val="0"/>
            <c:showSerName val="0"/>
            <c:showPercent val="0"/>
            <c:showBubbleSize val="0"/>
            <c:showLeaderLines val="0"/>
          </c:dLbls>
          <c:cat>
            <c:strRef>
              <c:f>'Page 3 (TN Ranking I)'!$A$32:$A$37</c:f>
              <c:strCache>
                <c:ptCount val="6"/>
                <c:pt idx="0">
                  <c:v>Lung and Bronchus</c:v>
                </c:pt>
                <c:pt idx="1">
                  <c:v>Female Breast</c:v>
                </c:pt>
                <c:pt idx="2">
                  <c:v>Prostate</c:v>
                </c:pt>
                <c:pt idx="3">
                  <c:v>Colon and Rectum</c:v>
                </c:pt>
                <c:pt idx="4">
                  <c:v>Pancreas</c:v>
                </c:pt>
                <c:pt idx="5">
                  <c:v>Melanoma of the Skin</c:v>
                </c:pt>
              </c:strCache>
            </c:strRef>
          </c:cat>
          <c:val>
            <c:numRef>
              <c:f>'Page 3 (TN Ranking I)'!$D$32:$D$37</c:f>
              <c:numCache>
                <c:formatCode>General</c:formatCode>
                <c:ptCount val="6"/>
                <c:pt idx="0">
                  <c:v>5</c:v>
                </c:pt>
                <c:pt idx="1">
                  <c:v>34</c:v>
                </c:pt>
                <c:pt idx="2">
                  <c:v>12</c:v>
                </c:pt>
                <c:pt idx="3">
                  <c:v>18</c:v>
                </c:pt>
                <c:pt idx="4">
                  <c:v>42</c:v>
                </c:pt>
                <c:pt idx="5">
                  <c:v>32</c:v>
                </c:pt>
              </c:numCache>
            </c:numRef>
          </c:val>
        </c:ser>
        <c:dLbls>
          <c:showLegendKey val="0"/>
          <c:showVal val="0"/>
          <c:showCatName val="0"/>
          <c:showSerName val="0"/>
          <c:showPercent val="0"/>
          <c:showBubbleSize val="0"/>
        </c:dLbls>
        <c:gapWidth val="150"/>
        <c:axId val="188194304"/>
        <c:axId val="220441984"/>
      </c:barChart>
      <c:catAx>
        <c:axId val="171311104"/>
        <c:scaling>
          <c:orientation val="minMax"/>
        </c:scaling>
        <c:delete val="0"/>
        <c:axPos val="b"/>
        <c:majorTickMark val="out"/>
        <c:minorTickMark val="none"/>
        <c:tickLblPos val="nextTo"/>
        <c:txPr>
          <a:bodyPr/>
          <a:lstStyle/>
          <a:p>
            <a:pPr>
              <a:defRPr sz="900" baseline="0"/>
            </a:pPr>
            <a:endParaRPr lang="en-US"/>
          </a:p>
        </c:txPr>
        <c:crossAx val="220441408"/>
        <c:crosses val="autoZero"/>
        <c:auto val="1"/>
        <c:lblAlgn val="ctr"/>
        <c:lblOffset val="100"/>
        <c:noMultiLvlLbl val="0"/>
      </c:catAx>
      <c:valAx>
        <c:axId val="220441408"/>
        <c:scaling>
          <c:orientation val="minMax"/>
          <c:max val="150"/>
        </c:scaling>
        <c:delete val="0"/>
        <c:axPos val="l"/>
        <c:title>
          <c:tx>
            <c:rich>
              <a:bodyPr rot="-5400000" vert="horz"/>
              <a:lstStyle/>
              <a:p>
                <a:pPr>
                  <a:defRPr sz="900"/>
                </a:pPr>
                <a:r>
                  <a:rPr lang="en-US" sz="900"/>
                  <a:t>Age-Adjusted per 100,000</a:t>
                </a:r>
              </a:p>
            </c:rich>
          </c:tx>
          <c:overlay val="0"/>
        </c:title>
        <c:numFmt formatCode="General" sourceLinked="1"/>
        <c:majorTickMark val="out"/>
        <c:minorTickMark val="none"/>
        <c:tickLblPos val="nextTo"/>
        <c:txPr>
          <a:bodyPr/>
          <a:lstStyle/>
          <a:p>
            <a:pPr>
              <a:defRPr sz="900"/>
            </a:pPr>
            <a:endParaRPr lang="en-US"/>
          </a:p>
        </c:txPr>
        <c:crossAx val="171311104"/>
        <c:crosses val="autoZero"/>
        <c:crossBetween val="between"/>
      </c:valAx>
      <c:valAx>
        <c:axId val="220441984"/>
        <c:scaling>
          <c:orientation val="minMax"/>
        </c:scaling>
        <c:delete val="1"/>
        <c:axPos val="r"/>
        <c:numFmt formatCode="General" sourceLinked="1"/>
        <c:majorTickMark val="out"/>
        <c:minorTickMark val="none"/>
        <c:tickLblPos val="nextTo"/>
        <c:crossAx val="188194304"/>
        <c:crosses val="max"/>
        <c:crossBetween val="between"/>
      </c:valAx>
      <c:catAx>
        <c:axId val="188194304"/>
        <c:scaling>
          <c:orientation val="minMax"/>
        </c:scaling>
        <c:delete val="1"/>
        <c:axPos val="b"/>
        <c:majorTickMark val="out"/>
        <c:minorTickMark val="none"/>
        <c:tickLblPos val="nextTo"/>
        <c:crossAx val="220441984"/>
        <c:crosses val="autoZero"/>
        <c:auto val="1"/>
        <c:lblAlgn val="ctr"/>
        <c:lblOffset val="100"/>
        <c:noMultiLvlLbl val="0"/>
      </c:catAx>
    </c:plotArea>
    <c:legend>
      <c:legendPos val="b"/>
      <c:layout>
        <c:manualLayout>
          <c:xMode val="edge"/>
          <c:yMode val="edge"/>
          <c:x val="0.19470825285990198"/>
          <c:y val="0.7833188820147482"/>
          <c:w val="0.61058330857227749"/>
          <c:h val="8.951937319716223E-2"/>
        </c:manualLayout>
      </c:layout>
      <c:overlay val="0"/>
    </c:legend>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0.21739</cdr:x>
      <cdr:y>0.79268</cdr:y>
    </cdr:from>
    <cdr:to>
      <cdr:x>0.28063</cdr:x>
      <cdr:y>0.85366</cdr:y>
    </cdr:to>
    <cdr:cxnSp macro="">
      <cdr:nvCxnSpPr>
        <cdr:cNvPr id="4" name="Straight Connector 3"/>
        <cdr:cNvCxnSpPr/>
      </cdr:nvCxnSpPr>
      <cdr:spPr>
        <a:xfrm xmlns:a="http://schemas.openxmlformats.org/drawingml/2006/main" flipV="1">
          <a:off x="523875" y="1238250"/>
          <a:ext cx="152400" cy="952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0.01588</cdr:x>
      <cdr:y>0.91634</cdr:y>
    </cdr:from>
    <cdr:to>
      <cdr:x>0.98165</cdr:x>
      <cdr:y>0.98766</cdr:y>
    </cdr:to>
    <cdr:sp macro="" textlink="">
      <cdr:nvSpPr>
        <cdr:cNvPr id="3" name="TextBox 1"/>
        <cdr:cNvSpPr txBox="1"/>
      </cdr:nvSpPr>
      <cdr:spPr>
        <a:xfrm xmlns:a="http://schemas.openxmlformats.org/drawingml/2006/main">
          <a:off x="72571" y="2543629"/>
          <a:ext cx="4412335" cy="197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Cases with unknown</a:t>
          </a:r>
          <a:r>
            <a:rPr lang="en-US" sz="800" baseline="0"/>
            <a:t> stage were excluded. Numbers may not sum to 100% due to rounding errors.</a:t>
          </a:r>
          <a:endParaRPr lang="en-US" sz="800"/>
        </a:p>
      </cdr:txBody>
    </cdr:sp>
  </cdr:relSizeAnchor>
</c:userShapes>
</file>

<file path=word/drawings/drawing11.xml><?xml version="1.0" encoding="utf-8"?>
<c:userShapes xmlns:c="http://schemas.openxmlformats.org/drawingml/2006/chart">
  <cdr:relSizeAnchor xmlns:cdr="http://schemas.openxmlformats.org/drawingml/2006/chartDrawing">
    <cdr:from>
      <cdr:x>0.02667</cdr:x>
      <cdr:y>0.91944</cdr:y>
    </cdr:from>
    <cdr:to>
      <cdr:x>0.95833</cdr:x>
      <cdr:y>1</cdr:y>
    </cdr:to>
    <cdr:sp macro="" textlink="">
      <cdr:nvSpPr>
        <cdr:cNvPr id="5" name="TextBox 4"/>
        <cdr:cNvSpPr txBox="1"/>
      </cdr:nvSpPr>
      <cdr:spPr>
        <a:xfrm xmlns:a="http://schemas.openxmlformats.org/drawingml/2006/main">
          <a:off x="121920" y="2522220"/>
          <a:ext cx="425958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Cases with unknown stage were excluded. Numbers may not sum to 100% due to rounding errors.</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0.92783</cdr:y>
    </cdr:from>
    <cdr:to>
      <cdr:x>0.96508</cdr:x>
      <cdr:y>1</cdr:y>
    </cdr:to>
    <cdr:sp macro="" textlink="">
      <cdr:nvSpPr>
        <cdr:cNvPr id="2" name="TextBox 1"/>
        <cdr:cNvSpPr txBox="1"/>
      </cdr:nvSpPr>
      <cdr:spPr>
        <a:xfrm xmlns:a="http://schemas.openxmlformats.org/drawingml/2006/main">
          <a:off x="0" y="2545235"/>
          <a:ext cx="4412335" cy="197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Cases with unknown</a:t>
          </a:r>
          <a:r>
            <a:rPr lang="en-US" sz="800" baseline="0"/>
            <a:t> stage were excluded. Numbers may not sum to 100% due to rounding errors.</a:t>
          </a:r>
          <a:endParaRPr lang="en-US" sz="800"/>
        </a:p>
      </cdr:txBody>
    </cdr:sp>
  </cdr:relSizeAnchor>
</c:userShapes>
</file>

<file path=word/drawings/drawing13.xml><?xml version="1.0" encoding="utf-8"?>
<c:userShapes xmlns:c="http://schemas.openxmlformats.org/drawingml/2006/chart">
  <cdr:relSizeAnchor xmlns:cdr="http://schemas.openxmlformats.org/drawingml/2006/chartDrawing">
    <cdr:from>
      <cdr:x>0.25829</cdr:x>
      <cdr:y>0.9434</cdr:y>
    </cdr:from>
    <cdr:to>
      <cdr:x>0.94902</cdr:x>
      <cdr:y>1</cdr:y>
    </cdr:to>
    <cdr:sp macro="" textlink="">
      <cdr:nvSpPr>
        <cdr:cNvPr id="2" name="TextBox 1"/>
        <cdr:cNvSpPr txBox="1"/>
      </cdr:nvSpPr>
      <cdr:spPr>
        <a:xfrm xmlns:a="http://schemas.openxmlformats.org/drawingml/2006/main">
          <a:off x="2129888" y="3810000"/>
          <a:ext cx="5695852"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*Note: Rate</a:t>
          </a:r>
          <a:r>
            <a:rPr lang="en-US" sz="800" baseline="0"/>
            <a:t> per 1,000,000. Excludes 54 cases not classified by International Classification of Childhood Cancers (ICCC) or in situ.</a:t>
          </a:r>
          <a:endParaRPr lang="en-US" sz="800"/>
        </a:p>
      </cdr:txBody>
    </cdr:sp>
  </cdr:relSizeAnchor>
  <cdr:relSizeAnchor xmlns:cdr="http://schemas.openxmlformats.org/drawingml/2006/chartDrawing">
    <cdr:from>
      <cdr:x>0.86562</cdr:x>
      <cdr:y>0.13175</cdr:y>
    </cdr:from>
    <cdr:to>
      <cdr:x>1</cdr:x>
      <cdr:y>0.32222</cdr:y>
    </cdr:to>
    <cdr:sp macro="" textlink="">
      <cdr:nvSpPr>
        <cdr:cNvPr id="3" name="TextBox 2"/>
        <cdr:cNvSpPr txBox="1"/>
      </cdr:nvSpPr>
      <cdr:spPr>
        <a:xfrm xmlns:a="http://schemas.openxmlformats.org/drawingml/2006/main">
          <a:off x="6202680" y="6324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0.09044</cdr:x>
      <cdr:y>0.44444</cdr:y>
    </cdr:from>
    <cdr:to>
      <cdr:x>0.23074</cdr:x>
      <cdr:y>0.48148</cdr:y>
    </cdr:to>
    <cdr:cxnSp macro="">
      <cdr:nvCxnSpPr>
        <cdr:cNvPr id="2" name="Straight Connector 1"/>
        <cdr:cNvCxnSpPr/>
      </cdr:nvCxnSpPr>
      <cdr:spPr>
        <a:xfrm xmlns:a="http://schemas.openxmlformats.org/drawingml/2006/main" flipH="1" flipV="1">
          <a:off x="185843" y="711200"/>
          <a:ext cx="288290" cy="5926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0.09044</cdr:x>
      <cdr:y>0.62434</cdr:y>
    </cdr:from>
    <cdr:to>
      <cdr:x>0.21838</cdr:x>
      <cdr:y>0.62963</cdr:y>
    </cdr:to>
    <cdr:cxnSp macro="">
      <cdr:nvCxnSpPr>
        <cdr:cNvPr id="4" name="Straight Connector 3"/>
        <cdr:cNvCxnSpPr/>
      </cdr:nvCxnSpPr>
      <cdr:spPr>
        <a:xfrm xmlns:a="http://schemas.openxmlformats.org/drawingml/2006/main" flipH="1" flipV="1">
          <a:off x="185843" y="999066"/>
          <a:ext cx="262891" cy="846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0.81818</cdr:x>
      <cdr:y>0.47847</cdr:y>
    </cdr:from>
    <cdr:to>
      <cdr:x>0.9537</cdr:x>
      <cdr:y>0.56111</cdr:y>
    </cdr:to>
    <cdr:cxnSp macro="">
      <cdr:nvCxnSpPr>
        <cdr:cNvPr id="2" name="Straight Connector 1"/>
        <cdr:cNvCxnSpPr/>
      </cdr:nvCxnSpPr>
      <cdr:spPr>
        <a:xfrm xmlns:a="http://schemas.openxmlformats.org/drawingml/2006/main" flipV="1">
          <a:off x="1496291" y="762000"/>
          <a:ext cx="247843" cy="13161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0.03607</cdr:x>
      <cdr:y>0.9149</cdr:y>
    </cdr:from>
    <cdr:to>
      <cdr:x>1</cdr:x>
      <cdr:y>0.98549</cdr:y>
    </cdr:to>
    <cdr:sp macro="" textlink="">
      <cdr:nvSpPr>
        <cdr:cNvPr id="2" name="TextBox 1"/>
        <cdr:cNvSpPr txBox="1"/>
      </cdr:nvSpPr>
      <cdr:spPr>
        <a:xfrm xmlns:a="http://schemas.openxmlformats.org/drawingml/2006/main">
          <a:off x="171994" y="2539639"/>
          <a:ext cx="4595949" cy="195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Cases with unknown</a:t>
          </a:r>
          <a:r>
            <a:rPr lang="en-US" sz="800" baseline="0"/>
            <a:t> stage were excluded. Numbers may not sum to 100% due to rounding errors.</a:t>
          </a:r>
          <a:endParaRPr lang="en-US" sz="800"/>
        </a:p>
      </cdr:txBody>
    </cdr:sp>
  </cdr:relSizeAnchor>
</c:userShapes>
</file>

<file path=word/drawings/drawing5.xml><?xml version="1.0" encoding="utf-8"?>
<c:userShapes xmlns:c="http://schemas.openxmlformats.org/drawingml/2006/chart">
  <cdr:relSizeAnchor xmlns:cdr="http://schemas.openxmlformats.org/drawingml/2006/chartDrawing">
    <cdr:from>
      <cdr:x>0.01594</cdr:x>
      <cdr:y>0.91164</cdr:y>
    </cdr:from>
    <cdr:to>
      <cdr:x>0.98509</cdr:x>
      <cdr:y>0.98139</cdr:y>
    </cdr:to>
    <cdr:sp macro="" textlink="">
      <cdr:nvSpPr>
        <cdr:cNvPr id="5" name="TextBox 1"/>
        <cdr:cNvSpPr txBox="1"/>
      </cdr:nvSpPr>
      <cdr:spPr>
        <a:xfrm xmlns:a="http://schemas.openxmlformats.org/drawingml/2006/main">
          <a:off x="72571" y="2587172"/>
          <a:ext cx="4412335" cy="197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Cases with unknown</a:t>
          </a:r>
          <a:r>
            <a:rPr lang="en-US" sz="800" baseline="0"/>
            <a:t> stage were excluded. Numbers may not sum to 100% due to rounding errors.</a:t>
          </a:r>
          <a:endParaRPr lang="en-US" sz="800"/>
        </a:p>
      </cdr:txBody>
    </cdr:sp>
  </cdr:relSizeAnchor>
</c:userShapes>
</file>

<file path=word/drawings/drawing6.xml><?xml version="1.0" encoding="utf-8"?>
<c:userShapes xmlns:c="http://schemas.openxmlformats.org/drawingml/2006/chart">
  <cdr:relSizeAnchor xmlns:cdr="http://schemas.openxmlformats.org/drawingml/2006/chartDrawing">
    <cdr:from>
      <cdr:x>0.01347</cdr:x>
      <cdr:y>0.91088</cdr:y>
    </cdr:from>
    <cdr:to>
      <cdr:x>0.97712</cdr:x>
      <cdr:y>0.98147</cdr:y>
    </cdr:to>
    <cdr:sp macro="" textlink="">
      <cdr:nvSpPr>
        <cdr:cNvPr id="3" name="TextBox 1"/>
        <cdr:cNvSpPr txBox="1"/>
      </cdr:nvSpPr>
      <cdr:spPr>
        <a:xfrm xmlns:a="http://schemas.openxmlformats.org/drawingml/2006/main">
          <a:off x="61685" y="2554514"/>
          <a:ext cx="4412335" cy="197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Cases with unknown</a:t>
          </a:r>
          <a:r>
            <a:rPr lang="en-US" sz="800" baseline="0"/>
            <a:t> stage were excluded. Numbers may not sum to 100% due to rounding errors.</a:t>
          </a:r>
          <a:endParaRPr lang="en-US" sz="800"/>
        </a:p>
      </cdr:txBody>
    </cdr:sp>
  </cdr:relSizeAnchor>
</c:userShapes>
</file>

<file path=word/drawings/drawing7.xml><?xml version="1.0" encoding="utf-8"?>
<c:userShapes xmlns:c="http://schemas.openxmlformats.org/drawingml/2006/chart">
  <cdr:relSizeAnchor xmlns:cdr="http://schemas.openxmlformats.org/drawingml/2006/chartDrawing">
    <cdr:from>
      <cdr:x>0.01111</cdr:x>
      <cdr:y>0.91477</cdr:y>
    </cdr:from>
    <cdr:to>
      <cdr:x>0.97619</cdr:x>
      <cdr:y>0.98536</cdr:y>
    </cdr:to>
    <cdr:sp macro="" textlink="">
      <cdr:nvSpPr>
        <cdr:cNvPr id="4" name="TextBox 1"/>
        <cdr:cNvSpPr txBox="1"/>
      </cdr:nvSpPr>
      <cdr:spPr>
        <a:xfrm xmlns:a="http://schemas.openxmlformats.org/drawingml/2006/main">
          <a:off x="50800" y="2565400"/>
          <a:ext cx="4412335" cy="197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Cases with unknown</a:t>
          </a:r>
          <a:r>
            <a:rPr lang="en-US" sz="800" baseline="0"/>
            <a:t> stage were excluded. Numbers may not sum to 100% due to rounding errors.</a:t>
          </a:r>
          <a:endParaRPr lang="en-US" sz="800"/>
        </a:p>
      </cdr:txBody>
    </cdr:sp>
  </cdr:relSizeAnchor>
</c:userShapes>
</file>

<file path=word/drawings/drawing8.xml><?xml version="1.0" encoding="utf-8"?>
<c:userShapes xmlns:c="http://schemas.openxmlformats.org/drawingml/2006/chart">
  <cdr:relSizeAnchor xmlns:cdr="http://schemas.openxmlformats.org/drawingml/2006/chartDrawing">
    <cdr:from>
      <cdr:x>0.01587</cdr:x>
      <cdr:y>0.91138</cdr:y>
    </cdr:from>
    <cdr:to>
      <cdr:x>0.98095</cdr:x>
      <cdr:y>0.98354</cdr:y>
    </cdr:to>
    <cdr:sp macro="" textlink="">
      <cdr:nvSpPr>
        <cdr:cNvPr id="3" name="TextBox 1"/>
        <cdr:cNvSpPr txBox="1"/>
      </cdr:nvSpPr>
      <cdr:spPr>
        <a:xfrm xmlns:a="http://schemas.openxmlformats.org/drawingml/2006/main">
          <a:off x="72572" y="2500086"/>
          <a:ext cx="4412335" cy="197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Cases with unknown</a:t>
          </a:r>
          <a:r>
            <a:rPr lang="en-US" sz="800" baseline="0"/>
            <a:t> stage were excluded. Numbers may not </a:t>
          </a:r>
          <a:r>
            <a:rPr lang="en-US" sz="700" baseline="0"/>
            <a:t>sum</a:t>
          </a:r>
          <a:r>
            <a:rPr lang="en-US" sz="800" baseline="0"/>
            <a:t> to 100% due to rounding errors.</a:t>
          </a:r>
          <a:endParaRPr lang="en-US" sz="800"/>
        </a:p>
      </cdr:txBody>
    </cdr:sp>
  </cdr:relSizeAnchor>
</c:userShapes>
</file>

<file path=word/drawings/drawing9.xml><?xml version="1.0" encoding="utf-8"?>
<c:userShapes xmlns:c="http://schemas.openxmlformats.org/drawingml/2006/chart">
  <cdr:relSizeAnchor xmlns:cdr="http://schemas.openxmlformats.org/drawingml/2006/chartDrawing">
    <cdr:from>
      <cdr:x>0.0657</cdr:x>
      <cdr:y>0.90065</cdr:y>
    </cdr:from>
    <cdr:to>
      <cdr:x>0.95834</cdr:x>
      <cdr:y>0.95556</cdr:y>
    </cdr:to>
    <cdr:sp macro="" textlink="">
      <cdr:nvSpPr>
        <cdr:cNvPr id="2" name="TextBox 1"/>
        <cdr:cNvSpPr txBox="1"/>
      </cdr:nvSpPr>
      <cdr:spPr>
        <a:xfrm xmlns:a="http://schemas.openxmlformats.org/drawingml/2006/main">
          <a:off x="300374" y="2470673"/>
          <a:ext cx="4081171" cy="1506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*Mortality statistics for black males suppressed due to fewer than 10 cases.</a:t>
          </a:r>
        </a:p>
      </cdr:txBody>
    </cdr:sp>
  </cdr:relSizeAnchor>
</c:userShape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2015-12-01T00:00:00</PublishDate>
  <Abstract>This document presents cancer incidence and mortality information for the entire state of Tennessee focusing on the five-year period between 2008 and 2012, with comparisons to national rates. The report is made possible through data collected by the Tennessee Cancer Registry (TCR) as well as cancer registries nationwide. The TCR is dedicated to the collection and use of quality data for the purpose of decreasing the incidence and mortality of cancer in Tennessee.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1</b:Tag>
    <b:RefOrder>1</b:RefOrder>
  </b:Source>
  <b:Source>
    <b:Tag>2</b:Tag>
    <b:SourceType>Report</b:SourceType>
    <b:Guid>{9860A6D5-782F-47B4-B32A-FD5F2BA6DF87}</b:Guid>
    <b:Title>2</b:Title>
    <b:RefOrder>2</b:RefOrder>
  </b:Source>
  <b:Source>
    <b:Tag>3</b:Tag>
    <b:SourceType>Report</b:SourceType>
    <b:Guid>{64DBEA93-F05D-4889-9493-867441B791FF}</b:Guid>
    <b:Title>3</b:Title>
    <b:RefOrder>3</b:RefOrder>
  </b:Source>
  <b:Source>
    <b:Tag>4</b:Tag>
    <b:SourceType>Report</b:SourceType>
    <b:Guid>{FB37C2EF-2405-4CEC-A3DA-6F0A786967FC}</b:Guid>
    <b:Title>4</b:Title>
    <b:RefOrder>4</b:RefOrder>
  </b:Source>
  <b:Source>
    <b:Tag>5</b:Tag>
    <b:SourceType>Report</b:SourceType>
    <b:Guid>{978CC977-6EF6-4050-A16D-6903B110F9BF}</b:Guid>
    <b:Title>5</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FE9CE1-62DE-4D89-A4BB-BE68C13AF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11688</Words>
  <Characters>66624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CANCER IN TENNESSEE</vt:lpstr>
    </vt:vector>
  </TitlesOfParts>
  <Company>State of Tennessee</Company>
  <LinksUpToDate>false</LinksUpToDate>
  <CharactersWithSpaces>78156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IN TENNESSEE</dc:title>
  <dc:subject>2008-2012</dc:subject>
  <dc:creator>Jake Richards</dc:creator>
  <cp:lastModifiedBy>Martin Whiteside</cp:lastModifiedBy>
  <cp:revision>3</cp:revision>
  <cp:lastPrinted>2015-12-17T16:14:00Z</cp:lastPrinted>
  <dcterms:created xsi:type="dcterms:W3CDTF">2016-01-08T19:19:00Z</dcterms:created>
  <dcterms:modified xsi:type="dcterms:W3CDTF">2016-01-08T19:19:00Z</dcterms:modified>
</cp:coreProperties>
</file>