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5116" w14:textId="4F009DDD" w:rsidR="00F253D2" w:rsidRDefault="0025639E" w:rsidP="008A3E21">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BD3AEDF" wp14:editId="6F74474F">
                <wp:simplePos x="0" y="0"/>
                <wp:positionH relativeFrom="column">
                  <wp:posOffset>-485775</wp:posOffset>
                </wp:positionH>
                <wp:positionV relativeFrom="paragraph">
                  <wp:posOffset>38100</wp:posOffset>
                </wp:positionV>
                <wp:extent cx="6791325" cy="2752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91325"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41578" w14:textId="219A9370" w:rsidR="00F253D2" w:rsidRPr="0025639E" w:rsidRDefault="00F253D2" w:rsidP="00F253D2">
                            <w:pPr>
                              <w:shd w:val="clear" w:color="auto" w:fill="1F497D" w:themeFill="text2"/>
                              <w:rPr>
                                <w:color w:val="FFFFFF" w:themeColor="background1"/>
                                <w:sz w:val="72"/>
                                <w:szCs w:val="72"/>
                              </w:rPr>
                            </w:pPr>
                            <w:r>
                              <w:rPr>
                                <w:noProof/>
                              </w:rPr>
                              <w:drawing>
                                <wp:inline distT="0" distB="0" distL="0" distR="0" wp14:anchorId="44133E85" wp14:editId="3152422B">
                                  <wp:extent cx="1524000" cy="1102346"/>
                                  <wp:effectExtent l="0" t="0" r="0" b="317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023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tab/>
                            </w:r>
                            <w:r>
                              <w:tab/>
                            </w:r>
                            <w:r w:rsidRPr="0025639E">
                              <w:rPr>
                                <w:color w:val="FFFFFF" w:themeColor="background1"/>
                                <w:sz w:val="72"/>
                                <w:szCs w:val="72"/>
                              </w:rPr>
                              <w:t>Access to Health</w:t>
                            </w:r>
                          </w:p>
                          <w:p w14:paraId="4216F00D" w14:textId="391B87C1" w:rsidR="00F253D2" w:rsidRPr="0025639E" w:rsidRDefault="00F253D2" w:rsidP="00F253D2">
                            <w:pPr>
                              <w:shd w:val="clear" w:color="auto" w:fill="1F497D" w:themeFill="text2"/>
                              <w:rPr>
                                <w:sz w:val="72"/>
                                <w:szCs w:val="72"/>
                              </w:rPr>
                            </w:pPr>
                            <w:r w:rsidRPr="0025639E">
                              <w:rPr>
                                <w:color w:val="FFFFFF" w:themeColor="background1"/>
                                <w:sz w:val="72"/>
                                <w:szCs w:val="72"/>
                              </w:rPr>
                              <w:tab/>
                            </w:r>
                            <w:r w:rsidR="0025639E">
                              <w:rPr>
                                <w:color w:val="FFFFFF" w:themeColor="background1"/>
                                <w:sz w:val="72"/>
                                <w:szCs w:val="72"/>
                              </w:rPr>
                              <w:t xml:space="preserve">      </w:t>
                            </w:r>
                            <w:proofErr w:type="gramStart"/>
                            <w:r w:rsidRPr="0025639E">
                              <w:rPr>
                                <w:color w:val="FFFFFF" w:themeColor="background1"/>
                                <w:sz w:val="72"/>
                                <w:szCs w:val="72"/>
                              </w:rPr>
                              <w:t>through</w:t>
                            </w:r>
                            <w:proofErr w:type="gramEnd"/>
                            <w:r w:rsidRPr="0025639E">
                              <w:rPr>
                                <w:color w:val="FFFFFF" w:themeColor="background1"/>
                                <w:sz w:val="72"/>
                                <w:szCs w:val="72"/>
                              </w:rPr>
                              <w:t xml:space="preserve"> Built</w:t>
                            </w:r>
                            <w:r>
                              <w:rPr>
                                <w:color w:val="FFFFFF" w:themeColor="background1"/>
                                <w:sz w:val="96"/>
                                <w:szCs w:val="96"/>
                              </w:rPr>
                              <w:t xml:space="preserve"> </w:t>
                            </w:r>
                            <w:r w:rsidRPr="0025639E">
                              <w:rPr>
                                <w:color w:val="FFFFFF" w:themeColor="background1"/>
                                <w:sz w:val="72"/>
                                <w:szCs w:val="72"/>
                              </w:rPr>
                              <w:t>Environment</w:t>
                            </w:r>
                          </w:p>
                          <w:p w14:paraId="5E821F64" w14:textId="77777777" w:rsidR="00F253D2" w:rsidRPr="00F253D2" w:rsidRDefault="00F253D2" w:rsidP="00F253D2">
                            <w:pPr>
                              <w:shd w:val="clear" w:color="auto" w:fill="1F497D" w:themeFill="text2"/>
                              <w:rPr>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3pt;width:534.7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" fillcolor="white [3201]" strokeweight=".5pt">
                <v:textbox>
                  <w:txbxContent>
                    <w:p w14:paraId="70A41578" w14:textId="219A9370" w:rsidR="00F253D2" w:rsidRPr="0025639E" w:rsidRDefault="00F253D2" w:rsidP="00F253D2">
                      <w:pPr>
                        <w:shd w:val="clear" w:color="auto" w:fill="1F497D" w:themeFill="text2"/>
                        <w:rPr>
                          <w:color w:val="FFFFFF" w:themeColor="background1"/>
                          <w:sz w:val="72"/>
                          <w:szCs w:val="72"/>
                        </w:rPr>
                      </w:pPr>
                      <w:r>
                        <w:rPr>
                          <w:noProof/>
                        </w:rPr>
                        <w:drawing>
                          <wp:inline distT="0" distB="0" distL="0" distR="0" wp14:anchorId="44133E85" wp14:editId="3152422B">
                            <wp:extent cx="1524000" cy="1102346"/>
                            <wp:effectExtent l="0" t="0" r="0" b="317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023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tab/>
                      </w:r>
                      <w:r>
                        <w:tab/>
                      </w:r>
                      <w:r w:rsidRPr="0025639E">
                        <w:rPr>
                          <w:color w:val="FFFFFF" w:themeColor="background1"/>
                          <w:sz w:val="72"/>
                          <w:szCs w:val="72"/>
                        </w:rPr>
                        <w:t>Access to Health</w:t>
                      </w:r>
                    </w:p>
                    <w:p w14:paraId="4216F00D" w14:textId="391B87C1" w:rsidR="00F253D2" w:rsidRPr="0025639E" w:rsidRDefault="00F253D2" w:rsidP="00F253D2">
                      <w:pPr>
                        <w:shd w:val="clear" w:color="auto" w:fill="1F497D" w:themeFill="text2"/>
                        <w:rPr>
                          <w:sz w:val="72"/>
                          <w:szCs w:val="72"/>
                        </w:rPr>
                      </w:pPr>
                      <w:r w:rsidRPr="0025639E">
                        <w:rPr>
                          <w:color w:val="FFFFFF" w:themeColor="background1"/>
                          <w:sz w:val="72"/>
                          <w:szCs w:val="72"/>
                        </w:rPr>
                        <w:tab/>
                      </w:r>
                      <w:r w:rsidR="0025639E">
                        <w:rPr>
                          <w:color w:val="FFFFFF" w:themeColor="background1"/>
                          <w:sz w:val="72"/>
                          <w:szCs w:val="72"/>
                        </w:rPr>
                        <w:t xml:space="preserve">      </w:t>
                      </w:r>
                      <w:proofErr w:type="gramStart"/>
                      <w:r w:rsidRPr="0025639E">
                        <w:rPr>
                          <w:color w:val="FFFFFF" w:themeColor="background1"/>
                          <w:sz w:val="72"/>
                          <w:szCs w:val="72"/>
                        </w:rPr>
                        <w:t>through</w:t>
                      </w:r>
                      <w:proofErr w:type="gramEnd"/>
                      <w:r w:rsidRPr="0025639E">
                        <w:rPr>
                          <w:color w:val="FFFFFF" w:themeColor="background1"/>
                          <w:sz w:val="72"/>
                          <w:szCs w:val="72"/>
                        </w:rPr>
                        <w:t xml:space="preserve"> Built</w:t>
                      </w:r>
                      <w:r>
                        <w:rPr>
                          <w:color w:val="FFFFFF" w:themeColor="background1"/>
                          <w:sz w:val="96"/>
                          <w:szCs w:val="96"/>
                        </w:rPr>
                        <w:t xml:space="preserve"> </w:t>
                      </w:r>
                      <w:r w:rsidRPr="0025639E">
                        <w:rPr>
                          <w:color w:val="FFFFFF" w:themeColor="background1"/>
                          <w:sz w:val="72"/>
                          <w:szCs w:val="72"/>
                        </w:rPr>
                        <w:t>Environment</w:t>
                      </w:r>
                    </w:p>
                    <w:p w14:paraId="5E821F64" w14:textId="77777777" w:rsidR="00F253D2" w:rsidRPr="00F253D2" w:rsidRDefault="00F253D2" w:rsidP="00F253D2">
                      <w:pPr>
                        <w:shd w:val="clear" w:color="auto" w:fill="1F497D" w:themeFill="text2"/>
                        <w:rPr>
                          <w:color w:val="FFFFFF" w:themeColor="background1"/>
                          <w:sz w:val="56"/>
                          <w:szCs w:val="56"/>
                        </w:rPr>
                      </w:pPr>
                    </w:p>
                  </w:txbxContent>
                </v:textbox>
              </v:shape>
            </w:pict>
          </mc:Fallback>
        </mc:AlternateContent>
      </w:r>
    </w:p>
    <w:p w14:paraId="3A099C0C" w14:textId="3B364FAE" w:rsidR="00F253D2" w:rsidRDefault="00F253D2" w:rsidP="008A3E21">
      <w:pPr>
        <w:jc w:val="center"/>
        <w:rPr>
          <w:b/>
          <w:sz w:val="24"/>
          <w:szCs w:val="24"/>
        </w:rPr>
      </w:pPr>
    </w:p>
    <w:p w14:paraId="1DB45725" w14:textId="7016B70B" w:rsidR="00F253D2" w:rsidRDefault="00F253D2" w:rsidP="008A3E21">
      <w:pPr>
        <w:jc w:val="center"/>
        <w:rPr>
          <w:b/>
          <w:sz w:val="24"/>
          <w:szCs w:val="24"/>
        </w:rPr>
      </w:pPr>
    </w:p>
    <w:p w14:paraId="2A7FF7AA" w14:textId="77777777" w:rsidR="00F253D2" w:rsidRDefault="00F253D2" w:rsidP="008A3E21">
      <w:pPr>
        <w:jc w:val="center"/>
        <w:rPr>
          <w:b/>
          <w:sz w:val="24"/>
          <w:szCs w:val="24"/>
        </w:rPr>
      </w:pPr>
    </w:p>
    <w:p w14:paraId="0A4D0AB4" w14:textId="040F035C" w:rsidR="00F253D2" w:rsidRDefault="00F253D2" w:rsidP="008A3E21">
      <w:pPr>
        <w:jc w:val="center"/>
        <w:rPr>
          <w:b/>
          <w:sz w:val="24"/>
          <w:szCs w:val="24"/>
        </w:rPr>
      </w:pPr>
    </w:p>
    <w:p w14:paraId="48A05BFB" w14:textId="60A8F350" w:rsidR="00F253D2" w:rsidRDefault="00F253D2" w:rsidP="008A3E21">
      <w:pPr>
        <w:jc w:val="center"/>
        <w:rPr>
          <w:b/>
          <w:sz w:val="24"/>
          <w:szCs w:val="24"/>
        </w:rPr>
      </w:pPr>
    </w:p>
    <w:p w14:paraId="4AF575B0" w14:textId="77777777" w:rsidR="00F253D2" w:rsidRDefault="00F253D2" w:rsidP="008A3E21">
      <w:pPr>
        <w:jc w:val="center"/>
        <w:rPr>
          <w:b/>
          <w:sz w:val="24"/>
          <w:szCs w:val="24"/>
        </w:rPr>
      </w:pPr>
    </w:p>
    <w:p w14:paraId="45B0C20B" w14:textId="77777777" w:rsidR="00F253D2" w:rsidRDefault="00F253D2" w:rsidP="008A3E21">
      <w:pPr>
        <w:jc w:val="center"/>
        <w:rPr>
          <w:b/>
          <w:sz w:val="24"/>
          <w:szCs w:val="24"/>
        </w:rPr>
      </w:pPr>
    </w:p>
    <w:tbl>
      <w:tblPr>
        <w:tblStyle w:val="TableGrid"/>
        <w:tblpPr w:leftFromText="180" w:rightFromText="180" w:vertAnchor="text" w:horzAnchor="margin" w:tblpXSpec="center" w:tblpY="761"/>
        <w:tblW w:w="12708" w:type="dxa"/>
        <w:tblLook w:val="04A0" w:firstRow="1" w:lastRow="0" w:firstColumn="1" w:lastColumn="0" w:noHBand="0" w:noVBand="1"/>
      </w:tblPr>
      <w:tblGrid>
        <w:gridCol w:w="4176"/>
        <w:gridCol w:w="4626"/>
        <w:gridCol w:w="3906"/>
      </w:tblGrid>
      <w:tr w:rsidR="0025639E" w14:paraId="41274F48" w14:textId="77777777" w:rsidTr="0025639E">
        <w:trPr>
          <w:trHeight w:val="3143"/>
        </w:trPr>
        <w:tc>
          <w:tcPr>
            <w:tcW w:w="4176" w:type="dxa"/>
          </w:tcPr>
          <w:p w14:paraId="49B8944A" w14:textId="68C3B4DB" w:rsidR="0025639E" w:rsidRDefault="0025639E" w:rsidP="0025639E">
            <w:pPr>
              <w:jc w:val="center"/>
              <w:rPr>
                <w:b/>
                <w:sz w:val="24"/>
                <w:szCs w:val="24"/>
              </w:rPr>
            </w:pPr>
            <w:r>
              <w:rPr>
                <w:b/>
                <w:noProof/>
                <w:sz w:val="24"/>
                <w:szCs w:val="24"/>
              </w:rPr>
              <w:drawing>
                <wp:inline distT="0" distB="0" distL="0" distR="0" wp14:anchorId="1C196383" wp14:editId="150B50B7">
                  <wp:extent cx="2514600" cy="1914525"/>
                  <wp:effectExtent l="0" t="0" r="0" b="9525"/>
                  <wp:docPr id="3" name="Picture 3" descr="C:\Users\DC01964\Pictures\park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01964\Pictures\parkl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5831" cy="1915462"/>
                          </a:xfrm>
                          <a:prstGeom prst="rect">
                            <a:avLst/>
                          </a:prstGeom>
                          <a:noFill/>
                          <a:ln>
                            <a:noFill/>
                          </a:ln>
                        </pic:spPr>
                      </pic:pic>
                    </a:graphicData>
                  </a:graphic>
                </wp:inline>
              </w:drawing>
            </w:r>
          </w:p>
        </w:tc>
        <w:tc>
          <w:tcPr>
            <w:tcW w:w="4626" w:type="dxa"/>
          </w:tcPr>
          <w:p w14:paraId="491DB1E0" w14:textId="77777777" w:rsidR="0025639E" w:rsidRDefault="0025639E" w:rsidP="0025639E">
            <w:pPr>
              <w:jc w:val="center"/>
              <w:rPr>
                <w:b/>
                <w:sz w:val="24"/>
                <w:szCs w:val="24"/>
              </w:rPr>
            </w:pPr>
            <w:r>
              <w:rPr>
                <w:b/>
                <w:noProof/>
                <w:sz w:val="24"/>
                <w:szCs w:val="24"/>
              </w:rPr>
              <w:drawing>
                <wp:inline distT="0" distB="0" distL="0" distR="0" wp14:anchorId="5D516C94" wp14:editId="17BF4867">
                  <wp:extent cx="2800350" cy="1914525"/>
                  <wp:effectExtent l="0" t="0" r="0" b="9525"/>
                  <wp:docPr id="5" name="Picture 5" descr="C:\Users\DC01964\Pictures\Protected_Bike_L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01964\Pictures\Protected_Bike_Lan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914525"/>
                          </a:xfrm>
                          <a:prstGeom prst="rect">
                            <a:avLst/>
                          </a:prstGeom>
                          <a:noFill/>
                          <a:ln>
                            <a:noFill/>
                          </a:ln>
                        </pic:spPr>
                      </pic:pic>
                    </a:graphicData>
                  </a:graphic>
                </wp:inline>
              </w:drawing>
            </w:r>
          </w:p>
        </w:tc>
        <w:tc>
          <w:tcPr>
            <w:tcW w:w="3906" w:type="dxa"/>
          </w:tcPr>
          <w:p w14:paraId="133DB3CC" w14:textId="77777777" w:rsidR="0025639E" w:rsidRDefault="0025639E" w:rsidP="0025639E">
            <w:pPr>
              <w:jc w:val="center"/>
              <w:rPr>
                <w:b/>
                <w:sz w:val="24"/>
                <w:szCs w:val="24"/>
              </w:rPr>
            </w:pPr>
            <w:r w:rsidRPr="00F253D2">
              <w:rPr>
                <w:b/>
                <w:sz w:val="24"/>
                <w:szCs w:val="24"/>
              </w:rPr>
              <w:drawing>
                <wp:inline distT="0" distB="0" distL="0" distR="0" wp14:anchorId="20495AB5" wp14:editId="39298994">
                  <wp:extent cx="2333625" cy="1914525"/>
                  <wp:effectExtent l="0" t="0" r="9525" b="9525"/>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Picture 2"/>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1914525"/>
                          </a:xfrm>
                          <a:prstGeom prst="rect">
                            <a:avLst/>
                          </a:prstGeom>
                          <a:noFill/>
                          <a:ln>
                            <a:noFill/>
                          </a:ln>
                          <a:effectLst/>
                          <a:extLst/>
                        </pic:spPr>
                      </pic:pic>
                    </a:graphicData>
                  </a:graphic>
                </wp:inline>
              </w:drawing>
            </w:r>
          </w:p>
        </w:tc>
      </w:tr>
    </w:tbl>
    <w:p w14:paraId="2911096C" w14:textId="569A8BEC" w:rsidR="00F253D2" w:rsidRDefault="00F253D2" w:rsidP="00F253D2">
      <w:pPr>
        <w:ind w:left="1440" w:firstLine="720"/>
        <w:jc w:val="center"/>
        <w:rPr>
          <w:b/>
          <w:sz w:val="24"/>
          <w:szCs w:val="24"/>
        </w:rPr>
      </w:pPr>
    </w:p>
    <w:p w14:paraId="01DDA8FB" w14:textId="4F3D29BB" w:rsidR="00F253D2" w:rsidRDefault="00F253D2" w:rsidP="008A3E21">
      <w:pPr>
        <w:jc w:val="center"/>
        <w:rPr>
          <w:b/>
          <w:sz w:val="24"/>
          <w:szCs w:val="24"/>
        </w:rPr>
      </w:pPr>
    </w:p>
    <w:p w14:paraId="2FA863C0" w14:textId="77777777" w:rsidR="00F253D2" w:rsidRDefault="00F253D2" w:rsidP="008A3E21">
      <w:pPr>
        <w:jc w:val="center"/>
        <w:rPr>
          <w:b/>
          <w:sz w:val="24"/>
          <w:szCs w:val="24"/>
        </w:rPr>
      </w:pPr>
    </w:p>
    <w:p w14:paraId="6A0789ED" w14:textId="36FE1984" w:rsidR="00F253D2" w:rsidRDefault="0025639E" w:rsidP="008A3E21">
      <w:pPr>
        <w:jc w:val="cente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6E2431D4" wp14:editId="4D259C44">
                <wp:simplePos x="0" y="0"/>
                <wp:positionH relativeFrom="column">
                  <wp:posOffset>-1123315</wp:posOffset>
                </wp:positionH>
                <wp:positionV relativeFrom="paragraph">
                  <wp:posOffset>275590</wp:posOffset>
                </wp:positionV>
                <wp:extent cx="8105775" cy="1781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810577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E71CA" w14:textId="77777777" w:rsidR="0025639E" w:rsidRPr="00F253D2" w:rsidRDefault="0025639E" w:rsidP="0025639E">
                            <w:pPr>
                              <w:shd w:val="clear" w:color="auto" w:fill="1F497D" w:themeFill="text2"/>
                              <w:spacing w:after="0"/>
                              <w:jc w:val="center"/>
                              <w:rPr>
                                <w:color w:val="FFFFFF" w:themeColor="background1"/>
                                <w:sz w:val="24"/>
                                <w:szCs w:val="24"/>
                              </w:rPr>
                            </w:pPr>
                          </w:p>
                          <w:p w14:paraId="7E6027B9" w14:textId="77777777" w:rsidR="0025639E" w:rsidRDefault="0025639E" w:rsidP="0025639E">
                            <w:pPr>
                              <w:shd w:val="clear" w:color="auto" w:fill="1F497D" w:themeFill="text2"/>
                              <w:spacing w:after="0"/>
                              <w:jc w:val="center"/>
                              <w:rPr>
                                <w:color w:val="FFFFFF" w:themeColor="background1"/>
                                <w:sz w:val="56"/>
                                <w:szCs w:val="56"/>
                              </w:rPr>
                            </w:pPr>
                            <w:r>
                              <w:rPr>
                                <w:color w:val="FFFFFF" w:themeColor="background1"/>
                                <w:sz w:val="56"/>
                                <w:szCs w:val="56"/>
                              </w:rPr>
                              <w:t xml:space="preserve">Report and Recommendations from </w:t>
                            </w:r>
                          </w:p>
                          <w:p w14:paraId="49E0E023" w14:textId="77777777" w:rsidR="0025639E" w:rsidRDefault="0025639E" w:rsidP="0025639E">
                            <w:pPr>
                              <w:shd w:val="clear" w:color="auto" w:fill="1F497D" w:themeFill="text2"/>
                              <w:spacing w:after="0"/>
                              <w:jc w:val="center"/>
                              <w:rPr>
                                <w:color w:val="FFFFFF" w:themeColor="background1"/>
                                <w:sz w:val="56"/>
                                <w:szCs w:val="56"/>
                              </w:rPr>
                            </w:pPr>
                            <w:r>
                              <w:rPr>
                                <w:color w:val="FFFFFF" w:themeColor="background1"/>
                                <w:sz w:val="56"/>
                                <w:szCs w:val="56"/>
                              </w:rPr>
                              <w:t>Rising Stars Team for Built Environment</w:t>
                            </w:r>
                          </w:p>
                          <w:p w14:paraId="53038956" w14:textId="77777777" w:rsidR="0025639E" w:rsidRPr="00F253D2" w:rsidRDefault="0025639E" w:rsidP="0025639E">
                            <w:pPr>
                              <w:shd w:val="clear" w:color="auto" w:fill="1F497D" w:themeFill="text2"/>
                              <w:spacing w:after="0"/>
                              <w:jc w:val="center"/>
                              <w:rPr>
                                <w:color w:val="FFFFFF" w:themeColor="background1"/>
                                <w:sz w:val="40"/>
                                <w:szCs w:val="40"/>
                              </w:rPr>
                            </w:pPr>
                            <w:r>
                              <w:rPr>
                                <w:color w:val="FFFFFF" w:themeColor="background1"/>
                                <w:sz w:val="40"/>
                                <w:szCs w:val="40"/>
                              </w:rPr>
                              <w:t>May 27,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88.45pt;margin-top:21.7pt;width:638.25pt;height:14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" fillcolor="white [3201]" strokeweight=".5pt">
                <v:textbox>
                  <w:txbxContent>
                    <w:p w14:paraId="2AFE71CA" w14:textId="77777777" w:rsidR="0025639E" w:rsidRPr="00F253D2" w:rsidRDefault="0025639E" w:rsidP="0025639E">
                      <w:pPr>
                        <w:shd w:val="clear" w:color="auto" w:fill="1F497D" w:themeFill="text2"/>
                        <w:spacing w:after="0"/>
                        <w:jc w:val="center"/>
                        <w:rPr>
                          <w:color w:val="FFFFFF" w:themeColor="background1"/>
                          <w:sz w:val="24"/>
                          <w:szCs w:val="24"/>
                        </w:rPr>
                      </w:pPr>
                    </w:p>
                    <w:p w14:paraId="7E6027B9" w14:textId="77777777" w:rsidR="0025639E" w:rsidRDefault="0025639E" w:rsidP="0025639E">
                      <w:pPr>
                        <w:shd w:val="clear" w:color="auto" w:fill="1F497D" w:themeFill="text2"/>
                        <w:spacing w:after="0"/>
                        <w:jc w:val="center"/>
                        <w:rPr>
                          <w:color w:val="FFFFFF" w:themeColor="background1"/>
                          <w:sz w:val="56"/>
                          <w:szCs w:val="56"/>
                        </w:rPr>
                      </w:pPr>
                      <w:r>
                        <w:rPr>
                          <w:color w:val="FFFFFF" w:themeColor="background1"/>
                          <w:sz w:val="56"/>
                          <w:szCs w:val="56"/>
                        </w:rPr>
                        <w:t xml:space="preserve">Report and Recommendations from </w:t>
                      </w:r>
                    </w:p>
                    <w:p w14:paraId="49E0E023" w14:textId="77777777" w:rsidR="0025639E" w:rsidRDefault="0025639E" w:rsidP="0025639E">
                      <w:pPr>
                        <w:shd w:val="clear" w:color="auto" w:fill="1F497D" w:themeFill="text2"/>
                        <w:spacing w:after="0"/>
                        <w:jc w:val="center"/>
                        <w:rPr>
                          <w:color w:val="FFFFFF" w:themeColor="background1"/>
                          <w:sz w:val="56"/>
                          <w:szCs w:val="56"/>
                        </w:rPr>
                      </w:pPr>
                      <w:r>
                        <w:rPr>
                          <w:color w:val="FFFFFF" w:themeColor="background1"/>
                          <w:sz w:val="56"/>
                          <w:szCs w:val="56"/>
                        </w:rPr>
                        <w:t>Rising Stars Team for Built Environment</w:t>
                      </w:r>
                    </w:p>
                    <w:p w14:paraId="53038956" w14:textId="77777777" w:rsidR="0025639E" w:rsidRPr="00F253D2" w:rsidRDefault="0025639E" w:rsidP="0025639E">
                      <w:pPr>
                        <w:shd w:val="clear" w:color="auto" w:fill="1F497D" w:themeFill="text2"/>
                        <w:spacing w:after="0"/>
                        <w:jc w:val="center"/>
                        <w:rPr>
                          <w:color w:val="FFFFFF" w:themeColor="background1"/>
                          <w:sz w:val="40"/>
                          <w:szCs w:val="40"/>
                        </w:rPr>
                      </w:pPr>
                      <w:r>
                        <w:rPr>
                          <w:color w:val="FFFFFF" w:themeColor="background1"/>
                          <w:sz w:val="40"/>
                          <w:szCs w:val="40"/>
                        </w:rPr>
                        <w:t>May 27, 2015</w:t>
                      </w:r>
                    </w:p>
                  </w:txbxContent>
                </v:textbox>
              </v:shape>
            </w:pict>
          </mc:Fallback>
        </mc:AlternateContent>
      </w:r>
    </w:p>
    <w:p w14:paraId="197E2EB8" w14:textId="77777777" w:rsidR="00F253D2" w:rsidRDefault="00F253D2" w:rsidP="008A3E21">
      <w:pPr>
        <w:jc w:val="center"/>
        <w:rPr>
          <w:b/>
          <w:sz w:val="24"/>
          <w:szCs w:val="24"/>
        </w:rPr>
      </w:pPr>
    </w:p>
    <w:p w14:paraId="081476F5" w14:textId="6DA33BF4" w:rsidR="00F253D2" w:rsidRDefault="00F253D2" w:rsidP="008A3E21">
      <w:pPr>
        <w:jc w:val="center"/>
        <w:rPr>
          <w:b/>
          <w:sz w:val="24"/>
          <w:szCs w:val="24"/>
        </w:rPr>
      </w:pPr>
    </w:p>
    <w:p w14:paraId="5216C4A9" w14:textId="73F2ACA1" w:rsidR="00F253D2" w:rsidRDefault="00F253D2">
      <w:pPr>
        <w:rPr>
          <w:b/>
          <w:sz w:val="24"/>
          <w:szCs w:val="24"/>
        </w:rPr>
      </w:pPr>
      <w:r>
        <w:rPr>
          <w:b/>
          <w:sz w:val="24"/>
          <w:szCs w:val="24"/>
        </w:rPr>
        <w:br w:type="page"/>
      </w:r>
    </w:p>
    <w:p w14:paraId="3ADECC08" w14:textId="02B159E5" w:rsidR="000D53A5" w:rsidRPr="00453386" w:rsidRDefault="00D0586C">
      <w:pPr>
        <w:rPr>
          <w:sz w:val="24"/>
          <w:szCs w:val="24"/>
        </w:rPr>
      </w:pPr>
      <w:r>
        <w:rPr>
          <w:color w:val="1F497D" w:themeColor="text2"/>
          <w:sz w:val="40"/>
          <w:szCs w:val="40"/>
        </w:rPr>
        <w:lastRenderedPageBreak/>
        <w:t>Access to Health in Tennessee</w:t>
      </w:r>
    </w:p>
    <w:p w14:paraId="38C15116" w14:textId="2709BEC4" w:rsidR="00EB127F" w:rsidRDefault="000D53A5" w:rsidP="00EB127F">
      <w:pPr>
        <w:ind w:firstLine="720"/>
        <w:jc w:val="both"/>
        <w:rPr>
          <w:sz w:val="24"/>
          <w:szCs w:val="24"/>
          <w:vertAlign w:val="superscript"/>
        </w:rPr>
      </w:pPr>
      <w:r w:rsidRPr="00453386">
        <w:rPr>
          <w:sz w:val="24"/>
          <w:szCs w:val="24"/>
        </w:rPr>
        <w:t>Tennessee is ranked 45</w:t>
      </w:r>
      <w:r w:rsidRPr="00453386">
        <w:rPr>
          <w:sz w:val="24"/>
          <w:szCs w:val="24"/>
          <w:vertAlign w:val="superscript"/>
        </w:rPr>
        <w:t>th</w:t>
      </w:r>
      <w:r w:rsidRPr="00453386">
        <w:rPr>
          <w:sz w:val="24"/>
          <w:szCs w:val="24"/>
        </w:rPr>
        <w:t xml:space="preserve"> overall in the United States in terms of health.</w:t>
      </w:r>
      <w:r w:rsidR="00794B4B" w:rsidRPr="00453386">
        <w:rPr>
          <w:rStyle w:val="EndnoteReference"/>
          <w:sz w:val="24"/>
          <w:szCs w:val="24"/>
        </w:rPr>
        <w:endnoteReference w:id="1"/>
      </w:r>
      <w:r w:rsidRPr="00453386">
        <w:rPr>
          <w:sz w:val="24"/>
          <w:szCs w:val="24"/>
        </w:rPr>
        <w:t xml:space="preserve"> Factors contributing to this ranking include high rates of obesity, physical inactivity, violence, and infant mortality.</w:t>
      </w:r>
      <w:r w:rsidR="00272D5F" w:rsidRPr="00453386">
        <w:rPr>
          <w:rStyle w:val="EndnoteReference"/>
          <w:sz w:val="24"/>
          <w:szCs w:val="24"/>
        </w:rPr>
        <w:endnoteReference w:id="2"/>
      </w:r>
      <w:r w:rsidRPr="00453386">
        <w:rPr>
          <w:sz w:val="24"/>
          <w:szCs w:val="24"/>
        </w:rPr>
        <w:t xml:space="preserve"> </w:t>
      </w:r>
      <w:r w:rsidR="001B1465" w:rsidRPr="00453386">
        <w:rPr>
          <w:sz w:val="24"/>
          <w:szCs w:val="24"/>
        </w:rPr>
        <w:t>Aspects of the built environment can influence each of these key areas of health. In fact, improving the built environment can lead to an increase in physical activity and overall health and a reduction in violence, stress, length of hospital stay, asthma and infant mortality</w:t>
      </w:r>
      <w:r w:rsidR="007609EB">
        <w:rPr>
          <w:sz w:val="24"/>
          <w:szCs w:val="24"/>
        </w:rPr>
        <w:t>.</w:t>
      </w:r>
      <w:r w:rsidR="00CA3867" w:rsidRPr="00453386">
        <w:rPr>
          <w:rStyle w:val="EndnoteReference"/>
          <w:sz w:val="24"/>
          <w:szCs w:val="24"/>
        </w:rPr>
        <w:endnoteReference w:id="3"/>
      </w:r>
      <w:r w:rsidR="00CA3867" w:rsidRPr="00453386">
        <w:rPr>
          <w:sz w:val="24"/>
          <w:szCs w:val="24"/>
          <w:vertAlign w:val="superscript"/>
        </w:rPr>
        <w:t>,</w:t>
      </w:r>
      <w:r w:rsidR="00255CC7" w:rsidRPr="00453386">
        <w:rPr>
          <w:rStyle w:val="EndnoteReference"/>
          <w:sz w:val="24"/>
          <w:szCs w:val="24"/>
        </w:rPr>
        <w:endnoteReference w:id="4"/>
      </w:r>
      <w:r w:rsidR="00CA3867" w:rsidRPr="00453386">
        <w:rPr>
          <w:sz w:val="24"/>
          <w:szCs w:val="24"/>
          <w:vertAlign w:val="superscript"/>
        </w:rPr>
        <w:t>,</w:t>
      </w:r>
      <w:r w:rsidR="00255CC7" w:rsidRPr="00453386">
        <w:rPr>
          <w:rStyle w:val="EndnoteReference"/>
          <w:sz w:val="24"/>
          <w:szCs w:val="24"/>
        </w:rPr>
        <w:endnoteReference w:id="5"/>
      </w:r>
      <w:r w:rsidR="00CA3867" w:rsidRPr="00453386">
        <w:rPr>
          <w:sz w:val="24"/>
          <w:szCs w:val="24"/>
          <w:vertAlign w:val="superscript"/>
        </w:rPr>
        <w:t>,</w:t>
      </w:r>
      <w:r w:rsidR="001B1465" w:rsidRPr="00453386">
        <w:rPr>
          <w:sz w:val="24"/>
          <w:szCs w:val="24"/>
          <w:vertAlign w:val="superscript"/>
        </w:rPr>
        <w:t xml:space="preserve"> </w:t>
      </w:r>
      <w:r w:rsidR="00255CC7" w:rsidRPr="00453386">
        <w:rPr>
          <w:rStyle w:val="EndnoteReference"/>
          <w:sz w:val="24"/>
          <w:szCs w:val="24"/>
        </w:rPr>
        <w:endnoteReference w:id="6"/>
      </w:r>
      <w:r w:rsidR="00CA3867" w:rsidRPr="00453386">
        <w:rPr>
          <w:sz w:val="24"/>
          <w:szCs w:val="24"/>
          <w:vertAlign w:val="superscript"/>
        </w:rPr>
        <w:t>,</w:t>
      </w:r>
      <w:r w:rsidR="00255CC7" w:rsidRPr="00453386">
        <w:rPr>
          <w:rStyle w:val="EndnoteReference"/>
          <w:sz w:val="24"/>
          <w:szCs w:val="24"/>
        </w:rPr>
        <w:endnoteReference w:id="7"/>
      </w:r>
    </w:p>
    <w:p w14:paraId="10461EC8" w14:textId="3BE82FFB" w:rsidR="000C602A" w:rsidRDefault="000C602A" w:rsidP="00EB127F">
      <w:pPr>
        <w:ind w:firstLine="720"/>
        <w:jc w:val="both"/>
        <w:rPr>
          <w:sz w:val="24"/>
          <w:szCs w:val="24"/>
        </w:rPr>
      </w:pPr>
      <w:r>
        <w:rPr>
          <w:sz w:val="24"/>
          <w:szCs w:val="24"/>
        </w:rPr>
        <w:t>Despite this</w:t>
      </w:r>
      <w:r w:rsidR="006F1239" w:rsidRPr="00453386">
        <w:rPr>
          <w:sz w:val="24"/>
          <w:szCs w:val="24"/>
        </w:rPr>
        <w:t>,</w:t>
      </w:r>
      <w:r w:rsidR="008A3E21" w:rsidRPr="00453386">
        <w:rPr>
          <w:sz w:val="24"/>
          <w:szCs w:val="24"/>
        </w:rPr>
        <w:t xml:space="preserve"> </w:t>
      </w:r>
      <w:r w:rsidR="006F1239" w:rsidRPr="00453386">
        <w:rPr>
          <w:sz w:val="24"/>
          <w:szCs w:val="24"/>
        </w:rPr>
        <w:t xml:space="preserve">a </w:t>
      </w:r>
      <w:r w:rsidR="001B1465" w:rsidRPr="00453386">
        <w:rPr>
          <w:sz w:val="24"/>
          <w:szCs w:val="24"/>
        </w:rPr>
        <w:t>survey of Tennessee communities showed that few Tennessee communities are considering health when making changes to the built environment.</w:t>
      </w:r>
      <w:r w:rsidR="006F1239" w:rsidRPr="00453386">
        <w:rPr>
          <w:rStyle w:val="EndnoteReference"/>
          <w:sz w:val="24"/>
          <w:szCs w:val="24"/>
        </w:rPr>
        <w:endnoteReference w:id="8"/>
      </w:r>
      <w:r w:rsidR="006F1239" w:rsidRPr="00453386">
        <w:rPr>
          <w:sz w:val="24"/>
          <w:szCs w:val="24"/>
        </w:rPr>
        <w:t xml:space="preserve"> </w:t>
      </w:r>
      <w:r w:rsidR="001B1465" w:rsidRPr="00453386">
        <w:rPr>
          <w:sz w:val="24"/>
          <w:szCs w:val="24"/>
        </w:rPr>
        <w:t xml:space="preserve"> </w:t>
      </w:r>
      <w:r>
        <w:rPr>
          <w:sz w:val="24"/>
          <w:szCs w:val="24"/>
        </w:rPr>
        <w:t xml:space="preserve">The Tennessee Department of Health can facilitate the inclusion of health in built environment decision-making, and promote built environment changes as a way to </w:t>
      </w:r>
      <w:r w:rsidR="00D0586C">
        <w:rPr>
          <w:sz w:val="24"/>
          <w:szCs w:val="24"/>
        </w:rPr>
        <w:t xml:space="preserve">protect, promote and improve health and prosperity for people in Tennessee, by pursuing these strategies: </w:t>
      </w:r>
      <w:r w:rsidR="001B1465" w:rsidRPr="00453386">
        <w:rPr>
          <w:sz w:val="24"/>
          <w:szCs w:val="24"/>
        </w:rPr>
        <w:t xml:space="preserve"> </w:t>
      </w:r>
    </w:p>
    <w:p w14:paraId="6D17AA42" w14:textId="77777777" w:rsidR="000C602A" w:rsidRDefault="00C573AA" w:rsidP="00EB127F">
      <w:pPr>
        <w:pStyle w:val="ListParagraph"/>
        <w:numPr>
          <w:ilvl w:val="0"/>
          <w:numId w:val="3"/>
        </w:numPr>
        <w:jc w:val="both"/>
        <w:rPr>
          <w:sz w:val="24"/>
          <w:szCs w:val="24"/>
        </w:rPr>
      </w:pPr>
      <w:r w:rsidRPr="00AD6EDB">
        <w:rPr>
          <w:sz w:val="24"/>
          <w:szCs w:val="24"/>
        </w:rPr>
        <w:t>e</w:t>
      </w:r>
      <w:r w:rsidR="004A6EFA" w:rsidRPr="00AD6EDB">
        <w:rPr>
          <w:sz w:val="24"/>
          <w:szCs w:val="24"/>
        </w:rPr>
        <w:t>stablish</w:t>
      </w:r>
      <w:r w:rsidRPr="00AD6EDB">
        <w:rPr>
          <w:sz w:val="24"/>
          <w:szCs w:val="24"/>
        </w:rPr>
        <w:t>ing</w:t>
      </w:r>
      <w:r w:rsidR="004A6EFA" w:rsidRPr="00AD6EDB">
        <w:rPr>
          <w:sz w:val="24"/>
          <w:szCs w:val="24"/>
        </w:rPr>
        <w:t xml:space="preserve"> internal and external mechanisms for collaboration and decision-making</w:t>
      </w:r>
      <w:r w:rsidRPr="00AD6EDB">
        <w:rPr>
          <w:sz w:val="24"/>
          <w:szCs w:val="24"/>
        </w:rPr>
        <w:t>;</w:t>
      </w:r>
      <w:r w:rsidR="004A6EFA" w:rsidRPr="00AD6EDB">
        <w:rPr>
          <w:sz w:val="24"/>
          <w:szCs w:val="24"/>
        </w:rPr>
        <w:t xml:space="preserve"> </w:t>
      </w:r>
    </w:p>
    <w:p w14:paraId="3FEB8A61" w14:textId="77777777" w:rsidR="000C602A" w:rsidRDefault="00C573AA" w:rsidP="00EB127F">
      <w:pPr>
        <w:pStyle w:val="ListParagraph"/>
        <w:numPr>
          <w:ilvl w:val="0"/>
          <w:numId w:val="3"/>
        </w:numPr>
        <w:jc w:val="both"/>
        <w:rPr>
          <w:sz w:val="24"/>
          <w:szCs w:val="24"/>
        </w:rPr>
      </w:pPr>
      <w:r w:rsidRPr="00AD6EDB">
        <w:rPr>
          <w:sz w:val="24"/>
          <w:szCs w:val="24"/>
        </w:rPr>
        <w:t>promoting</w:t>
      </w:r>
      <w:r w:rsidR="004A6EFA" w:rsidRPr="00AD6EDB">
        <w:rPr>
          <w:sz w:val="24"/>
          <w:szCs w:val="24"/>
        </w:rPr>
        <w:t xml:space="preserve"> “health in all policies,” to include consideration of  built environment</w:t>
      </w:r>
      <w:r w:rsidRPr="00AD6EDB">
        <w:rPr>
          <w:sz w:val="24"/>
          <w:szCs w:val="24"/>
        </w:rPr>
        <w:t>;</w:t>
      </w:r>
      <w:r w:rsidR="004A6EFA" w:rsidRPr="00AD6EDB">
        <w:rPr>
          <w:sz w:val="24"/>
          <w:szCs w:val="24"/>
        </w:rPr>
        <w:t xml:space="preserve"> </w:t>
      </w:r>
    </w:p>
    <w:p w14:paraId="4A28945D" w14:textId="77777777" w:rsidR="000C602A" w:rsidRDefault="00C573AA" w:rsidP="00EB127F">
      <w:pPr>
        <w:pStyle w:val="ListParagraph"/>
        <w:numPr>
          <w:ilvl w:val="0"/>
          <w:numId w:val="3"/>
        </w:numPr>
        <w:jc w:val="both"/>
        <w:rPr>
          <w:sz w:val="24"/>
          <w:szCs w:val="24"/>
        </w:rPr>
      </w:pPr>
      <w:r w:rsidRPr="00AD6EDB">
        <w:rPr>
          <w:sz w:val="24"/>
          <w:szCs w:val="24"/>
        </w:rPr>
        <w:t>i</w:t>
      </w:r>
      <w:r w:rsidR="004A6EFA" w:rsidRPr="00AD6EDB">
        <w:rPr>
          <w:sz w:val="24"/>
          <w:szCs w:val="24"/>
        </w:rPr>
        <w:t>dentify</w:t>
      </w:r>
      <w:r w:rsidRPr="00AD6EDB">
        <w:rPr>
          <w:sz w:val="24"/>
          <w:szCs w:val="24"/>
        </w:rPr>
        <w:t>ing and leveraging</w:t>
      </w:r>
      <w:r w:rsidR="004A6EFA" w:rsidRPr="00AD6EDB">
        <w:rPr>
          <w:sz w:val="24"/>
          <w:szCs w:val="24"/>
        </w:rPr>
        <w:t xml:space="preserve"> opportunities to incorporate healthier design into planning of programs and infrastructure</w:t>
      </w:r>
      <w:r w:rsidRPr="00AD6EDB">
        <w:rPr>
          <w:sz w:val="24"/>
          <w:szCs w:val="24"/>
        </w:rPr>
        <w:t xml:space="preserve">; </w:t>
      </w:r>
    </w:p>
    <w:p w14:paraId="11D0878F" w14:textId="77777777" w:rsidR="000C602A" w:rsidRDefault="00C573AA" w:rsidP="00EB127F">
      <w:pPr>
        <w:pStyle w:val="ListParagraph"/>
        <w:numPr>
          <w:ilvl w:val="0"/>
          <w:numId w:val="3"/>
        </w:numPr>
        <w:jc w:val="both"/>
        <w:rPr>
          <w:sz w:val="24"/>
          <w:szCs w:val="24"/>
        </w:rPr>
      </w:pPr>
      <w:r w:rsidRPr="00AD6EDB">
        <w:rPr>
          <w:sz w:val="24"/>
          <w:szCs w:val="24"/>
        </w:rPr>
        <w:t>e</w:t>
      </w:r>
      <w:r w:rsidR="004A6EFA" w:rsidRPr="00AD6EDB">
        <w:rPr>
          <w:sz w:val="24"/>
          <w:szCs w:val="24"/>
        </w:rPr>
        <w:t>xpand</w:t>
      </w:r>
      <w:r w:rsidRPr="00AD6EDB">
        <w:rPr>
          <w:sz w:val="24"/>
          <w:szCs w:val="24"/>
        </w:rPr>
        <w:t>ing and sharing resources</w:t>
      </w:r>
      <w:r w:rsidR="004A6EFA" w:rsidRPr="00AD6EDB">
        <w:rPr>
          <w:sz w:val="24"/>
          <w:szCs w:val="24"/>
        </w:rPr>
        <w:t xml:space="preserve">  to support local</w:t>
      </w:r>
      <w:r w:rsidRPr="00AD6EDB">
        <w:rPr>
          <w:sz w:val="24"/>
          <w:szCs w:val="24"/>
        </w:rPr>
        <w:t xml:space="preserve"> communities;</w:t>
      </w:r>
      <w:r w:rsidR="004A6EFA" w:rsidRPr="00AD6EDB">
        <w:rPr>
          <w:sz w:val="24"/>
          <w:szCs w:val="24"/>
        </w:rPr>
        <w:t xml:space="preserve"> </w:t>
      </w:r>
    </w:p>
    <w:p w14:paraId="60EEAEA0" w14:textId="353542E8" w:rsidR="00A937A4" w:rsidRDefault="00A937A4" w:rsidP="00A937A4">
      <w:pPr>
        <w:pStyle w:val="ListParagraph"/>
        <w:numPr>
          <w:ilvl w:val="0"/>
          <w:numId w:val="3"/>
        </w:numPr>
        <w:jc w:val="both"/>
        <w:rPr>
          <w:sz w:val="24"/>
          <w:szCs w:val="24"/>
        </w:rPr>
      </w:pPr>
      <w:r w:rsidRPr="00A937A4">
        <w:rPr>
          <w:sz w:val="24"/>
          <w:szCs w:val="24"/>
        </w:rPr>
        <w:t>engaging individuals and/or partners with communications expertise to publicize need, resources, and impact</w:t>
      </w:r>
      <w:r>
        <w:rPr>
          <w:sz w:val="24"/>
          <w:szCs w:val="24"/>
        </w:rPr>
        <w:t>; and</w:t>
      </w:r>
    </w:p>
    <w:p w14:paraId="07ED2F47" w14:textId="79F5BF15" w:rsidR="000C602A" w:rsidRDefault="007609EB" w:rsidP="00EB127F">
      <w:pPr>
        <w:pStyle w:val="ListParagraph"/>
        <w:numPr>
          <w:ilvl w:val="0"/>
          <w:numId w:val="3"/>
        </w:numPr>
        <w:jc w:val="both"/>
        <w:rPr>
          <w:sz w:val="24"/>
          <w:szCs w:val="24"/>
        </w:rPr>
      </w:pPr>
      <w:proofErr w:type="gramStart"/>
      <w:r>
        <w:rPr>
          <w:sz w:val="24"/>
          <w:szCs w:val="24"/>
        </w:rPr>
        <w:t>supporting</w:t>
      </w:r>
      <w:proofErr w:type="gramEnd"/>
      <w:r>
        <w:rPr>
          <w:sz w:val="24"/>
          <w:szCs w:val="24"/>
        </w:rPr>
        <w:t xml:space="preserve"> local communities to monitor, evaluate and </w:t>
      </w:r>
      <w:r w:rsidR="00A937A4">
        <w:rPr>
          <w:sz w:val="24"/>
          <w:szCs w:val="24"/>
        </w:rPr>
        <w:t>report progress and outcomes.</w:t>
      </w:r>
    </w:p>
    <w:p w14:paraId="7358243D" w14:textId="77777777" w:rsidR="00F4233A" w:rsidRPr="00D0586C" w:rsidRDefault="00F4233A">
      <w:pPr>
        <w:rPr>
          <w:b/>
          <w:color w:val="1F497D" w:themeColor="text2"/>
          <w:sz w:val="28"/>
          <w:szCs w:val="28"/>
          <w:u w:val="single"/>
        </w:rPr>
      </w:pPr>
      <w:r w:rsidRPr="00D0586C">
        <w:rPr>
          <w:b/>
          <w:color w:val="1F497D" w:themeColor="text2"/>
          <w:sz w:val="28"/>
          <w:szCs w:val="28"/>
          <w:u w:val="single"/>
        </w:rPr>
        <w:t>Executive Summary</w:t>
      </w:r>
    </w:p>
    <w:p w14:paraId="17731CB7" w14:textId="69FFFF54" w:rsidR="006B60E6" w:rsidRPr="00453386" w:rsidRDefault="00C57DCF" w:rsidP="00D0586C">
      <w:pPr>
        <w:jc w:val="both"/>
        <w:rPr>
          <w:sz w:val="24"/>
          <w:szCs w:val="24"/>
        </w:rPr>
      </w:pPr>
      <w:r>
        <w:rPr>
          <w:sz w:val="24"/>
          <w:szCs w:val="24"/>
        </w:rPr>
        <w:t>Although evidence shows</w:t>
      </w:r>
      <w:r w:rsidR="003E6EEC">
        <w:rPr>
          <w:sz w:val="24"/>
          <w:szCs w:val="24"/>
        </w:rPr>
        <w:t xml:space="preserve"> that </w:t>
      </w:r>
      <w:r w:rsidR="00D10DF5" w:rsidRPr="00453386">
        <w:rPr>
          <w:sz w:val="24"/>
          <w:szCs w:val="24"/>
        </w:rPr>
        <w:t>(1) place determines health and access to healthy options and (2) funding streams are emerging nation-wide to address built environment issues and their connection to public health</w:t>
      </w:r>
      <w:r>
        <w:rPr>
          <w:sz w:val="24"/>
          <w:szCs w:val="24"/>
        </w:rPr>
        <w:t>, h</w:t>
      </w:r>
      <w:r w:rsidRPr="00453386">
        <w:rPr>
          <w:sz w:val="24"/>
          <w:szCs w:val="24"/>
        </w:rPr>
        <w:t>ealth remains on the periphery of built environment projects across the state</w:t>
      </w:r>
      <w:r>
        <w:rPr>
          <w:sz w:val="24"/>
          <w:szCs w:val="24"/>
        </w:rPr>
        <w:t xml:space="preserve"> of Tennessee</w:t>
      </w:r>
      <w:r w:rsidR="00D10DF5" w:rsidRPr="00453386">
        <w:rPr>
          <w:sz w:val="24"/>
          <w:szCs w:val="24"/>
        </w:rPr>
        <w:t xml:space="preserve">. </w:t>
      </w:r>
      <w:r>
        <w:rPr>
          <w:sz w:val="24"/>
          <w:szCs w:val="24"/>
        </w:rPr>
        <w:t xml:space="preserve">The Tennessee Department of Health could advance its mission </w:t>
      </w:r>
      <w:r w:rsidRPr="00D0586C">
        <w:rPr>
          <w:b/>
          <w:i/>
          <w:color w:val="1F497D" w:themeColor="text2"/>
          <w:sz w:val="24"/>
          <w:szCs w:val="24"/>
        </w:rPr>
        <w:t>to protect, promote and improve health and prosperity for people in Tennessee</w:t>
      </w:r>
      <w:r w:rsidRPr="00D0586C">
        <w:rPr>
          <w:color w:val="1F497D" w:themeColor="text2"/>
          <w:sz w:val="24"/>
          <w:szCs w:val="24"/>
        </w:rPr>
        <w:t xml:space="preserve"> </w:t>
      </w:r>
      <w:r>
        <w:rPr>
          <w:sz w:val="24"/>
          <w:szCs w:val="24"/>
        </w:rPr>
        <w:t xml:space="preserve">by </w:t>
      </w:r>
      <w:r w:rsidR="000B086E">
        <w:rPr>
          <w:sz w:val="24"/>
          <w:szCs w:val="24"/>
        </w:rPr>
        <w:t>leading and supporting built environment initiatives designed to</w:t>
      </w:r>
      <w:r>
        <w:rPr>
          <w:sz w:val="24"/>
          <w:szCs w:val="24"/>
        </w:rPr>
        <w:t xml:space="preserve"> </w:t>
      </w:r>
      <w:r w:rsidR="000B086E">
        <w:rPr>
          <w:sz w:val="24"/>
          <w:szCs w:val="24"/>
        </w:rPr>
        <w:t xml:space="preserve">prevent poor health outcomes, </w:t>
      </w:r>
      <w:r w:rsidR="00C971FE">
        <w:rPr>
          <w:sz w:val="24"/>
          <w:szCs w:val="24"/>
        </w:rPr>
        <w:t xml:space="preserve">and by communicating </w:t>
      </w:r>
      <w:r w:rsidR="000B086E">
        <w:rPr>
          <w:sz w:val="24"/>
          <w:szCs w:val="24"/>
        </w:rPr>
        <w:t xml:space="preserve">opportunities and results. </w:t>
      </w:r>
    </w:p>
    <w:p w14:paraId="3AD294FB" w14:textId="2B90F481" w:rsidR="000B086E" w:rsidRDefault="006B60E6" w:rsidP="00D0586C">
      <w:pPr>
        <w:jc w:val="both"/>
        <w:rPr>
          <w:sz w:val="24"/>
          <w:szCs w:val="24"/>
        </w:rPr>
      </w:pPr>
      <w:r>
        <w:rPr>
          <w:sz w:val="24"/>
          <w:szCs w:val="24"/>
        </w:rPr>
        <w:t xml:space="preserve">There </w:t>
      </w:r>
      <w:r w:rsidR="001A314F">
        <w:rPr>
          <w:sz w:val="24"/>
          <w:szCs w:val="24"/>
        </w:rPr>
        <w:t>are currently</w:t>
      </w:r>
      <w:r>
        <w:rPr>
          <w:sz w:val="24"/>
          <w:szCs w:val="24"/>
        </w:rPr>
        <w:t xml:space="preserve"> </w:t>
      </w:r>
      <w:r w:rsidR="00C971FE">
        <w:rPr>
          <w:sz w:val="24"/>
          <w:szCs w:val="24"/>
        </w:rPr>
        <w:t xml:space="preserve">many </w:t>
      </w:r>
      <w:r>
        <w:rPr>
          <w:sz w:val="24"/>
          <w:szCs w:val="24"/>
        </w:rPr>
        <w:t>success</w:t>
      </w:r>
      <w:r w:rsidR="00C971FE">
        <w:rPr>
          <w:sz w:val="24"/>
          <w:szCs w:val="24"/>
        </w:rPr>
        <w:t>ful</w:t>
      </w:r>
      <w:r>
        <w:rPr>
          <w:sz w:val="24"/>
          <w:szCs w:val="24"/>
        </w:rPr>
        <w:t xml:space="preserve"> built environment projects and programs</w:t>
      </w:r>
      <w:r w:rsidR="00C971FE">
        <w:rPr>
          <w:sz w:val="24"/>
          <w:szCs w:val="24"/>
        </w:rPr>
        <w:t xml:space="preserve"> in Tennessee communities, which have been </w:t>
      </w:r>
      <w:r w:rsidR="003E6EEC">
        <w:rPr>
          <w:sz w:val="24"/>
          <w:szCs w:val="24"/>
        </w:rPr>
        <w:t xml:space="preserve">implemented through mutually beneficial partnerships at the local level. Coalitions of varied stakeholders, including </w:t>
      </w:r>
      <w:r w:rsidR="000C602A">
        <w:rPr>
          <w:sz w:val="24"/>
          <w:szCs w:val="24"/>
        </w:rPr>
        <w:t>business and industry</w:t>
      </w:r>
      <w:r w:rsidR="003E6EEC">
        <w:rPr>
          <w:sz w:val="24"/>
          <w:szCs w:val="24"/>
        </w:rPr>
        <w:t>, no</w:t>
      </w:r>
      <w:r w:rsidR="000C602A">
        <w:rPr>
          <w:sz w:val="24"/>
          <w:szCs w:val="24"/>
        </w:rPr>
        <w:t>t-for</w:t>
      </w:r>
      <w:r w:rsidR="003E6EEC">
        <w:rPr>
          <w:sz w:val="24"/>
          <w:szCs w:val="24"/>
        </w:rPr>
        <w:t>-profit</w:t>
      </w:r>
      <w:r w:rsidR="000C602A">
        <w:rPr>
          <w:sz w:val="24"/>
          <w:szCs w:val="24"/>
        </w:rPr>
        <w:t xml:space="preserve"> </w:t>
      </w:r>
      <w:r w:rsidR="000C602A">
        <w:rPr>
          <w:sz w:val="24"/>
          <w:szCs w:val="24"/>
        </w:rPr>
        <w:lastRenderedPageBreak/>
        <w:t>organization</w:t>
      </w:r>
      <w:r w:rsidR="003E6EEC">
        <w:rPr>
          <w:sz w:val="24"/>
          <w:szCs w:val="24"/>
        </w:rPr>
        <w:t xml:space="preserve">s, </w:t>
      </w:r>
      <w:r w:rsidR="000C602A">
        <w:rPr>
          <w:sz w:val="24"/>
          <w:szCs w:val="24"/>
        </w:rPr>
        <w:t xml:space="preserve">educational institutions, </w:t>
      </w:r>
      <w:r w:rsidR="003E6EEC">
        <w:rPr>
          <w:sz w:val="24"/>
          <w:szCs w:val="24"/>
        </w:rPr>
        <w:t xml:space="preserve">youth groups, faith leaders, </w:t>
      </w:r>
      <w:r w:rsidR="000C602A">
        <w:rPr>
          <w:sz w:val="24"/>
          <w:szCs w:val="24"/>
        </w:rPr>
        <w:t>government agencies</w:t>
      </w:r>
      <w:r w:rsidR="003E6EEC">
        <w:rPr>
          <w:sz w:val="24"/>
          <w:szCs w:val="24"/>
        </w:rPr>
        <w:t xml:space="preserve">, community organizations and others, are leading the charge for places that have something for everyone and </w:t>
      </w:r>
      <w:r w:rsidR="00C971FE">
        <w:rPr>
          <w:sz w:val="24"/>
          <w:szCs w:val="24"/>
        </w:rPr>
        <w:t xml:space="preserve">that </w:t>
      </w:r>
      <w:r w:rsidR="003E6EEC">
        <w:rPr>
          <w:sz w:val="24"/>
          <w:szCs w:val="24"/>
        </w:rPr>
        <w:t xml:space="preserve">benefit all users. </w:t>
      </w:r>
      <w:r w:rsidR="000C602A">
        <w:rPr>
          <w:sz w:val="24"/>
          <w:szCs w:val="24"/>
        </w:rPr>
        <w:t>Some successful projects beg</w:t>
      </w:r>
      <w:r w:rsidR="00C971FE">
        <w:rPr>
          <w:sz w:val="24"/>
          <w:szCs w:val="24"/>
        </w:rPr>
        <w:t>a</w:t>
      </w:r>
      <w:r w:rsidR="000C602A">
        <w:rPr>
          <w:sz w:val="24"/>
          <w:szCs w:val="24"/>
        </w:rPr>
        <w:t>n by</w:t>
      </w:r>
      <w:r w:rsidR="003E6EEC">
        <w:rPr>
          <w:sz w:val="24"/>
          <w:szCs w:val="24"/>
        </w:rPr>
        <w:t xml:space="preserve"> implement</w:t>
      </w:r>
      <w:r w:rsidR="000C602A">
        <w:rPr>
          <w:sz w:val="24"/>
          <w:szCs w:val="24"/>
        </w:rPr>
        <w:t>ing</w:t>
      </w:r>
      <w:r w:rsidR="003E6EEC">
        <w:rPr>
          <w:sz w:val="24"/>
          <w:szCs w:val="24"/>
        </w:rPr>
        <w:t xml:space="preserve"> small and temporary</w:t>
      </w:r>
      <w:r w:rsidR="000C602A">
        <w:rPr>
          <w:sz w:val="24"/>
          <w:szCs w:val="24"/>
        </w:rPr>
        <w:t xml:space="preserve"> changes </w:t>
      </w:r>
      <w:r w:rsidR="001A314F">
        <w:rPr>
          <w:sz w:val="24"/>
          <w:szCs w:val="24"/>
        </w:rPr>
        <w:t>to how</w:t>
      </w:r>
      <w:r w:rsidR="003E6EEC">
        <w:rPr>
          <w:sz w:val="24"/>
          <w:szCs w:val="24"/>
        </w:rPr>
        <w:t xml:space="preserve"> streets and public spaces look, and how they function</w:t>
      </w:r>
      <w:r w:rsidR="000C602A">
        <w:rPr>
          <w:sz w:val="24"/>
          <w:szCs w:val="24"/>
        </w:rPr>
        <w:t>.</w:t>
      </w:r>
      <w:r w:rsidR="003E6EEC">
        <w:rPr>
          <w:sz w:val="24"/>
          <w:szCs w:val="24"/>
        </w:rPr>
        <w:t xml:space="preserve"> </w:t>
      </w:r>
      <w:r w:rsidR="00BB4CA8">
        <w:rPr>
          <w:sz w:val="24"/>
          <w:szCs w:val="24"/>
        </w:rPr>
        <w:t xml:space="preserve">In this way, communities have enabled experimentation and learning “on the ground”. </w:t>
      </w:r>
      <w:r w:rsidR="000C602A">
        <w:rPr>
          <w:sz w:val="24"/>
          <w:szCs w:val="24"/>
        </w:rPr>
        <w:t>These s</w:t>
      </w:r>
      <w:r w:rsidR="00BB4CA8">
        <w:rPr>
          <w:sz w:val="24"/>
          <w:szCs w:val="24"/>
        </w:rPr>
        <w:t xml:space="preserve">uccesses </w:t>
      </w:r>
      <w:r w:rsidR="00BC708D">
        <w:rPr>
          <w:sz w:val="24"/>
          <w:szCs w:val="24"/>
        </w:rPr>
        <w:t xml:space="preserve">can </w:t>
      </w:r>
      <w:r w:rsidR="00BB4CA8">
        <w:rPr>
          <w:sz w:val="24"/>
          <w:szCs w:val="24"/>
        </w:rPr>
        <w:t xml:space="preserve">then </w:t>
      </w:r>
      <w:r w:rsidR="00BC708D">
        <w:rPr>
          <w:sz w:val="24"/>
          <w:szCs w:val="24"/>
        </w:rPr>
        <w:t xml:space="preserve">be </w:t>
      </w:r>
      <w:r w:rsidR="00BB4CA8">
        <w:rPr>
          <w:sz w:val="24"/>
          <w:szCs w:val="24"/>
        </w:rPr>
        <w:t xml:space="preserve">adopted by </w:t>
      </w:r>
      <w:r w:rsidR="00D0586C">
        <w:rPr>
          <w:sz w:val="24"/>
          <w:szCs w:val="24"/>
        </w:rPr>
        <w:t>communities</w:t>
      </w:r>
      <w:r w:rsidR="00BB4CA8">
        <w:rPr>
          <w:sz w:val="24"/>
          <w:szCs w:val="24"/>
        </w:rPr>
        <w:t xml:space="preserve"> so that policies may be implemented and enforced. This ensures sustainability of community-led efforts. </w:t>
      </w:r>
      <w:r w:rsidR="00BC708D">
        <w:rPr>
          <w:sz w:val="24"/>
          <w:szCs w:val="24"/>
        </w:rPr>
        <w:t xml:space="preserve">Other efforts begin with local champions and leaders who implement policies and institutionalize strategies that promote health through built environment initiatives.  In Tennessee, there are examples of success arising from each of these approaches. </w:t>
      </w:r>
      <w:r w:rsidR="00BC708D" w:rsidRPr="00D0586C">
        <w:rPr>
          <w:b/>
          <w:i/>
          <w:color w:val="1F497D" w:themeColor="text2"/>
          <w:sz w:val="24"/>
          <w:szCs w:val="24"/>
        </w:rPr>
        <w:t xml:space="preserve">A successful TDH strategy to </w:t>
      </w:r>
      <w:r w:rsidR="00C971FE" w:rsidRPr="00D0586C">
        <w:rPr>
          <w:b/>
          <w:i/>
          <w:color w:val="1F497D" w:themeColor="text2"/>
          <w:sz w:val="24"/>
          <w:szCs w:val="24"/>
        </w:rPr>
        <w:t>advance built environment initiatives sh</w:t>
      </w:r>
      <w:r w:rsidR="00BC708D" w:rsidRPr="00D0586C">
        <w:rPr>
          <w:b/>
          <w:i/>
          <w:color w:val="1F497D" w:themeColor="text2"/>
          <w:sz w:val="24"/>
          <w:szCs w:val="24"/>
        </w:rPr>
        <w:t>ould utilize these lessons learned from across the state</w:t>
      </w:r>
      <w:r w:rsidR="00C971FE">
        <w:rPr>
          <w:sz w:val="24"/>
          <w:szCs w:val="24"/>
        </w:rPr>
        <w:t>, encouraging and supporting local efforts through engagement</w:t>
      </w:r>
      <w:r w:rsidR="000B086E">
        <w:rPr>
          <w:sz w:val="24"/>
          <w:szCs w:val="24"/>
        </w:rPr>
        <w:t xml:space="preserve"> with partners and development of supporting policies and resources at the state level.</w:t>
      </w:r>
    </w:p>
    <w:p w14:paraId="3BAA3661" w14:textId="401E8C7D" w:rsidR="004D47B5" w:rsidRDefault="00C57DCF" w:rsidP="00D0586C">
      <w:pPr>
        <w:jc w:val="both"/>
        <w:rPr>
          <w:sz w:val="24"/>
          <w:szCs w:val="24"/>
        </w:rPr>
      </w:pPr>
      <w:r>
        <w:rPr>
          <w:sz w:val="24"/>
          <w:szCs w:val="24"/>
        </w:rPr>
        <w:t xml:space="preserve">Without staff support at the state and regional level, little </w:t>
      </w:r>
      <w:r w:rsidR="00D0586C">
        <w:rPr>
          <w:sz w:val="24"/>
          <w:szCs w:val="24"/>
        </w:rPr>
        <w:t>can be done to affect positive policy, s</w:t>
      </w:r>
      <w:r w:rsidR="00AD6EDB">
        <w:rPr>
          <w:sz w:val="24"/>
          <w:szCs w:val="24"/>
        </w:rPr>
        <w:t xml:space="preserve">ystems or </w:t>
      </w:r>
      <w:r w:rsidR="00D0586C">
        <w:rPr>
          <w:sz w:val="24"/>
          <w:szCs w:val="24"/>
        </w:rPr>
        <w:t>e</w:t>
      </w:r>
      <w:r w:rsidR="00AD6EDB">
        <w:rPr>
          <w:sz w:val="24"/>
          <w:szCs w:val="24"/>
        </w:rPr>
        <w:t>nvironment</w:t>
      </w:r>
      <w:r w:rsidR="00D0586C">
        <w:rPr>
          <w:sz w:val="24"/>
          <w:szCs w:val="24"/>
        </w:rPr>
        <w:t>al</w:t>
      </w:r>
      <w:r>
        <w:rPr>
          <w:sz w:val="24"/>
          <w:szCs w:val="24"/>
        </w:rPr>
        <w:t xml:space="preserve"> change</w:t>
      </w:r>
      <w:r w:rsidR="00D0586C">
        <w:rPr>
          <w:sz w:val="24"/>
          <w:szCs w:val="24"/>
        </w:rPr>
        <w:t>s</w:t>
      </w:r>
      <w:r>
        <w:rPr>
          <w:sz w:val="24"/>
          <w:szCs w:val="24"/>
        </w:rPr>
        <w:t xml:space="preserve"> to shape the built environment</w:t>
      </w:r>
      <w:r w:rsidR="000B086E">
        <w:rPr>
          <w:sz w:val="24"/>
          <w:szCs w:val="24"/>
        </w:rPr>
        <w:t xml:space="preserve">. While many of Tennessee’s state departments have designated leaders and regional staff responsible for engaging with partners and aligning efforts in support of built environment projects, </w:t>
      </w:r>
      <w:r w:rsidR="00D04A7A" w:rsidRPr="00D0586C">
        <w:rPr>
          <w:b/>
          <w:i/>
          <w:color w:val="1F497D" w:themeColor="text2"/>
          <w:sz w:val="24"/>
          <w:szCs w:val="24"/>
        </w:rPr>
        <w:t>t</w:t>
      </w:r>
      <w:r w:rsidR="000B086E" w:rsidRPr="00D0586C">
        <w:rPr>
          <w:b/>
          <w:i/>
          <w:color w:val="1F497D" w:themeColor="text2"/>
          <w:sz w:val="24"/>
          <w:szCs w:val="24"/>
        </w:rPr>
        <w:t>he Tennessee Department of Health c</w:t>
      </w:r>
      <w:r w:rsidR="00BC708D" w:rsidRPr="00D0586C">
        <w:rPr>
          <w:b/>
          <w:i/>
          <w:color w:val="1F497D" w:themeColor="text2"/>
          <w:sz w:val="24"/>
          <w:szCs w:val="24"/>
        </w:rPr>
        <w:t xml:space="preserve">urrently </w:t>
      </w:r>
      <w:r w:rsidR="000B086E" w:rsidRPr="00D0586C">
        <w:rPr>
          <w:b/>
          <w:i/>
          <w:color w:val="1F497D" w:themeColor="text2"/>
          <w:sz w:val="24"/>
          <w:szCs w:val="24"/>
        </w:rPr>
        <w:t>has</w:t>
      </w:r>
      <w:r w:rsidR="00BC708D" w:rsidRPr="00D0586C">
        <w:rPr>
          <w:b/>
          <w:i/>
          <w:color w:val="1F497D" w:themeColor="text2"/>
          <w:sz w:val="24"/>
          <w:szCs w:val="24"/>
        </w:rPr>
        <w:t xml:space="preserve"> no executive-level leader responsible for built environment initiatives at the Tennessee Department of Health</w:t>
      </w:r>
      <w:r w:rsidR="00BC708D">
        <w:rPr>
          <w:sz w:val="24"/>
          <w:szCs w:val="24"/>
        </w:rPr>
        <w:t>. Dedicated and qualified s</w:t>
      </w:r>
      <w:r w:rsidR="001F2C69">
        <w:rPr>
          <w:sz w:val="24"/>
          <w:szCs w:val="24"/>
        </w:rPr>
        <w:t>taff</w:t>
      </w:r>
      <w:r w:rsidR="00BC708D">
        <w:rPr>
          <w:sz w:val="24"/>
          <w:szCs w:val="24"/>
        </w:rPr>
        <w:t>ing</w:t>
      </w:r>
      <w:r w:rsidR="001F2C69">
        <w:rPr>
          <w:sz w:val="24"/>
          <w:szCs w:val="24"/>
        </w:rPr>
        <w:t xml:space="preserve"> is needed to </w:t>
      </w:r>
      <w:r w:rsidR="00D04A7A">
        <w:rPr>
          <w:sz w:val="24"/>
          <w:szCs w:val="24"/>
        </w:rPr>
        <w:t>ensure that health is considered and engaged</w:t>
      </w:r>
      <w:r w:rsidR="009F76A2">
        <w:rPr>
          <w:sz w:val="24"/>
          <w:szCs w:val="24"/>
        </w:rPr>
        <w:t xml:space="preserve"> in </w:t>
      </w:r>
      <w:r w:rsidR="00D04A7A">
        <w:rPr>
          <w:sz w:val="24"/>
          <w:szCs w:val="24"/>
        </w:rPr>
        <w:t xml:space="preserve">plans </w:t>
      </w:r>
      <w:r w:rsidR="009F76A2">
        <w:rPr>
          <w:sz w:val="24"/>
          <w:szCs w:val="24"/>
        </w:rPr>
        <w:t xml:space="preserve">and actions concerning the built environment. Regional staff positions would </w:t>
      </w:r>
      <w:r w:rsidR="00D04A7A">
        <w:rPr>
          <w:sz w:val="24"/>
          <w:szCs w:val="24"/>
        </w:rPr>
        <w:t xml:space="preserve">further advance opportunities for </w:t>
      </w:r>
      <w:r w:rsidR="001A314F">
        <w:rPr>
          <w:sz w:val="24"/>
          <w:szCs w:val="24"/>
        </w:rPr>
        <w:t>collaboration with</w:t>
      </w:r>
      <w:r w:rsidR="00D04A7A">
        <w:rPr>
          <w:sz w:val="24"/>
          <w:szCs w:val="24"/>
        </w:rPr>
        <w:t xml:space="preserve"> </w:t>
      </w:r>
      <w:r w:rsidR="009F76A2">
        <w:rPr>
          <w:sz w:val="24"/>
          <w:szCs w:val="24"/>
        </w:rPr>
        <w:t xml:space="preserve">regional entities and </w:t>
      </w:r>
      <w:r w:rsidR="00D04A7A">
        <w:rPr>
          <w:sz w:val="24"/>
          <w:szCs w:val="24"/>
        </w:rPr>
        <w:t>local communities</w:t>
      </w:r>
      <w:r w:rsidR="001A314F">
        <w:rPr>
          <w:sz w:val="24"/>
          <w:szCs w:val="24"/>
        </w:rPr>
        <w:t>.</w:t>
      </w:r>
      <w:r w:rsidR="006B2853">
        <w:rPr>
          <w:sz w:val="24"/>
          <w:szCs w:val="24"/>
        </w:rPr>
        <w:t xml:space="preserve"> TDH r</w:t>
      </w:r>
      <w:r w:rsidR="009F76A2">
        <w:rPr>
          <w:sz w:val="24"/>
          <w:szCs w:val="24"/>
        </w:rPr>
        <w:t xml:space="preserve">egional leaders would be able to support local </w:t>
      </w:r>
      <w:r w:rsidR="006B2853">
        <w:rPr>
          <w:sz w:val="24"/>
          <w:szCs w:val="24"/>
        </w:rPr>
        <w:t xml:space="preserve">built environment </w:t>
      </w:r>
      <w:r w:rsidR="009F76A2">
        <w:rPr>
          <w:sz w:val="24"/>
          <w:szCs w:val="24"/>
        </w:rPr>
        <w:t>initiatives in three ways</w:t>
      </w:r>
      <w:r w:rsidR="00D04A7A">
        <w:rPr>
          <w:sz w:val="24"/>
          <w:szCs w:val="24"/>
        </w:rPr>
        <w:t>:</w:t>
      </w:r>
    </w:p>
    <w:p w14:paraId="0BF4EEE0" w14:textId="77777777" w:rsidR="004D47B5" w:rsidRDefault="006B2853" w:rsidP="00D0586C">
      <w:pPr>
        <w:ind w:left="720"/>
        <w:jc w:val="both"/>
        <w:rPr>
          <w:sz w:val="24"/>
          <w:szCs w:val="24"/>
        </w:rPr>
      </w:pPr>
      <w:r>
        <w:rPr>
          <w:sz w:val="24"/>
          <w:szCs w:val="24"/>
        </w:rPr>
        <w:t xml:space="preserve">(1) For communities that have seen success with built environment pilot projects, TDH can scale up initiatives and help to solidify policies that would make built environment interventions part of a sustainable culture of health. </w:t>
      </w:r>
    </w:p>
    <w:p w14:paraId="4E7CAD5D" w14:textId="77777777" w:rsidR="004D47B5" w:rsidRDefault="006B2853" w:rsidP="00D0586C">
      <w:pPr>
        <w:ind w:left="720"/>
        <w:jc w:val="both"/>
        <w:rPr>
          <w:sz w:val="24"/>
          <w:szCs w:val="24"/>
        </w:rPr>
      </w:pPr>
      <w:r>
        <w:rPr>
          <w:sz w:val="24"/>
          <w:szCs w:val="24"/>
        </w:rPr>
        <w:t xml:space="preserve">(2) For communities with plans for built environment projects, TDH can support rapid implementation of small pilot projects to test ideas and learn by doing. </w:t>
      </w:r>
    </w:p>
    <w:p w14:paraId="2013A626" w14:textId="29E1EEA9" w:rsidR="00D04A7A" w:rsidRDefault="006B2853" w:rsidP="00D0586C">
      <w:pPr>
        <w:ind w:left="720"/>
        <w:jc w:val="both"/>
        <w:rPr>
          <w:sz w:val="24"/>
          <w:szCs w:val="24"/>
        </w:rPr>
      </w:pPr>
      <w:r>
        <w:rPr>
          <w:sz w:val="24"/>
          <w:szCs w:val="24"/>
        </w:rPr>
        <w:t xml:space="preserve">(3) TDH can </w:t>
      </w:r>
      <w:r w:rsidR="00D04A7A">
        <w:rPr>
          <w:sz w:val="24"/>
          <w:szCs w:val="24"/>
        </w:rPr>
        <w:t>convene</w:t>
      </w:r>
      <w:r>
        <w:rPr>
          <w:sz w:val="24"/>
          <w:szCs w:val="24"/>
        </w:rPr>
        <w:t xml:space="preserve"> partners to </w:t>
      </w:r>
      <w:r w:rsidR="00D04A7A">
        <w:rPr>
          <w:sz w:val="24"/>
          <w:szCs w:val="24"/>
        </w:rPr>
        <w:t xml:space="preserve">create and align </w:t>
      </w:r>
      <w:r>
        <w:rPr>
          <w:sz w:val="24"/>
          <w:szCs w:val="24"/>
        </w:rPr>
        <w:t>plans for immediate and long</w:t>
      </w:r>
      <w:r w:rsidR="00D04A7A">
        <w:rPr>
          <w:sz w:val="24"/>
          <w:szCs w:val="24"/>
        </w:rPr>
        <w:t>-</w:t>
      </w:r>
      <w:r>
        <w:rPr>
          <w:sz w:val="24"/>
          <w:szCs w:val="24"/>
        </w:rPr>
        <w:t xml:space="preserve">term </w:t>
      </w:r>
      <w:r w:rsidR="00D04A7A">
        <w:rPr>
          <w:sz w:val="24"/>
          <w:szCs w:val="24"/>
        </w:rPr>
        <w:t xml:space="preserve">projects designed to promote health and prosperity through </w:t>
      </w:r>
      <w:r>
        <w:rPr>
          <w:sz w:val="24"/>
          <w:szCs w:val="24"/>
        </w:rPr>
        <w:t>built environment</w:t>
      </w:r>
      <w:r w:rsidR="00D04A7A">
        <w:rPr>
          <w:sz w:val="24"/>
          <w:szCs w:val="24"/>
        </w:rPr>
        <w:t>.</w:t>
      </w:r>
      <w:r>
        <w:rPr>
          <w:sz w:val="24"/>
          <w:szCs w:val="24"/>
        </w:rPr>
        <w:t xml:space="preserve"> </w:t>
      </w:r>
    </w:p>
    <w:p w14:paraId="2CD9BFB8" w14:textId="0590950C" w:rsidR="00BB4CA8" w:rsidRDefault="000512A4" w:rsidP="00D0586C">
      <w:pPr>
        <w:jc w:val="both"/>
        <w:rPr>
          <w:sz w:val="24"/>
          <w:szCs w:val="24"/>
        </w:rPr>
      </w:pPr>
      <w:r>
        <w:rPr>
          <w:sz w:val="24"/>
          <w:szCs w:val="24"/>
        </w:rPr>
        <w:t>By allowing variation in accordance with the status of the community’s infrastructure</w:t>
      </w:r>
      <w:r w:rsidR="006B2853">
        <w:rPr>
          <w:sz w:val="24"/>
          <w:szCs w:val="24"/>
        </w:rPr>
        <w:t>, regional coordinators can leverage resources from partners and stakeholders</w:t>
      </w:r>
      <w:r w:rsidR="00D04A7A">
        <w:rPr>
          <w:sz w:val="24"/>
          <w:szCs w:val="24"/>
        </w:rPr>
        <w:t xml:space="preserve">, in a way that is responsive to the local community’s readiness and capacity. </w:t>
      </w:r>
    </w:p>
    <w:p w14:paraId="389CCD5C" w14:textId="5EBDFB42" w:rsidR="001F2C69" w:rsidRDefault="00D04A7A" w:rsidP="00D0586C">
      <w:pPr>
        <w:jc w:val="both"/>
        <w:rPr>
          <w:sz w:val="24"/>
          <w:szCs w:val="24"/>
        </w:rPr>
      </w:pPr>
      <w:r>
        <w:rPr>
          <w:sz w:val="24"/>
          <w:szCs w:val="24"/>
        </w:rPr>
        <w:t>It will be essential to “t</w:t>
      </w:r>
      <w:r w:rsidR="006B2853">
        <w:rPr>
          <w:sz w:val="24"/>
          <w:szCs w:val="24"/>
        </w:rPr>
        <w:t>ell the story</w:t>
      </w:r>
      <w:r>
        <w:rPr>
          <w:sz w:val="24"/>
          <w:szCs w:val="24"/>
        </w:rPr>
        <w:t xml:space="preserve">” </w:t>
      </w:r>
      <w:r w:rsidR="006B2853">
        <w:rPr>
          <w:sz w:val="24"/>
          <w:szCs w:val="24"/>
        </w:rPr>
        <w:t xml:space="preserve">of built environment successes across the state </w:t>
      </w:r>
      <w:r w:rsidR="004851C7">
        <w:rPr>
          <w:sz w:val="24"/>
          <w:szCs w:val="24"/>
        </w:rPr>
        <w:t>if we are to have</w:t>
      </w:r>
      <w:r w:rsidR="006B2853">
        <w:rPr>
          <w:sz w:val="24"/>
          <w:szCs w:val="24"/>
        </w:rPr>
        <w:t xml:space="preserve"> a lasting impact </w:t>
      </w:r>
      <w:r w:rsidR="004851C7">
        <w:rPr>
          <w:sz w:val="24"/>
          <w:szCs w:val="24"/>
        </w:rPr>
        <w:t xml:space="preserve">on </w:t>
      </w:r>
      <w:r w:rsidR="006B2853">
        <w:rPr>
          <w:sz w:val="24"/>
          <w:szCs w:val="24"/>
        </w:rPr>
        <w:t xml:space="preserve">health. Regional staff and local partners </w:t>
      </w:r>
      <w:r w:rsidR="00561D74">
        <w:rPr>
          <w:sz w:val="24"/>
          <w:szCs w:val="24"/>
        </w:rPr>
        <w:t xml:space="preserve">should be supported to enable </w:t>
      </w:r>
      <w:r w:rsidR="006B2853">
        <w:rPr>
          <w:sz w:val="24"/>
          <w:szCs w:val="24"/>
        </w:rPr>
        <w:lastRenderedPageBreak/>
        <w:t>monitor</w:t>
      </w:r>
      <w:r w:rsidR="00561D74">
        <w:rPr>
          <w:sz w:val="24"/>
          <w:szCs w:val="24"/>
        </w:rPr>
        <w:t>ing</w:t>
      </w:r>
      <w:r w:rsidR="006B2853">
        <w:rPr>
          <w:sz w:val="24"/>
          <w:szCs w:val="24"/>
        </w:rPr>
        <w:t xml:space="preserve"> and evaluat</w:t>
      </w:r>
      <w:r w:rsidR="00561D74">
        <w:rPr>
          <w:sz w:val="24"/>
          <w:szCs w:val="24"/>
        </w:rPr>
        <w:t>ion of</w:t>
      </w:r>
      <w:r w:rsidR="006B2853">
        <w:rPr>
          <w:sz w:val="24"/>
          <w:szCs w:val="24"/>
        </w:rPr>
        <w:t xml:space="preserve"> projects and programs, </w:t>
      </w:r>
      <w:r w:rsidR="000512A4">
        <w:rPr>
          <w:sz w:val="24"/>
          <w:szCs w:val="24"/>
        </w:rPr>
        <w:t xml:space="preserve">and to </w:t>
      </w:r>
      <w:r w:rsidR="006B2853">
        <w:rPr>
          <w:sz w:val="24"/>
          <w:szCs w:val="24"/>
        </w:rPr>
        <w:t>shar</w:t>
      </w:r>
      <w:r w:rsidR="000512A4">
        <w:rPr>
          <w:sz w:val="24"/>
          <w:szCs w:val="24"/>
        </w:rPr>
        <w:t>e</w:t>
      </w:r>
      <w:r w:rsidR="006B2853">
        <w:rPr>
          <w:sz w:val="24"/>
          <w:szCs w:val="24"/>
        </w:rPr>
        <w:t xml:space="preserve"> lessons learned and resources through a network of leaders</w:t>
      </w:r>
      <w:r w:rsidR="00561D74">
        <w:rPr>
          <w:sz w:val="24"/>
          <w:szCs w:val="24"/>
        </w:rPr>
        <w:t xml:space="preserve"> building and sustaining </w:t>
      </w:r>
      <w:r w:rsidR="000512A4">
        <w:rPr>
          <w:sz w:val="24"/>
          <w:szCs w:val="24"/>
        </w:rPr>
        <w:t xml:space="preserve">livable </w:t>
      </w:r>
      <w:r w:rsidR="00561D74">
        <w:rPr>
          <w:sz w:val="24"/>
          <w:szCs w:val="24"/>
        </w:rPr>
        <w:t>communities</w:t>
      </w:r>
      <w:r w:rsidR="006B2853">
        <w:rPr>
          <w:sz w:val="24"/>
          <w:szCs w:val="24"/>
        </w:rPr>
        <w:t xml:space="preserve">. </w:t>
      </w:r>
      <w:r w:rsidR="00561D74">
        <w:rPr>
          <w:sz w:val="24"/>
          <w:szCs w:val="24"/>
        </w:rPr>
        <w:t xml:space="preserve">By </w:t>
      </w:r>
      <w:r w:rsidR="000512A4">
        <w:rPr>
          <w:sz w:val="24"/>
          <w:szCs w:val="24"/>
        </w:rPr>
        <w:t>raising</w:t>
      </w:r>
      <w:r w:rsidR="00561D74">
        <w:rPr>
          <w:sz w:val="24"/>
          <w:szCs w:val="24"/>
        </w:rPr>
        <w:t xml:space="preserve"> awareness that Health should be considered</w:t>
      </w:r>
      <w:r w:rsidR="006B2853">
        <w:rPr>
          <w:sz w:val="24"/>
          <w:szCs w:val="24"/>
        </w:rPr>
        <w:t xml:space="preserve"> in every </w:t>
      </w:r>
      <w:r w:rsidR="000512A4">
        <w:rPr>
          <w:sz w:val="24"/>
          <w:szCs w:val="24"/>
        </w:rPr>
        <w:t>building project</w:t>
      </w:r>
      <w:r w:rsidR="00561D74">
        <w:rPr>
          <w:sz w:val="24"/>
          <w:szCs w:val="24"/>
        </w:rPr>
        <w:t xml:space="preserve">, TDH </w:t>
      </w:r>
      <w:r w:rsidR="006B2853">
        <w:rPr>
          <w:sz w:val="24"/>
          <w:szCs w:val="24"/>
        </w:rPr>
        <w:t xml:space="preserve">will </w:t>
      </w:r>
      <w:r w:rsidR="00561D74">
        <w:rPr>
          <w:sz w:val="24"/>
          <w:szCs w:val="24"/>
        </w:rPr>
        <w:t xml:space="preserve">lay </w:t>
      </w:r>
      <w:r w:rsidR="006B2853">
        <w:rPr>
          <w:sz w:val="24"/>
          <w:szCs w:val="24"/>
        </w:rPr>
        <w:t xml:space="preserve">the cornerstone for </w:t>
      </w:r>
      <w:r w:rsidR="00561D74">
        <w:rPr>
          <w:sz w:val="24"/>
          <w:szCs w:val="24"/>
        </w:rPr>
        <w:t>a</w:t>
      </w:r>
      <w:r w:rsidR="006B2853">
        <w:rPr>
          <w:sz w:val="24"/>
          <w:szCs w:val="24"/>
        </w:rPr>
        <w:t xml:space="preserve"> Tennessee </w:t>
      </w:r>
      <w:r w:rsidR="00561D74">
        <w:rPr>
          <w:sz w:val="24"/>
          <w:szCs w:val="24"/>
        </w:rPr>
        <w:t xml:space="preserve">where </w:t>
      </w:r>
      <w:r w:rsidR="006B2853">
        <w:rPr>
          <w:sz w:val="24"/>
          <w:szCs w:val="24"/>
        </w:rPr>
        <w:t>our people and our places</w:t>
      </w:r>
      <w:r w:rsidR="00561D74">
        <w:rPr>
          <w:sz w:val="24"/>
          <w:szCs w:val="24"/>
        </w:rPr>
        <w:t xml:space="preserve"> support each other</w:t>
      </w:r>
      <w:r w:rsidR="006B2853">
        <w:rPr>
          <w:sz w:val="24"/>
          <w:szCs w:val="24"/>
        </w:rPr>
        <w:t xml:space="preserve">. </w:t>
      </w:r>
    </w:p>
    <w:p w14:paraId="51C5BFD6" w14:textId="77777777" w:rsidR="00D0586C" w:rsidRDefault="00D0586C">
      <w:pPr>
        <w:rPr>
          <w:sz w:val="24"/>
          <w:szCs w:val="24"/>
          <w:u w:val="single"/>
        </w:rPr>
      </w:pPr>
    </w:p>
    <w:p w14:paraId="74E2CECB" w14:textId="3E467340" w:rsidR="00D0586C" w:rsidRPr="00294525" w:rsidRDefault="00294525" w:rsidP="00294525">
      <w:pPr>
        <w:rPr>
          <w:b/>
          <w:color w:val="1F497D" w:themeColor="text2"/>
          <w:sz w:val="28"/>
          <w:szCs w:val="28"/>
          <w:u w:val="single"/>
        </w:rPr>
      </w:pPr>
      <w:r>
        <w:rPr>
          <w:b/>
          <w:color w:val="1F497D" w:themeColor="text2"/>
          <w:sz w:val="28"/>
          <w:szCs w:val="28"/>
          <w:u w:val="single"/>
        </w:rPr>
        <w:t xml:space="preserve">I.    </w:t>
      </w:r>
      <w:r w:rsidR="00D0586C" w:rsidRPr="00294525">
        <w:rPr>
          <w:b/>
          <w:color w:val="1F497D" w:themeColor="text2"/>
          <w:sz w:val="28"/>
          <w:szCs w:val="28"/>
          <w:u w:val="single"/>
        </w:rPr>
        <w:t>Background</w:t>
      </w:r>
    </w:p>
    <w:p w14:paraId="23C4CB87" w14:textId="3FC86F3F" w:rsidR="00710E46" w:rsidRPr="00710E46" w:rsidRDefault="00710E46" w:rsidP="00710E46">
      <w:pPr>
        <w:pStyle w:val="ListParagraph"/>
        <w:numPr>
          <w:ilvl w:val="0"/>
          <w:numId w:val="12"/>
        </w:numPr>
        <w:ind w:left="360"/>
        <w:jc w:val="both"/>
        <w:rPr>
          <w:b/>
          <w:sz w:val="24"/>
          <w:szCs w:val="24"/>
        </w:rPr>
      </w:pPr>
      <w:r w:rsidRPr="00710E46">
        <w:rPr>
          <w:b/>
          <w:color w:val="1F497D" w:themeColor="text2"/>
          <w:sz w:val="24"/>
          <w:szCs w:val="24"/>
        </w:rPr>
        <w:t>Expert Advisors</w:t>
      </w:r>
      <w:r>
        <w:rPr>
          <w:b/>
          <w:color w:val="1F497D" w:themeColor="text2"/>
          <w:sz w:val="24"/>
          <w:szCs w:val="24"/>
        </w:rPr>
        <w:t xml:space="preserve"> from External Stakeholders</w:t>
      </w:r>
    </w:p>
    <w:p w14:paraId="57D4F0DF" w14:textId="4FC0C040" w:rsidR="0098676A" w:rsidRPr="00710E46" w:rsidRDefault="0098676A" w:rsidP="00710E46">
      <w:pPr>
        <w:jc w:val="both"/>
        <w:rPr>
          <w:sz w:val="24"/>
          <w:szCs w:val="24"/>
        </w:rPr>
      </w:pPr>
      <w:r w:rsidRPr="00710E46">
        <w:rPr>
          <w:sz w:val="24"/>
          <w:szCs w:val="24"/>
        </w:rPr>
        <w:t xml:space="preserve">On December 11, 2014, Tennessee </w:t>
      </w:r>
      <w:r w:rsidR="00561D74" w:rsidRPr="00710E46">
        <w:rPr>
          <w:sz w:val="24"/>
          <w:szCs w:val="24"/>
        </w:rPr>
        <w:t xml:space="preserve">Commissioner </w:t>
      </w:r>
      <w:r w:rsidRPr="00710E46">
        <w:rPr>
          <w:sz w:val="24"/>
          <w:szCs w:val="24"/>
        </w:rPr>
        <w:t xml:space="preserve">of Health </w:t>
      </w:r>
      <w:r w:rsidR="00561D74" w:rsidRPr="00710E46">
        <w:rPr>
          <w:sz w:val="24"/>
          <w:szCs w:val="24"/>
        </w:rPr>
        <w:t xml:space="preserve">John Dreyzehner </w:t>
      </w:r>
      <w:r w:rsidRPr="00710E46">
        <w:rPr>
          <w:sz w:val="24"/>
          <w:szCs w:val="24"/>
        </w:rPr>
        <w:t xml:space="preserve">brought together leaders </w:t>
      </w:r>
      <w:r w:rsidR="00561D74" w:rsidRPr="00710E46">
        <w:rPr>
          <w:sz w:val="24"/>
          <w:szCs w:val="24"/>
        </w:rPr>
        <w:t xml:space="preserve">from diverse perspectives </w:t>
      </w:r>
      <w:r w:rsidRPr="00710E46">
        <w:rPr>
          <w:sz w:val="24"/>
          <w:szCs w:val="24"/>
        </w:rPr>
        <w:t xml:space="preserve">for a </w:t>
      </w:r>
      <w:r w:rsidRPr="00710E46">
        <w:rPr>
          <w:b/>
          <w:i/>
          <w:color w:val="1F497D" w:themeColor="text2"/>
          <w:sz w:val="24"/>
          <w:szCs w:val="24"/>
        </w:rPr>
        <w:t>consultation meeting</w:t>
      </w:r>
      <w:r w:rsidRPr="00710E46">
        <w:rPr>
          <w:color w:val="1F497D" w:themeColor="text2"/>
          <w:sz w:val="24"/>
          <w:szCs w:val="24"/>
        </w:rPr>
        <w:t xml:space="preserve"> </w:t>
      </w:r>
      <w:r w:rsidRPr="00710E46">
        <w:rPr>
          <w:sz w:val="24"/>
          <w:szCs w:val="24"/>
        </w:rPr>
        <w:t>to discuss the connection between the built environment and health</w:t>
      </w:r>
      <w:r w:rsidR="00A4501D" w:rsidRPr="00710E46">
        <w:rPr>
          <w:sz w:val="24"/>
          <w:szCs w:val="24"/>
        </w:rPr>
        <w:t xml:space="preserve"> (</w:t>
      </w:r>
      <w:r w:rsidR="00A4501D" w:rsidRPr="00710E46">
        <w:rPr>
          <w:i/>
          <w:sz w:val="24"/>
          <w:szCs w:val="24"/>
        </w:rPr>
        <w:t>Attachment 1 in Appendix</w:t>
      </w:r>
      <w:r w:rsidR="00A4501D" w:rsidRPr="00710E46">
        <w:rPr>
          <w:sz w:val="24"/>
          <w:szCs w:val="24"/>
        </w:rPr>
        <w:t>)</w:t>
      </w:r>
      <w:r w:rsidRPr="00710E46">
        <w:rPr>
          <w:sz w:val="24"/>
          <w:szCs w:val="24"/>
        </w:rPr>
        <w:t xml:space="preserve">. </w:t>
      </w:r>
      <w:r w:rsidR="00561D74" w:rsidRPr="00710E46">
        <w:rPr>
          <w:sz w:val="24"/>
          <w:szCs w:val="24"/>
        </w:rPr>
        <w:t xml:space="preserve">Dr. Dreyzehner asked the group to suggest ways in which </w:t>
      </w:r>
      <w:r w:rsidRPr="00710E46">
        <w:rPr>
          <w:sz w:val="24"/>
          <w:szCs w:val="24"/>
        </w:rPr>
        <w:t>the Department of Health c</w:t>
      </w:r>
      <w:r w:rsidR="00561D74" w:rsidRPr="00710E46">
        <w:rPr>
          <w:sz w:val="24"/>
          <w:szCs w:val="24"/>
        </w:rPr>
        <w:t>ould</w:t>
      </w:r>
      <w:r w:rsidRPr="00710E46">
        <w:rPr>
          <w:sz w:val="24"/>
          <w:szCs w:val="24"/>
        </w:rPr>
        <w:t xml:space="preserve"> “move the needle” </w:t>
      </w:r>
      <w:r w:rsidR="00561D74" w:rsidRPr="00710E46">
        <w:rPr>
          <w:sz w:val="24"/>
          <w:szCs w:val="24"/>
        </w:rPr>
        <w:t xml:space="preserve">for population health improvement </w:t>
      </w:r>
      <w:r w:rsidR="001A314F" w:rsidRPr="00710E46">
        <w:rPr>
          <w:sz w:val="24"/>
          <w:szCs w:val="24"/>
        </w:rPr>
        <w:t>through built</w:t>
      </w:r>
      <w:r w:rsidRPr="00710E46">
        <w:rPr>
          <w:sz w:val="24"/>
          <w:szCs w:val="24"/>
        </w:rPr>
        <w:t xml:space="preserve"> environment </w:t>
      </w:r>
      <w:r w:rsidR="009327D0" w:rsidRPr="00710E46">
        <w:rPr>
          <w:sz w:val="24"/>
          <w:szCs w:val="24"/>
        </w:rPr>
        <w:t xml:space="preserve">projects, </w:t>
      </w:r>
      <w:r w:rsidR="001A314F" w:rsidRPr="00710E46">
        <w:rPr>
          <w:sz w:val="24"/>
          <w:szCs w:val="24"/>
        </w:rPr>
        <w:t>enabling people</w:t>
      </w:r>
      <w:r w:rsidR="009327D0" w:rsidRPr="00710E46">
        <w:rPr>
          <w:sz w:val="24"/>
          <w:szCs w:val="24"/>
        </w:rPr>
        <w:t xml:space="preserve"> to make the healthy choice because it is </w:t>
      </w:r>
      <w:r w:rsidRPr="00710E46">
        <w:rPr>
          <w:sz w:val="24"/>
          <w:szCs w:val="24"/>
        </w:rPr>
        <w:t>the easy choice</w:t>
      </w:r>
      <w:r w:rsidR="009327D0" w:rsidRPr="00710E46">
        <w:rPr>
          <w:sz w:val="24"/>
          <w:szCs w:val="24"/>
        </w:rPr>
        <w:t>.</w:t>
      </w:r>
    </w:p>
    <w:p w14:paraId="1F2977DA" w14:textId="78D85C8D" w:rsidR="004851C7" w:rsidRDefault="00631B23" w:rsidP="00D0586C">
      <w:pPr>
        <w:jc w:val="both"/>
        <w:rPr>
          <w:sz w:val="24"/>
          <w:szCs w:val="24"/>
        </w:rPr>
      </w:pPr>
      <w:r w:rsidRPr="00453386">
        <w:rPr>
          <w:sz w:val="24"/>
          <w:szCs w:val="24"/>
        </w:rPr>
        <w:t xml:space="preserve">Attendees </w:t>
      </w:r>
      <w:r w:rsidR="009327D0">
        <w:rPr>
          <w:sz w:val="24"/>
          <w:szCs w:val="24"/>
        </w:rPr>
        <w:t>at the meeting responded to</w:t>
      </w:r>
      <w:r w:rsidRPr="00453386">
        <w:rPr>
          <w:sz w:val="24"/>
          <w:szCs w:val="24"/>
        </w:rPr>
        <w:t xml:space="preserve"> three questions: </w:t>
      </w:r>
    </w:p>
    <w:p w14:paraId="14E79BB2" w14:textId="77777777" w:rsidR="004851C7" w:rsidRDefault="004851C7" w:rsidP="00D0586C">
      <w:pPr>
        <w:spacing w:after="0"/>
        <w:jc w:val="both"/>
        <w:rPr>
          <w:sz w:val="24"/>
          <w:szCs w:val="24"/>
        </w:rPr>
      </w:pPr>
      <w:r>
        <w:rPr>
          <w:sz w:val="24"/>
          <w:szCs w:val="24"/>
        </w:rPr>
        <w:t xml:space="preserve">(1) </w:t>
      </w:r>
      <w:r w:rsidR="00631B23" w:rsidRPr="00453386">
        <w:rPr>
          <w:sz w:val="24"/>
          <w:szCs w:val="24"/>
        </w:rPr>
        <w:t>How have our places positively affected our people</w:t>
      </w:r>
      <w:r w:rsidR="004D47B5">
        <w:rPr>
          <w:sz w:val="24"/>
          <w:szCs w:val="24"/>
        </w:rPr>
        <w:t>’s health</w:t>
      </w:r>
      <w:r w:rsidR="00631B23" w:rsidRPr="00453386">
        <w:rPr>
          <w:sz w:val="24"/>
          <w:szCs w:val="24"/>
        </w:rPr>
        <w:t xml:space="preserve">? </w:t>
      </w:r>
    </w:p>
    <w:p w14:paraId="144CC9AB" w14:textId="77777777" w:rsidR="004851C7" w:rsidRDefault="004851C7" w:rsidP="00D0586C">
      <w:pPr>
        <w:spacing w:after="0"/>
        <w:jc w:val="both"/>
        <w:rPr>
          <w:sz w:val="24"/>
          <w:szCs w:val="24"/>
        </w:rPr>
      </w:pPr>
      <w:r>
        <w:rPr>
          <w:sz w:val="24"/>
          <w:szCs w:val="24"/>
        </w:rPr>
        <w:t xml:space="preserve">(2) </w:t>
      </w:r>
      <w:r w:rsidR="00631B23" w:rsidRPr="00453386">
        <w:rPr>
          <w:sz w:val="24"/>
          <w:szCs w:val="24"/>
        </w:rPr>
        <w:t xml:space="preserve">How are we innovating, concerning the built environment? </w:t>
      </w:r>
    </w:p>
    <w:p w14:paraId="60E15BF8" w14:textId="77777777" w:rsidR="0098676A" w:rsidRDefault="004851C7" w:rsidP="00D0586C">
      <w:pPr>
        <w:spacing w:after="0"/>
        <w:jc w:val="both"/>
        <w:rPr>
          <w:sz w:val="24"/>
          <w:szCs w:val="24"/>
        </w:rPr>
      </w:pPr>
      <w:r>
        <w:rPr>
          <w:sz w:val="24"/>
          <w:szCs w:val="24"/>
        </w:rPr>
        <w:t xml:space="preserve">(3) </w:t>
      </w:r>
      <w:r w:rsidR="00631B23" w:rsidRPr="00453386">
        <w:rPr>
          <w:sz w:val="24"/>
          <w:szCs w:val="24"/>
        </w:rPr>
        <w:t xml:space="preserve">What role should the </w:t>
      </w:r>
      <w:r w:rsidR="009327D0">
        <w:rPr>
          <w:sz w:val="24"/>
          <w:szCs w:val="24"/>
        </w:rPr>
        <w:t xml:space="preserve">Tennessee </w:t>
      </w:r>
      <w:r w:rsidR="00631B23" w:rsidRPr="00453386">
        <w:rPr>
          <w:sz w:val="24"/>
          <w:szCs w:val="24"/>
        </w:rPr>
        <w:t>Department of Health play in the future?</w:t>
      </w:r>
    </w:p>
    <w:p w14:paraId="4CA87D20" w14:textId="77777777" w:rsidR="00D0586C" w:rsidRPr="00453386" w:rsidRDefault="00D0586C" w:rsidP="00D0586C">
      <w:pPr>
        <w:spacing w:after="0"/>
        <w:jc w:val="both"/>
        <w:rPr>
          <w:sz w:val="24"/>
          <w:szCs w:val="24"/>
        </w:rPr>
      </w:pPr>
    </w:p>
    <w:p w14:paraId="4092116F" w14:textId="0034C97A" w:rsidR="00631B23" w:rsidRPr="00453386" w:rsidRDefault="00631B23" w:rsidP="00D0586C">
      <w:pPr>
        <w:jc w:val="both"/>
        <w:rPr>
          <w:sz w:val="24"/>
          <w:szCs w:val="24"/>
        </w:rPr>
      </w:pPr>
      <w:r w:rsidRPr="00453386">
        <w:rPr>
          <w:sz w:val="24"/>
          <w:szCs w:val="24"/>
        </w:rPr>
        <w:t>Individual stories about how built environments have improved health ranged from the street corner to the sector plan. Some discussed neighborhoods with safe sidewalks and places to play</w:t>
      </w:r>
      <w:r w:rsidR="000512A4">
        <w:rPr>
          <w:sz w:val="24"/>
          <w:szCs w:val="24"/>
        </w:rPr>
        <w:t>; o</w:t>
      </w:r>
      <w:r w:rsidRPr="00453386">
        <w:rPr>
          <w:sz w:val="24"/>
          <w:szCs w:val="24"/>
        </w:rPr>
        <w:t>thers focused on the need for transit options and amenities</w:t>
      </w:r>
      <w:r w:rsidR="00C93726" w:rsidRPr="00453386">
        <w:rPr>
          <w:sz w:val="24"/>
          <w:szCs w:val="24"/>
        </w:rPr>
        <w:t>. Neighborhoods and community leaders have advocated for improvements to greenways, bike lanes and trails while elected officials and planning departments have made active transportation infrastructure a requirement in development decisions.</w:t>
      </w:r>
    </w:p>
    <w:p w14:paraId="3EB3AF15" w14:textId="1DDEA35E" w:rsidR="00C93726" w:rsidRPr="00453386" w:rsidRDefault="00C93726" w:rsidP="00D0586C">
      <w:pPr>
        <w:jc w:val="both"/>
        <w:rPr>
          <w:sz w:val="24"/>
          <w:szCs w:val="24"/>
        </w:rPr>
      </w:pPr>
      <w:r w:rsidRPr="00453386">
        <w:rPr>
          <w:sz w:val="24"/>
          <w:szCs w:val="24"/>
        </w:rPr>
        <w:t xml:space="preserve">Innovation occurs across the state, </w:t>
      </w:r>
      <w:r w:rsidR="009327D0">
        <w:rPr>
          <w:sz w:val="24"/>
          <w:szCs w:val="24"/>
        </w:rPr>
        <w:t>including projects initiated by</w:t>
      </w:r>
      <w:r w:rsidRPr="00453386">
        <w:rPr>
          <w:sz w:val="24"/>
          <w:szCs w:val="24"/>
        </w:rPr>
        <w:t xml:space="preserve"> County Health Departments </w:t>
      </w:r>
      <w:r w:rsidR="009327D0">
        <w:rPr>
          <w:sz w:val="24"/>
          <w:szCs w:val="24"/>
        </w:rPr>
        <w:t>as well as</w:t>
      </w:r>
      <w:r w:rsidRPr="00453386">
        <w:rPr>
          <w:sz w:val="24"/>
          <w:szCs w:val="24"/>
        </w:rPr>
        <w:t xml:space="preserve"> </w:t>
      </w:r>
      <w:r w:rsidR="004851C7">
        <w:rPr>
          <w:sz w:val="24"/>
          <w:szCs w:val="24"/>
        </w:rPr>
        <w:t>by</w:t>
      </w:r>
      <w:r w:rsidR="004851C7" w:rsidRPr="00453386">
        <w:rPr>
          <w:sz w:val="24"/>
          <w:szCs w:val="24"/>
        </w:rPr>
        <w:t xml:space="preserve"> </w:t>
      </w:r>
      <w:r w:rsidRPr="00453386">
        <w:rPr>
          <w:sz w:val="24"/>
          <w:szCs w:val="24"/>
        </w:rPr>
        <w:t xml:space="preserve">other state agencies and local community programs. Funding opportunities exist across the board for built environment initiatives, from the federal level to the local level. Governments are seeking health funding to improve </w:t>
      </w:r>
      <w:r w:rsidR="000512A4">
        <w:rPr>
          <w:sz w:val="24"/>
          <w:szCs w:val="24"/>
        </w:rPr>
        <w:t xml:space="preserve">infrastructure in </w:t>
      </w:r>
      <w:r w:rsidRPr="00453386">
        <w:rPr>
          <w:sz w:val="24"/>
          <w:szCs w:val="24"/>
        </w:rPr>
        <w:t>their cities and municipalities</w:t>
      </w:r>
      <w:r w:rsidR="009327D0">
        <w:rPr>
          <w:sz w:val="24"/>
          <w:szCs w:val="24"/>
        </w:rPr>
        <w:t>,</w:t>
      </w:r>
      <w:r w:rsidRPr="00453386">
        <w:rPr>
          <w:sz w:val="24"/>
          <w:szCs w:val="24"/>
        </w:rPr>
        <w:t xml:space="preserve"> and are </w:t>
      </w:r>
      <w:r w:rsidR="009327D0">
        <w:rPr>
          <w:sz w:val="24"/>
          <w:szCs w:val="24"/>
        </w:rPr>
        <w:t xml:space="preserve">increasingly </w:t>
      </w:r>
      <w:r w:rsidRPr="00453386">
        <w:rPr>
          <w:sz w:val="24"/>
          <w:szCs w:val="24"/>
        </w:rPr>
        <w:t>using livability as a marketing tool. Community</w:t>
      </w:r>
      <w:r w:rsidR="009327D0">
        <w:rPr>
          <w:sz w:val="24"/>
          <w:szCs w:val="24"/>
        </w:rPr>
        <w:t>-</w:t>
      </w:r>
      <w:r w:rsidRPr="00453386">
        <w:rPr>
          <w:sz w:val="24"/>
          <w:szCs w:val="24"/>
        </w:rPr>
        <w:t>level programs that focus on safe routes to school and local food</w:t>
      </w:r>
      <w:r w:rsidR="009327D0">
        <w:rPr>
          <w:sz w:val="24"/>
          <w:szCs w:val="24"/>
        </w:rPr>
        <w:t>s</w:t>
      </w:r>
      <w:r w:rsidRPr="00453386">
        <w:rPr>
          <w:sz w:val="24"/>
          <w:szCs w:val="24"/>
        </w:rPr>
        <w:t xml:space="preserve"> have promoted access to healthy </w:t>
      </w:r>
      <w:r w:rsidR="004851C7">
        <w:rPr>
          <w:sz w:val="24"/>
          <w:szCs w:val="24"/>
        </w:rPr>
        <w:t>and safe choice</w:t>
      </w:r>
      <w:r w:rsidR="004851C7" w:rsidRPr="00453386">
        <w:rPr>
          <w:sz w:val="24"/>
          <w:szCs w:val="24"/>
        </w:rPr>
        <w:t>s</w:t>
      </w:r>
      <w:r w:rsidRPr="00453386">
        <w:rPr>
          <w:sz w:val="24"/>
          <w:szCs w:val="24"/>
        </w:rPr>
        <w:t xml:space="preserve">. Partnerships between government and non-profits are transforming underutilized land into destinations for physical activity and improved access to greenspace. </w:t>
      </w:r>
    </w:p>
    <w:p w14:paraId="0E5097B7" w14:textId="609800BB" w:rsidR="00C93726" w:rsidRPr="00453386" w:rsidRDefault="00C93726" w:rsidP="00D0586C">
      <w:pPr>
        <w:jc w:val="both"/>
        <w:rPr>
          <w:sz w:val="24"/>
          <w:szCs w:val="24"/>
        </w:rPr>
      </w:pPr>
      <w:r w:rsidRPr="00453386">
        <w:rPr>
          <w:sz w:val="24"/>
          <w:szCs w:val="24"/>
        </w:rPr>
        <w:lastRenderedPageBreak/>
        <w:t xml:space="preserve">As a State entity, the Tennessee Department of Health has an opportunity to act as a convener and a </w:t>
      </w:r>
      <w:r w:rsidR="000512A4">
        <w:rPr>
          <w:sz w:val="24"/>
          <w:szCs w:val="24"/>
        </w:rPr>
        <w:t>facilitator</w:t>
      </w:r>
      <w:r w:rsidR="000512A4" w:rsidRPr="00453386">
        <w:rPr>
          <w:sz w:val="24"/>
          <w:szCs w:val="24"/>
        </w:rPr>
        <w:t xml:space="preserve"> </w:t>
      </w:r>
      <w:r w:rsidR="00782CDB" w:rsidRPr="00453386">
        <w:rPr>
          <w:sz w:val="24"/>
          <w:szCs w:val="24"/>
        </w:rPr>
        <w:t>in this movement. Cooperation and collaboration is needed to access funding for built environment projects</w:t>
      </w:r>
      <w:r w:rsidR="000512A4">
        <w:rPr>
          <w:sz w:val="24"/>
          <w:szCs w:val="24"/>
        </w:rPr>
        <w:t>,</w:t>
      </w:r>
      <w:r w:rsidR="00782CDB" w:rsidRPr="00453386">
        <w:rPr>
          <w:sz w:val="24"/>
          <w:szCs w:val="24"/>
        </w:rPr>
        <w:t xml:space="preserve"> and </w:t>
      </w:r>
      <w:r w:rsidR="000512A4">
        <w:rPr>
          <w:sz w:val="24"/>
          <w:szCs w:val="24"/>
        </w:rPr>
        <w:t xml:space="preserve">also </w:t>
      </w:r>
      <w:r w:rsidR="00782CDB" w:rsidRPr="00453386">
        <w:rPr>
          <w:sz w:val="24"/>
          <w:szCs w:val="24"/>
        </w:rPr>
        <w:t xml:space="preserve">to engage with all stakeholders to ensure sustainability. </w:t>
      </w:r>
      <w:r w:rsidR="000512A4">
        <w:rPr>
          <w:sz w:val="24"/>
          <w:szCs w:val="24"/>
        </w:rPr>
        <w:t>TDH role</w:t>
      </w:r>
      <w:r w:rsidR="000512A4" w:rsidRPr="00453386">
        <w:rPr>
          <w:sz w:val="24"/>
          <w:szCs w:val="24"/>
        </w:rPr>
        <w:t xml:space="preserve"> </w:t>
      </w:r>
      <w:r w:rsidR="00782CDB" w:rsidRPr="00453386">
        <w:rPr>
          <w:sz w:val="24"/>
          <w:szCs w:val="24"/>
        </w:rPr>
        <w:t xml:space="preserve">should focus on engaging, educating and encouraging to grow support, successes and strong leaders. </w:t>
      </w:r>
    </w:p>
    <w:p w14:paraId="44D90E36" w14:textId="77777777" w:rsidR="00782CDB" w:rsidRPr="00453386" w:rsidRDefault="00782CDB" w:rsidP="00D0586C">
      <w:pPr>
        <w:jc w:val="both"/>
        <w:rPr>
          <w:sz w:val="24"/>
          <w:szCs w:val="24"/>
        </w:rPr>
      </w:pPr>
      <w:r w:rsidRPr="00453386">
        <w:rPr>
          <w:sz w:val="24"/>
          <w:szCs w:val="24"/>
        </w:rPr>
        <w:t>There are existing efforts in the state that have modeled success in the built environment. We have a unique opportunity now to build on this momentum and to act strategically to position the Tennessee Department of Health as a leader in built environment initiatives</w:t>
      </w:r>
      <w:r w:rsidR="000512A4">
        <w:rPr>
          <w:sz w:val="24"/>
          <w:szCs w:val="24"/>
        </w:rPr>
        <w:t xml:space="preserve"> which lead to better health</w:t>
      </w:r>
      <w:r w:rsidRPr="00453386">
        <w:rPr>
          <w:sz w:val="24"/>
          <w:szCs w:val="24"/>
        </w:rPr>
        <w:t xml:space="preserve">. </w:t>
      </w:r>
    </w:p>
    <w:p w14:paraId="66C2F5AF" w14:textId="63B084B5" w:rsidR="00710E46" w:rsidRPr="00710E46" w:rsidRDefault="00710E46" w:rsidP="00D0586C">
      <w:pPr>
        <w:jc w:val="both"/>
        <w:rPr>
          <w:b/>
          <w:bCs/>
          <w:color w:val="1F497D" w:themeColor="text2"/>
          <w:sz w:val="24"/>
          <w:szCs w:val="24"/>
        </w:rPr>
      </w:pPr>
      <w:r>
        <w:rPr>
          <w:b/>
          <w:bCs/>
          <w:color w:val="1F497D" w:themeColor="text2"/>
          <w:sz w:val="24"/>
          <w:szCs w:val="24"/>
        </w:rPr>
        <w:t xml:space="preserve">B. </w:t>
      </w:r>
      <w:r w:rsidR="00A937A4">
        <w:rPr>
          <w:b/>
          <w:bCs/>
          <w:color w:val="1F497D" w:themeColor="text2"/>
          <w:sz w:val="24"/>
          <w:szCs w:val="24"/>
        </w:rPr>
        <w:t xml:space="preserve"> </w:t>
      </w:r>
      <w:r>
        <w:rPr>
          <w:b/>
          <w:bCs/>
          <w:color w:val="1F497D" w:themeColor="text2"/>
          <w:sz w:val="24"/>
          <w:szCs w:val="24"/>
        </w:rPr>
        <w:t xml:space="preserve"> “Rising Stars” team of leaders from public health</w:t>
      </w:r>
    </w:p>
    <w:p w14:paraId="56031970" w14:textId="64B4C0F7" w:rsidR="00F4233A" w:rsidRPr="00453386" w:rsidRDefault="00BC0890" w:rsidP="00D0586C">
      <w:pPr>
        <w:jc w:val="both"/>
        <w:rPr>
          <w:b/>
          <w:bCs/>
          <w:color w:val="000000"/>
          <w:sz w:val="24"/>
          <w:szCs w:val="24"/>
        </w:rPr>
      </w:pPr>
      <w:r w:rsidRPr="00453386">
        <w:rPr>
          <w:bCs/>
          <w:color w:val="000000"/>
          <w:sz w:val="24"/>
          <w:szCs w:val="24"/>
        </w:rPr>
        <w:t xml:space="preserve">Commissioner </w:t>
      </w:r>
      <w:r w:rsidR="00702C9A" w:rsidRPr="00453386">
        <w:rPr>
          <w:bCs/>
          <w:color w:val="000000"/>
          <w:sz w:val="24"/>
          <w:szCs w:val="24"/>
        </w:rPr>
        <w:t>Dreyz</w:t>
      </w:r>
      <w:r w:rsidR="00702C9A">
        <w:rPr>
          <w:bCs/>
          <w:color w:val="000000"/>
          <w:sz w:val="24"/>
          <w:szCs w:val="24"/>
        </w:rPr>
        <w:t>ehner</w:t>
      </w:r>
      <w:r w:rsidR="00702C9A" w:rsidRPr="00453386">
        <w:rPr>
          <w:bCs/>
          <w:color w:val="000000"/>
          <w:sz w:val="24"/>
          <w:szCs w:val="24"/>
        </w:rPr>
        <w:t xml:space="preserve"> </w:t>
      </w:r>
      <w:r w:rsidRPr="00453386">
        <w:rPr>
          <w:bCs/>
          <w:color w:val="000000"/>
          <w:sz w:val="24"/>
          <w:szCs w:val="24"/>
        </w:rPr>
        <w:t xml:space="preserve">has </w:t>
      </w:r>
      <w:r w:rsidR="00702C9A">
        <w:rPr>
          <w:bCs/>
          <w:color w:val="000000"/>
          <w:sz w:val="24"/>
          <w:szCs w:val="24"/>
        </w:rPr>
        <w:t>established</w:t>
      </w:r>
      <w:r w:rsidR="00702C9A" w:rsidRPr="00453386">
        <w:rPr>
          <w:bCs/>
          <w:color w:val="000000"/>
          <w:sz w:val="24"/>
          <w:szCs w:val="24"/>
        </w:rPr>
        <w:t xml:space="preserve"> </w:t>
      </w:r>
      <w:r w:rsidR="00702C9A" w:rsidRPr="00AD6EDB">
        <w:rPr>
          <w:bCs/>
          <w:i/>
          <w:color w:val="000000"/>
          <w:sz w:val="24"/>
          <w:szCs w:val="24"/>
        </w:rPr>
        <w:t>Rising Stars</w:t>
      </w:r>
      <w:r w:rsidR="00702C9A">
        <w:rPr>
          <w:bCs/>
          <w:color w:val="000000"/>
          <w:sz w:val="24"/>
          <w:szCs w:val="24"/>
        </w:rPr>
        <w:t xml:space="preserve"> teams as </w:t>
      </w:r>
      <w:r w:rsidRPr="00453386">
        <w:rPr>
          <w:bCs/>
          <w:color w:val="000000"/>
          <w:sz w:val="24"/>
          <w:szCs w:val="24"/>
        </w:rPr>
        <w:t xml:space="preserve">a mechanism to encourage statewide sharing of ideas and give new leaders an opportunity to share their expertise in key public health issues. The </w:t>
      </w:r>
      <w:r w:rsidRPr="00710E46">
        <w:rPr>
          <w:b/>
          <w:bCs/>
          <w:i/>
          <w:color w:val="1F497D" w:themeColor="text2"/>
          <w:sz w:val="24"/>
          <w:szCs w:val="24"/>
        </w:rPr>
        <w:t>Built Environment Rising Stars team</w:t>
      </w:r>
      <w:r w:rsidRPr="00710E46">
        <w:rPr>
          <w:bCs/>
          <w:color w:val="1F497D" w:themeColor="text2"/>
          <w:sz w:val="24"/>
          <w:szCs w:val="24"/>
        </w:rPr>
        <w:t xml:space="preserve"> </w:t>
      </w:r>
      <w:r w:rsidRPr="00453386">
        <w:rPr>
          <w:bCs/>
          <w:color w:val="000000"/>
          <w:sz w:val="24"/>
          <w:szCs w:val="24"/>
        </w:rPr>
        <w:t xml:space="preserve">was </w:t>
      </w:r>
      <w:r w:rsidR="00702C9A">
        <w:rPr>
          <w:bCs/>
          <w:color w:val="000000"/>
          <w:sz w:val="24"/>
          <w:szCs w:val="24"/>
        </w:rPr>
        <w:t>formed in February 2015 to research and recommend ways in which</w:t>
      </w:r>
      <w:r w:rsidR="001A314F">
        <w:rPr>
          <w:bCs/>
          <w:color w:val="000000"/>
          <w:sz w:val="24"/>
          <w:szCs w:val="24"/>
        </w:rPr>
        <w:t xml:space="preserve"> </w:t>
      </w:r>
      <w:r w:rsidRPr="00453386">
        <w:rPr>
          <w:bCs/>
          <w:color w:val="000000"/>
          <w:sz w:val="24"/>
          <w:szCs w:val="24"/>
        </w:rPr>
        <w:t xml:space="preserve">TDH </w:t>
      </w:r>
      <w:r w:rsidR="00702C9A">
        <w:rPr>
          <w:bCs/>
          <w:color w:val="000000"/>
          <w:sz w:val="24"/>
          <w:szCs w:val="24"/>
        </w:rPr>
        <w:t>c</w:t>
      </w:r>
      <w:r w:rsidRPr="00453386">
        <w:rPr>
          <w:bCs/>
          <w:color w:val="000000"/>
          <w:sz w:val="24"/>
          <w:szCs w:val="24"/>
        </w:rPr>
        <w:t xml:space="preserve">ould become more engaged </w:t>
      </w:r>
      <w:r w:rsidR="004851C7">
        <w:rPr>
          <w:bCs/>
          <w:color w:val="000000"/>
          <w:sz w:val="24"/>
          <w:szCs w:val="24"/>
        </w:rPr>
        <w:t xml:space="preserve">with partners </w:t>
      </w:r>
      <w:r w:rsidRPr="00453386">
        <w:rPr>
          <w:bCs/>
          <w:color w:val="000000"/>
          <w:sz w:val="24"/>
          <w:szCs w:val="24"/>
        </w:rPr>
        <w:t xml:space="preserve">at the local and state level to </w:t>
      </w:r>
      <w:r w:rsidR="001A314F" w:rsidRPr="00453386">
        <w:rPr>
          <w:bCs/>
          <w:color w:val="000000"/>
          <w:sz w:val="24"/>
          <w:szCs w:val="24"/>
        </w:rPr>
        <w:t>promote health</w:t>
      </w:r>
      <w:r w:rsidRPr="00453386">
        <w:rPr>
          <w:bCs/>
          <w:color w:val="000000"/>
          <w:sz w:val="24"/>
          <w:szCs w:val="24"/>
        </w:rPr>
        <w:t xml:space="preserve"> </w:t>
      </w:r>
      <w:r w:rsidR="00702C9A">
        <w:rPr>
          <w:bCs/>
          <w:color w:val="000000"/>
          <w:sz w:val="24"/>
          <w:szCs w:val="24"/>
        </w:rPr>
        <w:t>through</w:t>
      </w:r>
      <w:r w:rsidR="00702C9A" w:rsidRPr="00453386">
        <w:rPr>
          <w:bCs/>
          <w:color w:val="000000"/>
          <w:sz w:val="24"/>
          <w:szCs w:val="24"/>
        </w:rPr>
        <w:t xml:space="preserve"> </w:t>
      </w:r>
      <w:r w:rsidR="004851C7">
        <w:rPr>
          <w:bCs/>
          <w:color w:val="000000"/>
          <w:sz w:val="24"/>
          <w:szCs w:val="24"/>
        </w:rPr>
        <w:t xml:space="preserve">shaping of </w:t>
      </w:r>
      <w:r w:rsidR="001A314F">
        <w:rPr>
          <w:bCs/>
          <w:color w:val="000000"/>
          <w:sz w:val="24"/>
          <w:szCs w:val="24"/>
        </w:rPr>
        <w:t>the</w:t>
      </w:r>
      <w:r w:rsidR="001A314F" w:rsidRPr="00453386">
        <w:rPr>
          <w:bCs/>
          <w:color w:val="000000"/>
          <w:sz w:val="24"/>
          <w:szCs w:val="24"/>
        </w:rPr>
        <w:t xml:space="preserve"> built</w:t>
      </w:r>
      <w:r w:rsidRPr="00453386">
        <w:rPr>
          <w:bCs/>
          <w:color w:val="000000"/>
          <w:sz w:val="24"/>
          <w:szCs w:val="24"/>
        </w:rPr>
        <w:t xml:space="preserve"> environment</w:t>
      </w:r>
      <w:r w:rsidR="00A4501D">
        <w:rPr>
          <w:bCs/>
          <w:color w:val="000000"/>
          <w:sz w:val="24"/>
          <w:szCs w:val="24"/>
        </w:rPr>
        <w:t xml:space="preserve"> (</w:t>
      </w:r>
      <w:r w:rsidR="00A4501D" w:rsidRPr="00710E46">
        <w:rPr>
          <w:bCs/>
          <w:i/>
          <w:color w:val="000000"/>
          <w:sz w:val="24"/>
          <w:szCs w:val="24"/>
        </w:rPr>
        <w:t>Attachment 2 in Appendix</w:t>
      </w:r>
      <w:r w:rsidR="00A4501D">
        <w:rPr>
          <w:bCs/>
          <w:color w:val="000000"/>
          <w:sz w:val="24"/>
          <w:szCs w:val="24"/>
        </w:rPr>
        <w:t>)</w:t>
      </w:r>
      <w:r w:rsidRPr="00453386">
        <w:rPr>
          <w:bCs/>
          <w:color w:val="000000"/>
          <w:sz w:val="24"/>
          <w:szCs w:val="24"/>
        </w:rPr>
        <w:t xml:space="preserve">.  </w:t>
      </w:r>
    </w:p>
    <w:p w14:paraId="0760A4D9" w14:textId="77777777" w:rsidR="00710E46" w:rsidRDefault="00D10DF5" w:rsidP="00710E46">
      <w:pPr>
        <w:pStyle w:val="NormalWeb"/>
        <w:spacing w:before="0" w:after="0"/>
        <w:rPr>
          <w:rFonts w:asciiTheme="minorHAnsi" w:hAnsiTheme="minorHAnsi"/>
        </w:rPr>
      </w:pPr>
      <w:r w:rsidRPr="00453386">
        <w:rPr>
          <w:rFonts w:asciiTheme="minorHAnsi" w:hAnsiTheme="minorHAnsi"/>
        </w:rPr>
        <w:t xml:space="preserve">The </w:t>
      </w:r>
      <w:r w:rsidRPr="00AD6EDB">
        <w:rPr>
          <w:rFonts w:asciiTheme="minorHAnsi" w:hAnsiTheme="minorHAnsi"/>
          <w:i/>
        </w:rPr>
        <w:t xml:space="preserve">Built Environment Rising </w:t>
      </w:r>
      <w:r w:rsidR="001A314F" w:rsidRPr="00AD6EDB">
        <w:rPr>
          <w:rFonts w:asciiTheme="minorHAnsi" w:hAnsiTheme="minorHAnsi"/>
          <w:i/>
        </w:rPr>
        <w:t>Stars team</w:t>
      </w:r>
      <w:r w:rsidR="00AF31F0" w:rsidRPr="00453386">
        <w:rPr>
          <w:rFonts w:asciiTheme="minorHAnsi" w:hAnsiTheme="minorHAnsi"/>
        </w:rPr>
        <w:t xml:space="preserve"> </w:t>
      </w:r>
      <w:r w:rsidRPr="00453386">
        <w:rPr>
          <w:rFonts w:asciiTheme="minorHAnsi" w:hAnsiTheme="minorHAnsi"/>
        </w:rPr>
        <w:t xml:space="preserve">was charged with </w:t>
      </w:r>
    </w:p>
    <w:p w14:paraId="7201664F" w14:textId="77777777" w:rsidR="00710E46" w:rsidRPr="00710E46" w:rsidRDefault="00710E46" w:rsidP="00710E46">
      <w:pPr>
        <w:pStyle w:val="NormalWeb"/>
        <w:spacing w:before="0" w:after="0"/>
        <w:rPr>
          <w:rFonts w:asciiTheme="minorHAnsi" w:hAnsiTheme="minorHAnsi"/>
          <w:sz w:val="12"/>
          <w:szCs w:val="12"/>
        </w:rPr>
      </w:pPr>
    </w:p>
    <w:p w14:paraId="3ABEDE29" w14:textId="504896C1" w:rsidR="00710E46" w:rsidRPr="00710E46" w:rsidRDefault="00D10DF5" w:rsidP="00710E46">
      <w:pPr>
        <w:pStyle w:val="NormalWeb"/>
        <w:numPr>
          <w:ilvl w:val="0"/>
          <w:numId w:val="13"/>
        </w:numPr>
        <w:spacing w:before="0" w:after="0"/>
        <w:jc w:val="both"/>
        <w:rPr>
          <w:rFonts w:asciiTheme="minorHAnsi" w:hAnsiTheme="minorHAnsi"/>
          <w:color w:val="000000"/>
        </w:rPr>
      </w:pPr>
      <w:r w:rsidRPr="00453386">
        <w:rPr>
          <w:rFonts w:asciiTheme="minorHAnsi" w:hAnsiTheme="minorHAnsi"/>
          <w:color w:val="000000"/>
        </w:rPr>
        <w:t>defining approaches for TDH involvement to support local built environment initiatives as a primary prevention strategy</w:t>
      </w:r>
      <w:r w:rsidR="00710E46">
        <w:rPr>
          <w:rFonts w:asciiTheme="minorHAnsi" w:hAnsiTheme="minorHAnsi"/>
          <w:color w:val="000000"/>
        </w:rPr>
        <w:t>,</w:t>
      </w:r>
      <w:r w:rsidRPr="00453386">
        <w:rPr>
          <w:rFonts w:asciiTheme="minorHAnsi" w:hAnsiTheme="minorHAnsi"/>
          <w:color w:val="000000"/>
        </w:rPr>
        <w:t xml:space="preserve"> and </w:t>
      </w:r>
    </w:p>
    <w:p w14:paraId="0BCC5C9B" w14:textId="16EB217C" w:rsidR="00710E46" w:rsidRDefault="00D10DF5" w:rsidP="00710E46">
      <w:pPr>
        <w:pStyle w:val="NormalWeb"/>
        <w:numPr>
          <w:ilvl w:val="0"/>
          <w:numId w:val="13"/>
        </w:numPr>
        <w:spacing w:before="0" w:after="0"/>
        <w:jc w:val="both"/>
        <w:rPr>
          <w:rFonts w:asciiTheme="minorHAnsi" w:hAnsiTheme="minorHAnsi"/>
          <w:color w:val="000000"/>
        </w:rPr>
      </w:pPr>
      <w:r w:rsidRPr="00453386">
        <w:rPr>
          <w:rFonts w:asciiTheme="minorHAnsi" w:hAnsiTheme="minorHAnsi"/>
          <w:color w:val="000000"/>
        </w:rPr>
        <w:t xml:space="preserve">recommending how TDH can lead and facilitate local innovation, and foster actions to </w:t>
      </w:r>
    </w:p>
    <w:p w14:paraId="56050E7F" w14:textId="3A096EC4" w:rsidR="00317944" w:rsidRPr="00453386" w:rsidRDefault="00D10DF5" w:rsidP="00710E46">
      <w:pPr>
        <w:pStyle w:val="NormalWeb"/>
        <w:spacing w:before="0" w:after="0"/>
        <w:ind w:left="720"/>
        <w:jc w:val="both"/>
        <w:rPr>
          <w:rFonts w:asciiTheme="minorHAnsi" w:hAnsiTheme="minorHAnsi"/>
          <w:color w:val="000000"/>
        </w:rPr>
      </w:pPr>
      <w:proofErr w:type="gramStart"/>
      <w:r w:rsidRPr="00453386">
        <w:rPr>
          <w:rFonts w:asciiTheme="minorHAnsi" w:hAnsiTheme="minorHAnsi"/>
          <w:color w:val="000000"/>
        </w:rPr>
        <w:t>enhance</w:t>
      </w:r>
      <w:proofErr w:type="gramEnd"/>
      <w:r w:rsidRPr="00453386">
        <w:rPr>
          <w:rFonts w:asciiTheme="minorHAnsi" w:hAnsiTheme="minorHAnsi"/>
          <w:color w:val="000000"/>
        </w:rPr>
        <w:t xml:space="preserve"> the physical and social infrastructure supporting a culture of health for all. </w:t>
      </w:r>
    </w:p>
    <w:p w14:paraId="2E14741B" w14:textId="77777777" w:rsidR="00710E46" w:rsidRDefault="00710E46" w:rsidP="00710E46">
      <w:pPr>
        <w:pStyle w:val="NormalWeb"/>
        <w:spacing w:before="0" w:after="0"/>
        <w:jc w:val="both"/>
        <w:rPr>
          <w:rFonts w:asciiTheme="minorHAnsi" w:hAnsiTheme="minorHAnsi"/>
          <w:color w:val="000000"/>
        </w:rPr>
      </w:pPr>
    </w:p>
    <w:p w14:paraId="7B1DDE79" w14:textId="77777777" w:rsidR="00A4501D" w:rsidRPr="00A4501D" w:rsidRDefault="00702C9A" w:rsidP="00710E46">
      <w:pPr>
        <w:pStyle w:val="NormalWeb"/>
        <w:spacing w:before="0" w:after="0"/>
        <w:jc w:val="both"/>
        <w:rPr>
          <w:rFonts w:asciiTheme="minorHAnsi" w:hAnsiTheme="minorHAnsi"/>
          <w:color w:val="000000"/>
          <w:u w:val="single"/>
        </w:rPr>
      </w:pPr>
      <w:r w:rsidRPr="00A4501D">
        <w:rPr>
          <w:rFonts w:asciiTheme="minorHAnsi" w:hAnsiTheme="minorHAnsi"/>
          <w:color w:val="000000"/>
          <w:u w:val="single"/>
        </w:rPr>
        <w:t>Team m</w:t>
      </w:r>
      <w:r w:rsidR="00D10DF5" w:rsidRPr="00A4501D">
        <w:rPr>
          <w:rFonts w:asciiTheme="minorHAnsi" w:hAnsiTheme="minorHAnsi"/>
          <w:color w:val="000000"/>
          <w:u w:val="single"/>
        </w:rPr>
        <w:t>embers</w:t>
      </w:r>
    </w:p>
    <w:p w14:paraId="6A65F547" w14:textId="77777777" w:rsidR="00A4501D" w:rsidRDefault="00D10DF5" w:rsidP="00710E46">
      <w:pPr>
        <w:pStyle w:val="NormalWeb"/>
        <w:spacing w:before="0" w:after="0"/>
        <w:ind w:left="360"/>
        <w:jc w:val="both"/>
        <w:rPr>
          <w:rFonts w:asciiTheme="minorHAnsi" w:hAnsiTheme="minorHAnsi"/>
        </w:rPr>
      </w:pPr>
      <w:r w:rsidRPr="00453386">
        <w:rPr>
          <w:rFonts w:asciiTheme="minorHAnsi" w:hAnsiTheme="minorHAnsi"/>
        </w:rPr>
        <w:t>Elizabeth Allen (</w:t>
      </w:r>
      <w:r w:rsidR="00702C9A">
        <w:rPr>
          <w:rFonts w:asciiTheme="minorHAnsi" w:hAnsiTheme="minorHAnsi"/>
        </w:rPr>
        <w:t xml:space="preserve">TDH </w:t>
      </w:r>
      <w:r w:rsidRPr="00453386">
        <w:rPr>
          <w:rFonts w:asciiTheme="minorHAnsi" w:hAnsiTheme="minorHAnsi"/>
        </w:rPr>
        <w:t>Family Health and Wellness</w:t>
      </w:r>
      <w:r w:rsidR="00702C9A">
        <w:rPr>
          <w:rFonts w:asciiTheme="minorHAnsi" w:hAnsiTheme="minorHAnsi"/>
        </w:rPr>
        <w:t>, Chronic Disease</w:t>
      </w:r>
      <w:r w:rsidR="00700BD3">
        <w:rPr>
          <w:rFonts w:asciiTheme="minorHAnsi" w:hAnsiTheme="minorHAnsi"/>
        </w:rPr>
        <w:t xml:space="preserve"> and Health Promotion</w:t>
      </w:r>
      <w:r w:rsidR="00A4501D">
        <w:rPr>
          <w:rFonts w:asciiTheme="minorHAnsi" w:hAnsiTheme="minorHAnsi"/>
        </w:rPr>
        <w:t>)</w:t>
      </w:r>
    </w:p>
    <w:p w14:paraId="6F5D9291" w14:textId="4EA3BD4D" w:rsidR="00A4501D" w:rsidRDefault="00D10DF5" w:rsidP="00710E46">
      <w:pPr>
        <w:pStyle w:val="NormalWeb"/>
        <w:spacing w:before="0" w:after="0"/>
        <w:ind w:left="360" w:right="-360"/>
        <w:jc w:val="both"/>
        <w:rPr>
          <w:rFonts w:asciiTheme="minorHAnsi" w:hAnsiTheme="minorHAnsi"/>
        </w:rPr>
      </w:pPr>
      <w:r w:rsidRPr="00453386">
        <w:rPr>
          <w:rFonts w:asciiTheme="minorHAnsi" w:hAnsiTheme="minorHAnsi"/>
        </w:rPr>
        <w:t>David Borowski (</w:t>
      </w:r>
      <w:r w:rsidR="00702C9A">
        <w:rPr>
          <w:rFonts w:asciiTheme="minorHAnsi" w:hAnsiTheme="minorHAnsi"/>
        </w:rPr>
        <w:t xml:space="preserve">TDH Communicable and Environmental Diseases and Emergency </w:t>
      </w:r>
      <w:r w:rsidR="00710E46">
        <w:rPr>
          <w:rFonts w:asciiTheme="minorHAnsi" w:hAnsiTheme="minorHAnsi"/>
        </w:rPr>
        <w:t>P</w:t>
      </w:r>
      <w:r w:rsidR="00702C9A">
        <w:rPr>
          <w:rFonts w:asciiTheme="minorHAnsi" w:hAnsiTheme="minorHAnsi"/>
        </w:rPr>
        <w:t>reparedness)</w:t>
      </w:r>
    </w:p>
    <w:p w14:paraId="11817F4C" w14:textId="2ACF40C4" w:rsidR="00A4501D" w:rsidRDefault="00D10DF5" w:rsidP="00710E46">
      <w:pPr>
        <w:pStyle w:val="NormalWeb"/>
        <w:spacing w:before="0" w:after="0"/>
        <w:ind w:left="360"/>
        <w:jc w:val="both"/>
        <w:rPr>
          <w:rFonts w:asciiTheme="minorHAnsi" w:hAnsiTheme="minorHAnsi"/>
        </w:rPr>
      </w:pPr>
      <w:r w:rsidRPr="00453386">
        <w:rPr>
          <w:rFonts w:asciiTheme="minorHAnsi" w:hAnsiTheme="minorHAnsi"/>
        </w:rPr>
        <w:t>Rebekah English (</w:t>
      </w:r>
      <w:r w:rsidR="00700BD3">
        <w:rPr>
          <w:rFonts w:asciiTheme="minorHAnsi" w:hAnsiTheme="minorHAnsi"/>
        </w:rPr>
        <w:t xml:space="preserve">TDH </w:t>
      </w:r>
      <w:r w:rsidRPr="00453386">
        <w:rPr>
          <w:rFonts w:asciiTheme="minorHAnsi" w:hAnsiTheme="minorHAnsi"/>
        </w:rPr>
        <w:t>Northeast Region</w:t>
      </w:r>
      <w:r w:rsidR="00702C9A">
        <w:rPr>
          <w:rFonts w:asciiTheme="minorHAnsi" w:hAnsiTheme="minorHAnsi"/>
        </w:rPr>
        <w:t>al Health Department</w:t>
      </w:r>
      <w:r w:rsidR="00A4501D">
        <w:rPr>
          <w:rFonts w:asciiTheme="minorHAnsi" w:hAnsiTheme="minorHAnsi"/>
        </w:rPr>
        <w:t>)</w:t>
      </w:r>
    </w:p>
    <w:p w14:paraId="1B30BF8D" w14:textId="77777777" w:rsidR="00A4501D" w:rsidRDefault="00D10DF5" w:rsidP="00710E46">
      <w:pPr>
        <w:pStyle w:val="NormalWeb"/>
        <w:spacing w:before="0" w:after="0"/>
        <w:ind w:left="360"/>
        <w:jc w:val="both"/>
        <w:rPr>
          <w:rFonts w:asciiTheme="minorHAnsi" w:hAnsiTheme="minorHAnsi"/>
        </w:rPr>
      </w:pPr>
      <w:r w:rsidRPr="00453386">
        <w:rPr>
          <w:rFonts w:asciiTheme="minorHAnsi" w:hAnsiTheme="minorHAnsi"/>
        </w:rPr>
        <w:t>Ben Epperson (Knox County</w:t>
      </w:r>
      <w:r w:rsidR="00700BD3">
        <w:rPr>
          <w:rFonts w:asciiTheme="minorHAnsi" w:hAnsiTheme="minorHAnsi"/>
        </w:rPr>
        <w:t xml:space="preserve"> Health Department, Healthy Kids Healthy Communities</w:t>
      </w:r>
      <w:r w:rsidR="00A4501D">
        <w:rPr>
          <w:rFonts w:asciiTheme="minorHAnsi" w:hAnsiTheme="minorHAnsi"/>
        </w:rPr>
        <w:t>)</w:t>
      </w:r>
    </w:p>
    <w:p w14:paraId="248CC2EB" w14:textId="06C3B9CF" w:rsidR="00A4501D" w:rsidRDefault="00D10DF5" w:rsidP="00710E46">
      <w:pPr>
        <w:pStyle w:val="NormalWeb"/>
        <w:spacing w:before="0" w:after="0"/>
        <w:ind w:left="360"/>
        <w:jc w:val="both"/>
        <w:rPr>
          <w:rFonts w:asciiTheme="minorHAnsi" w:hAnsiTheme="minorHAnsi"/>
        </w:rPr>
      </w:pPr>
      <w:r w:rsidRPr="00453386">
        <w:rPr>
          <w:rFonts w:asciiTheme="minorHAnsi" w:hAnsiTheme="minorHAnsi"/>
        </w:rPr>
        <w:t>Michele Gourley (</w:t>
      </w:r>
      <w:r w:rsidR="00700BD3">
        <w:rPr>
          <w:rFonts w:asciiTheme="minorHAnsi" w:hAnsiTheme="minorHAnsi"/>
        </w:rPr>
        <w:t xml:space="preserve">TDH Office of </w:t>
      </w:r>
      <w:r w:rsidRPr="00453386">
        <w:rPr>
          <w:rFonts w:asciiTheme="minorHAnsi" w:hAnsiTheme="minorHAnsi"/>
        </w:rPr>
        <w:t>Minority Heal</w:t>
      </w:r>
      <w:r w:rsidR="00A4501D">
        <w:rPr>
          <w:rFonts w:asciiTheme="minorHAnsi" w:hAnsiTheme="minorHAnsi"/>
        </w:rPr>
        <w:t>th and Disparities Elimination)</w:t>
      </w:r>
    </w:p>
    <w:p w14:paraId="78C6F42F" w14:textId="4DED33C5" w:rsidR="00A4501D" w:rsidRDefault="00D10DF5" w:rsidP="00710E46">
      <w:pPr>
        <w:pStyle w:val="NormalWeb"/>
        <w:spacing w:before="0" w:after="0"/>
        <w:ind w:left="360"/>
        <w:jc w:val="both"/>
        <w:rPr>
          <w:rFonts w:asciiTheme="minorHAnsi" w:hAnsiTheme="minorHAnsi"/>
        </w:rPr>
      </w:pPr>
      <w:r w:rsidRPr="00453386">
        <w:rPr>
          <w:rFonts w:asciiTheme="minorHAnsi" w:hAnsiTheme="minorHAnsi"/>
        </w:rPr>
        <w:t>Cathy Montgomery (</w:t>
      </w:r>
      <w:r w:rsidR="00700BD3">
        <w:rPr>
          <w:rFonts w:asciiTheme="minorHAnsi" w:hAnsiTheme="minorHAnsi"/>
        </w:rPr>
        <w:t xml:space="preserve">TDH </w:t>
      </w:r>
      <w:r w:rsidRPr="00453386">
        <w:rPr>
          <w:rFonts w:asciiTheme="minorHAnsi" w:hAnsiTheme="minorHAnsi"/>
        </w:rPr>
        <w:t>Williamson County</w:t>
      </w:r>
      <w:r w:rsidR="00700BD3">
        <w:rPr>
          <w:rFonts w:asciiTheme="minorHAnsi" w:hAnsiTheme="minorHAnsi"/>
        </w:rPr>
        <w:t xml:space="preserve"> Health Department</w:t>
      </w:r>
      <w:r w:rsidR="00A4501D">
        <w:rPr>
          <w:rFonts w:asciiTheme="minorHAnsi" w:hAnsiTheme="minorHAnsi"/>
        </w:rPr>
        <w:t>)</w:t>
      </w:r>
    </w:p>
    <w:p w14:paraId="2A3C29B5" w14:textId="356ADDE4" w:rsidR="00A4501D" w:rsidRDefault="00D10DF5" w:rsidP="00710E46">
      <w:pPr>
        <w:pStyle w:val="NormalWeb"/>
        <w:spacing w:before="0" w:after="0"/>
        <w:ind w:left="360"/>
        <w:jc w:val="both"/>
        <w:rPr>
          <w:rFonts w:asciiTheme="minorHAnsi" w:hAnsiTheme="minorHAnsi"/>
        </w:rPr>
      </w:pPr>
      <w:r w:rsidRPr="00453386">
        <w:rPr>
          <w:rFonts w:asciiTheme="minorHAnsi" w:hAnsiTheme="minorHAnsi"/>
        </w:rPr>
        <w:t>John Vick (Davidson County</w:t>
      </w:r>
      <w:r w:rsidR="00710E46">
        <w:rPr>
          <w:rFonts w:asciiTheme="minorHAnsi" w:hAnsiTheme="minorHAnsi"/>
        </w:rPr>
        <w:t xml:space="preserve"> Metropolitan Health Department</w:t>
      </w:r>
      <w:r w:rsidRPr="00453386">
        <w:rPr>
          <w:rFonts w:asciiTheme="minorHAnsi" w:hAnsiTheme="minorHAnsi"/>
        </w:rPr>
        <w:t>)</w:t>
      </w:r>
    </w:p>
    <w:p w14:paraId="5FCF4845" w14:textId="77777777" w:rsidR="00710E46" w:rsidRDefault="00710E46" w:rsidP="00710E46">
      <w:pPr>
        <w:pStyle w:val="NormalWeb"/>
        <w:spacing w:before="0" w:after="0"/>
        <w:ind w:left="360"/>
        <w:jc w:val="both"/>
        <w:rPr>
          <w:rFonts w:asciiTheme="minorHAnsi" w:hAnsiTheme="minorHAnsi"/>
        </w:rPr>
      </w:pPr>
    </w:p>
    <w:p w14:paraId="68B760C6" w14:textId="6118DC7E" w:rsidR="00317944" w:rsidRPr="00453386" w:rsidRDefault="00D10DF5" w:rsidP="00710E46">
      <w:pPr>
        <w:pStyle w:val="NormalWeb"/>
        <w:spacing w:before="0" w:after="0"/>
        <w:ind w:left="360"/>
        <w:jc w:val="both"/>
        <w:rPr>
          <w:rFonts w:asciiTheme="minorHAnsi" w:hAnsiTheme="minorHAnsi"/>
        </w:rPr>
      </w:pPr>
      <w:r w:rsidRPr="00453386">
        <w:rPr>
          <w:rFonts w:asciiTheme="minorHAnsi" w:hAnsiTheme="minorHAnsi"/>
        </w:rPr>
        <w:t>Liesa Jenkins (TDH</w:t>
      </w:r>
      <w:r w:rsidR="00700BD3">
        <w:rPr>
          <w:rFonts w:asciiTheme="minorHAnsi" w:hAnsiTheme="minorHAnsi"/>
        </w:rPr>
        <w:t xml:space="preserve"> Office of Grants Coordination and Strategic Alignment</w:t>
      </w:r>
      <w:r w:rsidRPr="00453386">
        <w:rPr>
          <w:rFonts w:asciiTheme="minorHAnsi" w:hAnsiTheme="minorHAnsi"/>
        </w:rPr>
        <w:t xml:space="preserve">) </w:t>
      </w:r>
      <w:r w:rsidR="004D47B5">
        <w:rPr>
          <w:rFonts w:asciiTheme="minorHAnsi" w:hAnsiTheme="minorHAnsi"/>
        </w:rPr>
        <w:t>serv</w:t>
      </w:r>
      <w:r w:rsidR="00700BD3">
        <w:rPr>
          <w:rFonts w:asciiTheme="minorHAnsi" w:hAnsiTheme="minorHAnsi"/>
        </w:rPr>
        <w:t>ed</w:t>
      </w:r>
      <w:r w:rsidR="004D47B5">
        <w:rPr>
          <w:rFonts w:asciiTheme="minorHAnsi" w:hAnsiTheme="minorHAnsi"/>
        </w:rPr>
        <w:t xml:space="preserve"> as Senior Leader</w:t>
      </w:r>
      <w:r w:rsidR="00700BD3">
        <w:rPr>
          <w:rFonts w:asciiTheme="minorHAnsi" w:hAnsiTheme="minorHAnsi"/>
        </w:rPr>
        <w:t xml:space="preserve"> and facilitator for the team</w:t>
      </w:r>
      <w:r w:rsidR="004D47B5">
        <w:rPr>
          <w:rFonts w:asciiTheme="minorHAnsi" w:hAnsiTheme="minorHAnsi"/>
        </w:rPr>
        <w:t>.</w:t>
      </w:r>
      <w:r w:rsidRPr="00453386">
        <w:rPr>
          <w:rFonts w:asciiTheme="minorHAnsi" w:hAnsiTheme="minorHAnsi"/>
        </w:rPr>
        <w:t xml:space="preserve"> </w:t>
      </w:r>
    </w:p>
    <w:p w14:paraId="5E0881DE" w14:textId="77777777" w:rsidR="00317944" w:rsidRPr="00453386" w:rsidRDefault="00317944" w:rsidP="00710E46">
      <w:pPr>
        <w:pStyle w:val="NormalWeb"/>
        <w:spacing w:before="0" w:after="0"/>
        <w:ind w:left="360"/>
        <w:jc w:val="both"/>
        <w:rPr>
          <w:rFonts w:asciiTheme="minorHAnsi" w:hAnsiTheme="minorHAnsi"/>
        </w:rPr>
      </w:pPr>
    </w:p>
    <w:p w14:paraId="076AF7BF" w14:textId="45574014" w:rsidR="00D10DF5" w:rsidRPr="00453386" w:rsidRDefault="0061132F" w:rsidP="00710E46">
      <w:pPr>
        <w:pStyle w:val="NormalWeb"/>
        <w:spacing w:before="0" w:after="0"/>
        <w:jc w:val="both"/>
        <w:rPr>
          <w:rFonts w:asciiTheme="minorHAnsi" w:hAnsiTheme="minorHAnsi"/>
          <w:color w:val="000000"/>
        </w:rPr>
      </w:pPr>
      <w:r>
        <w:rPr>
          <w:rFonts w:asciiTheme="minorHAnsi" w:hAnsiTheme="minorHAnsi"/>
        </w:rPr>
        <w:t>During the course of their work, the team produced this</w:t>
      </w:r>
      <w:r w:rsidR="004D47B5">
        <w:rPr>
          <w:rFonts w:asciiTheme="minorHAnsi" w:hAnsiTheme="minorHAnsi"/>
        </w:rPr>
        <w:t xml:space="preserve"> report</w:t>
      </w:r>
      <w:r>
        <w:rPr>
          <w:rFonts w:asciiTheme="minorHAnsi" w:hAnsiTheme="minorHAnsi"/>
        </w:rPr>
        <w:t>,</w:t>
      </w:r>
      <w:r w:rsidR="004D47B5">
        <w:rPr>
          <w:rFonts w:asciiTheme="minorHAnsi" w:hAnsiTheme="minorHAnsi"/>
        </w:rPr>
        <w:t xml:space="preserve"> based on </w:t>
      </w:r>
      <w:r>
        <w:rPr>
          <w:rFonts w:asciiTheme="minorHAnsi" w:hAnsiTheme="minorHAnsi"/>
          <w:color w:val="000000"/>
        </w:rPr>
        <w:t xml:space="preserve">their review of existing resources and their </w:t>
      </w:r>
      <w:r w:rsidR="00700BD3">
        <w:rPr>
          <w:rFonts w:asciiTheme="minorHAnsi" w:hAnsiTheme="minorHAnsi"/>
          <w:color w:val="000000"/>
        </w:rPr>
        <w:t xml:space="preserve">visits to identify and inventory </w:t>
      </w:r>
      <w:r w:rsidR="00AF31F0" w:rsidRPr="00453386">
        <w:rPr>
          <w:rFonts w:asciiTheme="minorHAnsi" w:hAnsiTheme="minorHAnsi"/>
          <w:color w:val="000000"/>
        </w:rPr>
        <w:t>community Bright Spots</w:t>
      </w:r>
      <w:r w:rsidR="00A4501D">
        <w:rPr>
          <w:rFonts w:asciiTheme="minorHAnsi" w:hAnsiTheme="minorHAnsi"/>
          <w:color w:val="000000"/>
        </w:rPr>
        <w:t xml:space="preserve"> (</w:t>
      </w:r>
      <w:r w:rsidR="00A4501D" w:rsidRPr="00710E46">
        <w:rPr>
          <w:rFonts w:asciiTheme="minorHAnsi" w:hAnsiTheme="minorHAnsi"/>
          <w:i/>
          <w:color w:val="000000"/>
        </w:rPr>
        <w:t>Attachment 3 in Appendix</w:t>
      </w:r>
      <w:r w:rsidR="00A4501D">
        <w:rPr>
          <w:rFonts w:asciiTheme="minorHAnsi" w:hAnsiTheme="minorHAnsi"/>
          <w:color w:val="000000"/>
        </w:rPr>
        <w:t>)</w:t>
      </w:r>
      <w:r>
        <w:rPr>
          <w:rFonts w:asciiTheme="minorHAnsi" w:hAnsiTheme="minorHAnsi"/>
          <w:color w:val="000000"/>
        </w:rPr>
        <w:t>.  This report includes the team’s</w:t>
      </w:r>
      <w:r w:rsidR="00A4501D">
        <w:rPr>
          <w:rFonts w:asciiTheme="minorHAnsi" w:hAnsiTheme="minorHAnsi"/>
          <w:color w:val="000000"/>
        </w:rPr>
        <w:t xml:space="preserve"> </w:t>
      </w:r>
      <w:r w:rsidR="004D47B5">
        <w:rPr>
          <w:rFonts w:asciiTheme="minorHAnsi" w:hAnsiTheme="minorHAnsi"/>
          <w:color w:val="000000"/>
        </w:rPr>
        <w:t xml:space="preserve">recommendations </w:t>
      </w:r>
      <w:r w:rsidR="00700BD3">
        <w:rPr>
          <w:rFonts w:asciiTheme="minorHAnsi" w:hAnsiTheme="minorHAnsi"/>
          <w:color w:val="000000"/>
        </w:rPr>
        <w:t>regarding</w:t>
      </w:r>
      <w:r w:rsidR="00AF31F0" w:rsidRPr="00453386">
        <w:rPr>
          <w:rFonts w:asciiTheme="minorHAnsi" w:hAnsiTheme="minorHAnsi"/>
          <w:color w:val="000000"/>
        </w:rPr>
        <w:t xml:space="preserve"> potential </w:t>
      </w:r>
      <w:r w:rsidR="00700BD3">
        <w:rPr>
          <w:rFonts w:asciiTheme="minorHAnsi" w:hAnsiTheme="minorHAnsi"/>
          <w:color w:val="000000"/>
        </w:rPr>
        <w:t xml:space="preserve">strategies and </w:t>
      </w:r>
      <w:r w:rsidR="00AF31F0" w:rsidRPr="00453386">
        <w:rPr>
          <w:rFonts w:asciiTheme="minorHAnsi" w:hAnsiTheme="minorHAnsi"/>
          <w:color w:val="000000"/>
        </w:rPr>
        <w:t>roles for TDH and county health departments</w:t>
      </w:r>
      <w:r w:rsidR="004D47B5">
        <w:rPr>
          <w:rFonts w:asciiTheme="minorHAnsi" w:hAnsiTheme="minorHAnsi"/>
          <w:color w:val="000000"/>
        </w:rPr>
        <w:t>,</w:t>
      </w:r>
      <w:r w:rsidR="00AF31F0" w:rsidRPr="00453386">
        <w:rPr>
          <w:rFonts w:asciiTheme="minorHAnsi" w:hAnsiTheme="minorHAnsi"/>
          <w:color w:val="000000"/>
        </w:rPr>
        <w:t xml:space="preserve"> </w:t>
      </w:r>
      <w:r>
        <w:rPr>
          <w:rFonts w:asciiTheme="minorHAnsi" w:hAnsiTheme="minorHAnsi"/>
          <w:color w:val="000000"/>
        </w:rPr>
        <w:t xml:space="preserve">as well as </w:t>
      </w:r>
      <w:r w:rsidR="00AF31F0" w:rsidRPr="00453386">
        <w:rPr>
          <w:rFonts w:asciiTheme="minorHAnsi" w:hAnsiTheme="minorHAnsi"/>
          <w:color w:val="000000"/>
        </w:rPr>
        <w:t xml:space="preserve">recommendations for </w:t>
      </w:r>
      <w:r>
        <w:rPr>
          <w:rFonts w:asciiTheme="minorHAnsi" w:hAnsiTheme="minorHAnsi"/>
          <w:color w:val="000000"/>
        </w:rPr>
        <w:t xml:space="preserve">a potential </w:t>
      </w:r>
      <w:r w:rsidR="00AF31F0" w:rsidRPr="00453386">
        <w:rPr>
          <w:rFonts w:asciiTheme="minorHAnsi" w:hAnsiTheme="minorHAnsi"/>
          <w:color w:val="000000"/>
        </w:rPr>
        <w:lastRenderedPageBreak/>
        <w:t>proces</w:t>
      </w:r>
      <w:r w:rsidR="00A4501D">
        <w:rPr>
          <w:rFonts w:asciiTheme="minorHAnsi" w:hAnsiTheme="minorHAnsi"/>
          <w:color w:val="000000"/>
        </w:rPr>
        <w:t>s</w:t>
      </w:r>
      <w:r w:rsidR="00AF31F0" w:rsidRPr="00453386">
        <w:rPr>
          <w:rFonts w:asciiTheme="minorHAnsi" w:hAnsiTheme="minorHAnsi"/>
          <w:color w:val="000000"/>
        </w:rPr>
        <w:t xml:space="preserve"> </w:t>
      </w:r>
      <w:r w:rsidR="000512A4">
        <w:rPr>
          <w:rFonts w:asciiTheme="minorHAnsi" w:hAnsiTheme="minorHAnsi"/>
          <w:color w:val="000000"/>
        </w:rPr>
        <w:t xml:space="preserve">and criteria </w:t>
      </w:r>
      <w:r>
        <w:rPr>
          <w:rFonts w:asciiTheme="minorHAnsi" w:hAnsiTheme="minorHAnsi"/>
          <w:color w:val="000000"/>
        </w:rPr>
        <w:t>to consider should funding be allocated to support activities</w:t>
      </w:r>
      <w:r w:rsidR="000512A4">
        <w:rPr>
          <w:rFonts w:asciiTheme="minorHAnsi" w:hAnsiTheme="minorHAnsi"/>
          <w:color w:val="000000"/>
        </w:rPr>
        <w:t xml:space="preserve"> </w:t>
      </w:r>
      <w:r>
        <w:rPr>
          <w:rFonts w:asciiTheme="minorHAnsi" w:hAnsiTheme="minorHAnsi"/>
          <w:color w:val="000000"/>
        </w:rPr>
        <w:t xml:space="preserve">that increase access to </w:t>
      </w:r>
      <w:r w:rsidR="000512A4">
        <w:rPr>
          <w:rFonts w:asciiTheme="minorHAnsi" w:hAnsiTheme="minorHAnsi"/>
          <w:color w:val="000000"/>
        </w:rPr>
        <w:t>health</w:t>
      </w:r>
      <w:r>
        <w:rPr>
          <w:rFonts w:asciiTheme="minorHAnsi" w:hAnsiTheme="minorHAnsi"/>
          <w:color w:val="000000"/>
        </w:rPr>
        <w:t xml:space="preserve"> through built environment projects</w:t>
      </w:r>
      <w:r w:rsidR="00A4501D">
        <w:rPr>
          <w:rFonts w:asciiTheme="minorHAnsi" w:hAnsiTheme="minorHAnsi"/>
          <w:color w:val="000000"/>
        </w:rPr>
        <w:t xml:space="preserve"> (</w:t>
      </w:r>
      <w:r w:rsidR="00A4501D" w:rsidRPr="00710E46">
        <w:rPr>
          <w:rFonts w:asciiTheme="minorHAnsi" w:hAnsiTheme="minorHAnsi"/>
          <w:i/>
          <w:color w:val="000000"/>
        </w:rPr>
        <w:t>Attachment 4 in Appendix</w:t>
      </w:r>
      <w:r w:rsidR="00A4501D">
        <w:rPr>
          <w:rFonts w:asciiTheme="minorHAnsi" w:hAnsiTheme="minorHAnsi"/>
          <w:color w:val="000000"/>
        </w:rPr>
        <w:t>)</w:t>
      </w:r>
      <w:r w:rsidR="000512A4">
        <w:rPr>
          <w:rFonts w:asciiTheme="minorHAnsi" w:hAnsiTheme="minorHAnsi"/>
          <w:color w:val="000000"/>
        </w:rPr>
        <w:t xml:space="preserve">. </w:t>
      </w:r>
      <w:r w:rsidR="00AF31F0" w:rsidRPr="00453386">
        <w:rPr>
          <w:rFonts w:asciiTheme="minorHAnsi" w:hAnsiTheme="minorHAnsi"/>
          <w:color w:val="000000"/>
        </w:rPr>
        <w:t xml:space="preserve"> </w:t>
      </w:r>
    </w:p>
    <w:p w14:paraId="2DAF028D" w14:textId="77777777" w:rsidR="00317944" w:rsidRPr="00453386" w:rsidRDefault="00317944">
      <w:pPr>
        <w:rPr>
          <w:rFonts w:cs="Times New Roman"/>
          <w:sz w:val="24"/>
          <w:szCs w:val="24"/>
        </w:rPr>
      </w:pPr>
    </w:p>
    <w:p w14:paraId="2E019C7D" w14:textId="7F3F7D1F" w:rsidR="00644FF9" w:rsidRPr="00453386" w:rsidRDefault="00317944" w:rsidP="00710E46">
      <w:pPr>
        <w:jc w:val="both"/>
        <w:rPr>
          <w:bCs/>
          <w:color w:val="000000"/>
          <w:sz w:val="24"/>
          <w:szCs w:val="24"/>
        </w:rPr>
      </w:pPr>
      <w:r w:rsidRPr="00453386">
        <w:rPr>
          <w:bCs/>
          <w:color w:val="000000"/>
          <w:sz w:val="24"/>
          <w:szCs w:val="24"/>
        </w:rPr>
        <w:t xml:space="preserve">The team began as most do, discussing success stories, lessons learned and other considerations. Discussions ranged from small landscape features to large area plans and developments. </w:t>
      </w:r>
      <w:r w:rsidR="00453386" w:rsidRPr="00453386">
        <w:rPr>
          <w:bCs/>
          <w:color w:val="000000"/>
          <w:sz w:val="24"/>
          <w:szCs w:val="24"/>
        </w:rPr>
        <w:t xml:space="preserve">Many resources were shared, reviewed and discussed. As a strategy for learning about current and potential “built environment” initiatives across the state, the team </w:t>
      </w:r>
      <w:r w:rsidR="00AE5FE8">
        <w:rPr>
          <w:bCs/>
          <w:color w:val="000000"/>
          <w:sz w:val="24"/>
          <w:szCs w:val="24"/>
        </w:rPr>
        <w:t>agreed to conduct</w:t>
      </w:r>
      <w:r w:rsidR="00453386" w:rsidRPr="00453386">
        <w:rPr>
          <w:bCs/>
          <w:color w:val="000000"/>
          <w:sz w:val="24"/>
          <w:szCs w:val="24"/>
        </w:rPr>
        <w:t xml:space="preserve"> site visits to various communities, in order to view both positive examples and lessons learned, and to identify challenges and opportunities that could be addressed. </w:t>
      </w:r>
      <w:r w:rsidR="00C33417" w:rsidRPr="00453386">
        <w:rPr>
          <w:bCs/>
          <w:color w:val="000000"/>
          <w:sz w:val="24"/>
          <w:szCs w:val="24"/>
        </w:rPr>
        <w:t xml:space="preserve"> </w:t>
      </w:r>
      <w:r w:rsidR="00453386" w:rsidRPr="00453386">
        <w:rPr>
          <w:bCs/>
          <w:color w:val="000000"/>
          <w:sz w:val="24"/>
          <w:szCs w:val="24"/>
        </w:rPr>
        <w:t>Each team member select</w:t>
      </w:r>
      <w:r w:rsidR="00AE5FE8">
        <w:rPr>
          <w:bCs/>
          <w:color w:val="000000"/>
          <w:sz w:val="24"/>
          <w:szCs w:val="24"/>
        </w:rPr>
        <w:t>ed</w:t>
      </w:r>
      <w:r w:rsidR="00453386" w:rsidRPr="00453386">
        <w:rPr>
          <w:bCs/>
          <w:color w:val="000000"/>
          <w:sz w:val="24"/>
          <w:szCs w:val="24"/>
        </w:rPr>
        <w:t xml:space="preserve"> </w:t>
      </w:r>
      <w:r w:rsidR="00AE5FE8">
        <w:rPr>
          <w:bCs/>
          <w:color w:val="000000"/>
          <w:sz w:val="24"/>
          <w:szCs w:val="24"/>
        </w:rPr>
        <w:t xml:space="preserve">a location </w:t>
      </w:r>
      <w:r w:rsidR="00453386" w:rsidRPr="00453386">
        <w:rPr>
          <w:bCs/>
          <w:color w:val="000000"/>
          <w:sz w:val="24"/>
          <w:szCs w:val="24"/>
        </w:rPr>
        <w:t>and schedule</w:t>
      </w:r>
      <w:r w:rsidR="00AE5FE8">
        <w:rPr>
          <w:bCs/>
          <w:color w:val="000000"/>
          <w:sz w:val="24"/>
          <w:szCs w:val="24"/>
        </w:rPr>
        <w:t>d</w:t>
      </w:r>
      <w:r w:rsidR="00453386" w:rsidRPr="00453386">
        <w:rPr>
          <w:bCs/>
          <w:color w:val="000000"/>
          <w:sz w:val="24"/>
          <w:szCs w:val="24"/>
        </w:rPr>
        <w:t xml:space="preserve"> a site visit </w:t>
      </w:r>
      <w:r w:rsidR="00AE5FE8">
        <w:rPr>
          <w:bCs/>
          <w:color w:val="000000"/>
          <w:sz w:val="24"/>
          <w:szCs w:val="24"/>
        </w:rPr>
        <w:t xml:space="preserve">for team members to meet with local leaders and </w:t>
      </w:r>
      <w:r w:rsidR="00453386" w:rsidRPr="00453386">
        <w:rPr>
          <w:bCs/>
          <w:color w:val="000000"/>
          <w:sz w:val="24"/>
          <w:szCs w:val="24"/>
        </w:rPr>
        <w:t xml:space="preserve">to learn more about </w:t>
      </w:r>
      <w:r w:rsidR="00AE5FE8">
        <w:rPr>
          <w:bCs/>
          <w:color w:val="000000"/>
          <w:sz w:val="24"/>
          <w:szCs w:val="24"/>
        </w:rPr>
        <w:t>current and planned</w:t>
      </w:r>
      <w:r w:rsidR="00AE5FE8" w:rsidRPr="00453386">
        <w:rPr>
          <w:bCs/>
          <w:color w:val="000000"/>
          <w:sz w:val="24"/>
          <w:szCs w:val="24"/>
        </w:rPr>
        <w:t xml:space="preserve"> </w:t>
      </w:r>
      <w:r w:rsidR="00453386" w:rsidRPr="00453386">
        <w:rPr>
          <w:bCs/>
          <w:color w:val="000000"/>
          <w:sz w:val="24"/>
          <w:szCs w:val="24"/>
        </w:rPr>
        <w:t xml:space="preserve">built environment projects and programs. </w:t>
      </w:r>
      <w:r w:rsidR="004851C7">
        <w:rPr>
          <w:bCs/>
          <w:color w:val="000000"/>
          <w:sz w:val="24"/>
          <w:szCs w:val="24"/>
        </w:rPr>
        <w:t xml:space="preserve">An initial “checklist” with built </w:t>
      </w:r>
      <w:r w:rsidR="001A314F">
        <w:rPr>
          <w:bCs/>
          <w:color w:val="000000"/>
          <w:sz w:val="24"/>
          <w:szCs w:val="24"/>
        </w:rPr>
        <w:t>environment</w:t>
      </w:r>
      <w:r w:rsidR="001A314F" w:rsidRPr="00453386">
        <w:rPr>
          <w:bCs/>
          <w:color w:val="000000"/>
          <w:sz w:val="24"/>
          <w:szCs w:val="24"/>
        </w:rPr>
        <w:t xml:space="preserve"> indicators</w:t>
      </w:r>
      <w:r w:rsidR="00453386" w:rsidRPr="00453386">
        <w:rPr>
          <w:bCs/>
          <w:color w:val="000000"/>
          <w:sz w:val="24"/>
          <w:szCs w:val="24"/>
        </w:rPr>
        <w:t xml:space="preserve"> </w:t>
      </w:r>
      <w:r w:rsidR="004851C7">
        <w:rPr>
          <w:bCs/>
          <w:color w:val="000000"/>
          <w:sz w:val="24"/>
          <w:szCs w:val="24"/>
        </w:rPr>
        <w:t>was used to guide discussions and assessment during</w:t>
      </w:r>
      <w:r w:rsidR="00AE5FE8">
        <w:rPr>
          <w:bCs/>
          <w:color w:val="000000"/>
          <w:sz w:val="24"/>
          <w:szCs w:val="24"/>
        </w:rPr>
        <w:t xml:space="preserve"> </w:t>
      </w:r>
      <w:r w:rsidR="00453386" w:rsidRPr="00453386">
        <w:rPr>
          <w:bCs/>
          <w:color w:val="000000"/>
          <w:sz w:val="24"/>
          <w:szCs w:val="24"/>
        </w:rPr>
        <w:t>each site visit</w:t>
      </w:r>
      <w:r w:rsidR="004851C7">
        <w:rPr>
          <w:bCs/>
          <w:color w:val="000000"/>
          <w:sz w:val="24"/>
          <w:szCs w:val="24"/>
        </w:rPr>
        <w:t xml:space="preserve"> (</w:t>
      </w:r>
      <w:r w:rsidR="004851C7" w:rsidRPr="00710E46">
        <w:rPr>
          <w:bCs/>
          <w:i/>
          <w:color w:val="000000"/>
          <w:sz w:val="24"/>
          <w:szCs w:val="24"/>
        </w:rPr>
        <w:t xml:space="preserve">Attachment </w:t>
      </w:r>
      <w:r w:rsidR="00A937A4">
        <w:rPr>
          <w:bCs/>
          <w:i/>
          <w:color w:val="000000"/>
          <w:sz w:val="24"/>
          <w:szCs w:val="24"/>
        </w:rPr>
        <w:t>3</w:t>
      </w:r>
      <w:r w:rsidR="004851C7" w:rsidRPr="00710E46">
        <w:rPr>
          <w:bCs/>
          <w:i/>
          <w:color w:val="000000"/>
          <w:sz w:val="24"/>
          <w:szCs w:val="24"/>
        </w:rPr>
        <w:t xml:space="preserve"> in Appendix</w:t>
      </w:r>
      <w:r w:rsidR="004851C7">
        <w:rPr>
          <w:bCs/>
          <w:color w:val="000000"/>
          <w:sz w:val="24"/>
          <w:szCs w:val="24"/>
        </w:rPr>
        <w:t>)</w:t>
      </w:r>
      <w:r w:rsidR="00AE5FE8">
        <w:rPr>
          <w:bCs/>
          <w:color w:val="000000"/>
          <w:sz w:val="24"/>
          <w:szCs w:val="24"/>
        </w:rPr>
        <w:t>.</w:t>
      </w:r>
    </w:p>
    <w:p w14:paraId="0EDD22E8" w14:textId="77777777" w:rsidR="00262D79" w:rsidRDefault="00262D79">
      <w:pPr>
        <w:rPr>
          <w:sz w:val="24"/>
          <w:szCs w:val="24"/>
          <w:u w:val="single"/>
        </w:rPr>
      </w:pPr>
    </w:p>
    <w:p w14:paraId="4461C957" w14:textId="2FC044D4" w:rsidR="00710E46" w:rsidRPr="00D0586C" w:rsidRDefault="00294525" w:rsidP="00710E46">
      <w:pPr>
        <w:rPr>
          <w:b/>
          <w:color w:val="1F497D" w:themeColor="text2"/>
          <w:sz w:val="28"/>
          <w:szCs w:val="28"/>
          <w:u w:val="single"/>
        </w:rPr>
      </w:pPr>
      <w:r>
        <w:rPr>
          <w:b/>
          <w:color w:val="1F497D" w:themeColor="text2"/>
          <w:sz w:val="28"/>
          <w:szCs w:val="28"/>
          <w:u w:val="single"/>
        </w:rPr>
        <w:t xml:space="preserve">II.   </w:t>
      </w:r>
      <w:r w:rsidR="00710E46">
        <w:rPr>
          <w:b/>
          <w:color w:val="1F497D" w:themeColor="text2"/>
          <w:sz w:val="28"/>
          <w:szCs w:val="28"/>
          <w:u w:val="single"/>
        </w:rPr>
        <w:t>Considerations and Process</w:t>
      </w:r>
    </w:p>
    <w:p w14:paraId="0B7E9FBC" w14:textId="73B7978F" w:rsidR="00352EE3" w:rsidRDefault="00710E46">
      <w:pPr>
        <w:rPr>
          <w:sz w:val="24"/>
          <w:szCs w:val="24"/>
        </w:rPr>
      </w:pPr>
      <w:r>
        <w:rPr>
          <w:sz w:val="24"/>
          <w:szCs w:val="24"/>
        </w:rPr>
        <w:t>The concept of “</w:t>
      </w:r>
      <w:r w:rsidR="00625949">
        <w:rPr>
          <w:sz w:val="24"/>
          <w:szCs w:val="24"/>
        </w:rPr>
        <w:t>Built Environment</w:t>
      </w:r>
      <w:r>
        <w:rPr>
          <w:sz w:val="24"/>
          <w:szCs w:val="24"/>
        </w:rPr>
        <w:t>”</w:t>
      </w:r>
      <w:r w:rsidR="00625949">
        <w:rPr>
          <w:sz w:val="24"/>
          <w:szCs w:val="24"/>
        </w:rPr>
        <w:t xml:space="preserve"> </w:t>
      </w:r>
      <w:r w:rsidR="00CA4E8F">
        <w:rPr>
          <w:sz w:val="24"/>
          <w:szCs w:val="24"/>
        </w:rPr>
        <w:t>is multi-faceted and complex</w:t>
      </w:r>
      <w:r w:rsidR="00233759">
        <w:rPr>
          <w:sz w:val="24"/>
          <w:szCs w:val="24"/>
        </w:rPr>
        <w:t xml:space="preserve">, and can </w:t>
      </w:r>
      <w:r w:rsidR="00CA4E8F">
        <w:rPr>
          <w:sz w:val="24"/>
          <w:szCs w:val="24"/>
        </w:rPr>
        <w:t xml:space="preserve">include everything from transportation infrastructure and public space to the interior spaces of workplaces and homes, each of which </w:t>
      </w:r>
      <w:r w:rsidR="00233759">
        <w:rPr>
          <w:sz w:val="24"/>
          <w:szCs w:val="24"/>
        </w:rPr>
        <w:t>vary depending on the scale of the “community” being considered (i.e., block, neighborhood, city, county, region, etc.)</w:t>
      </w:r>
      <w:r w:rsidR="00CD638C">
        <w:rPr>
          <w:sz w:val="24"/>
          <w:szCs w:val="24"/>
        </w:rPr>
        <w:t xml:space="preserve">. </w:t>
      </w:r>
      <w:r w:rsidR="00CA4E8F">
        <w:rPr>
          <w:sz w:val="24"/>
          <w:szCs w:val="24"/>
        </w:rPr>
        <w:t xml:space="preserve">Thus, team members needed to </w:t>
      </w:r>
      <w:r w:rsidR="00CA4E8F" w:rsidRPr="00710E46">
        <w:rPr>
          <w:b/>
          <w:i/>
          <w:color w:val="1F497D" w:themeColor="text2"/>
          <w:sz w:val="24"/>
          <w:szCs w:val="24"/>
        </w:rPr>
        <w:t>define the scope</w:t>
      </w:r>
      <w:r w:rsidR="00CA4E8F" w:rsidRPr="00710E46">
        <w:rPr>
          <w:color w:val="1F497D" w:themeColor="text2"/>
          <w:sz w:val="24"/>
          <w:szCs w:val="24"/>
        </w:rPr>
        <w:t xml:space="preserve"> </w:t>
      </w:r>
      <w:r w:rsidR="00CA4E8F">
        <w:rPr>
          <w:sz w:val="24"/>
          <w:szCs w:val="24"/>
        </w:rPr>
        <w:t xml:space="preserve">of our work, beginning with determining which aspects of the built environment we would consider.  while </w:t>
      </w:r>
      <w:r w:rsidR="00233759">
        <w:rPr>
          <w:sz w:val="24"/>
          <w:szCs w:val="24"/>
        </w:rPr>
        <w:t>a</w:t>
      </w:r>
      <w:r w:rsidR="00CD638C">
        <w:rPr>
          <w:sz w:val="24"/>
          <w:szCs w:val="24"/>
        </w:rPr>
        <w:t>ir quality, access to farmers markets, , vehicle and pedestrian crashes, blighted properties, miles of bikeways and sidewalks</w:t>
      </w:r>
      <w:r w:rsidR="00C66AEE">
        <w:rPr>
          <w:sz w:val="24"/>
          <w:szCs w:val="24"/>
        </w:rPr>
        <w:t>, income, and access to care</w:t>
      </w:r>
      <w:r w:rsidR="00CD638C">
        <w:rPr>
          <w:sz w:val="24"/>
          <w:szCs w:val="24"/>
        </w:rPr>
        <w:t xml:space="preserve"> were </w:t>
      </w:r>
      <w:r w:rsidR="002243C0">
        <w:rPr>
          <w:sz w:val="24"/>
          <w:szCs w:val="24"/>
        </w:rPr>
        <w:t xml:space="preserve">all discussed as possible </w:t>
      </w:r>
      <w:r w:rsidR="00233759">
        <w:rPr>
          <w:sz w:val="24"/>
          <w:szCs w:val="24"/>
        </w:rPr>
        <w:t>indicators to consider</w:t>
      </w:r>
      <w:r w:rsidR="00CA4E8F">
        <w:rPr>
          <w:sz w:val="24"/>
          <w:szCs w:val="24"/>
        </w:rPr>
        <w:t>, we decided to focus on the public realm, including public open spaces, streets and public buildings</w:t>
      </w:r>
      <w:r w:rsidR="002243C0">
        <w:rPr>
          <w:sz w:val="24"/>
          <w:szCs w:val="24"/>
        </w:rPr>
        <w:t>.</w:t>
      </w:r>
    </w:p>
    <w:p w14:paraId="13C29B82" w14:textId="2976CE86" w:rsidR="00644FF9" w:rsidRPr="00453386" w:rsidRDefault="00CA4E8F">
      <w:pPr>
        <w:rPr>
          <w:sz w:val="24"/>
          <w:szCs w:val="24"/>
        </w:rPr>
      </w:pPr>
      <w:r>
        <w:rPr>
          <w:sz w:val="24"/>
          <w:szCs w:val="24"/>
        </w:rPr>
        <w:t>The built environment serves many users and purposes, but is ultimately about people and their interactions with each other and with their physical (including both built and natural) environment. H</w:t>
      </w:r>
      <w:r w:rsidR="00DC13E8">
        <w:rPr>
          <w:sz w:val="24"/>
          <w:szCs w:val="24"/>
        </w:rPr>
        <w:t>ealth begins where we live, learn, work and play</w:t>
      </w:r>
      <w:r w:rsidR="00C66AEE">
        <w:rPr>
          <w:sz w:val="24"/>
          <w:szCs w:val="24"/>
        </w:rPr>
        <w:t>--</w:t>
      </w:r>
      <w:r w:rsidR="00DC13E8">
        <w:rPr>
          <w:sz w:val="24"/>
          <w:szCs w:val="24"/>
        </w:rPr>
        <w:t>in our families, neighborhood</w:t>
      </w:r>
      <w:r w:rsidR="00233759">
        <w:rPr>
          <w:sz w:val="24"/>
          <w:szCs w:val="24"/>
        </w:rPr>
        <w:t>s</w:t>
      </w:r>
      <w:r w:rsidR="00DC13E8">
        <w:rPr>
          <w:sz w:val="24"/>
          <w:szCs w:val="24"/>
        </w:rPr>
        <w:t>, schools and jobs. The</w:t>
      </w:r>
      <w:r w:rsidR="00352EE3">
        <w:rPr>
          <w:sz w:val="24"/>
          <w:szCs w:val="24"/>
        </w:rPr>
        <w:t xml:space="preserve"> </w:t>
      </w:r>
      <w:r>
        <w:rPr>
          <w:sz w:val="24"/>
          <w:szCs w:val="24"/>
        </w:rPr>
        <w:t xml:space="preserve">built environment impacts the </w:t>
      </w:r>
      <w:r w:rsidR="00352EE3">
        <w:rPr>
          <w:sz w:val="24"/>
          <w:szCs w:val="24"/>
        </w:rPr>
        <w:t xml:space="preserve">social life of </w:t>
      </w:r>
      <w:r>
        <w:rPr>
          <w:sz w:val="24"/>
          <w:szCs w:val="24"/>
        </w:rPr>
        <w:t>communities, including</w:t>
      </w:r>
      <w:r w:rsidR="00DC13E8">
        <w:rPr>
          <w:sz w:val="24"/>
          <w:szCs w:val="24"/>
        </w:rPr>
        <w:t xml:space="preserve"> social capit</w:t>
      </w:r>
      <w:r w:rsidR="00C66AEE">
        <w:rPr>
          <w:sz w:val="24"/>
          <w:szCs w:val="24"/>
        </w:rPr>
        <w:t>a</w:t>
      </w:r>
      <w:r w:rsidR="00DC13E8">
        <w:rPr>
          <w:sz w:val="24"/>
          <w:szCs w:val="24"/>
        </w:rPr>
        <w:t xml:space="preserve">l and feelings of </w:t>
      </w:r>
      <w:r>
        <w:rPr>
          <w:sz w:val="24"/>
          <w:szCs w:val="24"/>
        </w:rPr>
        <w:t xml:space="preserve">safety and </w:t>
      </w:r>
      <w:r w:rsidR="00DC13E8">
        <w:rPr>
          <w:sz w:val="24"/>
          <w:szCs w:val="24"/>
        </w:rPr>
        <w:t xml:space="preserve">empowerment.  </w:t>
      </w:r>
      <w:r w:rsidRPr="00CA4E8F">
        <w:rPr>
          <w:sz w:val="24"/>
          <w:szCs w:val="24"/>
        </w:rPr>
        <w:t xml:space="preserve">Built environment touches every aspect of people and their connection to place. Built environment includes many types of amenities in public spaces and works to affect their use. Connectivity, livability and social activity bolster economics, civics, safety and community </w:t>
      </w:r>
      <w:r w:rsidR="001A314F" w:rsidRPr="00CA4E8F">
        <w:rPr>
          <w:sz w:val="24"/>
          <w:szCs w:val="24"/>
        </w:rPr>
        <w:t>image</w:t>
      </w:r>
      <w:r w:rsidR="001A314F">
        <w:rPr>
          <w:sz w:val="24"/>
          <w:szCs w:val="24"/>
        </w:rPr>
        <w:t>. Implementation</w:t>
      </w:r>
      <w:r w:rsidR="00DC13E8">
        <w:rPr>
          <w:sz w:val="24"/>
          <w:szCs w:val="24"/>
        </w:rPr>
        <w:t xml:space="preserve"> of changes will be most successful </w:t>
      </w:r>
      <w:r>
        <w:rPr>
          <w:sz w:val="24"/>
          <w:szCs w:val="24"/>
        </w:rPr>
        <w:t xml:space="preserve">if it engages communities, includes </w:t>
      </w:r>
      <w:r w:rsidR="00DC13E8">
        <w:rPr>
          <w:sz w:val="24"/>
          <w:szCs w:val="24"/>
        </w:rPr>
        <w:t xml:space="preserve">a diversity of partners and </w:t>
      </w:r>
      <w:r w:rsidR="00470DD3">
        <w:rPr>
          <w:sz w:val="24"/>
          <w:szCs w:val="24"/>
        </w:rPr>
        <w:t>foster</w:t>
      </w:r>
      <w:r>
        <w:rPr>
          <w:sz w:val="24"/>
          <w:szCs w:val="24"/>
        </w:rPr>
        <w:t>s</w:t>
      </w:r>
      <w:r w:rsidR="00DC13E8">
        <w:rPr>
          <w:sz w:val="24"/>
          <w:szCs w:val="24"/>
        </w:rPr>
        <w:t xml:space="preserve"> </w:t>
      </w:r>
      <w:r w:rsidR="00352EE3">
        <w:rPr>
          <w:sz w:val="24"/>
          <w:szCs w:val="24"/>
        </w:rPr>
        <w:t>collaboration</w:t>
      </w:r>
      <w:r w:rsidR="00DC13E8">
        <w:rPr>
          <w:sz w:val="24"/>
          <w:szCs w:val="24"/>
        </w:rPr>
        <w:t xml:space="preserve"> across multiple sectors</w:t>
      </w:r>
      <w:r w:rsidR="00352EE3">
        <w:rPr>
          <w:sz w:val="24"/>
          <w:szCs w:val="24"/>
        </w:rPr>
        <w:t xml:space="preserve">. </w:t>
      </w:r>
      <w:r>
        <w:rPr>
          <w:sz w:val="24"/>
          <w:szCs w:val="24"/>
        </w:rPr>
        <w:t xml:space="preserve">An approach that works </w:t>
      </w:r>
      <w:r w:rsidR="00502D8D">
        <w:rPr>
          <w:sz w:val="24"/>
          <w:szCs w:val="24"/>
        </w:rPr>
        <w:t>WITH communities instead of FOR communities</w:t>
      </w:r>
      <w:r>
        <w:rPr>
          <w:sz w:val="24"/>
          <w:szCs w:val="24"/>
        </w:rPr>
        <w:t xml:space="preserve"> will promote health equity and address health disparities</w:t>
      </w:r>
      <w:r w:rsidR="00502D8D">
        <w:rPr>
          <w:sz w:val="24"/>
          <w:szCs w:val="24"/>
        </w:rPr>
        <w:t xml:space="preserve">. </w:t>
      </w:r>
    </w:p>
    <w:p w14:paraId="3C97C254" w14:textId="77777777" w:rsidR="00710E46" w:rsidRDefault="00710E46">
      <w:pPr>
        <w:rPr>
          <w:sz w:val="24"/>
          <w:szCs w:val="24"/>
          <w:u w:val="single"/>
        </w:rPr>
      </w:pPr>
    </w:p>
    <w:p w14:paraId="12DE68F2" w14:textId="5AE74560" w:rsidR="00012B84" w:rsidRDefault="00012B84">
      <w:pPr>
        <w:rPr>
          <w:sz w:val="24"/>
          <w:szCs w:val="24"/>
        </w:rPr>
      </w:pPr>
      <w:r>
        <w:rPr>
          <w:sz w:val="24"/>
          <w:szCs w:val="24"/>
        </w:rPr>
        <w:t>Team members</w:t>
      </w:r>
      <w:r w:rsidR="00710E46">
        <w:rPr>
          <w:sz w:val="24"/>
          <w:szCs w:val="24"/>
        </w:rPr>
        <w:t xml:space="preserve"> conducted </w:t>
      </w:r>
      <w:r w:rsidR="00710E46" w:rsidRPr="00710E46">
        <w:rPr>
          <w:b/>
          <w:i/>
          <w:color w:val="1F497D" w:themeColor="text2"/>
          <w:sz w:val="24"/>
          <w:szCs w:val="24"/>
        </w:rPr>
        <w:t>site visits and interviews</w:t>
      </w:r>
      <w:r w:rsidRPr="00710E46">
        <w:rPr>
          <w:color w:val="1F497D" w:themeColor="text2"/>
          <w:sz w:val="24"/>
          <w:szCs w:val="24"/>
        </w:rPr>
        <w:t xml:space="preserve"> </w:t>
      </w:r>
      <w:r>
        <w:rPr>
          <w:sz w:val="24"/>
          <w:szCs w:val="24"/>
        </w:rPr>
        <w:t xml:space="preserve">with local leaders in several different communities to learn about their projects, </w:t>
      </w:r>
      <w:r w:rsidR="001E0EEB">
        <w:rPr>
          <w:sz w:val="24"/>
          <w:szCs w:val="24"/>
        </w:rPr>
        <w:t>as depicted on this map:</w:t>
      </w:r>
    </w:p>
    <w:p w14:paraId="41011CDE" w14:textId="21A5B376" w:rsidR="00012B84" w:rsidRDefault="001E0EEB">
      <w:pPr>
        <w:rPr>
          <w:sz w:val="24"/>
          <w:szCs w:val="24"/>
        </w:rPr>
      </w:pPr>
      <w:r>
        <w:rPr>
          <w:noProof/>
          <w:sz w:val="24"/>
          <w:szCs w:val="24"/>
        </w:rPr>
        <w:drawing>
          <wp:inline distT="0" distB="0" distL="0" distR="0" wp14:anchorId="20266DB8" wp14:editId="7BA89E60">
            <wp:extent cx="5905500" cy="1533525"/>
            <wp:effectExtent l="0" t="0" r="0" b="9525"/>
            <wp:docPr id="7" name="Picture 7" descr="C:\Users\DC01964\AppData\Local\Microsoft\Windows\Temporary Internet Files\Content.Outlook\0XFWIDFW\BE Rising Stars Site Visi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01964\AppData\Local\Microsoft\Windows\Temporary Internet Files\Content.Outlook\0XFWIDFW\BE Rising Stars Site Visit Map.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497" b="29793"/>
                    <a:stretch/>
                  </pic:blipFill>
                  <pic:spPr bwMode="auto">
                    <a:xfrm>
                      <a:off x="0" y="0"/>
                      <a:ext cx="5907688" cy="1534093"/>
                    </a:xfrm>
                    <a:prstGeom prst="rect">
                      <a:avLst/>
                    </a:prstGeom>
                    <a:noFill/>
                    <a:ln>
                      <a:noFill/>
                    </a:ln>
                    <a:extLst>
                      <a:ext uri="{53640926-AAD7-44D8-BBD7-CCE9431645EC}">
                        <a14:shadowObscured xmlns:a14="http://schemas.microsoft.com/office/drawing/2010/main"/>
                      </a:ext>
                    </a:extLst>
                  </pic:spPr>
                </pic:pic>
              </a:graphicData>
            </a:graphic>
          </wp:inline>
        </w:drawing>
      </w:r>
    </w:p>
    <w:p w14:paraId="62BD44A4" w14:textId="3BF66346" w:rsidR="00012B84" w:rsidRDefault="00B16EEF" w:rsidP="001E0EEB">
      <w:pPr>
        <w:jc w:val="both"/>
        <w:rPr>
          <w:sz w:val="24"/>
          <w:szCs w:val="24"/>
        </w:rPr>
      </w:pPr>
      <w:r>
        <w:rPr>
          <w:sz w:val="24"/>
          <w:szCs w:val="24"/>
        </w:rPr>
        <w:t>During site visits</w:t>
      </w:r>
      <w:r w:rsidR="00C21652">
        <w:rPr>
          <w:sz w:val="24"/>
          <w:szCs w:val="24"/>
        </w:rPr>
        <w:t>,</w:t>
      </w:r>
      <w:r>
        <w:rPr>
          <w:sz w:val="24"/>
          <w:szCs w:val="24"/>
        </w:rPr>
        <w:t xml:space="preserve"> the team experienced a range of built environment projects and programmin</w:t>
      </w:r>
      <w:r w:rsidR="00233759">
        <w:rPr>
          <w:sz w:val="24"/>
          <w:szCs w:val="24"/>
        </w:rPr>
        <w:t xml:space="preserve">g, and visited with a diverse group of local leaders in each community. </w:t>
      </w:r>
      <w:r w:rsidR="001E0EEB">
        <w:rPr>
          <w:sz w:val="24"/>
          <w:szCs w:val="24"/>
        </w:rPr>
        <w:t xml:space="preserve">Key findings from </w:t>
      </w:r>
      <w:r w:rsidR="00470DD3">
        <w:rPr>
          <w:sz w:val="24"/>
          <w:szCs w:val="24"/>
        </w:rPr>
        <w:t xml:space="preserve">each site visit </w:t>
      </w:r>
      <w:r w:rsidR="00233759">
        <w:rPr>
          <w:sz w:val="24"/>
          <w:szCs w:val="24"/>
        </w:rPr>
        <w:t xml:space="preserve">are included in </w:t>
      </w:r>
      <w:r w:rsidR="00233759" w:rsidRPr="001E0EEB">
        <w:rPr>
          <w:i/>
          <w:sz w:val="24"/>
          <w:szCs w:val="24"/>
        </w:rPr>
        <w:t>Attachment</w:t>
      </w:r>
      <w:r w:rsidR="00470DD3" w:rsidRPr="001E0EEB">
        <w:rPr>
          <w:i/>
          <w:sz w:val="24"/>
          <w:szCs w:val="24"/>
        </w:rPr>
        <w:t xml:space="preserve"> </w:t>
      </w:r>
      <w:r w:rsidR="001E0EEB">
        <w:rPr>
          <w:i/>
          <w:sz w:val="24"/>
          <w:szCs w:val="24"/>
        </w:rPr>
        <w:t>3</w:t>
      </w:r>
      <w:r w:rsidR="00470DD3" w:rsidRPr="001E0EEB">
        <w:rPr>
          <w:i/>
          <w:sz w:val="24"/>
          <w:szCs w:val="24"/>
        </w:rPr>
        <w:t xml:space="preserve"> in the Appendix</w:t>
      </w:r>
      <w:r w:rsidR="00470DD3">
        <w:rPr>
          <w:sz w:val="24"/>
          <w:szCs w:val="24"/>
        </w:rPr>
        <w:t>.</w:t>
      </w:r>
    </w:p>
    <w:p w14:paraId="11FF392C" w14:textId="20E3473A" w:rsidR="00470DD3" w:rsidRDefault="00470DD3" w:rsidP="001E0EEB">
      <w:pPr>
        <w:jc w:val="both"/>
        <w:rPr>
          <w:sz w:val="24"/>
          <w:szCs w:val="24"/>
        </w:rPr>
      </w:pPr>
      <w:r>
        <w:rPr>
          <w:sz w:val="24"/>
          <w:szCs w:val="24"/>
        </w:rPr>
        <w:t xml:space="preserve">We learned that most leaders </w:t>
      </w:r>
      <w:r w:rsidR="00B16EEF">
        <w:rPr>
          <w:sz w:val="24"/>
          <w:szCs w:val="24"/>
        </w:rPr>
        <w:t xml:space="preserve">think of built environment projects as </w:t>
      </w:r>
      <w:r>
        <w:rPr>
          <w:sz w:val="24"/>
          <w:szCs w:val="24"/>
        </w:rPr>
        <w:t xml:space="preserve">one of </w:t>
      </w:r>
      <w:r w:rsidR="00B16EEF">
        <w:rPr>
          <w:sz w:val="24"/>
          <w:szCs w:val="24"/>
        </w:rPr>
        <w:t xml:space="preserve">two distinct but connected </w:t>
      </w:r>
      <w:r>
        <w:rPr>
          <w:sz w:val="24"/>
          <w:szCs w:val="24"/>
        </w:rPr>
        <w:t>categories</w:t>
      </w:r>
      <w:r w:rsidR="00B16EEF">
        <w:rPr>
          <w:sz w:val="24"/>
          <w:szCs w:val="24"/>
        </w:rPr>
        <w:t xml:space="preserve">: </w:t>
      </w:r>
    </w:p>
    <w:p w14:paraId="07410E8D" w14:textId="10A25403" w:rsidR="00470DD3" w:rsidRDefault="00470DD3" w:rsidP="001E0EEB">
      <w:pPr>
        <w:pStyle w:val="ListParagraph"/>
        <w:numPr>
          <w:ilvl w:val="0"/>
          <w:numId w:val="6"/>
        </w:numPr>
        <w:jc w:val="both"/>
        <w:rPr>
          <w:sz w:val="24"/>
          <w:szCs w:val="24"/>
        </w:rPr>
      </w:pPr>
      <w:r w:rsidRPr="00470DD3">
        <w:rPr>
          <w:sz w:val="24"/>
          <w:szCs w:val="24"/>
        </w:rPr>
        <w:t>R</w:t>
      </w:r>
      <w:r w:rsidR="00B16EEF" w:rsidRPr="00AD6EDB">
        <w:rPr>
          <w:sz w:val="24"/>
          <w:szCs w:val="24"/>
        </w:rPr>
        <w:t>ecreation</w:t>
      </w:r>
      <w:r>
        <w:rPr>
          <w:sz w:val="24"/>
          <w:szCs w:val="24"/>
        </w:rPr>
        <w:t>-focused</w:t>
      </w:r>
      <w:r w:rsidR="00B16EEF" w:rsidRPr="00AD6EDB">
        <w:rPr>
          <w:sz w:val="24"/>
          <w:szCs w:val="24"/>
        </w:rPr>
        <w:t>, with spaces and amenities that promote diverse activities</w:t>
      </w:r>
      <w:r>
        <w:rPr>
          <w:sz w:val="24"/>
          <w:szCs w:val="24"/>
        </w:rPr>
        <w:t xml:space="preserve">. </w:t>
      </w:r>
      <w:r w:rsidRPr="00B540AE">
        <w:rPr>
          <w:sz w:val="24"/>
          <w:szCs w:val="24"/>
        </w:rPr>
        <w:t>Recreation projects can be farmers markets, playgrounds, public art, landscaping, town centers, plazas, school yards, gardens or any public space where people mix</w:t>
      </w:r>
      <w:r>
        <w:rPr>
          <w:sz w:val="24"/>
          <w:szCs w:val="24"/>
        </w:rPr>
        <w:t>.</w:t>
      </w:r>
      <w:r w:rsidR="00B16EEF" w:rsidRPr="00AD6EDB">
        <w:rPr>
          <w:sz w:val="24"/>
          <w:szCs w:val="24"/>
        </w:rPr>
        <w:t xml:space="preserve"> </w:t>
      </w:r>
    </w:p>
    <w:p w14:paraId="764B52E9" w14:textId="77777777" w:rsidR="001E0EEB" w:rsidRDefault="001E0EEB" w:rsidP="001E0EEB">
      <w:pPr>
        <w:pStyle w:val="ListParagraph"/>
        <w:jc w:val="both"/>
        <w:rPr>
          <w:sz w:val="24"/>
          <w:szCs w:val="24"/>
        </w:rPr>
      </w:pPr>
    </w:p>
    <w:p w14:paraId="65D7E839" w14:textId="7FF968AA" w:rsidR="00C21652" w:rsidRDefault="00470DD3" w:rsidP="001E0EEB">
      <w:pPr>
        <w:pStyle w:val="ListParagraph"/>
        <w:numPr>
          <w:ilvl w:val="0"/>
          <w:numId w:val="6"/>
        </w:numPr>
        <w:jc w:val="both"/>
        <w:rPr>
          <w:sz w:val="24"/>
          <w:szCs w:val="24"/>
        </w:rPr>
      </w:pPr>
      <w:r w:rsidRPr="00470DD3">
        <w:rPr>
          <w:sz w:val="24"/>
          <w:szCs w:val="24"/>
        </w:rPr>
        <w:t>T</w:t>
      </w:r>
      <w:r w:rsidR="00B16EEF" w:rsidRPr="00AD6EDB">
        <w:rPr>
          <w:sz w:val="24"/>
          <w:szCs w:val="24"/>
        </w:rPr>
        <w:t>ransportation</w:t>
      </w:r>
      <w:r>
        <w:rPr>
          <w:sz w:val="24"/>
          <w:szCs w:val="24"/>
        </w:rPr>
        <w:t>-focused</w:t>
      </w:r>
      <w:r w:rsidR="00B16EEF" w:rsidRPr="00AD6EDB">
        <w:rPr>
          <w:sz w:val="24"/>
          <w:szCs w:val="24"/>
        </w:rPr>
        <w:t xml:space="preserve">, </w:t>
      </w:r>
      <w:r>
        <w:rPr>
          <w:sz w:val="24"/>
          <w:szCs w:val="24"/>
        </w:rPr>
        <w:t>emphasizing</w:t>
      </w:r>
      <w:r w:rsidR="00B16EEF" w:rsidRPr="00AD6EDB">
        <w:rPr>
          <w:sz w:val="24"/>
          <w:szCs w:val="24"/>
        </w:rPr>
        <w:t xml:space="preserve"> connectivity, access and safety for all users. Transportation projects </w:t>
      </w:r>
      <w:r w:rsidR="000256B9" w:rsidRPr="00AD6EDB">
        <w:rPr>
          <w:sz w:val="24"/>
          <w:szCs w:val="24"/>
        </w:rPr>
        <w:t xml:space="preserve">include but are not limited to greenways, sidewalks, bike lanes, lighting, </w:t>
      </w:r>
      <w:r w:rsidR="00102B6D">
        <w:rPr>
          <w:sz w:val="24"/>
          <w:szCs w:val="24"/>
        </w:rPr>
        <w:t xml:space="preserve">streetscaping, </w:t>
      </w:r>
      <w:r w:rsidR="000256B9" w:rsidRPr="00AD6EDB">
        <w:rPr>
          <w:sz w:val="24"/>
          <w:szCs w:val="24"/>
        </w:rPr>
        <w:t xml:space="preserve">transit features and traffic calming measures. </w:t>
      </w:r>
    </w:p>
    <w:p w14:paraId="26F4CAF8" w14:textId="77777777" w:rsidR="00470DD3" w:rsidRPr="00AD6EDB" w:rsidRDefault="00470DD3" w:rsidP="001E0EEB">
      <w:pPr>
        <w:jc w:val="both"/>
        <w:rPr>
          <w:sz w:val="24"/>
          <w:szCs w:val="24"/>
        </w:rPr>
      </w:pPr>
      <w:r>
        <w:rPr>
          <w:sz w:val="24"/>
          <w:szCs w:val="24"/>
        </w:rPr>
        <w:t xml:space="preserve">Interestingly, </w:t>
      </w:r>
      <w:r w:rsidRPr="001E0EEB">
        <w:rPr>
          <w:b/>
          <w:i/>
          <w:color w:val="1F497D" w:themeColor="text2"/>
          <w:sz w:val="24"/>
          <w:szCs w:val="24"/>
        </w:rPr>
        <w:t>while most leaders perceived benefits from both economic and “quality of life” perspectives, most were not able to quantify the impact</w:t>
      </w:r>
      <w:r>
        <w:rPr>
          <w:sz w:val="24"/>
          <w:szCs w:val="24"/>
        </w:rPr>
        <w:t xml:space="preserve">.  </w:t>
      </w:r>
    </w:p>
    <w:p w14:paraId="181B5407" w14:textId="2890C560" w:rsidR="00644FF9" w:rsidRPr="00B16EEF" w:rsidRDefault="00992F3E" w:rsidP="001E0EEB">
      <w:pPr>
        <w:jc w:val="both"/>
        <w:rPr>
          <w:sz w:val="24"/>
          <w:szCs w:val="24"/>
        </w:rPr>
      </w:pPr>
      <w:r>
        <w:rPr>
          <w:sz w:val="24"/>
          <w:szCs w:val="24"/>
        </w:rPr>
        <w:t>During these s</w:t>
      </w:r>
      <w:r w:rsidR="000256B9">
        <w:rPr>
          <w:sz w:val="24"/>
          <w:szCs w:val="24"/>
        </w:rPr>
        <w:t>ite visits</w:t>
      </w:r>
      <w:r>
        <w:rPr>
          <w:sz w:val="24"/>
          <w:szCs w:val="24"/>
        </w:rPr>
        <w:t xml:space="preserve">, leaders </w:t>
      </w:r>
      <w:r w:rsidR="00A4501D">
        <w:rPr>
          <w:sz w:val="24"/>
          <w:szCs w:val="24"/>
        </w:rPr>
        <w:t xml:space="preserve">described </w:t>
      </w:r>
      <w:r w:rsidR="00A4501D" w:rsidRPr="001E0EEB">
        <w:rPr>
          <w:b/>
          <w:i/>
          <w:color w:val="1F497D" w:themeColor="text2"/>
          <w:sz w:val="24"/>
          <w:szCs w:val="24"/>
        </w:rPr>
        <w:t>two</w:t>
      </w:r>
      <w:r w:rsidR="000256B9" w:rsidRPr="001E0EEB">
        <w:rPr>
          <w:b/>
          <w:i/>
          <w:color w:val="1F497D" w:themeColor="text2"/>
          <w:sz w:val="24"/>
          <w:szCs w:val="24"/>
        </w:rPr>
        <w:t xml:space="preserve"> distinct methods of funding and implementation</w:t>
      </w:r>
      <w:r w:rsidRPr="001E0EEB">
        <w:rPr>
          <w:b/>
          <w:i/>
          <w:color w:val="1F497D" w:themeColor="text2"/>
          <w:sz w:val="24"/>
          <w:szCs w:val="24"/>
        </w:rPr>
        <w:t xml:space="preserve"> of projects</w:t>
      </w:r>
      <w:r w:rsidR="000256B9" w:rsidRPr="001E0EEB">
        <w:rPr>
          <w:b/>
          <w:i/>
          <w:color w:val="1F497D" w:themeColor="text2"/>
          <w:sz w:val="24"/>
          <w:szCs w:val="24"/>
        </w:rPr>
        <w:t>.</w:t>
      </w:r>
      <w:r w:rsidR="000256B9">
        <w:rPr>
          <w:sz w:val="24"/>
          <w:szCs w:val="24"/>
        </w:rPr>
        <w:t xml:space="preserve"> The majority of </w:t>
      </w:r>
      <w:r w:rsidR="00102B6D">
        <w:rPr>
          <w:sz w:val="24"/>
          <w:szCs w:val="24"/>
        </w:rPr>
        <w:t>resource-intensive</w:t>
      </w:r>
      <w:r w:rsidR="000256B9">
        <w:rPr>
          <w:sz w:val="24"/>
          <w:szCs w:val="24"/>
        </w:rPr>
        <w:t xml:space="preserve">, long-term initiatives </w:t>
      </w:r>
      <w:r>
        <w:rPr>
          <w:sz w:val="24"/>
          <w:szCs w:val="24"/>
        </w:rPr>
        <w:t xml:space="preserve">were </w:t>
      </w:r>
      <w:r w:rsidR="000256B9">
        <w:rPr>
          <w:sz w:val="24"/>
          <w:szCs w:val="24"/>
        </w:rPr>
        <w:t>funded by governments</w:t>
      </w:r>
      <w:r>
        <w:rPr>
          <w:sz w:val="24"/>
          <w:szCs w:val="24"/>
        </w:rPr>
        <w:t xml:space="preserve"> (usually a combination of local and state funding, but sometimes included federal funding)</w:t>
      </w:r>
      <w:r w:rsidR="000256B9">
        <w:rPr>
          <w:sz w:val="24"/>
          <w:szCs w:val="24"/>
        </w:rPr>
        <w:t>. On the other hand, smaller community-led projects utilized lighter, quicke</w:t>
      </w:r>
      <w:r w:rsidR="0090183B">
        <w:rPr>
          <w:sz w:val="24"/>
          <w:szCs w:val="24"/>
        </w:rPr>
        <w:t xml:space="preserve">r and cheaper methods to pilot built environment interventions. Both grassroots and “grasstops” methods </w:t>
      </w:r>
      <w:r w:rsidR="00102B6D">
        <w:rPr>
          <w:sz w:val="24"/>
          <w:szCs w:val="24"/>
        </w:rPr>
        <w:t>were successful in producing</w:t>
      </w:r>
      <w:r w:rsidR="0090183B">
        <w:rPr>
          <w:sz w:val="24"/>
          <w:szCs w:val="24"/>
        </w:rPr>
        <w:t xml:space="preserve"> sustainable change. Community-led projects can experiment, giving governments much needed evidence and lessons learned on the ground.  </w:t>
      </w:r>
      <w:r>
        <w:rPr>
          <w:sz w:val="24"/>
          <w:szCs w:val="24"/>
        </w:rPr>
        <w:t xml:space="preserve">Sustainable </w:t>
      </w:r>
      <w:r w:rsidR="0090183B">
        <w:rPr>
          <w:sz w:val="24"/>
          <w:szCs w:val="24"/>
        </w:rPr>
        <w:t xml:space="preserve">projects </w:t>
      </w:r>
      <w:r>
        <w:rPr>
          <w:sz w:val="24"/>
          <w:szCs w:val="24"/>
        </w:rPr>
        <w:t xml:space="preserve">successfully </w:t>
      </w:r>
      <w:r w:rsidR="0090183B">
        <w:rPr>
          <w:sz w:val="24"/>
          <w:szCs w:val="24"/>
        </w:rPr>
        <w:t xml:space="preserve">leverage support and data </w:t>
      </w:r>
      <w:r>
        <w:rPr>
          <w:sz w:val="24"/>
          <w:szCs w:val="24"/>
        </w:rPr>
        <w:t>to influence changes in</w:t>
      </w:r>
      <w:r w:rsidR="00FA5A38">
        <w:rPr>
          <w:sz w:val="24"/>
          <w:szCs w:val="24"/>
        </w:rPr>
        <w:t xml:space="preserve"> </w:t>
      </w:r>
      <w:r w:rsidR="0090183B">
        <w:rPr>
          <w:sz w:val="24"/>
          <w:szCs w:val="24"/>
        </w:rPr>
        <w:t>policy, systems and environment</w:t>
      </w:r>
      <w:r>
        <w:rPr>
          <w:sz w:val="24"/>
          <w:szCs w:val="24"/>
        </w:rPr>
        <w:t>.</w:t>
      </w:r>
      <w:r w:rsidR="0090183B">
        <w:rPr>
          <w:sz w:val="24"/>
          <w:szCs w:val="24"/>
        </w:rPr>
        <w:t xml:space="preserve"> </w:t>
      </w:r>
      <w:r>
        <w:rPr>
          <w:sz w:val="24"/>
          <w:szCs w:val="24"/>
        </w:rPr>
        <w:t xml:space="preserve"> </w:t>
      </w:r>
      <w:r w:rsidRPr="00992F3E">
        <w:rPr>
          <w:sz w:val="24"/>
          <w:szCs w:val="24"/>
        </w:rPr>
        <w:t>Both grassroots and “grasstops” methods are needed for sustainable change</w:t>
      </w:r>
      <w:r w:rsidR="001E0EEB">
        <w:rPr>
          <w:sz w:val="24"/>
          <w:szCs w:val="24"/>
        </w:rPr>
        <w:t>.</w:t>
      </w:r>
    </w:p>
    <w:p w14:paraId="422D2CA8" w14:textId="5D36F58D" w:rsidR="00FA5A38" w:rsidRDefault="00A4501D">
      <w:pPr>
        <w:rPr>
          <w:sz w:val="24"/>
          <w:szCs w:val="24"/>
        </w:rPr>
      </w:pPr>
      <w:r>
        <w:rPr>
          <w:sz w:val="24"/>
          <w:szCs w:val="24"/>
        </w:rPr>
        <w:lastRenderedPageBreak/>
        <w:t>No communities</w:t>
      </w:r>
      <w:r w:rsidR="00992F3E">
        <w:rPr>
          <w:sz w:val="24"/>
          <w:szCs w:val="24"/>
        </w:rPr>
        <w:t xml:space="preserve"> planned </w:t>
      </w:r>
      <w:r w:rsidR="00102B6D">
        <w:rPr>
          <w:sz w:val="24"/>
          <w:szCs w:val="24"/>
        </w:rPr>
        <w:t>or</w:t>
      </w:r>
      <w:r w:rsidR="00992F3E">
        <w:rPr>
          <w:sz w:val="24"/>
          <w:szCs w:val="24"/>
        </w:rPr>
        <w:t xml:space="preserve"> implemented projects in isolation</w:t>
      </w:r>
      <w:r w:rsidR="004A10CA">
        <w:rPr>
          <w:sz w:val="24"/>
          <w:szCs w:val="24"/>
        </w:rPr>
        <w:t xml:space="preserve">. Even </w:t>
      </w:r>
      <w:r w:rsidR="007723EA">
        <w:rPr>
          <w:sz w:val="24"/>
          <w:szCs w:val="24"/>
        </w:rPr>
        <w:t>cities that fully funded streetscape improvements did so with tax revenue from local industry or grant funds from state partners in transportation</w:t>
      </w:r>
      <w:r w:rsidR="001B32A5">
        <w:rPr>
          <w:sz w:val="24"/>
          <w:szCs w:val="24"/>
        </w:rPr>
        <w:t xml:space="preserve">, and </w:t>
      </w:r>
      <w:r w:rsidR="001B32A5" w:rsidRPr="001E0EEB">
        <w:rPr>
          <w:b/>
          <w:i/>
          <w:color w:val="1F497D" w:themeColor="text2"/>
          <w:sz w:val="24"/>
          <w:szCs w:val="24"/>
        </w:rPr>
        <w:t>t</w:t>
      </w:r>
      <w:r w:rsidR="00FA5A38" w:rsidRPr="001E0EEB">
        <w:rPr>
          <w:b/>
          <w:i/>
          <w:color w:val="1F497D" w:themeColor="text2"/>
          <w:sz w:val="24"/>
          <w:szCs w:val="24"/>
        </w:rPr>
        <w:t>he most successful projects involved a large number of partners</w:t>
      </w:r>
      <w:r w:rsidR="001B32A5">
        <w:rPr>
          <w:sz w:val="24"/>
          <w:szCs w:val="24"/>
        </w:rPr>
        <w:t>. Although</w:t>
      </w:r>
      <w:r w:rsidR="001B32A5" w:rsidRPr="001B32A5">
        <w:t xml:space="preserve"> </w:t>
      </w:r>
      <w:r w:rsidR="001B32A5">
        <w:rPr>
          <w:sz w:val="24"/>
          <w:szCs w:val="24"/>
        </w:rPr>
        <w:t>s</w:t>
      </w:r>
      <w:r w:rsidR="001B32A5" w:rsidRPr="001B32A5">
        <w:rPr>
          <w:sz w:val="24"/>
          <w:szCs w:val="24"/>
        </w:rPr>
        <w:t>ome projects did have health partners, supporting with funding or data</w:t>
      </w:r>
      <w:r w:rsidR="001B32A5">
        <w:rPr>
          <w:sz w:val="24"/>
          <w:szCs w:val="24"/>
        </w:rPr>
        <w:t xml:space="preserve">, </w:t>
      </w:r>
      <w:r w:rsidR="00102B6D">
        <w:rPr>
          <w:sz w:val="24"/>
          <w:szCs w:val="24"/>
        </w:rPr>
        <w:t>health was not the impetus for initiation of the projects we encountered</w:t>
      </w:r>
      <w:r w:rsidR="001B32A5">
        <w:rPr>
          <w:sz w:val="24"/>
          <w:szCs w:val="24"/>
        </w:rPr>
        <w:t xml:space="preserve">. Disappointingly, </w:t>
      </w:r>
      <w:r w:rsidR="007E3222">
        <w:rPr>
          <w:sz w:val="24"/>
          <w:szCs w:val="24"/>
        </w:rPr>
        <w:t xml:space="preserve">health departments were </w:t>
      </w:r>
      <w:r w:rsidR="00102B6D">
        <w:rPr>
          <w:sz w:val="24"/>
          <w:szCs w:val="24"/>
        </w:rPr>
        <w:t>rarely</w:t>
      </w:r>
      <w:r w:rsidR="007E3222">
        <w:rPr>
          <w:sz w:val="24"/>
          <w:szCs w:val="24"/>
        </w:rPr>
        <w:t xml:space="preserve"> at the table</w:t>
      </w:r>
      <w:r w:rsidR="001B32A5">
        <w:rPr>
          <w:sz w:val="24"/>
          <w:szCs w:val="24"/>
        </w:rPr>
        <w:t>, but community leaders in each site expressed</w:t>
      </w:r>
      <w:r w:rsidR="007E3222">
        <w:rPr>
          <w:sz w:val="24"/>
          <w:szCs w:val="24"/>
        </w:rPr>
        <w:t xml:space="preserve"> interest in working with local and regional health departments in the future. </w:t>
      </w:r>
    </w:p>
    <w:p w14:paraId="4414E358" w14:textId="2D824144" w:rsidR="00294525" w:rsidRDefault="00294525">
      <w:pPr>
        <w:rPr>
          <w:sz w:val="24"/>
          <w:szCs w:val="24"/>
        </w:rPr>
      </w:pPr>
      <w:r>
        <w:rPr>
          <w:sz w:val="24"/>
          <w:szCs w:val="24"/>
        </w:rPr>
        <w:t xml:space="preserve">The Rising Stars also collected </w:t>
      </w:r>
      <w:r w:rsidRPr="00294525">
        <w:rPr>
          <w:b/>
          <w:i/>
          <w:color w:val="1F497D" w:themeColor="text2"/>
          <w:sz w:val="24"/>
          <w:szCs w:val="24"/>
        </w:rPr>
        <w:t>informational resources and tools</w:t>
      </w:r>
      <w:r w:rsidRPr="00294525">
        <w:rPr>
          <w:color w:val="1F497D" w:themeColor="text2"/>
          <w:sz w:val="24"/>
          <w:szCs w:val="24"/>
        </w:rPr>
        <w:t xml:space="preserve"> </w:t>
      </w:r>
      <w:r>
        <w:rPr>
          <w:sz w:val="24"/>
          <w:szCs w:val="24"/>
        </w:rPr>
        <w:t>from a wide variety of sources (websites, articles, reports, research, project case studies and conference materials), and shared those resources by others on the team.  These resources have been collected and compiled for use by others who wish to learn about built environment concepts and models (</w:t>
      </w:r>
      <w:r w:rsidRPr="00294525">
        <w:rPr>
          <w:i/>
          <w:sz w:val="24"/>
          <w:szCs w:val="24"/>
        </w:rPr>
        <w:t>Attachment 6 in the Appendix</w:t>
      </w:r>
      <w:r>
        <w:rPr>
          <w:sz w:val="24"/>
          <w:szCs w:val="24"/>
        </w:rPr>
        <w:t xml:space="preserve">), and can serve as the foundation for a publicly-accessible repository of information for others in the state. </w:t>
      </w:r>
    </w:p>
    <w:p w14:paraId="20EED6A1" w14:textId="790EA956" w:rsidR="001E0EEB" w:rsidRPr="00D0586C" w:rsidRDefault="00294525" w:rsidP="001E0EEB">
      <w:pPr>
        <w:rPr>
          <w:b/>
          <w:color w:val="1F497D" w:themeColor="text2"/>
          <w:sz w:val="28"/>
          <w:szCs w:val="28"/>
          <w:u w:val="single"/>
        </w:rPr>
      </w:pPr>
      <w:r>
        <w:rPr>
          <w:b/>
          <w:color w:val="1F497D" w:themeColor="text2"/>
          <w:sz w:val="28"/>
          <w:szCs w:val="28"/>
          <w:u w:val="single"/>
        </w:rPr>
        <w:t xml:space="preserve">III. </w:t>
      </w:r>
      <w:r w:rsidR="001E0EEB">
        <w:rPr>
          <w:b/>
          <w:color w:val="1F497D" w:themeColor="text2"/>
          <w:sz w:val="28"/>
          <w:szCs w:val="28"/>
          <w:u w:val="single"/>
        </w:rPr>
        <w:t>Analysis of Observations and Lessons Learned</w:t>
      </w:r>
    </w:p>
    <w:p w14:paraId="41F25E5F" w14:textId="14D0889D" w:rsidR="001B32A5" w:rsidRDefault="001B32A5" w:rsidP="001E0EEB">
      <w:pPr>
        <w:jc w:val="both"/>
        <w:rPr>
          <w:sz w:val="24"/>
          <w:szCs w:val="24"/>
        </w:rPr>
      </w:pPr>
      <w:r>
        <w:rPr>
          <w:sz w:val="24"/>
          <w:szCs w:val="24"/>
        </w:rPr>
        <w:t xml:space="preserve">After </w:t>
      </w:r>
      <w:r w:rsidR="00294525">
        <w:rPr>
          <w:sz w:val="24"/>
          <w:szCs w:val="24"/>
        </w:rPr>
        <w:t>conducting and sharing information gathered from research, observation and interviews,</w:t>
      </w:r>
      <w:r>
        <w:rPr>
          <w:sz w:val="24"/>
          <w:szCs w:val="24"/>
        </w:rPr>
        <w:t xml:space="preserve"> team members shared their observations, and reached the following conclusions:</w:t>
      </w:r>
    </w:p>
    <w:p w14:paraId="0A1B3469" w14:textId="77777777" w:rsidR="00B6698F" w:rsidRPr="00B540AE" w:rsidRDefault="00B6698F" w:rsidP="001E0EEB">
      <w:pPr>
        <w:pStyle w:val="ListParagraph"/>
        <w:numPr>
          <w:ilvl w:val="0"/>
          <w:numId w:val="7"/>
        </w:numPr>
        <w:jc w:val="both"/>
        <w:rPr>
          <w:sz w:val="24"/>
          <w:szCs w:val="24"/>
        </w:rPr>
      </w:pPr>
      <w:r w:rsidRPr="00B540AE">
        <w:rPr>
          <w:sz w:val="24"/>
          <w:szCs w:val="24"/>
        </w:rPr>
        <w:t xml:space="preserve">Built environment projects often contain </w:t>
      </w:r>
      <w:r>
        <w:rPr>
          <w:sz w:val="24"/>
          <w:szCs w:val="24"/>
        </w:rPr>
        <w:t>multiple facets, not simply</w:t>
      </w:r>
      <w:r w:rsidRPr="00B540AE">
        <w:rPr>
          <w:sz w:val="24"/>
          <w:szCs w:val="24"/>
        </w:rPr>
        <w:t xml:space="preserve"> </w:t>
      </w:r>
      <w:r>
        <w:rPr>
          <w:sz w:val="24"/>
          <w:szCs w:val="24"/>
        </w:rPr>
        <w:t xml:space="preserve">the need to improve </w:t>
      </w:r>
      <w:r w:rsidRPr="00B540AE">
        <w:rPr>
          <w:sz w:val="24"/>
          <w:szCs w:val="24"/>
        </w:rPr>
        <w:t>transportation. Place</w:t>
      </w:r>
      <w:r>
        <w:rPr>
          <w:sz w:val="24"/>
          <w:szCs w:val="24"/>
        </w:rPr>
        <w:t>-</w:t>
      </w:r>
      <w:r w:rsidRPr="00B540AE">
        <w:rPr>
          <w:sz w:val="24"/>
          <w:szCs w:val="24"/>
        </w:rPr>
        <w:t>based amenities support active transportation (benches, lighting, trees, etc.)</w:t>
      </w:r>
      <w:r>
        <w:rPr>
          <w:sz w:val="24"/>
          <w:szCs w:val="24"/>
        </w:rPr>
        <w:t>, improving public safety, encouraging physical activity and health, and increased economic benefit to the community.</w:t>
      </w:r>
    </w:p>
    <w:p w14:paraId="50B66813" w14:textId="77777777" w:rsidR="00B6698F" w:rsidRPr="00B540AE" w:rsidRDefault="00B6698F" w:rsidP="001E0EEB">
      <w:pPr>
        <w:pStyle w:val="ListParagraph"/>
        <w:numPr>
          <w:ilvl w:val="0"/>
          <w:numId w:val="7"/>
        </w:numPr>
        <w:jc w:val="both"/>
        <w:rPr>
          <w:sz w:val="24"/>
          <w:szCs w:val="24"/>
        </w:rPr>
      </w:pPr>
      <w:r>
        <w:rPr>
          <w:sz w:val="24"/>
          <w:szCs w:val="24"/>
        </w:rPr>
        <w:t>Outside of the major urban areas, p</w:t>
      </w:r>
      <w:r w:rsidRPr="00B540AE">
        <w:rPr>
          <w:sz w:val="24"/>
          <w:szCs w:val="24"/>
        </w:rPr>
        <w:t xml:space="preserve">lanning often seems to occur </w:t>
      </w:r>
      <w:r w:rsidRPr="00B540AE">
        <w:rPr>
          <w:i/>
          <w:sz w:val="24"/>
          <w:szCs w:val="24"/>
        </w:rPr>
        <w:t>ad hoc</w:t>
      </w:r>
      <w:r w:rsidRPr="00B540AE">
        <w:rPr>
          <w:sz w:val="24"/>
          <w:szCs w:val="24"/>
        </w:rPr>
        <w:t xml:space="preserve">. The short-sightedness of planning efforts harms health and economies in the long run. There is a need for </w:t>
      </w:r>
      <w:r>
        <w:rPr>
          <w:sz w:val="24"/>
          <w:szCs w:val="24"/>
        </w:rPr>
        <w:t>resources and technical assistance to support longer-term</w:t>
      </w:r>
      <w:r w:rsidRPr="00B540AE">
        <w:rPr>
          <w:sz w:val="24"/>
          <w:szCs w:val="24"/>
        </w:rPr>
        <w:t xml:space="preserve"> planning efforts </w:t>
      </w:r>
      <w:r>
        <w:rPr>
          <w:sz w:val="24"/>
          <w:szCs w:val="24"/>
        </w:rPr>
        <w:t>that include considerations of health and livability.</w:t>
      </w:r>
    </w:p>
    <w:p w14:paraId="00C38922" w14:textId="77777777" w:rsidR="00B6698F" w:rsidRPr="00B540AE" w:rsidRDefault="00B6698F" w:rsidP="001E0EEB">
      <w:pPr>
        <w:pStyle w:val="ListParagraph"/>
        <w:numPr>
          <w:ilvl w:val="0"/>
          <w:numId w:val="7"/>
        </w:numPr>
        <w:jc w:val="both"/>
        <w:rPr>
          <w:sz w:val="24"/>
          <w:szCs w:val="24"/>
        </w:rPr>
      </w:pPr>
      <w:r w:rsidRPr="00B540AE">
        <w:rPr>
          <w:sz w:val="24"/>
          <w:szCs w:val="24"/>
        </w:rPr>
        <w:t xml:space="preserve">Most built environment projects across the state </w:t>
      </w:r>
      <w:r>
        <w:rPr>
          <w:sz w:val="24"/>
          <w:szCs w:val="24"/>
        </w:rPr>
        <w:t>had</w:t>
      </w:r>
      <w:r w:rsidRPr="00B540AE">
        <w:rPr>
          <w:sz w:val="24"/>
          <w:szCs w:val="24"/>
        </w:rPr>
        <w:t xml:space="preserve"> not consider</w:t>
      </w:r>
      <w:r>
        <w:rPr>
          <w:sz w:val="24"/>
          <w:szCs w:val="24"/>
        </w:rPr>
        <w:t>ed</w:t>
      </w:r>
      <w:r w:rsidRPr="00B540AE">
        <w:rPr>
          <w:sz w:val="24"/>
          <w:szCs w:val="24"/>
        </w:rPr>
        <w:t xml:space="preserve"> the health impact of their projects, even though they recognize the benefits of doing so</w:t>
      </w:r>
      <w:r>
        <w:rPr>
          <w:sz w:val="24"/>
          <w:szCs w:val="24"/>
        </w:rPr>
        <w:t xml:space="preserve"> once the question was asked</w:t>
      </w:r>
      <w:r w:rsidRPr="00B540AE">
        <w:rPr>
          <w:sz w:val="24"/>
          <w:szCs w:val="24"/>
        </w:rPr>
        <w:t>.</w:t>
      </w:r>
    </w:p>
    <w:p w14:paraId="687083DD" w14:textId="77777777" w:rsidR="00B6698F" w:rsidRDefault="00102B6D" w:rsidP="001E0EEB">
      <w:pPr>
        <w:pStyle w:val="ListParagraph"/>
        <w:numPr>
          <w:ilvl w:val="0"/>
          <w:numId w:val="7"/>
        </w:numPr>
        <w:jc w:val="both"/>
        <w:rPr>
          <w:sz w:val="24"/>
          <w:szCs w:val="24"/>
        </w:rPr>
      </w:pPr>
      <w:r>
        <w:rPr>
          <w:sz w:val="24"/>
          <w:szCs w:val="24"/>
        </w:rPr>
        <w:t>The majority of</w:t>
      </w:r>
      <w:r w:rsidR="00B6698F" w:rsidRPr="00B540AE">
        <w:rPr>
          <w:sz w:val="24"/>
          <w:szCs w:val="24"/>
        </w:rPr>
        <w:t xml:space="preserve"> built environment successes began as pilot projects, not top-down policy decisions.</w:t>
      </w:r>
      <w:r>
        <w:rPr>
          <w:sz w:val="24"/>
          <w:szCs w:val="24"/>
        </w:rPr>
        <w:t xml:space="preserve"> </w:t>
      </w:r>
      <w:r w:rsidRPr="00102B6D">
        <w:rPr>
          <w:sz w:val="24"/>
          <w:szCs w:val="24"/>
        </w:rPr>
        <w:t>First come the ideas; then the action; then the policy</w:t>
      </w:r>
      <w:r>
        <w:rPr>
          <w:sz w:val="24"/>
          <w:szCs w:val="24"/>
        </w:rPr>
        <w:t>.</w:t>
      </w:r>
    </w:p>
    <w:p w14:paraId="3F7F9D10" w14:textId="77777777" w:rsidR="00B6698F" w:rsidRPr="00AD6EDB" w:rsidRDefault="00B6698F" w:rsidP="001E0EEB">
      <w:pPr>
        <w:pStyle w:val="ListParagraph"/>
        <w:numPr>
          <w:ilvl w:val="0"/>
          <w:numId w:val="7"/>
        </w:numPr>
        <w:jc w:val="both"/>
        <w:rPr>
          <w:sz w:val="24"/>
          <w:szCs w:val="24"/>
        </w:rPr>
      </w:pPr>
      <w:r w:rsidRPr="00B540AE">
        <w:rPr>
          <w:sz w:val="24"/>
          <w:szCs w:val="24"/>
        </w:rPr>
        <w:t xml:space="preserve">Community-led initiatives move forward faster. These efforts are often led by a </w:t>
      </w:r>
      <w:r>
        <w:rPr>
          <w:sz w:val="24"/>
          <w:szCs w:val="24"/>
        </w:rPr>
        <w:t xml:space="preserve">local </w:t>
      </w:r>
      <w:r w:rsidRPr="00B540AE">
        <w:rPr>
          <w:sz w:val="24"/>
          <w:szCs w:val="24"/>
        </w:rPr>
        <w:t>champion</w:t>
      </w:r>
      <w:r>
        <w:rPr>
          <w:sz w:val="24"/>
          <w:szCs w:val="24"/>
        </w:rPr>
        <w:t>, who then mobilizes additional resources</w:t>
      </w:r>
      <w:r w:rsidRPr="00B540AE">
        <w:rPr>
          <w:sz w:val="24"/>
          <w:szCs w:val="24"/>
        </w:rPr>
        <w:t xml:space="preserve">. </w:t>
      </w:r>
    </w:p>
    <w:p w14:paraId="00639637" w14:textId="13EAD360" w:rsidR="00F83BEB" w:rsidRPr="001E0EEB" w:rsidRDefault="00B6698F" w:rsidP="001E0EEB">
      <w:pPr>
        <w:pStyle w:val="ListParagraph"/>
        <w:numPr>
          <w:ilvl w:val="0"/>
          <w:numId w:val="7"/>
        </w:numPr>
        <w:jc w:val="both"/>
        <w:rPr>
          <w:sz w:val="24"/>
          <w:szCs w:val="24"/>
        </w:rPr>
      </w:pPr>
      <w:r w:rsidRPr="00B540AE">
        <w:rPr>
          <w:sz w:val="24"/>
          <w:szCs w:val="24"/>
        </w:rPr>
        <w:t>Community engagement efforts are often under</w:t>
      </w:r>
      <w:r>
        <w:rPr>
          <w:sz w:val="24"/>
          <w:szCs w:val="24"/>
        </w:rPr>
        <w:t>-</w:t>
      </w:r>
      <w:r w:rsidRPr="00B540AE">
        <w:rPr>
          <w:sz w:val="24"/>
          <w:szCs w:val="24"/>
        </w:rPr>
        <w:t xml:space="preserve">staffed or lacking in staff altogether. </w:t>
      </w:r>
    </w:p>
    <w:p w14:paraId="1163AA2A" w14:textId="44FF177C" w:rsidR="00F83BEB" w:rsidRPr="00AD6EDB" w:rsidRDefault="00F83BEB" w:rsidP="001E0EEB">
      <w:pPr>
        <w:pStyle w:val="ListParagraph"/>
        <w:numPr>
          <w:ilvl w:val="0"/>
          <w:numId w:val="7"/>
        </w:numPr>
        <w:jc w:val="both"/>
        <w:rPr>
          <w:sz w:val="24"/>
          <w:szCs w:val="24"/>
        </w:rPr>
      </w:pPr>
      <w:r w:rsidRPr="00AD6EDB">
        <w:rPr>
          <w:sz w:val="24"/>
          <w:szCs w:val="24"/>
        </w:rPr>
        <w:t xml:space="preserve">Partnerships drive every success. </w:t>
      </w:r>
      <w:r w:rsidR="00102B6D">
        <w:rPr>
          <w:sz w:val="24"/>
          <w:szCs w:val="24"/>
        </w:rPr>
        <w:t>A diverse set of stakeholders broadens the available knowledge, resources and impact</w:t>
      </w:r>
      <w:r w:rsidR="001A314F">
        <w:rPr>
          <w:sz w:val="24"/>
          <w:szCs w:val="24"/>
        </w:rPr>
        <w:t>.</w:t>
      </w:r>
    </w:p>
    <w:p w14:paraId="277253FE" w14:textId="77777777" w:rsidR="00102B6D" w:rsidRPr="00AD6EDB" w:rsidRDefault="00102B6D" w:rsidP="001E0EEB">
      <w:pPr>
        <w:pStyle w:val="ListParagraph"/>
        <w:numPr>
          <w:ilvl w:val="0"/>
          <w:numId w:val="7"/>
        </w:numPr>
        <w:jc w:val="both"/>
        <w:rPr>
          <w:sz w:val="24"/>
          <w:szCs w:val="24"/>
        </w:rPr>
      </w:pPr>
      <w:r>
        <w:rPr>
          <w:sz w:val="24"/>
          <w:szCs w:val="24"/>
        </w:rPr>
        <w:lastRenderedPageBreak/>
        <w:t>Community education can be an important asset for built environment initiatives.  Engaging government officials, community members and leaders from the private sector offers opportunity to educate them on the health benefits of a supportive built environment.</w:t>
      </w:r>
    </w:p>
    <w:p w14:paraId="680D0CB1" w14:textId="71C94572" w:rsidR="00F83BEB" w:rsidRDefault="007C1D6F" w:rsidP="001E0EEB">
      <w:pPr>
        <w:jc w:val="both"/>
        <w:rPr>
          <w:sz w:val="24"/>
          <w:szCs w:val="24"/>
        </w:rPr>
      </w:pPr>
      <w:r>
        <w:rPr>
          <w:sz w:val="24"/>
          <w:szCs w:val="24"/>
        </w:rPr>
        <w:t xml:space="preserve">Throughout the course of </w:t>
      </w:r>
      <w:r w:rsidR="00294525">
        <w:rPr>
          <w:sz w:val="24"/>
          <w:szCs w:val="24"/>
        </w:rPr>
        <w:t>its</w:t>
      </w:r>
      <w:r>
        <w:rPr>
          <w:sz w:val="24"/>
          <w:szCs w:val="24"/>
        </w:rPr>
        <w:t xml:space="preserve"> work</w:t>
      </w:r>
      <w:r w:rsidR="00B6698F">
        <w:rPr>
          <w:sz w:val="24"/>
          <w:szCs w:val="24"/>
        </w:rPr>
        <w:t xml:space="preserve">, the team </w:t>
      </w:r>
      <w:r w:rsidR="0061774F">
        <w:rPr>
          <w:sz w:val="24"/>
          <w:szCs w:val="24"/>
        </w:rPr>
        <w:t>reached consensus on “</w:t>
      </w:r>
      <w:r w:rsidR="0061774F" w:rsidRPr="001E0EEB">
        <w:rPr>
          <w:b/>
          <w:i/>
          <w:color w:val="1F497D" w:themeColor="text2"/>
          <w:sz w:val="24"/>
          <w:szCs w:val="24"/>
        </w:rPr>
        <w:t>guiding principles</w:t>
      </w:r>
      <w:r w:rsidR="0061774F">
        <w:rPr>
          <w:sz w:val="24"/>
          <w:szCs w:val="24"/>
        </w:rPr>
        <w:t>” to be considered when making decisions about strategies and tactics to support access to health through built environment activities:</w:t>
      </w:r>
    </w:p>
    <w:p w14:paraId="57ACBED6" w14:textId="77777777" w:rsidR="0061774F" w:rsidRDefault="0061774F" w:rsidP="001E0EEB">
      <w:pPr>
        <w:pStyle w:val="ListParagraph"/>
        <w:numPr>
          <w:ilvl w:val="0"/>
          <w:numId w:val="8"/>
        </w:numPr>
        <w:jc w:val="both"/>
      </w:pPr>
      <w:r>
        <w:t>Health in all policies</w:t>
      </w:r>
    </w:p>
    <w:p w14:paraId="1921FE19" w14:textId="77777777" w:rsidR="0061774F" w:rsidRDefault="0061774F" w:rsidP="001E0EEB">
      <w:pPr>
        <w:pStyle w:val="ListParagraph"/>
        <w:numPr>
          <w:ilvl w:val="0"/>
          <w:numId w:val="8"/>
        </w:numPr>
        <w:jc w:val="both"/>
      </w:pPr>
      <w:r>
        <w:t>Define “built environment”</w:t>
      </w:r>
    </w:p>
    <w:p w14:paraId="481DBD34" w14:textId="77777777" w:rsidR="0061774F" w:rsidRDefault="0061774F" w:rsidP="0061774F">
      <w:pPr>
        <w:pStyle w:val="ListParagraph"/>
        <w:numPr>
          <w:ilvl w:val="0"/>
          <w:numId w:val="8"/>
        </w:numPr>
      </w:pPr>
      <w:r>
        <w:t>TDH and other state agencies should be models of health (buildings should be “healing spaces”, not impersonal warehouses)</w:t>
      </w:r>
    </w:p>
    <w:p w14:paraId="37F04F9B" w14:textId="77777777" w:rsidR="0061774F" w:rsidRDefault="0061774F" w:rsidP="0061774F">
      <w:pPr>
        <w:pStyle w:val="ListParagraph"/>
        <w:numPr>
          <w:ilvl w:val="0"/>
          <w:numId w:val="8"/>
        </w:numPr>
      </w:pPr>
      <w:r>
        <w:t>Accessibility (“everyone deserves health and a good living environment”)</w:t>
      </w:r>
    </w:p>
    <w:p w14:paraId="192AAD60" w14:textId="77777777" w:rsidR="0061774F" w:rsidRDefault="0061774F" w:rsidP="0061774F">
      <w:pPr>
        <w:pStyle w:val="ListParagraph"/>
        <w:numPr>
          <w:ilvl w:val="0"/>
          <w:numId w:val="8"/>
        </w:numPr>
      </w:pPr>
      <w:r>
        <w:t>Health equity—invest in communities with greatest need and least capacity, provide technical assistance and resources</w:t>
      </w:r>
    </w:p>
    <w:p w14:paraId="1549FAF8" w14:textId="77777777" w:rsidR="0061774F" w:rsidRDefault="0061774F" w:rsidP="0061774F">
      <w:pPr>
        <w:pStyle w:val="ListParagraph"/>
        <w:numPr>
          <w:ilvl w:val="0"/>
          <w:numId w:val="8"/>
        </w:numPr>
      </w:pPr>
      <w:r>
        <w:t xml:space="preserve">Work in and with communities, not just from Nashville.  Local presence matters.  </w:t>
      </w:r>
    </w:p>
    <w:p w14:paraId="522DAD52" w14:textId="77777777" w:rsidR="0061774F" w:rsidRDefault="0061774F" w:rsidP="0061774F">
      <w:pPr>
        <w:pStyle w:val="ListParagraph"/>
        <w:numPr>
          <w:ilvl w:val="0"/>
          <w:numId w:val="8"/>
        </w:numPr>
      </w:pPr>
      <w:r>
        <w:t>Support peer learning, mentoring, sharing</w:t>
      </w:r>
    </w:p>
    <w:p w14:paraId="3D5F0997" w14:textId="5619EDDE" w:rsidR="0061774F" w:rsidRDefault="00294525" w:rsidP="0061774F">
      <w:pPr>
        <w:pStyle w:val="ListParagraph"/>
        <w:numPr>
          <w:ilvl w:val="0"/>
          <w:numId w:val="8"/>
        </w:numPr>
      </w:pPr>
      <w:r>
        <w:t>Educate, don’t mandate</w:t>
      </w:r>
    </w:p>
    <w:p w14:paraId="01FFC7CA" w14:textId="77777777" w:rsidR="0061774F" w:rsidRDefault="0061774F" w:rsidP="0061774F">
      <w:pPr>
        <w:pStyle w:val="ListParagraph"/>
        <w:numPr>
          <w:ilvl w:val="0"/>
          <w:numId w:val="8"/>
        </w:numPr>
      </w:pPr>
      <w:r>
        <w:t>Build partnerships and relationships to increase sustainability</w:t>
      </w:r>
    </w:p>
    <w:p w14:paraId="4CA0535E" w14:textId="77777777" w:rsidR="0061774F" w:rsidRDefault="0061774F" w:rsidP="0061774F">
      <w:pPr>
        <w:pStyle w:val="ListParagraph"/>
        <w:numPr>
          <w:ilvl w:val="0"/>
          <w:numId w:val="8"/>
        </w:numPr>
      </w:pPr>
      <w:r>
        <w:t>Communicate by “telling the story.” Interpret data for the layman, framing and sharing successes and lessons learned.  Recognize progress (through an awards program)</w:t>
      </w:r>
    </w:p>
    <w:p w14:paraId="3DAB25D3" w14:textId="77777777" w:rsidR="0061774F" w:rsidRDefault="0061774F" w:rsidP="0061774F">
      <w:pPr>
        <w:pStyle w:val="ListParagraph"/>
        <w:numPr>
          <w:ilvl w:val="0"/>
          <w:numId w:val="8"/>
        </w:numPr>
      </w:pPr>
      <w:r>
        <w:t>Demonstrate success through small, rapidly deployed projects, which can then lead to bigger projects, more support, and policy change as measures of sustainability and institutionalization</w:t>
      </w:r>
    </w:p>
    <w:p w14:paraId="69D6F6FA" w14:textId="77777777" w:rsidR="0061774F" w:rsidRDefault="0061774F" w:rsidP="0061774F">
      <w:pPr>
        <w:pStyle w:val="ListParagraph"/>
        <w:numPr>
          <w:ilvl w:val="0"/>
          <w:numId w:val="8"/>
        </w:numPr>
      </w:pPr>
      <w:r>
        <w:t>Use data to show that it is making a difference, including financial / health / social</w:t>
      </w:r>
    </w:p>
    <w:p w14:paraId="76CDC12A" w14:textId="77777777" w:rsidR="0061774F" w:rsidRDefault="0061774F" w:rsidP="0061774F">
      <w:pPr>
        <w:pStyle w:val="ListParagraph"/>
        <w:numPr>
          <w:ilvl w:val="0"/>
          <w:numId w:val="8"/>
        </w:numPr>
      </w:pPr>
      <w:r>
        <w:t>If TDH wants this to happen, funding and personnel must be allocated</w:t>
      </w:r>
    </w:p>
    <w:p w14:paraId="4E785B1F" w14:textId="77777777" w:rsidR="0061774F" w:rsidRPr="00F83BEB" w:rsidRDefault="0061774F">
      <w:pPr>
        <w:rPr>
          <w:sz w:val="24"/>
          <w:szCs w:val="24"/>
        </w:rPr>
      </w:pPr>
    </w:p>
    <w:p w14:paraId="6404AF74" w14:textId="019BF2B8" w:rsidR="00294525" w:rsidRPr="00D0586C" w:rsidRDefault="00294525" w:rsidP="00294525">
      <w:pPr>
        <w:rPr>
          <w:b/>
          <w:color w:val="1F497D" w:themeColor="text2"/>
          <w:sz w:val="28"/>
          <w:szCs w:val="28"/>
          <w:u w:val="single"/>
        </w:rPr>
      </w:pPr>
      <w:r>
        <w:rPr>
          <w:b/>
          <w:color w:val="1F497D" w:themeColor="text2"/>
          <w:sz w:val="28"/>
          <w:szCs w:val="28"/>
          <w:u w:val="single"/>
        </w:rPr>
        <w:t>IV. Recommended Strategies</w:t>
      </w:r>
    </w:p>
    <w:p w14:paraId="349C1BB4" w14:textId="5460FFBF" w:rsidR="00352EE3" w:rsidRDefault="00294525" w:rsidP="00294525">
      <w:pPr>
        <w:jc w:val="both"/>
        <w:rPr>
          <w:sz w:val="24"/>
          <w:szCs w:val="24"/>
        </w:rPr>
      </w:pPr>
      <w:r>
        <w:rPr>
          <w:sz w:val="24"/>
          <w:szCs w:val="24"/>
        </w:rPr>
        <w:t>It is our perception that a</w:t>
      </w:r>
      <w:r w:rsidR="003A5AB4">
        <w:rPr>
          <w:sz w:val="24"/>
          <w:szCs w:val="24"/>
        </w:rPr>
        <w:t xml:space="preserve"> network of built environment leaders</w:t>
      </w:r>
      <w:r w:rsidR="0044188C">
        <w:rPr>
          <w:sz w:val="24"/>
          <w:szCs w:val="24"/>
        </w:rPr>
        <w:t xml:space="preserve">, </w:t>
      </w:r>
      <w:r w:rsidR="003A5AB4">
        <w:rPr>
          <w:sz w:val="24"/>
          <w:szCs w:val="24"/>
        </w:rPr>
        <w:t>work</w:t>
      </w:r>
      <w:r w:rsidR="0044188C">
        <w:rPr>
          <w:sz w:val="24"/>
          <w:szCs w:val="24"/>
        </w:rPr>
        <w:t>ing</w:t>
      </w:r>
      <w:r w:rsidR="003A5AB4">
        <w:rPr>
          <w:sz w:val="24"/>
          <w:szCs w:val="24"/>
        </w:rPr>
        <w:t xml:space="preserve"> together to build </w:t>
      </w:r>
      <w:r w:rsidR="00102B6D">
        <w:rPr>
          <w:sz w:val="24"/>
          <w:szCs w:val="24"/>
        </w:rPr>
        <w:t xml:space="preserve">healthy </w:t>
      </w:r>
      <w:r w:rsidR="003A5AB4">
        <w:rPr>
          <w:sz w:val="24"/>
          <w:szCs w:val="24"/>
        </w:rPr>
        <w:t>places</w:t>
      </w:r>
      <w:r w:rsidR="00102B6D">
        <w:rPr>
          <w:sz w:val="24"/>
          <w:szCs w:val="24"/>
        </w:rPr>
        <w:t xml:space="preserve">, will </w:t>
      </w:r>
      <w:r>
        <w:rPr>
          <w:sz w:val="24"/>
          <w:szCs w:val="24"/>
        </w:rPr>
        <w:t xml:space="preserve">best </w:t>
      </w:r>
      <w:r w:rsidR="00102B6D">
        <w:rPr>
          <w:sz w:val="24"/>
          <w:szCs w:val="24"/>
        </w:rPr>
        <w:t>support communities across</w:t>
      </w:r>
      <w:r w:rsidR="003A5AB4">
        <w:rPr>
          <w:sz w:val="24"/>
          <w:szCs w:val="24"/>
        </w:rPr>
        <w:t xml:space="preserve"> Tennessee. Some </w:t>
      </w:r>
      <w:r w:rsidR="0044188C">
        <w:rPr>
          <w:sz w:val="24"/>
          <w:szCs w:val="24"/>
        </w:rPr>
        <w:t xml:space="preserve">of Tennessee’s </w:t>
      </w:r>
      <w:r w:rsidR="003A5AB4">
        <w:rPr>
          <w:sz w:val="24"/>
          <w:szCs w:val="24"/>
        </w:rPr>
        <w:t>communities are just starting out</w:t>
      </w:r>
      <w:r w:rsidR="0044188C">
        <w:rPr>
          <w:sz w:val="24"/>
          <w:szCs w:val="24"/>
        </w:rPr>
        <w:t xml:space="preserve">, while </w:t>
      </w:r>
      <w:r w:rsidR="001A314F">
        <w:rPr>
          <w:sz w:val="24"/>
          <w:szCs w:val="24"/>
        </w:rPr>
        <w:t>others are</w:t>
      </w:r>
      <w:r w:rsidR="003A5AB4">
        <w:rPr>
          <w:sz w:val="24"/>
          <w:szCs w:val="24"/>
        </w:rPr>
        <w:t xml:space="preserve"> leading the movement</w:t>
      </w:r>
      <w:r w:rsidR="0044188C">
        <w:rPr>
          <w:sz w:val="24"/>
          <w:szCs w:val="24"/>
        </w:rPr>
        <w:t xml:space="preserve"> </w:t>
      </w:r>
      <w:r w:rsidR="001A314F">
        <w:rPr>
          <w:sz w:val="24"/>
          <w:szCs w:val="24"/>
        </w:rPr>
        <w:t>nationwide. Every</w:t>
      </w:r>
      <w:r w:rsidR="00102B6D">
        <w:rPr>
          <w:sz w:val="24"/>
          <w:szCs w:val="24"/>
        </w:rPr>
        <w:t xml:space="preserve"> community</w:t>
      </w:r>
      <w:r w:rsidR="003A5AB4">
        <w:rPr>
          <w:sz w:val="24"/>
          <w:szCs w:val="24"/>
        </w:rPr>
        <w:t xml:space="preserve"> has something to share and something to learn. By bringing </w:t>
      </w:r>
      <w:r w:rsidR="0044188C">
        <w:rPr>
          <w:sz w:val="24"/>
          <w:szCs w:val="24"/>
        </w:rPr>
        <w:t xml:space="preserve">public </w:t>
      </w:r>
      <w:r w:rsidR="003A5AB4">
        <w:rPr>
          <w:sz w:val="24"/>
          <w:szCs w:val="24"/>
        </w:rPr>
        <w:t xml:space="preserve">health to the </w:t>
      </w:r>
      <w:r w:rsidR="0044188C">
        <w:rPr>
          <w:sz w:val="24"/>
          <w:szCs w:val="24"/>
        </w:rPr>
        <w:t xml:space="preserve">discussion as a partner </w:t>
      </w:r>
      <w:r w:rsidR="003A5AB4">
        <w:rPr>
          <w:sz w:val="24"/>
          <w:szCs w:val="24"/>
        </w:rPr>
        <w:t>in regional and local efforts</w:t>
      </w:r>
      <w:r w:rsidR="0044188C">
        <w:rPr>
          <w:sz w:val="24"/>
          <w:szCs w:val="24"/>
        </w:rPr>
        <w:t>,</w:t>
      </w:r>
      <w:r w:rsidR="003A5AB4">
        <w:rPr>
          <w:sz w:val="24"/>
          <w:szCs w:val="24"/>
        </w:rPr>
        <w:t xml:space="preserve"> we will begin to leverage resources and support for policies, systems and environments that make the healthy choice the easy choice for all Tennesseans. </w:t>
      </w:r>
      <w:r w:rsidR="00102B6D">
        <w:rPr>
          <w:sz w:val="24"/>
          <w:szCs w:val="24"/>
        </w:rPr>
        <w:t>This approach</w:t>
      </w:r>
      <w:r w:rsidR="003A5AB4">
        <w:rPr>
          <w:sz w:val="24"/>
          <w:szCs w:val="24"/>
        </w:rPr>
        <w:t xml:space="preserve"> </w:t>
      </w:r>
      <w:r w:rsidR="0044188C">
        <w:rPr>
          <w:sz w:val="24"/>
          <w:szCs w:val="24"/>
        </w:rPr>
        <w:t xml:space="preserve">includes six </w:t>
      </w:r>
      <w:r w:rsidR="001A314F">
        <w:rPr>
          <w:sz w:val="24"/>
          <w:szCs w:val="24"/>
        </w:rPr>
        <w:t>strategies,</w:t>
      </w:r>
      <w:r w:rsidR="003A5AB4">
        <w:rPr>
          <w:sz w:val="24"/>
          <w:szCs w:val="24"/>
        </w:rPr>
        <w:t xml:space="preserve"> each support</w:t>
      </w:r>
      <w:r w:rsidR="0044188C">
        <w:rPr>
          <w:sz w:val="24"/>
          <w:szCs w:val="24"/>
        </w:rPr>
        <w:t>ing</w:t>
      </w:r>
      <w:r w:rsidR="003A5AB4">
        <w:rPr>
          <w:sz w:val="24"/>
          <w:szCs w:val="24"/>
        </w:rPr>
        <w:t xml:space="preserve"> the others. All are essential </w:t>
      </w:r>
      <w:r w:rsidR="00102B6D">
        <w:rPr>
          <w:sz w:val="24"/>
          <w:szCs w:val="24"/>
        </w:rPr>
        <w:t xml:space="preserve">to </w:t>
      </w:r>
      <w:r w:rsidR="003A5AB4">
        <w:rPr>
          <w:sz w:val="24"/>
          <w:szCs w:val="24"/>
        </w:rPr>
        <w:t xml:space="preserve">success.  </w:t>
      </w:r>
    </w:p>
    <w:p w14:paraId="5D3BACED" w14:textId="5B0BE7B7" w:rsidR="00352EE3" w:rsidRPr="00294525" w:rsidRDefault="00294525" w:rsidP="0025639E">
      <w:pPr>
        <w:jc w:val="both"/>
        <w:rPr>
          <w:b/>
          <w:color w:val="1F497D" w:themeColor="text2"/>
          <w:sz w:val="24"/>
          <w:szCs w:val="24"/>
          <w:u w:val="single"/>
        </w:rPr>
      </w:pPr>
      <w:r w:rsidRPr="00294525">
        <w:rPr>
          <w:b/>
          <w:color w:val="1F497D" w:themeColor="text2"/>
          <w:sz w:val="24"/>
          <w:szCs w:val="24"/>
          <w:u w:val="single"/>
        </w:rPr>
        <w:lastRenderedPageBreak/>
        <w:t xml:space="preserve">Strategy 1: </w:t>
      </w:r>
      <w:r w:rsidR="00352EE3" w:rsidRPr="00294525">
        <w:rPr>
          <w:b/>
          <w:color w:val="1F497D" w:themeColor="text2"/>
          <w:sz w:val="24"/>
          <w:szCs w:val="24"/>
          <w:u w:val="single"/>
        </w:rPr>
        <w:t>Leadership and Governance</w:t>
      </w:r>
    </w:p>
    <w:p w14:paraId="5565EB8B" w14:textId="2A03CBDC" w:rsidR="00352EE3" w:rsidRDefault="00063C3B" w:rsidP="0025639E">
      <w:pPr>
        <w:jc w:val="both"/>
        <w:rPr>
          <w:sz w:val="24"/>
          <w:szCs w:val="24"/>
        </w:rPr>
      </w:pPr>
      <w:r>
        <w:rPr>
          <w:sz w:val="24"/>
          <w:szCs w:val="24"/>
        </w:rPr>
        <w:t xml:space="preserve">Currently there is no </w:t>
      </w:r>
      <w:r w:rsidR="0044188C">
        <w:rPr>
          <w:sz w:val="24"/>
          <w:szCs w:val="24"/>
        </w:rPr>
        <w:t xml:space="preserve">designated </w:t>
      </w:r>
      <w:r w:rsidR="00102B6D">
        <w:rPr>
          <w:sz w:val="24"/>
          <w:szCs w:val="24"/>
        </w:rPr>
        <w:t xml:space="preserve">leader or </w:t>
      </w:r>
      <w:r w:rsidR="0044188C">
        <w:rPr>
          <w:sz w:val="24"/>
          <w:szCs w:val="24"/>
        </w:rPr>
        <w:t xml:space="preserve">staff to support </w:t>
      </w:r>
      <w:r>
        <w:rPr>
          <w:sz w:val="24"/>
          <w:szCs w:val="24"/>
        </w:rPr>
        <w:t xml:space="preserve">Built Environment </w:t>
      </w:r>
      <w:r w:rsidR="0044188C">
        <w:rPr>
          <w:sz w:val="24"/>
          <w:szCs w:val="24"/>
        </w:rPr>
        <w:t xml:space="preserve">initiatives </w:t>
      </w:r>
      <w:r>
        <w:rPr>
          <w:sz w:val="24"/>
          <w:szCs w:val="24"/>
        </w:rPr>
        <w:t xml:space="preserve">at the Tennessee Department of Health. There are, however, portions of TDH that support built environment projects and programs across the state. Without designated staff, focused on a long term strategic goals for built environment, little can be done to accomplish broad policy, systems or environment change. In addition, there are very few staff </w:t>
      </w:r>
      <w:r w:rsidR="001A314F">
        <w:rPr>
          <w:sz w:val="24"/>
          <w:szCs w:val="24"/>
        </w:rPr>
        <w:t>positions at</w:t>
      </w:r>
      <w:r>
        <w:rPr>
          <w:sz w:val="24"/>
          <w:szCs w:val="24"/>
        </w:rPr>
        <w:t xml:space="preserve"> local or regional health departments</w:t>
      </w:r>
      <w:r w:rsidR="00102B6D">
        <w:rPr>
          <w:sz w:val="24"/>
          <w:szCs w:val="24"/>
        </w:rPr>
        <w:t xml:space="preserve"> in </w:t>
      </w:r>
      <w:r w:rsidR="001A314F">
        <w:rPr>
          <w:sz w:val="24"/>
          <w:szCs w:val="24"/>
        </w:rPr>
        <w:t>Tennessee who</w:t>
      </w:r>
      <w:r>
        <w:rPr>
          <w:sz w:val="24"/>
          <w:szCs w:val="24"/>
        </w:rPr>
        <w:t xml:space="preserve"> focus on</w:t>
      </w:r>
      <w:r w:rsidR="00AD6EDB">
        <w:rPr>
          <w:sz w:val="24"/>
          <w:szCs w:val="24"/>
        </w:rPr>
        <w:t xml:space="preserve"> Policy, Systems and Environment</w:t>
      </w:r>
      <w:r>
        <w:rPr>
          <w:sz w:val="24"/>
          <w:szCs w:val="24"/>
        </w:rPr>
        <w:t xml:space="preserve"> change. Capacity is limited in most county health departments to accept, train and support built environment professionals focused on prevention, planning and policy.</w:t>
      </w:r>
    </w:p>
    <w:p w14:paraId="420A1F78" w14:textId="480F1505" w:rsidR="007C1D6F" w:rsidRPr="00427FD0" w:rsidRDefault="00063C3B" w:rsidP="0025639E">
      <w:pPr>
        <w:jc w:val="both"/>
        <w:rPr>
          <w:b/>
          <w:i/>
          <w:color w:val="1F497D" w:themeColor="text2"/>
          <w:sz w:val="24"/>
          <w:szCs w:val="24"/>
        </w:rPr>
      </w:pPr>
      <w:r w:rsidRPr="00427FD0">
        <w:rPr>
          <w:b/>
          <w:i/>
          <w:color w:val="1F497D" w:themeColor="text2"/>
          <w:sz w:val="24"/>
          <w:szCs w:val="24"/>
        </w:rPr>
        <w:t xml:space="preserve">A </w:t>
      </w:r>
      <w:r w:rsidR="00427FD0">
        <w:rPr>
          <w:b/>
          <w:i/>
          <w:color w:val="1F497D" w:themeColor="text2"/>
          <w:sz w:val="24"/>
          <w:szCs w:val="24"/>
        </w:rPr>
        <w:t xml:space="preserve">TDH </w:t>
      </w:r>
      <w:r w:rsidRPr="00427FD0">
        <w:rPr>
          <w:b/>
          <w:i/>
          <w:color w:val="1F497D" w:themeColor="text2"/>
          <w:sz w:val="24"/>
          <w:szCs w:val="24"/>
        </w:rPr>
        <w:t>leader</w:t>
      </w:r>
      <w:r w:rsidR="00427FD0" w:rsidRPr="00427FD0">
        <w:rPr>
          <w:b/>
          <w:i/>
          <w:color w:val="1F497D" w:themeColor="text2"/>
          <w:sz w:val="24"/>
          <w:szCs w:val="24"/>
        </w:rPr>
        <w:t>,</w:t>
      </w:r>
      <w:r w:rsidR="00A86995" w:rsidRPr="00427FD0">
        <w:rPr>
          <w:b/>
          <w:i/>
          <w:color w:val="1F497D" w:themeColor="text2"/>
          <w:sz w:val="24"/>
          <w:szCs w:val="24"/>
        </w:rPr>
        <w:t xml:space="preserve"> with the ability to make decisions at the </w:t>
      </w:r>
      <w:r w:rsidR="00427FD0" w:rsidRPr="00427FD0">
        <w:rPr>
          <w:b/>
          <w:i/>
          <w:color w:val="1F497D" w:themeColor="text2"/>
          <w:sz w:val="24"/>
          <w:szCs w:val="24"/>
        </w:rPr>
        <w:t>executive</w:t>
      </w:r>
      <w:r w:rsidR="00A86995" w:rsidRPr="00427FD0">
        <w:rPr>
          <w:b/>
          <w:i/>
          <w:color w:val="1F497D" w:themeColor="text2"/>
          <w:sz w:val="24"/>
          <w:szCs w:val="24"/>
        </w:rPr>
        <w:t xml:space="preserve"> level</w:t>
      </w:r>
      <w:r w:rsidR="0044188C" w:rsidRPr="00427FD0">
        <w:rPr>
          <w:b/>
          <w:i/>
          <w:color w:val="1F497D" w:themeColor="text2"/>
          <w:sz w:val="24"/>
          <w:szCs w:val="24"/>
        </w:rPr>
        <w:t>,</w:t>
      </w:r>
      <w:r w:rsidRPr="00427FD0">
        <w:rPr>
          <w:b/>
          <w:i/>
          <w:color w:val="1F497D" w:themeColor="text2"/>
          <w:sz w:val="24"/>
          <w:szCs w:val="24"/>
        </w:rPr>
        <w:t xml:space="preserve"> </w:t>
      </w:r>
      <w:r w:rsidR="00A86995" w:rsidRPr="00A937A4">
        <w:rPr>
          <w:sz w:val="24"/>
          <w:szCs w:val="24"/>
        </w:rPr>
        <w:t xml:space="preserve">is needed </w:t>
      </w:r>
      <w:r w:rsidR="0044188C" w:rsidRPr="00A937A4">
        <w:rPr>
          <w:sz w:val="24"/>
          <w:szCs w:val="24"/>
        </w:rPr>
        <w:t>to</w:t>
      </w:r>
      <w:r w:rsidRPr="00A937A4">
        <w:rPr>
          <w:sz w:val="24"/>
          <w:szCs w:val="24"/>
        </w:rPr>
        <w:t xml:space="preserve"> drive forward a vision for built environment strategies</w:t>
      </w:r>
      <w:r w:rsidR="007C1D6F" w:rsidRPr="00A937A4">
        <w:rPr>
          <w:sz w:val="24"/>
          <w:szCs w:val="24"/>
        </w:rPr>
        <w:t xml:space="preserve">, and </w:t>
      </w:r>
      <w:r w:rsidR="00A86995" w:rsidRPr="00A937A4">
        <w:rPr>
          <w:sz w:val="24"/>
          <w:szCs w:val="24"/>
        </w:rPr>
        <w:t>could</w:t>
      </w:r>
      <w:r w:rsidR="007C1D6F" w:rsidRPr="00A937A4">
        <w:rPr>
          <w:sz w:val="24"/>
          <w:szCs w:val="24"/>
        </w:rPr>
        <w:t xml:space="preserve"> serve as a member </w:t>
      </w:r>
      <w:r w:rsidR="00427FD0" w:rsidRPr="00A937A4">
        <w:rPr>
          <w:sz w:val="24"/>
          <w:szCs w:val="24"/>
        </w:rPr>
        <w:t xml:space="preserve">and / or facilitator </w:t>
      </w:r>
      <w:r w:rsidR="007C1D6F" w:rsidRPr="00A937A4">
        <w:rPr>
          <w:sz w:val="24"/>
          <w:szCs w:val="24"/>
        </w:rPr>
        <w:t>of an</w:t>
      </w:r>
      <w:r w:rsidR="007C1D6F" w:rsidRPr="00A937A4">
        <w:rPr>
          <w:b/>
          <w:sz w:val="24"/>
          <w:szCs w:val="24"/>
        </w:rPr>
        <w:t xml:space="preserve"> </w:t>
      </w:r>
      <w:r w:rsidR="007C1D6F" w:rsidRPr="00427FD0">
        <w:rPr>
          <w:b/>
          <w:i/>
          <w:color w:val="1F497D" w:themeColor="text2"/>
          <w:sz w:val="24"/>
          <w:szCs w:val="24"/>
        </w:rPr>
        <w:t>interagency “livability task force” to coordinate and align efforts among state agencies</w:t>
      </w:r>
      <w:r w:rsidRPr="00427FD0">
        <w:rPr>
          <w:b/>
          <w:i/>
          <w:color w:val="1F497D" w:themeColor="text2"/>
          <w:sz w:val="24"/>
          <w:szCs w:val="24"/>
        </w:rPr>
        <w:t xml:space="preserve">. </w:t>
      </w:r>
    </w:p>
    <w:p w14:paraId="19660E9F" w14:textId="1F1B0FD6" w:rsidR="00063C3B" w:rsidRDefault="0044188C" w:rsidP="0025639E">
      <w:pPr>
        <w:jc w:val="both"/>
        <w:rPr>
          <w:sz w:val="24"/>
          <w:szCs w:val="24"/>
        </w:rPr>
      </w:pPr>
      <w:r>
        <w:rPr>
          <w:sz w:val="24"/>
          <w:szCs w:val="24"/>
        </w:rPr>
        <w:t>Ideally, t</w:t>
      </w:r>
      <w:r w:rsidR="00063C3B">
        <w:rPr>
          <w:sz w:val="24"/>
          <w:szCs w:val="24"/>
        </w:rPr>
        <w:t xml:space="preserve">his </w:t>
      </w:r>
      <w:r w:rsidR="00A86995">
        <w:rPr>
          <w:sz w:val="24"/>
          <w:szCs w:val="24"/>
        </w:rPr>
        <w:t>director</w:t>
      </w:r>
      <w:r>
        <w:rPr>
          <w:sz w:val="24"/>
          <w:szCs w:val="24"/>
        </w:rPr>
        <w:t xml:space="preserve"> </w:t>
      </w:r>
      <w:r w:rsidR="00063C3B">
        <w:rPr>
          <w:sz w:val="24"/>
          <w:szCs w:val="24"/>
        </w:rPr>
        <w:t xml:space="preserve">should be supported by </w:t>
      </w:r>
      <w:r w:rsidR="00063C3B" w:rsidRPr="00427FD0">
        <w:rPr>
          <w:b/>
          <w:i/>
          <w:color w:val="1F497D" w:themeColor="text2"/>
          <w:sz w:val="24"/>
          <w:szCs w:val="24"/>
        </w:rPr>
        <w:t>8-10 program manage</w:t>
      </w:r>
      <w:r w:rsidRPr="00427FD0">
        <w:rPr>
          <w:b/>
          <w:i/>
          <w:color w:val="1F497D" w:themeColor="text2"/>
          <w:sz w:val="24"/>
          <w:szCs w:val="24"/>
        </w:rPr>
        <w:t>ment</w:t>
      </w:r>
      <w:r w:rsidR="00063C3B" w:rsidRPr="00427FD0">
        <w:rPr>
          <w:b/>
          <w:i/>
          <w:color w:val="1F497D" w:themeColor="text2"/>
          <w:sz w:val="24"/>
          <w:szCs w:val="24"/>
        </w:rPr>
        <w:t xml:space="preserve"> staff, </w:t>
      </w:r>
      <w:r w:rsidRPr="00427FD0">
        <w:rPr>
          <w:b/>
          <w:i/>
          <w:color w:val="1F497D" w:themeColor="text2"/>
          <w:sz w:val="24"/>
          <w:szCs w:val="24"/>
        </w:rPr>
        <w:t xml:space="preserve">located </w:t>
      </w:r>
      <w:r w:rsidR="00063C3B" w:rsidRPr="00427FD0">
        <w:rPr>
          <w:b/>
          <w:i/>
          <w:color w:val="1F497D" w:themeColor="text2"/>
          <w:sz w:val="24"/>
          <w:szCs w:val="24"/>
        </w:rPr>
        <w:t xml:space="preserve">across the state, </w:t>
      </w:r>
      <w:r w:rsidRPr="00427FD0">
        <w:rPr>
          <w:b/>
          <w:i/>
          <w:color w:val="1F497D" w:themeColor="text2"/>
          <w:sz w:val="24"/>
          <w:szCs w:val="24"/>
        </w:rPr>
        <w:t xml:space="preserve">housed </w:t>
      </w:r>
      <w:r w:rsidR="00063C3B" w:rsidRPr="00427FD0">
        <w:rPr>
          <w:b/>
          <w:i/>
          <w:color w:val="1F497D" w:themeColor="text2"/>
          <w:sz w:val="24"/>
          <w:szCs w:val="24"/>
        </w:rPr>
        <w:t>at regional and metro health department</w:t>
      </w:r>
      <w:r w:rsidRPr="00427FD0">
        <w:rPr>
          <w:b/>
          <w:i/>
          <w:color w:val="1F497D" w:themeColor="text2"/>
          <w:sz w:val="24"/>
          <w:szCs w:val="24"/>
        </w:rPr>
        <w:t>s</w:t>
      </w:r>
      <w:r w:rsidR="00063C3B">
        <w:rPr>
          <w:sz w:val="24"/>
          <w:szCs w:val="24"/>
        </w:rPr>
        <w:t>.</w:t>
      </w:r>
      <w:r w:rsidR="00A86995">
        <w:rPr>
          <w:sz w:val="24"/>
          <w:szCs w:val="24"/>
        </w:rPr>
        <w:t xml:space="preserve"> </w:t>
      </w:r>
      <w:r w:rsidR="00063C3B">
        <w:rPr>
          <w:sz w:val="24"/>
          <w:szCs w:val="24"/>
        </w:rPr>
        <w:t xml:space="preserve">It is possible that </w:t>
      </w:r>
      <w:r w:rsidR="00A86995">
        <w:rPr>
          <w:sz w:val="24"/>
          <w:szCs w:val="24"/>
        </w:rPr>
        <w:t xml:space="preserve">qualified regional coordinators </w:t>
      </w:r>
      <w:r w:rsidR="001A314F">
        <w:rPr>
          <w:sz w:val="24"/>
          <w:szCs w:val="24"/>
        </w:rPr>
        <w:t>already exist</w:t>
      </w:r>
      <w:r w:rsidR="00063C3B">
        <w:rPr>
          <w:sz w:val="24"/>
          <w:szCs w:val="24"/>
        </w:rPr>
        <w:t xml:space="preserve"> in some capacity. Regional built environment staff </w:t>
      </w:r>
      <w:r w:rsidR="00A86995">
        <w:rPr>
          <w:sz w:val="24"/>
          <w:szCs w:val="24"/>
        </w:rPr>
        <w:t>could be responsible</w:t>
      </w:r>
      <w:r w:rsidR="00063C3B">
        <w:rPr>
          <w:sz w:val="24"/>
          <w:szCs w:val="24"/>
        </w:rPr>
        <w:t xml:space="preserve"> for </w:t>
      </w:r>
      <w:r w:rsidR="00913B91">
        <w:rPr>
          <w:sz w:val="24"/>
          <w:szCs w:val="24"/>
        </w:rPr>
        <w:t xml:space="preserve">networking </w:t>
      </w:r>
      <w:r>
        <w:rPr>
          <w:sz w:val="24"/>
          <w:szCs w:val="24"/>
        </w:rPr>
        <w:t>and</w:t>
      </w:r>
      <w:r w:rsidR="00913B91">
        <w:rPr>
          <w:sz w:val="24"/>
          <w:szCs w:val="24"/>
        </w:rPr>
        <w:t xml:space="preserve"> </w:t>
      </w:r>
      <w:r w:rsidR="001A314F">
        <w:rPr>
          <w:sz w:val="24"/>
          <w:szCs w:val="24"/>
        </w:rPr>
        <w:t>collaborating</w:t>
      </w:r>
      <w:r w:rsidR="00063C3B">
        <w:rPr>
          <w:sz w:val="24"/>
          <w:szCs w:val="24"/>
        </w:rPr>
        <w:t xml:space="preserve"> with </w:t>
      </w:r>
      <w:r w:rsidR="001A314F">
        <w:rPr>
          <w:sz w:val="24"/>
          <w:szCs w:val="24"/>
        </w:rPr>
        <w:t>stakeholders at</w:t>
      </w:r>
      <w:r w:rsidR="00A86995">
        <w:rPr>
          <w:sz w:val="24"/>
          <w:szCs w:val="24"/>
        </w:rPr>
        <w:t xml:space="preserve"> a regional level </w:t>
      </w:r>
      <w:r>
        <w:rPr>
          <w:sz w:val="24"/>
          <w:szCs w:val="24"/>
        </w:rPr>
        <w:t>to develop and sustain</w:t>
      </w:r>
      <w:r w:rsidR="00063C3B">
        <w:rPr>
          <w:sz w:val="24"/>
          <w:szCs w:val="24"/>
        </w:rPr>
        <w:t xml:space="preserve"> projects and programs in their regions. There is a current precedent in the state for regional staff sup</w:t>
      </w:r>
      <w:r w:rsidR="006B60E6">
        <w:rPr>
          <w:sz w:val="24"/>
          <w:szCs w:val="24"/>
        </w:rPr>
        <w:t xml:space="preserve">port for strategic initiatives. Regional staff positions exist for built environment projects within </w:t>
      </w:r>
      <w:r>
        <w:rPr>
          <w:sz w:val="24"/>
          <w:szCs w:val="24"/>
        </w:rPr>
        <w:t>the departments of</w:t>
      </w:r>
      <w:r w:rsidR="006B60E6">
        <w:rPr>
          <w:sz w:val="24"/>
          <w:szCs w:val="24"/>
        </w:rPr>
        <w:t xml:space="preserve"> transportation, environment, and </w:t>
      </w:r>
      <w:r>
        <w:rPr>
          <w:sz w:val="24"/>
          <w:szCs w:val="24"/>
        </w:rPr>
        <w:t>economic and community development</w:t>
      </w:r>
      <w:r w:rsidR="006B60E6">
        <w:rPr>
          <w:sz w:val="24"/>
          <w:szCs w:val="24"/>
        </w:rPr>
        <w:t xml:space="preserve">. Collaboration </w:t>
      </w:r>
      <w:r>
        <w:rPr>
          <w:sz w:val="24"/>
          <w:szCs w:val="24"/>
        </w:rPr>
        <w:t xml:space="preserve">among these agency staff </w:t>
      </w:r>
      <w:r w:rsidR="006B60E6">
        <w:rPr>
          <w:sz w:val="24"/>
          <w:szCs w:val="24"/>
        </w:rPr>
        <w:t>should occur at the regional level</w:t>
      </w:r>
      <w:r>
        <w:rPr>
          <w:sz w:val="24"/>
          <w:szCs w:val="24"/>
        </w:rPr>
        <w:t>,</w:t>
      </w:r>
      <w:r w:rsidR="006B60E6">
        <w:rPr>
          <w:sz w:val="24"/>
          <w:szCs w:val="24"/>
        </w:rPr>
        <w:t xml:space="preserve"> to move built environment projects forward. </w:t>
      </w:r>
    </w:p>
    <w:p w14:paraId="7B4B9CEF" w14:textId="700D6647" w:rsidR="006B60E6" w:rsidRDefault="006B60E6" w:rsidP="0025639E">
      <w:pPr>
        <w:jc w:val="both"/>
        <w:rPr>
          <w:sz w:val="24"/>
          <w:szCs w:val="24"/>
        </w:rPr>
      </w:pPr>
      <w:r>
        <w:rPr>
          <w:sz w:val="24"/>
          <w:szCs w:val="24"/>
        </w:rPr>
        <w:t xml:space="preserve">With a state director for built environment and regional staff managers, there is an opportunity </w:t>
      </w:r>
      <w:r w:rsidR="0044188C">
        <w:rPr>
          <w:sz w:val="24"/>
          <w:szCs w:val="24"/>
        </w:rPr>
        <w:t xml:space="preserve">to </w:t>
      </w:r>
      <w:r w:rsidR="007C1D6F">
        <w:rPr>
          <w:sz w:val="24"/>
          <w:szCs w:val="24"/>
        </w:rPr>
        <w:t>support both</w:t>
      </w:r>
      <w:r w:rsidR="0044188C">
        <w:rPr>
          <w:sz w:val="24"/>
          <w:szCs w:val="24"/>
        </w:rPr>
        <w:t xml:space="preserve"> </w:t>
      </w:r>
      <w:r w:rsidR="001A314F">
        <w:rPr>
          <w:sz w:val="24"/>
          <w:szCs w:val="24"/>
        </w:rPr>
        <w:t>state level</w:t>
      </w:r>
      <w:r w:rsidR="00A86995">
        <w:rPr>
          <w:sz w:val="24"/>
          <w:szCs w:val="24"/>
        </w:rPr>
        <w:t xml:space="preserve"> </w:t>
      </w:r>
      <w:r>
        <w:rPr>
          <w:sz w:val="24"/>
          <w:szCs w:val="24"/>
        </w:rPr>
        <w:t>and regionally</w:t>
      </w:r>
      <w:r w:rsidR="00A86995">
        <w:rPr>
          <w:sz w:val="24"/>
          <w:szCs w:val="24"/>
        </w:rPr>
        <w:t>-</w:t>
      </w:r>
      <w:r>
        <w:rPr>
          <w:sz w:val="24"/>
          <w:szCs w:val="24"/>
        </w:rPr>
        <w:t xml:space="preserve">focused livability teams, </w:t>
      </w:r>
      <w:r w:rsidR="00A86995">
        <w:rPr>
          <w:sz w:val="24"/>
          <w:szCs w:val="24"/>
        </w:rPr>
        <w:t xml:space="preserve">charged </w:t>
      </w:r>
      <w:r w:rsidR="001A314F">
        <w:rPr>
          <w:sz w:val="24"/>
          <w:szCs w:val="24"/>
        </w:rPr>
        <w:t>with aligning</w:t>
      </w:r>
      <w:r w:rsidR="0044188C">
        <w:rPr>
          <w:sz w:val="24"/>
          <w:szCs w:val="24"/>
        </w:rPr>
        <w:t xml:space="preserve"> and </w:t>
      </w:r>
      <w:r>
        <w:rPr>
          <w:sz w:val="24"/>
          <w:szCs w:val="24"/>
        </w:rPr>
        <w:t>leverag</w:t>
      </w:r>
      <w:r w:rsidR="00A86995">
        <w:rPr>
          <w:sz w:val="24"/>
          <w:szCs w:val="24"/>
        </w:rPr>
        <w:t>ing</w:t>
      </w:r>
      <w:r>
        <w:rPr>
          <w:sz w:val="24"/>
          <w:szCs w:val="24"/>
        </w:rPr>
        <w:t xml:space="preserve"> resources </w:t>
      </w:r>
      <w:r w:rsidR="0044188C">
        <w:rPr>
          <w:sz w:val="24"/>
          <w:szCs w:val="24"/>
        </w:rPr>
        <w:t xml:space="preserve">to </w:t>
      </w:r>
      <w:r>
        <w:rPr>
          <w:sz w:val="24"/>
          <w:szCs w:val="24"/>
        </w:rPr>
        <w:t xml:space="preserve">support mutually beneficial projects and programs. </w:t>
      </w:r>
    </w:p>
    <w:p w14:paraId="1ED07F5A" w14:textId="77777777" w:rsidR="006B60E6" w:rsidRDefault="006B60E6" w:rsidP="0025639E">
      <w:pPr>
        <w:jc w:val="both"/>
        <w:rPr>
          <w:sz w:val="24"/>
          <w:szCs w:val="24"/>
          <w:u w:val="single"/>
        </w:rPr>
      </w:pPr>
    </w:p>
    <w:p w14:paraId="3FB2635B" w14:textId="222EE1E6" w:rsidR="00352EE3" w:rsidRPr="00427FD0" w:rsidRDefault="00427FD0" w:rsidP="0025639E">
      <w:pPr>
        <w:jc w:val="both"/>
        <w:rPr>
          <w:b/>
          <w:color w:val="1F497D" w:themeColor="text2"/>
          <w:sz w:val="24"/>
          <w:szCs w:val="24"/>
          <w:u w:val="single"/>
        </w:rPr>
      </w:pPr>
      <w:r w:rsidRPr="00427FD0">
        <w:rPr>
          <w:b/>
          <w:color w:val="1F497D" w:themeColor="text2"/>
          <w:sz w:val="24"/>
          <w:szCs w:val="24"/>
          <w:u w:val="single"/>
        </w:rPr>
        <w:t xml:space="preserve">Strategy 2: </w:t>
      </w:r>
      <w:r w:rsidR="00352EE3" w:rsidRPr="00427FD0">
        <w:rPr>
          <w:b/>
          <w:color w:val="1F497D" w:themeColor="text2"/>
          <w:sz w:val="24"/>
          <w:szCs w:val="24"/>
          <w:u w:val="single"/>
        </w:rPr>
        <w:t>Policy</w:t>
      </w:r>
    </w:p>
    <w:p w14:paraId="4E55C903" w14:textId="111F8AAE" w:rsidR="00427FD0" w:rsidRDefault="008D3674" w:rsidP="0025639E">
      <w:pPr>
        <w:jc w:val="both"/>
        <w:rPr>
          <w:sz w:val="24"/>
          <w:szCs w:val="24"/>
        </w:rPr>
      </w:pPr>
      <w:r>
        <w:rPr>
          <w:sz w:val="24"/>
          <w:szCs w:val="24"/>
        </w:rPr>
        <w:t xml:space="preserve">Built environment projects and programs have a short term impact if they are not </w:t>
      </w:r>
      <w:r w:rsidR="0044188C">
        <w:rPr>
          <w:sz w:val="24"/>
          <w:szCs w:val="24"/>
        </w:rPr>
        <w:t>integrated with</w:t>
      </w:r>
      <w:r>
        <w:rPr>
          <w:sz w:val="24"/>
          <w:szCs w:val="24"/>
        </w:rPr>
        <w:t xml:space="preserve"> policies </w:t>
      </w:r>
      <w:r w:rsidR="0044188C">
        <w:rPr>
          <w:sz w:val="24"/>
          <w:szCs w:val="24"/>
        </w:rPr>
        <w:t xml:space="preserve">established by governmental entities. </w:t>
      </w:r>
      <w:r>
        <w:rPr>
          <w:sz w:val="24"/>
          <w:szCs w:val="24"/>
        </w:rPr>
        <w:t xml:space="preserve">To ensure sustainability, governments, partners and communities will need to support, implement and enforce built environment policies that positively </w:t>
      </w:r>
      <w:r w:rsidR="00A86995">
        <w:rPr>
          <w:sz w:val="24"/>
          <w:szCs w:val="24"/>
        </w:rPr>
        <w:t xml:space="preserve">impact </w:t>
      </w:r>
      <w:r>
        <w:rPr>
          <w:sz w:val="24"/>
          <w:szCs w:val="24"/>
        </w:rPr>
        <w:t xml:space="preserve">community health. </w:t>
      </w:r>
      <w:r w:rsidR="00427FD0">
        <w:rPr>
          <w:sz w:val="24"/>
          <w:szCs w:val="24"/>
        </w:rPr>
        <w:t xml:space="preserve">The Governor’s program for Customer-Focused Government has begun the work of examining how each state agency addresses health through its policies, as well as its programs and infrastructure; the information arising from the work could not only provide a framework for state-level policy development and implementation to </w:t>
      </w:r>
      <w:r w:rsidR="00427FD0" w:rsidRPr="00427FD0">
        <w:rPr>
          <w:b/>
          <w:i/>
          <w:color w:val="1F497D" w:themeColor="text2"/>
          <w:sz w:val="24"/>
          <w:szCs w:val="24"/>
        </w:rPr>
        <w:t xml:space="preserve">promote “health </w:t>
      </w:r>
      <w:r w:rsidR="00427FD0" w:rsidRPr="00427FD0">
        <w:rPr>
          <w:b/>
          <w:i/>
          <w:color w:val="1F497D" w:themeColor="text2"/>
          <w:sz w:val="24"/>
          <w:szCs w:val="24"/>
        </w:rPr>
        <w:lastRenderedPageBreak/>
        <w:t>in all policies,</w:t>
      </w:r>
      <w:r w:rsidR="00427FD0">
        <w:rPr>
          <w:sz w:val="24"/>
          <w:szCs w:val="24"/>
        </w:rPr>
        <w:t>” but could also serve as a model for governmental entities at local, county and regional levels.</w:t>
      </w:r>
    </w:p>
    <w:p w14:paraId="399A74B9" w14:textId="38266DAD" w:rsidR="00352EE3" w:rsidRPr="008D3674" w:rsidRDefault="008D3674" w:rsidP="0025639E">
      <w:pPr>
        <w:jc w:val="both"/>
        <w:rPr>
          <w:sz w:val="24"/>
          <w:szCs w:val="24"/>
        </w:rPr>
      </w:pPr>
      <w:r>
        <w:rPr>
          <w:sz w:val="24"/>
          <w:szCs w:val="24"/>
        </w:rPr>
        <w:t xml:space="preserve">Often there is little </w:t>
      </w:r>
      <w:r w:rsidR="00EC04DF">
        <w:rPr>
          <w:sz w:val="24"/>
          <w:szCs w:val="24"/>
        </w:rPr>
        <w:t xml:space="preserve">model </w:t>
      </w:r>
      <w:r>
        <w:rPr>
          <w:sz w:val="24"/>
          <w:szCs w:val="24"/>
        </w:rPr>
        <w:t xml:space="preserve">language or evidence readily available to policy makers </w:t>
      </w:r>
      <w:r w:rsidR="00EC04DF">
        <w:rPr>
          <w:sz w:val="24"/>
          <w:szCs w:val="24"/>
        </w:rPr>
        <w:t>when considering or adopting</w:t>
      </w:r>
      <w:r>
        <w:rPr>
          <w:sz w:val="24"/>
          <w:szCs w:val="24"/>
        </w:rPr>
        <w:t xml:space="preserve"> </w:t>
      </w:r>
      <w:r w:rsidR="00EC04DF">
        <w:rPr>
          <w:sz w:val="24"/>
          <w:szCs w:val="24"/>
        </w:rPr>
        <w:t xml:space="preserve">policy </w:t>
      </w:r>
      <w:r>
        <w:rPr>
          <w:sz w:val="24"/>
          <w:szCs w:val="24"/>
        </w:rPr>
        <w:t xml:space="preserve">changes. A list of </w:t>
      </w:r>
      <w:r w:rsidRPr="00427FD0">
        <w:rPr>
          <w:b/>
          <w:i/>
          <w:color w:val="1F497D" w:themeColor="text2"/>
          <w:sz w:val="24"/>
          <w:szCs w:val="24"/>
        </w:rPr>
        <w:t>effective policy examples</w:t>
      </w:r>
      <w:r w:rsidRPr="00427FD0">
        <w:rPr>
          <w:color w:val="1F497D" w:themeColor="text2"/>
          <w:sz w:val="24"/>
          <w:szCs w:val="24"/>
        </w:rPr>
        <w:t xml:space="preserve"> </w:t>
      </w:r>
      <w:r>
        <w:rPr>
          <w:sz w:val="24"/>
          <w:szCs w:val="24"/>
        </w:rPr>
        <w:t>is needed to share evidence</w:t>
      </w:r>
      <w:r w:rsidR="00EC04DF">
        <w:rPr>
          <w:sz w:val="24"/>
          <w:szCs w:val="24"/>
        </w:rPr>
        <w:t>-</w:t>
      </w:r>
      <w:r>
        <w:rPr>
          <w:sz w:val="24"/>
          <w:szCs w:val="24"/>
        </w:rPr>
        <w:t>based practices with policy</w:t>
      </w:r>
      <w:r w:rsidR="00427FD0">
        <w:rPr>
          <w:sz w:val="24"/>
          <w:szCs w:val="24"/>
        </w:rPr>
        <w:t>-</w:t>
      </w:r>
      <w:r>
        <w:rPr>
          <w:sz w:val="24"/>
          <w:szCs w:val="24"/>
        </w:rPr>
        <w:t xml:space="preserve">makers </w:t>
      </w:r>
      <w:r w:rsidR="00427FD0">
        <w:rPr>
          <w:sz w:val="24"/>
          <w:szCs w:val="24"/>
        </w:rPr>
        <w:t xml:space="preserve">(city / county mayors and planning officials) </w:t>
      </w:r>
      <w:r>
        <w:rPr>
          <w:sz w:val="24"/>
          <w:szCs w:val="24"/>
        </w:rPr>
        <w:t>and their stakeholders. The compilation and dissemination of these policies will enable effective communication concerning the connections between built environment and health and will build state</w:t>
      </w:r>
      <w:r w:rsidR="00427FD0">
        <w:rPr>
          <w:sz w:val="24"/>
          <w:szCs w:val="24"/>
        </w:rPr>
        <w:t>-</w:t>
      </w:r>
      <w:r>
        <w:rPr>
          <w:sz w:val="24"/>
          <w:szCs w:val="24"/>
        </w:rPr>
        <w:t xml:space="preserve">wide support for </w:t>
      </w:r>
      <w:r w:rsidR="00427FD0">
        <w:rPr>
          <w:sz w:val="24"/>
          <w:szCs w:val="24"/>
        </w:rPr>
        <w:t>policy change</w:t>
      </w:r>
      <w:r>
        <w:rPr>
          <w:sz w:val="24"/>
          <w:szCs w:val="24"/>
        </w:rPr>
        <w:t xml:space="preserve">. </w:t>
      </w:r>
    </w:p>
    <w:p w14:paraId="757CAECD" w14:textId="04999428" w:rsidR="00352EE3" w:rsidRPr="00427FD0" w:rsidRDefault="00427FD0" w:rsidP="0025639E">
      <w:pPr>
        <w:jc w:val="both"/>
        <w:rPr>
          <w:b/>
          <w:color w:val="1F497D" w:themeColor="text2"/>
          <w:sz w:val="24"/>
          <w:szCs w:val="24"/>
          <w:u w:val="single"/>
        </w:rPr>
      </w:pPr>
      <w:r w:rsidRPr="00427FD0">
        <w:rPr>
          <w:b/>
          <w:color w:val="1F497D" w:themeColor="text2"/>
          <w:sz w:val="24"/>
          <w:szCs w:val="24"/>
          <w:u w:val="single"/>
        </w:rPr>
        <w:t>Strategy 3:  Strategic Planning</w:t>
      </w:r>
      <w:r>
        <w:rPr>
          <w:b/>
          <w:color w:val="1F497D" w:themeColor="text2"/>
          <w:sz w:val="24"/>
          <w:szCs w:val="24"/>
          <w:u w:val="single"/>
        </w:rPr>
        <w:t xml:space="preserve"> and Alignment</w:t>
      </w:r>
    </w:p>
    <w:p w14:paraId="651BAF76" w14:textId="0C997A64" w:rsidR="00427FD0" w:rsidRDefault="00427FD0" w:rsidP="0025639E">
      <w:pPr>
        <w:jc w:val="both"/>
        <w:rPr>
          <w:sz w:val="24"/>
          <w:szCs w:val="24"/>
        </w:rPr>
      </w:pPr>
      <w:r>
        <w:rPr>
          <w:sz w:val="24"/>
          <w:szCs w:val="24"/>
        </w:rPr>
        <w:t xml:space="preserve">Information gathered from local leaders revealed that there exist many plans relevant to </w:t>
      </w:r>
      <w:proofErr w:type="spellStart"/>
      <w:r>
        <w:rPr>
          <w:sz w:val="24"/>
          <w:szCs w:val="24"/>
        </w:rPr>
        <w:t>built</w:t>
      </w:r>
      <w:proofErr w:type="spellEnd"/>
      <w:r>
        <w:rPr>
          <w:sz w:val="24"/>
          <w:szCs w:val="24"/>
        </w:rPr>
        <w:t xml:space="preserve"> environment, including transportation, parks and recreation, housing, industrial and economic development, and agriculture; however, these </w:t>
      </w:r>
      <w:r w:rsidRPr="00486875">
        <w:rPr>
          <w:b/>
          <w:i/>
          <w:color w:val="1F497D" w:themeColor="text2"/>
          <w:sz w:val="24"/>
          <w:szCs w:val="24"/>
        </w:rPr>
        <w:t>plans are seldom integrated</w:t>
      </w:r>
      <w:r w:rsidRPr="00486875">
        <w:rPr>
          <w:color w:val="1F497D" w:themeColor="text2"/>
          <w:sz w:val="24"/>
          <w:szCs w:val="24"/>
        </w:rPr>
        <w:t xml:space="preserve"> </w:t>
      </w:r>
      <w:r>
        <w:rPr>
          <w:sz w:val="24"/>
          <w:szCs w:val="24"/>
        </w:rPr>
        <w:t xml:space="preserve">into a “master plan” for the community, nor are they always aligned with plans at the regional and state levels.  Local leaders should be first consider any existing plans, and determine whether they are comprehensive and address the </w:t>
      </w:r>
      <w:r w:rsidR="00486875">
        <w:rPr>
          <w:sz w:val="24"/>
          <w:szCs w:val="24"/>
        </w:rPr>
        <w:t>needs and opportunities for alignment of health and built environment strategies, and then act accordingly.</w:t>
      </w:r>
    </w:p>
    <w:p w14:paraId="4B4AE742" w14:textId="0AC856A7" w:rsidR="00375FB6" w:rsidRPr="008D3674" w:rsidRDefault="008D3674" w:rsidP="0025639E">
      <w:pPr>
        <w:jc w:val="both"/>
        <w:rPr>
          <w:sz w:val="24"/>
          <w:szCs w:val="24"/>
        </w:rPr>
      </w:pPr>
      <w:r>
        <w:rPr>
          <w:sz w:val="24"/>
          <w:szCs w:val="24"/>
        </w:rPr>
        <w:t>A “top down” approach w</w:t>
      </w:r>
      <w:r w:rsidR="00A86995">
        <w:rPr>
          <w:sz w:val="24"/>
          <w:szCs w:val="24"/>
        </w:rPr>
        <w:t>ould</w:t>
      </w:r>
      <w:r>
        <w:rPr>
          <w:sz w:val="24"/>
          <w:szCs w:val="24"/>
        </w:rPr>
        <w:t xml:space="preserve"> not be the most successful course of action. Built environment projects are often costly. Implementing system level policies without evidence of success “on the ground” will be a hard sell</w:t>
      </w:r>
      <w:r w:rsidR="00A86995">
        <w:rPr>
          <w:sz w:val="24"/>
          <w:szCs w:val="24"/>
        </w:rPr>
        <w:t xml:space="preserve"> to communities and leaders</w:t>
      </w:r>
      <w:r>
        <w:rPr>
          <w:sz w:val="24"/>
          <w:szCs w:val="24"/>
        </w:rPr>
        <w:t>. If we are to be successful in our efforts with policy makers, stakeholders and communities, we will need to show</w:t>
      </w:r>
      <w:r w:rsidR="00A86995">
        <w:rPr>
          <w:sz w:val="24"/>
          <w:szCs w:val="24"/>
        </w:rPr>
        <w:t xml:space="preserve"> rather than</w:t>
      </w:r>
      <w:r>
        <w:rPr>
          <w:sz w:val="24"/>
          <w:szCs w:val="24"/>
        </w:rPr>
        <w:t xml:space="preserve"> tell. </w:t>
      </w:r>
      <w:r w:rsidRPr="00486875">
        <w:rPr>
          <w:b/>
          <w:i/>
          <w:color w:val="1F497D" w:themeColor="text2"/>
          <w:sz w:val="24"/>
          <w:szCs w:val="24"/>
        </w:rPr>
        <w:t>Small pilot projects, rapidly implemented and readily scalable</w:t>
      </w:r>
      <w:r>
        <w:rPr>
          <w:sz w:val="24"/>
          <w:szCs w:val="24"/>
        </w:rPr>
        <w:t xml:space="preserve">, </w:t>
      </w:r>
      <w:r w:rsidR="0038163D">
        <w:rPr>
          <w:sz w:val="24"/>
          <w:szCs w:val="24"/>
        </w:rPr>
        <w:t xml:space="preserve">will demonstrate built environment concepts without requiring large scale financial support or permanent changes to infrastructure. </w:t>
      </w:r>
      <w:r w:rsidR="00521ECE">
        <w:rPr>
          <w:sz w:val="24"/>
          <w:szCs w:val="24"/>
        </w:rPr>
        <w:t xml:space="preserve">Health departments and other partners, through collaboration, can support these small built environment pilot projects without municipalities and governments taking on the risk of failure. </w:t>
      </w:r>
      <w:r w:rsidR="00375FB6">
        <w:rPr>
          <w:sz w:val="24"/>
          <w:szCs w:val="24"/>
        </w:rPr>
        <w:t xml:space="preserve">Healthy design trials can be implemented at any scale. Some communities will find it beneficial to start at their local health departments, showcasing the connection between place and health. No matter </w:t>
      </w:r>
      <w:r w:rsidR="001A314F">
        <w:rPr>
          <w:sz w:val="24"/>
          <w:szCs w:val="24"/>
        </w:rPr>
        <w:t>what scale</w:t>
      </w:r>
      <w:r w:rsidR="00375FB6">
        <w:rPr>
          <w:sz w:val="24"/>
          <w:szCs w:val="24"/>
        </w:rPr>
        <w:t xml:space="preserve"> is implemented, </w:t>
      </w:r>
      <w:r w:rsidR="00375FB6" w:rsidRPr="00486875">
        <w:rPr>
          <w:b/>
          <w:i/>
          <w:color w:val="1F497D" w:themeColor="text2"/>
          <w:sz w:val="24"/>
          <w:szCs w:val="24"/>
        </w:rPr>
        <w:t xml:space="preserve">successes </w:t>
      </w:r>
      <w:r w:rsidR="00A86995" w:rsidRPr="00486875">
        <w:rPr>
          <w:b/>
          <w:i/>
          <w:color w:val="1F497D" w:themeColor="text2"/>
          <w:sz w:val="24"/>
          <w:szCs w:val="24"/>
        </w:rPr>
        <w:t xml:space="preserve">and </w:t>
      </w:r>
      <w:r w:rsidR="001A314F" w:rsidRPr="00486875">
        <w:rPr>
          <w:b/>
          <w:i/>
          <w:color w:val="1F497D" w:themeColor="text2"/>
          <w:sz w:val="24"/>
          <w:szCs w:val="24"/>
        </w:rPr>
        <w:t>lessons learned</w:t>
      </w:r>
      <w:r w:rsidR="00A86995" w:rsidRPr="00486875">
        <w:rPr>
          <w:b/>
          <w:i/>
          <w:color w:val="1F497D" w:themeColor="text2"/>
          <w:sz w:val="24"/>
          <w:szCs w:val="24"/>
        </w:rPr>
        <w:t xml:space="preserve"> </w:t>
      </w:r>
      <w:r w:rsidR="00375FB6" w:rsidRPr="00486875">
        <w:rPr>
          <w:b/>
          <w:i/>
          <w:color w:val="1F497D" w:themeColor="text2"/>
          <w:sz w:val="24"/>
          <w:szCs w:val="24"/>
        </w:rPr>
        <w:t xml:space="preserve">should be </w:t>
      </w:r>
      <w:r w:rsidR="00EC04DF" w:rsidRPr="00486875">
        <w:rPr>
          <w:b/>
          <w:i/>
          <w:color w:val="1F497D" w:themeColor="text2"/>
          <w:sz w:val="24"/>
          <w:szCs w:val="24"/>
        </w:rPr>
        <w:t>expanded and replicated</w:t>
      </w:r>
      <w:r w:rsidR="00EC04DF">
        <w:rPr>
          <w:sz w:val="24"/>
          <w:szCs w:val="24"/>
        </w:rPr>
        <w:t xml:space="preserve"> as part of </w:t>
      </w:r>
      <w:r w:rsidR="001A314F">
        <w:rPr>
          <w:sz w:val="24"/>
          <w:szCs w:val="24"/>
        </w:rPr>
        <w:t>the strategic</w:t>
      </w:r>
      <w:r w:rsidR="00375FB6">
        <w:rPr>
          <w:sz w:val="24"/>
          <w:szCs w:val="24"/>
        </w:rPr>
        <w:t xml:space="preserve"> </w:t>
      </w:r>
      <w:r w:rsidR="001A314F">
        <w:rPr>
          <w:sz w:val="24"/>
          <w:szCs w:val="24"/>
        </w:rPr>
        <w:t>plan and</w:t>
      </w:r>
      <w:r w:rsidR="00A86995">
        <w:rPr>
          <w:sz w:val="24"/>
          <w:szCs w:val="24"/>
        </w:rPr>
        <w:t xml:space="preserve"> then institutionalized </w:t>
      </w:r>
      <w:r w:rsidR="001A314F">
        <w:rPr>
          <w:sz w:val="24"/>
          <w:szCs w:val="24"/>
        </w:rPr>
        <w:t>going forward</w:t>
      </w:r>
      <w:r w:rsidR="00375FB6">
        <w:rPr>
          <w:sz w:val="24"/>
          <w:szCs w:val="24"/>
        </w:rPr>
        <w:t xml:space="preserve">. </w:t>
      </w:r>
    </w:p>
    <w:p w14:paraId="1396A153" w14:textId="7B543D1B" w:rsidR="00352EE3" w:rsidRPr="00486875" w:rsidRDefault="00486875" w:rsidP="0025639E">
      <w:pPr>
        <w:jc w:val="both"/>
        <w:rPr>
          <w:b/>
          <w:i/>
          <w:color w:val="1F497D" w:themeColor="text2"/>
          <w:sz w:val="24"/>
          <w:szCs w:val="24"/>
          <w:u w:val="single"/>
        </w:rPr>
      </w:pPr>
      <w:r w:rsidRPr="00486875">
        <w:rPr>
          <w:b/>
          <w:i/>
          <w:color w:val="1F497D" w:themeColor="text2"/>
          <w:sz w:val="24"/>
          <w:szCs w:val="24"/>
          <w:u w:val="single"/>
        </w:rPr>
        <w:t xml:space="preserve">Strategy 4: </w:t>
      </w:r>
      <w:r>
        <w:rPr>
          <w:b/>
          <w:i/>
          <w:color w:val="1F497D" w:themeColor="text2"/>
          <w:sz w:val="24"/>
          <w:szCs w:val="24"/>
          <w:u w:val="single"/>
        </w:rPr>
        <w:t xml:space="preserve">Expand </w:t>
      </w:r>
      <w:r w:rsidR="00352EE3" w:rsidRPr="00486875">
        <w:rPr>
          <w:b/>
          <w:i/>
          <w:color w:val="1F497D" w:themeColor="text2"/>
          <w:sz w:val="24"/>
          <w:szCs w:val="24"/>
          <w:u w:val="single"/>
        </w:rPr>
        <w:t>Resources</w:t>
      </w:r>
    </w:p>
    <w:p w14:paraId="14B7B888" w14:textId="7269C74E" w:rsidR="00817051" w:rsidRDefault="00EC04DF" w:rsidP="0025639E">
      <w:pPr>
        <w:jc w:val="both"/>
        <w:rPr>
          <w:sz w:val="24"/>
          <w:szCs w:val="24"/>
        </w:rPr>
      </w:pPr>
      <w:r>
        <w:rPr>
          <w:sz w:val="24"/>
          <w:szCs w:val="24"/>
        </w:rPr>
        <w:t>R</w:t>
      </w:r>
      <w:r w:rsidR="00817051">
        <w:rPr>
          <w:sz w:val="24"/>
          <w:szCs w:val="24"/>
        </w:rPr>
        <w:t xml:space="preserve">egional health departments </w:t>
      </w:r>
      <w:r w:rsidR="00A86995">
        <w:rPr>
          <w:sz w:val="24"/>
          <w:szCs w:val="24"/>
        </w:rPr>
        <w:t xml:space="preserve">will soon have designated </w:t>
      </w:r>
      <w:r w:rsidR="00817051">
        <w:rPr>
          <w:sz w:val="24"/>
          <w:szCs w:val="24"/>
        </w:rPr>
        <w:t xml:space="preserve">regional coordinators for planning and assessment. These types of positions </w:t>
      </w:r>
      <w:r w:rsidR="00A86995">
        <w:rPr>
          <w:sz w:val="24"/>
          <w:szCs w:val="24"/>
        </w:rPr>
        <w:t xml:space="preserve">are </w:t>
      </w:r>
      <w:r w:rsidR="00817051">
        <w:rPr>
          <w:sz w:val="24"/>
          <w:szCs w:val="24"/>
        </w:rPr>
        <w:t xml:space="preserve">sometimes </w:t>
      </w:r>
      <w:r w:rsidR="00A86995">
        <w:rPr>
          <w:sz w:val="24"/>
          <w:szCs w:val="24"/>
        </w:rPr>
        <w:t xml:space="preserve">staffed </w:t>
      </w:r>
      <w:r w:rsidR="00817051">
        <w:rPr>
          <w:sz w:val="24"/>
          <w:szCs w:val="24"/>
        </w:rPr>
        <w:t>at metro health departments as well. This trend is not unique to health across the state. Regional coordinators exist across many systems. Peer networking among regional partners, in parks, transportation</w:t>
      </w:r>
      <w:r w:rsidR="006A081C">
        <w:rPr>
          <w:sz w:val="24"/>
          <w:szCs w:val="24"/>
        </w:rPr>
        <w:t>, etc. will enable the conservation and strategic use of resources for built environment</w:t>
      </w:r>
      <w:r w:rsidR="00A86995">
        <w:rPr>
          <w:sz w:val="24"/>
          <w:szCs w:val="24"/>
        </w:rPr>
        <w:t xml:space="preserve"> changes</w:t>
      </w:r>
      <w:r w:rsidR="006A081C">
        <w:rPr>
          <w:sz w:val="24"/>
          <w:szCs w:val="24"/>
        </w:rPr>
        <w:t xml:space="preserve">. </w:t>
      </w:r>
    </w:p>
    <w:p w14:paraId="672F08E7" w14:textId="2EF99940" w:rsidR="006A081C" w:rsidRDefault="006A081C" w:rsidP="0025639E">
      <w:pPr>
        <w:jc w:val="both"/>
        <w:rPr>
          <w:sz w:val="24"/>
          <w:szCs w:val="24"/>
        </w:rPr>
      </w:pPr>
      <w:r>
        <w:rPr>
          <w:sz w:val="24"/>
          <w:szCs w:val="24"/>
        </w:rPr>
        <w:lastRenderedPageBreak/>
        <w:t xml:space="preserve">Built environment projects at the local level are often supported by smaller, localized partnerships and coalitions. Because built environment projects impact dimensions other than health, their funding sources are diverse. </w:t>
      </w:r>
      <w:r w:rsidR="00A86995">
        <w:rPr>
          <w:sz w:val="24"/>
          <w:szCs w:val="24"/>
        </w:rPr>
        <w:t xml:space="preserve">Most </w:t>
      </w:r>
      <w:r w:rsidR="004305AA">
        <w:rPr>
          <w:sz w:val="24"/>
          <w:szCs w:val="24"/>
        </w:rPr>
        <w:t xml:space="preserve">large </w:t>
      </w:r>
      <w:r w:rsidR="00A86995">
        <w:rPr>
          <w:sz w:val="24"/>
          <w:szCs w:val="24"/>
        </w:rPr>
        <w:t xml:space="preserve">funders (including foundations) that support health initiatives now require a coalition or collaborative efforts in order to qualify for funding. </w:t>
      </w:r>
      <w:r>
        <w:rPr>
          <w:sz w:val="24"/>
          <w:szCs w:val="24"/>
        </w:rPr>
        <w:t xml:space="preserve">Collaboration at the local </w:t>
      </w:r>
      <w:proofErr w:type="gramStart"/>
      <w:r>
        <w:rPr>
          <w:sz w:val="24"/>
          <w:szCs w:val="24"/>
        </w:rPr>
        <w:t>level,</w:t>
      </w:r>
      <w:proofErr w:type="gramEnd"/>
      <w:r>
        <w:rPr>
          <w:sz w:val="24"/>
          <w:szCs w:val="24"/>
        </w:rPr>
        <w:t xml:space="preserve"> </w:t>
      </w:r>
      <w:r w:rsidR="004305AA">
        <w:rPr>
          <w:sz w:val="24"/>
          <w:szCs w:val="24"/>
        </w:rPr>
        <w:t xml:space="preserve">facilitated and </w:t>
      </w:r>
      <w:r>
        <w:rPr>
          <w:sz w:val="24"/>
          <w:szCs w:val="24"/>
        </w:rPr>
        <w:t xml:space="preserve">supported by </w:t>
      </w:r>
      <w:r w:rsidR="004305AA">
        <w:rPr>
          <w:sz w:val="24"/>
          <w:szCs w:val="24"/>
        </w:rPr>
        <w:t xml:space="preserve">TDH </w:t>
      </w:r>
      <w:r>
        <w:rPr>
          <w:sz w:val="24"/>
          <w:szCs w:val="24"/>
        </w:rPr>
        <w:t xml:space="preserve">regional </w:t>
      </w:r>
      <w:r w:rsidR="004305AA">
        <w:rPr>
          <w:sz w:val="24"/>
          <w:szCs w:val="24"/>
        </w:rPr>
        <w:t>coordinators</w:t>
      </w:r>
      <w:r>
        <w:rPr>
          <w:sz w:val="24"/>
          <w:szCs w:val="24"/>
        </w:rPr>
        <w:t xml:space="preserve">, will enable </w:t>
      </w:r>
      <w:r w:rsidR="00486875">
        <w:rPr>
          <w:sz w:val="24"/>
          <w:szCs w:val="24"/>
        </w:rPr>
        <w:t xml:space="preserve">communities to </w:t>
      </w:r>
      <w:r w:rsidR="00486875" w:rsidRPr="00486875">
        <w:rPr>
          <w:b/>
          <w:i/>
          <w:color w:val="1F497D" w:themeColor="text2"/>
          <w:sz w:val="24"/>
          <w:szCs w:val="24"/>
        </w:rPr>
        <w:t>identify and secure</w:t>
      </w:r>
      <w:r w:rsidRPr="00486875">
        <w:rPr>
          <w:b/>
          <w:i/>
          <w:color w:val="1F497D" w:themeColor="text2"/>
          <w:sz w:val="24"/>
          <w:szCs w:val="24"/>
        </w:rPr>
        <w:t xml:space="preserve"> resources</w:t>
      </w:r>
      <w:r>
        <w:rPr>
          <w:sz w:val="24"/>
          <w:szCs w:val="24"/>
        </w:rPr>
        <w:t xml:space="preserve">. This collaboration will strengthen the number and quality of projects and programs in support of built environment change. </w:t>
      </w:r>
    </w:p>
    <w:p w14:paraId="1A1261BD" w14:textId="627519E3" w:rsidR="00486875" w:rsidRDefault="00486875" w:rsidP="0025639E">
      <w:pPr>
        <w:jc w:val="both"/>
        <w:rPr>
          <w:sz w:val="24"/>
          <w:szCs w:val="24"/>
        </w:rPr>
      </w:pPr>
      <w:r>
        <w:rPr>
          <w:sz w:val="24"/>
          <w:szCs w:val="24"/>
        </w:rPr>
        <w:t xml:space="preserve">Ability to secure resources varies widely across the state, and typically corresponds to the community’s level of readiness to plan, implement, and evaluate projects. </w:t>
      </w:r>
      <w:r w:rsidR="006A081C" w:rsidRPr="00486875">
        <w:rPr>
          <w:sz w:val="24"/>
          <w:szCs w:val="24"/>
        </w:rPr>
        <w:t xml:space="preserve">Regional partnerships, focused on coordination and planning, can meet communities at their capacity level. </w:t>
      </w:r>
      <w:r w:rsidR="006A081C" w:rsidRPr="00486875">
        <w:rPr>
          <w:b/>
          <w:i/>
          <w:color w:val="1F497D" w:themeColor="text2"/>
          <w:sz w:val="24"/>
          <w:szCs w:val="24"/>
        </w:rPr>
        <w:t>Technical assistance services</w:t>
      </w:r>
      <w:r w:rsidR="006A081C" w:rsidRPr="00486875">
        <w:rPr>
          <w:sz w:val="24"/>
          <w:szCs w:val="24"/>
        </w:rPr>
        <w:t xml:space="preserve"> </w:t>
      </w:r>
      <w:r w:rsidR="00EC04DF" w:rsidRPr="00486875">
        <w:rPr>
          <w:sz w:val="24"/>
          <w:szCs w:val="24"/>
        </w:rPr>
        <w:t xml:space="preserve">could </w:t>
      </w:r>
      <w:r w:rsidR="006A081C" w:rsidRPr="00486875">
        <w:rPr>
          <w:sz w:val="24"/>
          <w:szCs w:val="24"/>
        </w:rPr>
        <w:t xml:space="preserve">be </w:t>
      </w:r>
      <w:r w:rsidR="00EC04DF" w:rsidRPr="00486875">
        <w:rPr>
          <w:sz w:val="24"/>
          <w:szCs w:val="24"/>
        </w:rPr>
        <w:t>provided for</w:t>
      </w:r>
      <w:r w:rsidR="006A081C" w:rsidRPr="00486875">
        <w:rPr>
          <w:sz w:val="24"/>
          <w:szCs w:val="24"/>
        </w:rPr>
        <w:t xml:space="preserve"> communities in the planning stage, offering peer knowledge</w:t>
      </w:r>
      <w:r w:rsidR="007C1D6F" w:rsidRPr="00486875">
        <w:rPr>
          <w:sz w:val="24"/>
          <w:szCs w:val="24"/>
        </w:rPr>
        <w:t xml:space="preserve">, </w:t>
      </w:r>
      <w:r w:rsidR="006A081C" w:rsidRPr="00486875">
        <w:rPr>
          <w:sz w:val="24"/>
          <w:szCs w:val="24"/>
        </w:rPr>
        <w:t xml:space="preserve">expertise </w:t>
      </w:r>
      <w:r w:rsidR="007C1D6F" w:rsidRPr="00486875">
        <w:rPr>
          <w:sz w:val="24"/>
          <w:szCs w:val="24"/>
        </w:rPr>
        <w:t xml:space="preserve">and tools (such as the “checklist” included as </w:t>
      </w:r>
      <w:r w:rsidR="007C1D6F" w:rsidRPr="00486875">
        <w:rPr>
          <w:i/>
          <w:sz w:val="24"/>
          <w:szCs w:val="24"/>
        </w:rPr>
        <w:t xml:space="preserve">Attachment </w:t>
      </w:r>
      <w:r w:rsidR="00A937A4">
        <w:rPr>
          <w:i/>
          <w:sz w:val="24"/>
          <w:szCs w:val="24"/>
        </w:rPr>
        <w:t>4</w:t>
      </w:r>
      <w:r w:rsidR="007C1D6F" w:rsidRPr="00486875">
        <w:rPr>
          <w:i/>
          <w:sz w:val="24"/>
          <w:szCs w:val="24"/>
        </w:rPr>
        <w:t xml:space="preserve"> in the Appendix</w:t>
      </w:r>
      <w:r w:rsidR="007C1D6F" w:rsidRPr="00486875">
        <w:rPr>
          <w:sz w:val="24"/>
          <w:szCs w:val="24"/>
        </w:rPr>
        <w:t xml:space="preserve">) </w:t>
      </w:r>
      <w:r w:rsidR="006A081C" w:rsidRPr="00486875">
        <w:rPr>
          <w:sz w:val="24"/>
          <w:szCs w:val="24"/>
        </w:rPr>
        <w:t xml:space="preserve">from around the state. Some communities will benefit from catalyst funding, enabling and supporting initial pilot projects. Communities that have already </w:t>
      </w:r>
      <w:r w:rsidR="00EC04DF" w:rsidRPr="00486875">
        <w:rPr>
          <w:sz w:val="24"/>
          <w:szCs w:val="24"/>
        </w:rPr>
        <w:t xml:space="preserve">implemented </w:t>
      </w:r>
      <w:r w:rsidR="001A314F" w:rsidRPr="00486875">
        <w:rPr>
          <w:sz w:val="24"/>
          <w:szCs w:val="24"/>
        </w:rPr>
        <w:t>successful built</w:t>
      </w:r>
      <w:r w:rsidR="006A081C" w:rsidRPr="00486875">
        <w:rPr>
          <w:sz w:val="24"/>
          <w:szCs w:val="24"/>
        </w:rPr>
        <w:t xml:space="preserve"> environment </w:t>
      </w:r>
      <w:r w:rsidR="00EC04DF" w:rsidRPr="00486875">
        <w:rPr>
          <w:sz w:val="24"/>
          <w:szCs w:val="24"/>
        </w:rPr>
        <w:t xml:space="preserve">projects </w:t>
      </w:r>
      <w:r w:rsidR="006A081C" w:rsidRPr="00486875">
        <w:rPr>
          <w:sz w:val="24"/>
          <w:szCs w:val="24"/>
        </w:rPr>
        <w:t xml:space="preserve">will benefit from support </w:t>
      </w:r>
      <w:r w:rsidR="00EC04DF" w:rsidRPr="00486875">
        <w:rPr>
          <w:sz w:val="24"/>
          <w:szCs w:val="24"/>
        </w:rPr>
        <w:t xml:space="preserve">to </w:t>
      </w:r>
      <w:r w:rsidR="006A081C" w:rsidRPr="00486875">
        <w:rPr>
          <w:sz w:val="24"/>
          <w:szCs w:val="24"/>
        </w:rPr>
        <w:t>scal</w:t>
      </w:r>
      <w:r w:rsidR="00EC04DF" w:rsidRPr="00486875">
        <w:rPr>
          <w:sz w:val="24"/>
          <w:szCs w:val="24"/>
        </w:rPr>
        <w:t>e</w:t>
      </w:r>
      <w:r w:rsidR="006A081C" w:rsidRPr="00486875">
        <w:rPr>
          <w:sz w:val="24"/>
          <w:szCs w:val="24"/>
        </w:rPr>
        <w:t xml:space="preserve"> up and institutionaliz</w:t>
      </w:r>
      <w:r w:rsidR="00EC04DF" w:rsidRPr="00486875">
        <w:rPr>
          <w:sz w:val="24"/>
          <w:szCs w:val="24"/>
        </w:rPr>
        <w:t>e</w:t>
      </w:r>
      <w:r w:rsidR="006A081C" w:rsidRPr="00486875">
        <w:rPr>
          <w:sz w:val="24"/>
          <w:szCs w:val="24"/>
        </w:rPr>
        <w:t xml:space="preserve"> projects and policies</w:t>
      </w:r>
      <w:r w:rsidR="007C1D6F" w:rsidRPr="00486875">
        <w:rPr>
          <w:sz w:val="24"/>
          <w:szCs w:val="24"/>
        </w:rPr>
        <w:t>, including indices of indicators and tools to measure impact (health, economic, and other)</w:t>
      </w:r>
      <w:r w:rsidR="006A081C" w:rsidRPr="00486875">
        <w:rPr>
          <w:sz w:val="24"/>
          <w:szCs w:val="24"/>
        </w:rPr>
        <w:t xml:space="preserve">. </w:t>
      </w:r>
      <w:r>
        <w:rPr>
          <w:sz w:val="24"/>
          <w:szCs w:val="24"/>
        </w:rPr>
        <w:t xml:space="preserve"> TDH should consider a </w:t>
      </w:r>
      <w:r w:rsidRPr="00486875">
        <w:rPr>
          <w:b/>
          <w:i/>
          <w:color w:val="1F497D" w:themeColor="text2"/>
          <w:sz w:val="24"/>
          <w:szCs w:val="24"/>
        </w:rPr>
        <w:t>process for soliciting proposals and allocating funds</w:t>
      </w:r>
      <w:r w:rsidRPr="00486875">
        <w:rPr>
          <w:color w:val="1F497D" w:themeColor="text2"/>
          <w:sz w:val="24"/>
          <w:szCs w:val="24"/>
        </w:rPr>
        <w:t xml:space="preserve"> </w:t>
      </w:r>
      <w:r>
        <w:rPr>
          <w:sz w:val="24"/>
          <w:szCs w:val="24"/>
        </w:rPr>
        <w:t xml:space="preserve">to support communities at varying levels of readiness (as reflected in </w:t>
      </w:r>
      <w:r w:rsidRPr="00486875">
        <w:rPr>
          <w:i/>
          <w:sz w:val="24"/>
          <w:szCs w:val="24"/>
        </w:rPr>
        <w:t xml:space="preserve">Attachment </w:t>
      </w:r>
      <w:r w:rsidR="00A937A4">
        <w:rPr>
          <w:i/>
          <w:sz w:val="24"/>
          <w:szCs w:val="24"/>
        </w:rPr>
        <w:t>5</w:t>
      </w:r>
      <w:bookmarkStart w:id="0" w:name="_GoBack"/>
      <w:bookmarkEnd w:id="0"/>
      <w:r w:rsidRPr="00486875">
        <w:rPr>
          <w:i/>
          <w:sz w:val="24"/>
          <w:szCs w:val="24"/>
        </w:rPr>
        <w:t xml:space="preserve"> of the Appendix</w:t>
      </w:r>
      <w:r>
        <w:rPr>
          <w:sz w:val="24"/>
          <w:szCs w:val="24"/>
        </w:rPr>
        <w:t>).</w:t>
      </w:r>
    </w:p>
    <w:p w14:paraId="400C176D" w14:textId="79B19E55" w:rsidR="00352EE3" w:rsidRPr="00486875" w:rsidRDefault="00486875" w:rsidP="0025639E">
      <w:pPr>
        <w:jc w:val="both"/>
        <w:rPr>
          <w:b/>
          <w:color w:val="1F497D" w:themeColor="text2"/>
          <w:sz w:val="24"/>
          <w:szCs w:val="24"/>
          <w:u w:val="single"/>
        </w:rPr>
      </w:pPr>
      <w:r w:rsidRPr="00486875">
        <w:rPr>
          <w:b/>
          <w:color w:val="1F497D" w:themeColor="text2"/>
          <w:sz w:val="24"/>
          <w:szCs w:val="24"/>
          <w:u w:val="single"/>
        </w:rPr>
        <w:t xml:space="preserve">Strategy 5: </w:t>
      </w:r>
      <w:r w:rsidR="00352EE3" w:rsidRPr="00486875">
        <w:rPr>
          <w:b/>
          <w:color w:val="1F497D" w:themeColor="text2"/>
          <w:sz w:val="24"/>
          <w:szCs w:val="24"/>
          <w:u w:val="single"/>
        </w:rPr>
        <w:t>Communication</w:t>
      </w:r>
    </w:p>
    <w:p w14:paraId="2AEB97DA" w14:textId="0F06977D" w:rsidR="00352EE3" w:rsidRPr="006A081C" w:rsidRDefault="006A081C" w:rsidP="0025639E">
      <w:pPr>
        <w:jc w:val="both"/>
        <w:rPr>
          <w:sz w:val="24"/>
          <w:szCs w:val="24"/>
        </w:rPr>
      </w:pPr>
      <w:r>
        <w:rPr>
          <w:sz w:val="24"/>
          <w:szCs w:val="24"/>
        </w:rPr>
        <w:t xml:space="preserve">We must </w:t>
      </w:r>
      <w:r w:rsidR="007C1D6F">
        <w:rPr>
          <w:sz w:val="24"/>
          <w:szCs w:val="24"/>
        </w:rPr>
        <w:t>articulate the connection between</w:t>
      </w:r>
      <w:r>
        <w:rPr>
          <w:sz w:val="24"/>
          <w:szCs w:val="24"/>
        </w:rPr>
        <w:t xml:space="preserve"> health</w:t>
      </w:r>
      <w:r w:rsidR="000D1914">
        <w:rPr>
          <w:sz w:val="24"/>
          <w:szCs w:val="24"/>
        </w:rPr>
        <w:t xml:space="preserve"> </w:t>
      </w:r>
      <w:r w:rsidR="007C1D6F">
        <w:rPr>
          <w:sz w:val="24"/>
          <w:szCs w:val="24"/>
        </w:rPr>
        <w:t>and</w:t>
      </w:r>
      <w:r>
        <w:rPr>
          <w:sz w:val="24"/>
          <w:szCs w:val="24"/>
        </w:rPr>
        <w:t xml:space="preserve"> the built environment. </w:t>
      </w:r>
      <w:r w:rsidR="007C1D6F">
        <w:rPr>
          <w:sz w:val="24"/>
          <w:szCs w:val="24"/>
        </w:rPr>
        <w:t>Local</w:t>
      </w:r>
      <w:r w:rsidR="00CA6796">
        <w:rPr>
          <w:sz w:val="24"/>
          <w:szCs w:val="24"/>
        </w:rPr>
        <w:t xml:space="preserve"> health departments are </w:t>
      </w:r>
      <w:r w:rsidR="007C1D6F">
        <w:rPr>
          <w:sz w:val="24"/>
          <w:szCs w:val="24"/>
        </w:rPr>
        <w:t xml:space="preserve">often </w:t>
      </w:r>
      <w:r w:rsidR="00CA6796">
        <w:rPr>
          <w:sz w:val="24"/>
          <w:szCs w:val="24"/>
        </w:rPr>
        <w:t xml:space="preserve">not </w:t>
      </w:r>
      <w:r w:rsidR="007C1D6F">
        <w:rPr>
          <w:sz w:val="24"/>
          <w:szCs w:val="24"/>
        </w:rPr>
        <w:t xml:space="preserve">aware of nor </w:t>
      </w:r>
      <w:r w:rsidR="000D1914">
        <w:rPr>
          <w:sz w:val="24"/>
          <w:szCs w:val="24"/>
        </w:rPr>
        <w:t xml:space="preserve">are they </w:t>
      </w:r>
      <w:r w:rsidR="00CA6796">
        <w:rPr>
          <w:sz w:val="24"/>
          <w:szCs w:val="24"/>
        </w:rPr>
        <w:t xml:space="preserve">acting on the </w:t>
      </w:r>
      <w:r w:rsidR="007C1D6F">
        <w:rPr>
          <w:sz w:val="24"/>
          <w:szCs w:val="24"/>
        </w:rPr>
        <w:t xml:space="preserve">evidence </w:t>
      </w:r>
      <w:r w:rsidR="00CA6796">
        <w:rPr>
          <w:sz w:val="24"/>
          <w:szCs w:val="24"/>
        </w:rPr>
        <w:t xml:space="preserve">that design influences population health. Identifying and documenting built environment success stories, of </w:t>
      </w:r>
      <w:r w:rsidR="004305AA">
        <w:rPr>
          <w:sz w:val="24"/>
          <w:szCs w:val="24"/>
        </w:rPr>
        <w:t xml:space="preserve">both </w:t>
      </w:r>
      <w:r w:rsidR="00CA6796">
        <w:rPr>
          <w:sz w:val="24"/>
          <w:szCs w:val="24"/>
        </w:rPr>
        <w:t>people and place</w:t>
      </w:r>
      <w:r w:rsidR="004305AA">
        <w:rPr>
          <w:sz w:val="24"/>
          <w:szCs w:val="24"/>
        </w:rPr>
        <w:t>s</w:t>
      </w:r>
      <w:r w:rsidR="00CA6796">
        <w:rPr>
          <w:sz w:val="24"/>
          <w:szCs w:val="24"/>
        </w:rPr>
        <w:t xml:space="preserve">, will assist </w:t>
      </w:r>
      <w:r w:rsidR="007C1D6F">
        <w:rPr>
          <w:sz w:val="24"/>
          <w:szCs w:val="24"/>
        </w:rPr>
        <w:t xml:space="preserve">in </w:t>
      </w:r>
      <w:r w:rsidR="00CA6796">
        <w:rPr>
          <w:sz w:val="24"/>
          <w:szCs w:val="24"/>
        </w:rPr>
        <w:t>broad</w:t>
      </w:r>
      <w:r w:rsidR="007C1D6F">
        <w:rPr>
          <w:sz w:val="24"/>
          <w:szCs w:val="24"/>
        </w:rPr>
        <w:t>ening awareness and</w:t>
      </w:r>
      <w:r w:rsidR="00CA6796">
        <w:rPr>
          <w:sz w:val="24"/>
          <w:szCs w:val="24"/>
        </w:rPr>
        <w:t xml:space="preserve"> engagement </w:t>
      </w:r>
      <w:r w:rsidR="007C1D6F">
        <w:rPr>
          <w:sz w:val="24"/>
          <w:szCs w:val="24"/>
        </w:rPr>
        <w:t xml:space="preserve">for </w:t>
      </w:r>
      <w:r w:rsidR="00CA6796">
        <w:rPr>
          <w:sz w:val="24"/>
          <w:szCs w:val="24"/>
        </w:rPr>
        <w:t xml:space="preserve">this topic. A </w:t>
      </w:r>
      <w:r w:rsidR="00CA6796" w:rsidRPr="00486875">
        <w:rPr>
          <w:b/>
          <w:i/>
          <w:color w:val="1F497D" w:themeColor="text2"/>
          <w:sz w:val="24"/>
          <w:szCs w:val="24"/>
        </w:rPr>
        <w:t>communications plan</w:t>
      </w:r>
      <w:r w:rsidR="00CA6796">
        <w:rPr>
          <w:sz w:val="24"/>
          <w:szCs w:val="24"/>
        </w:rPr>
        <w:t xml:space="preserve"> </w:t>
      </w:r>
      <w:r w:rsidR="007C1D6F">
        <w:rPr>
          <w:sz w:val="24"/>
          <w:szCs w:val="24"/>
        </w:rPr>
        <w:t xml:space="preserve">must </w:t>
      </w:r>
      <w:r w:rsidR="00CA6796">
        <w:rPr>
          <w:sz w:val="24"/>
          <w:szCs w:val="24"/>
        </w:rPr>
        <w:t>be an essential component of a built environment strategic plan</w:t>
      </w:r>
      <w:r w:rsidR="00486875">
        <w:rPr>
          <w:sz w:val="24"/>
          <w:szCs w:val="24"/>
        </w:rPr>
        <w:t>, and must address multiple audiences (such as policy-makers, potential funders, planners, builders, volunteers and users)</w:t>
      </w:r>
      <w:r w:rsidR="00CA6796">
        <w:rPr>
          <w:sz w:val="24"/>
          <w:szCs w:val="24"/>
        </w:rPr>
        <w:t xml:space="preserve">. Framing of the message should include </w:t>
      </w:r>
      <w:r w:rsidR="004305AA">
        <w:rPr>
          <w:sz w:val="24"/>
          <w:szCs w:val="24"/>
        </w:rPr>
        <w:t xml:space="preserve">the promotion of </w:t>
      </w:r>
      <w:r w:rsidR="00CA6796">
        <w:rPr>
          <w:sz w:val="24"/>
          <w:szCs w:val="24"/>
        </w:rPr>
        <w:t xml:space="preserve">economic benefits, livability solutions, community character, unique Tennessee resources and other positive, politically neutral messages. </w:t>
      </w:r>
      <w:r w:rsidR="00486875">
        <w:rPr>
          <w:sz w:val="24"/>
          <w:szCs w:val="24"/>
        </w:rPr>
        <w:t xml:space="preserve"> The communications plan should also leverage multiple distribution channels, including </w:t>
      </w:r>
      <w:r w:rsidR="0025639E">
        <w:rPr>
          <w:sz w:val="24"/>
          <w:szCs w:val="24"/>
        </w:rPr>
        <w:t>traditional media and websites, but also leveraging social media and other means of reaching diverse audiences.</w:t>
      </w:r>
    </w:p>
    <w:p w14:paraId="2B2D4536" w14:textId="0AEE4159" w:rsidR="00352EE3" w:rsidRPr="0025639E" w:rsidRDefault="0025639E" w:rsidP="0025639E">
      <w:pPr>
        <w:jc w:val="both"/>
        <w:rPr>
          <w:b/>
          <w:color w:val="1F497D" w:themeColor="text2"/>
          <w:sz w:val="24"/>
          <w:szCs w:val="24"/>
          <w:u w:val="single"/>
        </w:rPr>
      </w:pPr>
      <w:r w:rsidRPr="0025639E">
        <w:rPr>
          <w:b/>
          <w:color w:val="1F497D" w:themeColor="text2"/>
          <w:sz w:val="24"/>
          <w:szCs w:val="24"/>
          <w:u w:val="single"/>
        </w:rPr>
        <w:t xml:space="preserve">Strategy 6: </w:t>
      </w:r>
      <w:r w:rsidR="00352EE3" w:rsidRPr="0025639E">
        <w:rPr>
          <w:b/>
          <w:color w:val="1F497D" w:themeColor="text2"/>
          <w:sz w:val="24"/>
          <w:szCs w:val="24"/>
          <w:u w:val="single"/>
        </w:rPr>
        <w:t>Monitoring and Evaluation</w:t>
      </w:r>
    </w:p>
    <w:p w14:paraId="02C4F93E" w14:textId="1FAB9669" w:rsidR="007C1D6F" w:rsidRDefault="00E403DA" w:rsidP="0025639E">
      <w:pPr>
        <w:jc w:val="both"/>
        <w:rPr>
          <w:sz w:val="24"/>
          <w:szCs w:val="24"/>
        </w:rPr>
      </w:pPr>
      <w:r>
        <w:rPr>
          <w:sz w:val="24"/>
          <w:szCs w:val="24"/>
        </w:rPr>
        <w:t xml:space="preserve">For all the built environment successes in Tennessee, there remains a scarcity of data available concerning performance measures. </w:t>
      </w:r>
      <w:r w:rsidR="004305AA">
        <w:rPr>
          <w:sz w:val="24"/>
          <w:szCs w:val="24"/>
        </w:rPr>
        <w:t>TD</w:t>
      </w:r>
      <w:r w:rsidR="00C33884">
        <w:rPr>
          <w:sz w:val="24"/>
          <w:szCs w:val="24"/>
        </w:rPr>
        <w:t>H</w:t>
      </w:r>
      <w:r w:rsidR="004305AA">
        <w:rPr>
          <w:sz w:val="24"/>
          <w:szCs w:val="24"/>
        </w:rPr>
        <w:t xml:space="preserve"> can </w:t>
      </w:r>
      <w:r w:rsidR="0025639E">
        <w:rPr>
          <w:sz w:val="24"/>
          <w:szCs w:val="24"/>
        </w:rPr>
        <w:t xml:space="preserve">not only </w:t>
      </w:r>
      <w:r w:rsidR="0025639E" w:rsidRPr="0025639E">
        <w:rPr>
          <w:b/>
          <w:i/>
          <w:color w:val="1F497D" w:themeColor="text2"/>
          <w:sz w:val="24"/>
          <w:szCs w:val="24"/>
        </w:rPr>
        <w:t>provide relevant data</w:t>
      </w:r>
      <w:r w:rsidR="0025639E" w:rsidRPr="0025639E">
        <w:rPr>
          <w:color w:val="1F497D" w:themeColor="text2"/>
          <w:sz w:val="24"/>
          <w:szCs w:val="24"/>
        </w:rPr>
        <w:t xml:space="preserve"> </w:t>
      </w:r>
      <w:r w:rsidR="0025639E">
        <w:rPr>
          <w:sz w:val="24"/>
          <w:szCs w:val="24"/>
        </w:rPr>
        <w:t xml:space="preserve">to communities seeking to measure health impact, but could also provide </w:t>
      </w:r>
      <w:r w:rsidR="0025639E" w:rsidRPr="0025639E">
        <w:rPr>
          <w:b/>
          <w:i/>
          <w:color w:val="1F497D" w:themeColor="text2"/>
          <w:sz w:val="24"/>
          <w:szCs w:val="24"/>
        </w:rPr>
        <w:t xml:space="preserve">technical </w:t>
      </w:r>
      <w:r w:rsidR="004305AA" w:rsidRPr="0025639E">
        <w:rPr>
          <w:b/>
          <w:i/>
          <w:color w:val="1F497D" w:themeColor="text2"/>
          <w:sz w:val="24"/>
          <w:szCs w:val="24"/>
        </w:rPr>
        <w:t>assist</w:t>
      </w:r>
      <w:r w:rsidR="0025639E" w:rsidRPr="0025639E">
        <w:rPr>
          <w:b/>
          <w:i/>
          <w:color w:val="1F497D" w:themeColor="text2"/>
          <w:sz w:val="24"/>
          <w:szCs w:val="24"/>
        </w:rPr>
        <w:t>ance to</w:t>
      </w:r>
      <w:r w:rsidR="004305AA" w:rsidRPr="0025639E">
        <w:rPr>
          <w:b/>
          <w:i/>
          <w:color w:val="1F497D" w:themeColor="text2"/>
          <w:sz w:val="24"/>
          <w:szCs w:val="24"/>
        </w:rPr>
        <w:t xml:space="preserve"> communities to identify indicators and use checklists to assess their health</w:t>
      </w:r>
      <w:r w:rsidR="004305AA">
        <w:rPr>
          <w:sz w:val="24"/>
          <w:szCs w:val="24"/>
        </w:rPr>
        <w:t xml:space="preserve">.  TDH can </w:t>
      </w:r>
      <w:r w:rsidR="004305AA" w:rsidRPr="0025639E">
        <w:rPr>
          <w:sz w:val="24"/>
          <w:szCs w:val="24"/>
        </w:rPr>
        <w:t xml:space="preserve">train local and regional </w:t>
      </w:r>
      <w:r w:rsidR="004305AA" w:rsidRPr="0025639E">
        <w:rPr>
          <w:sz w:val="24"/>
          <w:szCs w:val="24"/>
        </w:rPr>
        <w:lastRenderedPageBreak/>
        <w:t>team</w:t>
      </w:r>
      <w:r w:rsidR="0025639E">
        <w:rPr>
          <w:sz w:val="24"/>
          <w:szCs w:val="24"/>
        </w:rPr>
        <w:t xml:space="preserve">s </w:t>
      </w:r>
      <w:r w:rsidR="004305AA">
        <w:rPr>
          <w:sz w:val="24"/>
          <w:szCs w:val="24"/>
        </w:rPr>
        <w:t xml:space="preserve">to conduct monitoring (to inform short-term decision-making) and evaluation (to inform long-term decision-making) for their efforts. By training local and regional teams, TDH can support ongoing performance excellence for projects and programs, and sustain improvements in health and health-related outcomes by helping to gather and analyze data, and by communicating successes which could serve as a model for communities in Tennessee and elsewhere while also attracting additional resources to fund evidence-based initiatives. </w:t>
      </w:r>
    </w:p>
    <w:p w14:paraId="33E9E6EC" w14:textId="77777777" w:rsidR="0025639E" w:rsidRDefault="0025639E" w:rsidP="0025639E">
      <w:pPr>
        <w:rPr>
          <w:sz w:val="24"/>
          <w:szCs w:val="24"/>
        </w:rPr>
      </w:pPr>
    </w:p>
    <w:p w14:paraId="2E58B4AE" w14:textId="45DAC474" w:rsidR="0025639E" w:rsidRPr="00D0586C" w:rsidRDefault="0025639E" w:rsidP="0025639E">
      <w:pPr>
        <w:rPr>
          <w:b/>
          <w:color w:val="1F497D" w:themeColor="text2"/>
          <w:sz w:val="28"/>
          <w:szCs w:val="28"/>
          <w:u w:val="single"/>
        </w:rPr>
      </w:pPr>
      <w:r>
        <w:rPr>
          <w:b/>
          <w:color w:val="1F497D" w:themeColor="text2"/>
          <w:sz w:val="28"/>
          <w:szCs w:val="28"/>
          <w:u w:val="single"/>
        </w:rPr>
        <w:t>V. Conclusion</w:t>
      </w:r>
    </w:p>
    <w:p w14:paraId="3AB63DF3" w14:textId="77777777" w:rsidR="007C1D6F" w:rsidRDefault="007C1D6F" w:rsidP="0025639E">
      <w:pPr>
        <w:jc w:val="both"/>
        <w:rPr>
          <w:sz w:val="24"/>
          <w:szCs w:val="24"/>
        </w:rPr>
      </w:pPr>
      <w:r>
        <w:rPr>
          <w:sz w:val="24"/>
          <w:szCs w:val="24"/>
        </w:rPr>
        <w:t xml:space="preserve">In summary, the Rising Stars team has learned that </w:t>
      </w:r>
      <w:r w:rsidR="00EF046D">
        <w:rPr>
          <w:sz w:val="24"/>
          <w:szCs w:val="24"/>
        </w:rPr>
        <w:t xml:space="preserve">local and state-level leaders recognize the benefit of articulating and measuring the impact that built environment could have on health in our state, and welcome the engagement of public health as a partner in planning, developing, and sustaining initiatives that increase access to health through built environment projects.  </w:t>
      </w:r>
    </w:p>
    <w:p w14:paraId="7C736120" w14:textId="65B3CF6D" w:rsidR="00EF046D" w:rsidRDefault="00EF046D" w:rsidP="0025639E">
      <w:pPr>
        <w:jc w:val="both"/>
        <w:rPr>
          <w:sz w:val="24"/>
          <w:szCs w:val="24"/>
        </w:rPr>
      </w:pPr>
      <w:r>
        <w:rPr>
          <w:sz w:val="24"/>
          <w:szCs w:val="24"/>
        </w:rPr>
        <w:t xml:space="preserve">There is </w:t>
      </w:r>
      <w:r w:rsidR="0025639E">
        <w:rPr>
          <w:sz w:val="24"/>
          <w:szCs w:val="24"/>
        </w:rPr>
        <w:t>strong support for</w:t>
      </w:r>
      <w:r>
        <w:rPr>
          <w:sz w:val="24"/>
          <w:szCs w:val="24"/>
        </w:rPr>
        <w:t xml:space="preserve"> TDH to </w:t>
      </w:r>
      <w:r w:rsidR="0025639E">
        <w:rPr>
          <w:sz w:val="24"/>
          <w:szCs w:val="24"/>
        </w:rPr>
        <w:t>serve</w:t>
      </w:r>
      <w:r>
        <w:rPr>
          <w:sz w:val="24"/>
          <w:szCs w:val="24"/>
        </w:rPr>
        <w:t xml:space="preserve"> as convener of a state-level interagency “livability” team, while also participating in regional collaborative planning activities and providing technical assistance and resources for local community leaders and projects.  Documenting and communicating successes will lend support for policy change, infrastructure development and long-term sustainability.</w:t>
      </w:r>
    </w:p>
    <w:p w14:paraId="7161FE42" w14:textId="77777777" w:rsidR="00EF046D" w:rsidRDefault="00EF046D" w:rsidP="0025639E">
      <w:pPr>
        <w:jc w:val="both"/>
        <w:rPr>
          <w:sz w:val="24"/>
          <w:szCs w:val="24"/>
        </w:rPr>
      </w:pPr>
      <w:r>
        <w:rPr>
          <w:sz w:val="24"/>
          <w:szCs w:val="24"/>
        </w:rPr>
        <w:t>TDH should consider allocation of resources (executive-level director, regional coordinators and possible funding for projects that align with the community’s level of readiness) to he</w:t>
      </w:r>
      <w:r w:rsidR="0008671B">
        <w:rPr>
          <w:sz w:val="24"/>
          <w:szCs w:val="24"/>
        </w:rPr>
        <w:t>lp strengthen collaboration and impact by working with and for communities at the local level, thereby building a foundation for long-term improvement in health and prosperity for people in Tennessee.</w:t>
      </w:r>
    </w:p>
    <w:sectPr w:rsidR="00EF046D" w:rsidSect="00710E46">
      <w:footerReference w:type="default" r:id="rId14"/>
      <w:pgSz w:w="12240" w:h="15840"/>
      <w:pgMar w:top="1440" w:right="126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40B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FE860" w14:textId="77777777" w:rsidR="00BC6F22" w:rsidRDefault="00BC6F22" w:rsidP="00794B4B">
      <w:pPr>
        <w:spacing w:after="0" w:line="240" w:lineRule="auto"/>
      </w:pPr>
      <w:r>
        <w:separator/>
      </w:r>
    </w:p>
  </w:endnote>
  <w:endnote w:type="continuationSeparator" w:id="0">
    <w:p w14:paraId="54356B2B" w14:textId="77777777" w:rsidR="00BC6F22" w:rsidRDefault="00BC6F22" w:rsidP="00794B4B">
      <w:pPr>
        <w:spacing w:after="0" w:line="240" w:lineRule="auto"/>
      </w:pPr>
      <w:r>
        <w:continuationSeparator/>
      </w:r>
    </w:p>
  </w:endnote>
  <w:endnote w:id="1">
    <w:p w14:paraId="2A227189" w14:textId="77777777" w:rsidR="007C1D6F" w:rsidRPr="00CA3867" w:rsidRDefault="007C1D6F">
      <w:pPr>
        <w:pStyle w:val="EndnoteText"/>
      </w:pPr>
      <w:r w:rsidRPr="00CA3867">
        <w:rPr>
          <w:rStyle w:val="EndnoteReference"/>
        </w:rPr>
        <w:endnoteRef/>
      </w:r>
      <w:r w:rsidRPr="00CA3867">
        <w:t xml:space="preserve"> America’s Health Rankings 2014. State Data: Tennessee Overview. </w:t>
      </w:r>
      <w:hyperlink r:id="rId1" w:history="1">
        <w:r w:rsidRPr="00CA3867">
          <w:rPr>
            <w:rStyle w:val="Hyperlink"/>
          </w:rPr>
          <w:t>http://www.americashealthrankings.org/TN</w:t>
        </w:r>
      </w:hyperlink>
      <w:r w:rsidRPr="00CA3867">
        <w:t>. Accessed May 6, 2015.</w:t>
      </w:r>
    </w:p>
  </w:endnote>
  <w:endnote w:id="2">
    <w:p w14:paraId="066A6300" w14:textId="77777777" w:rsidR="007C1D6F" w:rsidRPr="00CA3867" w:rsidRDefault="007C1D6F">
      <w:pPr>
        <w:pStyle w:val="EndnoteText"/>
      </w:pPr>
      <w:r w:rsidRPr="00CA3867">
        <w:rPr>
          <w:rStyle w:val="EndnoteReference"/>
        </w:rPr>
        <w:endnoteRef/>
      </w:r>
      <w:r w:rsidRPr="00CA3867">
        <w:t xml:space="preserve"> America’s Health Rankings 2014. State Data: Tennessee Measures. </w:t>
      </w:r>
      <w:hyperlink r:id="rId2" w:history="1">
        <w:r w:rsidRPr="00CA3867">
          <w:rPr>
            <w:rStyle w:val="Hyperlink"/>
          </w:rPr>
          <w:t>http://www.americashealthrankings.org/TN</w:t>
        </w:r>
      </w:hyperlink>
    </w:p>
    <w:p w14:paraId="3A649C64" w14:textId="77777777" w:rsidR="007C1D6F" w:rsidRPr="00CA3867" w:rsidRDefault="007C1D6F">
      <w:pPr>
        <w:pStyle w:val="EndnoteText"/>
      </w:pPr>
      <w:r w:rsidRPr="00CA3867">
        <w:t>Accessed May 6, 2015</w:t>
      </w:r>
    </w:p>
  </w:endnote>
  <w:endnote w:id="3">
    <w:p w14:paraId="40D0744E" w14:textId="77777777" w:rsidR="007C1D6F" w:rsidRPr="00CA3867" w:rsidRDefault="007C1D6F">
      <w:pPr>
        <w:pStyle w:val="EndnoteText"/>
      </w:pPr>
      <w:r w:rsidRPr="00CA3867">
        <w:rPr>
          <w:rStyle w:val="EndnoteReference"/>
        </w:rPr>
        <w:endnoteRef/>
      </w:r>
      <w:r w:rsidRPr="00CA3867">
        <w:t xml:space="preserve"> </w:t>
      </w:r>
      <w:r w:rsidRPr="00CA3867">
        <w:rPr>
          <w:rFonts w:cs="Arial"/>
          <w:color w:val="000000"/>
          <w:lang w:val="en"/>
        </w:rPr>
        <w:t xml:space="preserve">Guide to Community Preventive Services. Environmental and policy approaches to increase physical activity: community-scale urban design land use policies. </w:t>
      </w:r>
      <w:hyperlink r:id="rId3" w:history="1">
        <w:r w:rsidRPr="00CA3867">
          <w:rPr>
            <w:rFonts w:cs="Arial"/>
            <w:color w:val="000000"/>
            <w:u w:val="single"/>
            <w:lang w:val="en"/>
          </w:rPr>
          <w:t>www.thecommunityguide.org/pa/environmental-policy/communitypolicies.html</w:t>
        </w:r>
      </w:hyperlink>
      <w:r>
        <w:rPr>
          <w:rFonts w:cs="Arial"/>
          <w:color w:val="000000"/>
          <w:lang w:val="en"/>
        </w:rPr>
        <w:t xml:space="preserve"> Accessed May 7, 2015</w:t>
      </w:r>
    </w:p>
  </w:endnote>
  <w:endnote w:id="4">
    <w:p w14:paraId="180AB539" w14:textId="77777777" w:rsidR="007C1D6F" w:rsidRPr="00CA3867" w:rsidRDefault="007C1D6F">
      <w:pPr>
        <w:pStyle w:val="EndnoteText"/>
      </w:pPr>
      <w:r w:rsidRPr="00CA3867">
        <w:rPr>
          <w:rStyle w:val="EndnoteReference"/>
        </w:rPr>
        <w:endnoteRef/>
      </w:r>
      <w:r w:rsidRPr="00CA3867">
        <w:t xml:space="preserve"> Yue, X., Vessel, E.A., Biederman, I. (2007). The neural basis of scene preferences. </w:t>
      </w:r>
      <w:r w:rsidRPr="00CA3867">
        <w:rPr>
          <w:i/>
        </w:rPr>
        <w:t>NeuroReport</w:t>
      </w:r>
      <w:r w:rsidRPr="00CA3867">
        <w:t>, 18(6), 525-529</w:t>
      </w:r>
    </w:p>
  </w:endnote>
  <w:endnote w:id="5">
    <w:p w14:paraId="6DD6F9DC" w14:textId="77777777" w:rsidR="007C1D6F" w:rsidRPr="00CA3867" w:rsidRDefault="007C1D6F">
      <w:pPr>
        <w:pStyle w:val="EndnoteText"/>
      </w:pPr>
      <w:r w:rsidRPr="00CA3867">
        <w:rPr>
          <w:rStyle w:val="EndnoteReference"/>
        </w:rPr>
        <w:endnoteRef/>
      </w:r>
      <w:r w:rsidRPr="00CA3867">
        <w:t xml:space="preserve"> </w:t>
      </w:r>
      <w:hyperlink r:id="rId4" w:history="1">
        <w:r w:rsidRPr="00CA3867">
          <w:rPr>
            <w:rFonts w:cs="Arial"/>
          </w:rPr>
          <w:t xml:space="preserve">Kuo, F.E. (2001). Coping with poverty: Impacts of environment and attention in the inner city. </w:t>
        </w:r>
        <w:r w:rsidRPr="00CA3867">
          <w:rPr>
            <w:rFonts w:cs="Arial"/>
            <w:i/>
            <w:iCs/>
          </w:rPr>
          <w:t>Environment &amp; Behavior</w:t>
        </w:r>
        <w:r w:rsidRPr="00CA3867">
          <w:rPr>
            <w:rFonts w:cs="Arial"/>
          </w:rPr>
          <w:t xml:space="preserve">, </w:t>
        </w:r>
        <w:r w:rsidRPr="00CA3867">
          <w:rPr>
            <w:rFonts w:cs="Arial"/>
            <w:i/>
            <w:iCs/>
          </w:rPr>
          <w:t>33</w:t>
        </w:r>
        <w:r w:rsidRPr="00CA3867">
          <w:rPr>
            <w:rFonts w:cs="Arial"/>
          </w:rPr>
          <w:t>(1), 5-34.</w:t>
        </w:r>
      </w:hyperlink>
    </w:p>
  </w:endnote>
  <w:endnote w:id="6">
    <w:p w14:paraId="6B3C68ED" w14:textId="77777777" w:rsidR="007C1D6F" w:rsidRPr="00CA3867" w:rsidRDefault="007C1D6F">
      <w:pPr>
        <w:pStyle w:val="EndnoteText"/>
      </w:pPr>
      <w:r w:rsidRPr="00CA3867">
        <w:rPr>
          <w:rStyle w:val="EndnoteReference"/>
        </w:rPr>
        <w:endnoteRef/>
      </w:r>
      <w:r w:rsidRPr="00CA3867">
        <w:t xml:space="preserve"> Ulrich, R.S. (1984). View through a window may influence recovery from surgery. </w:t>
      </w:r>
      <w:r w:rsidRPr="00CA3867">
        <w:rPr>
          <w:i/>
        </w:rPr>
        <w:t>Science</w:t>
      </w:r>
      <w:r w:rsidRPr="00CA3867">
        <w:t>, 224(4647), 420-421</w:t>
      </w:r>
    </w:p>
  </w:endnote>
  <w:endnote w:id="7">
    <w:p w14:paraId="07923D9E" w14:textId="77777777" w:rsidR="007C1D6F" w:rsidRPr="00CA3867" w:rsidRDefault="007C1D6F">
      <w:pPr>
        <w:pStyle w:val="EndnoteText"/>
      </w:pPr>
      <w:r w:rsidRPr="00CA3867">
        <w:rPr>
          <w:rStyle w:val="EndnoteReference"/>
        </w:rPr>
        <w:endnoteRef/>
      </w:r>
      <w:r w:rsidRPr="00CA3867">
        <w:t xml:space="preserve"> Ulrich, R., Zimring, C. (2004). The Role of the Physical Environment in the Hospital of the 21</w:t>
      </w:r>
      <w:r w:rsidRPr="00CA3867">
        <w:rPr>
          <w:vertAlign w:val="superscript"/>
        </w:rPr>
        <w:t>st</w:t>
      </w:r>
      <w:r w:rsidRPr="00CA3867">
        <w:t xml:space="preserve"> Century: A Once-in-a-Lifetime Opportunity. Robert Wood Johnson Foundation Report.</w:t>
      </w:r>
    </w:p>
  </w:endnote>
  <w:endnote w:id="8">
    <w:p w14:paraId="10529112" w14:textId="77777777" w:rsidR="007C1D6F" w:rsidRPr="00CA3867" w:rsidRDefault="007C1D6F" w:rsidP="006F1239">
      <w:pPr>
        <w:pStyle w:val="EndnoteText"/>
      </w:pPr>
      <w:r w:rsidRPr="00CA3867">
        <w:rPr>
          <w:rStyle w:val="EndnoteReference"/>
        </w:rPr>
        <w:endnoteRef/>
      </w:r>
      <w:r w:rsidRPr="00CA3867">
        <w:t xml:space="preserve"> America’s Health Rankings 2014. Air Pollution United States. </w:t>
      </w:r>
      <w:hyperlink r:id="rId5" w:history="1">
        <w:r w:rsidRPr="00CA3867">
          <w:rPr>
            <w:rStyle w:val="Hyperlink"/>
          </w:rPr>
          <w:t>http://www.americashealthrankings.org/ALL/air</w:t>
        </w:r>
      </w:hyperlink>
    </w:p>
    <w:p w14:paraId="4A941BA2" w14:textId="77777777" w:rsidR="007C1D6F" w:rsidRPr="00CA3867" w:rsidRDefault="007C1D6F" w:rsidP="006F1239">
      <w:pPr>
        <w:pStyle w:val="EndnoteText"/>
      </w:pPr>
      <w:r w:rsidRPr="00CA3867">
        <w:t>Accessed May 6, 2015</w:t>
      </w:r>
    </w:p>
    <w:p w14:paraId="5180C1FF" w14:textId="77777777" w:rsidR="007C1D6F" w:rsidRDefault="007C1D6F" w:rsidP="006F123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41514"/>
      <w:docPartObj>
        <w:docPartGallery w:val="Page Numbers (Bottom of Page)"/>
        <w:docPartUnique/>
      </w:docPartObj>
    </w:sdtPr>
    <w:sdtEndPr>
      <w:rPr>
        <w:noProof/>
      </w:rPr>
    </w:sdtEndPr>
    <w:sdtContent>
      <w:p w14:paraId="6D35F4F5" w14:textId="7BF48769" w:rsidR="0025639E" w:rsidRDefault="0025639E">
        <w:pPr>
          <w:pStyle w:val="Footer"/>
          <w:jc w:val="center"/>
        </w:pPr>
        <w:r>
          <w:fldChar w:fldCharType="begin"/>
        </w:r>
        <w:r>
          <w:instrText xml:space="preserve"> PAGE   \* MERGEFORMAT </w:instrText>
        </w:r>
        <w:r>
          <w:fldChar w:fldCharType="separate"/>
        </w:r>
        <w:r w:rsidR="00A937A4">
          <w:rPr>
            <w:noProof/>
          </w:rPr>
          <w:t>13</w:t>
        </w:r>
        <w:r>
          <w:rPr>
            <w:noProof/>
          </w:rPr>
          <w:fldChar w:fldCharType="end"/>
        </w:r>
      </w:p>
    </w:sdtContent>
  </w:sdt>
  <w:p w14:paraId="6AE7839D" w14:textId="77777777" w:rsidR="0025639E" w:rsidRDefault="00256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83383" w14:textId="77777777" w:rsidR="00BC6F22" w:rsidRDefault="00BC6F22" w:rsidP="00794B4B">
      <w:pPr>
        <w:spacing w:after="0" w:line="240" w:lineRule="auto"/>
      </w:pPr>
      <w:r>
        <w:separator/>
      </w:r>
    </w:p>
  </w:footnote>
  <w:footnote w:type="continuationSeparator" w:id="0">
    <w:p w14:paraId="0E8EBD08" w14:textId="77777777" w:rsidR="00BC6F22" w:rsidRDefault="00BC6F22" w:rsidP="00794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86B"/>
    <w:multiLevelType w:val="hybridMultilevel"/>
    <w:tmpl w:val="A412E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04A43"/>
    <w:multiLevelType w:val="hybridMultilevel"/>
    <w:tmpl w:val="72A6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60B2E"/>
    <w:multiLevelType w:val="hybridMultilevel"/>
    <w:tmpl w:val="BFB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A7350"/>
    <w:multiLevelType w:val="hybridMultilevel"/>
    <w:tmpl w:val="174E7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72C93"/>
    <w:multiLevelType w:val="hybridMultilevel"/>
    <w:tmpl w:val="AC023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E5CED"/>
    <w:multiLevelType w:val="hybridMultilevel"/>
    <w:tmpl w:val="E796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E0B56"/>
    <w:multiLevelType w:val="hybridMultilevel"/>
    <w:tmpl w:val="093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1E4F56"/>
    <w:multiLevelType w:val="hybridMultilevel"/>
    <w:tmpl w:val="ED6612D0"/>
    <w:lvl w:ilvl="0" w:tplc="4E6855C6">
      <w:start w:val="1"/>
      <w:numFmt w:val="upperLetter"/>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B2B02"/>
    <w:multiLevelType w:val="hybridMultilevel"/>
    <w:tmpl w:val="2D9A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0461A"/>
    <w:multiLevelType w:val="hybridMultilevel"/>
    <w:tmpl w:val="4C3E48DE"/>
    <w:lvl w:ilvl="0" w:tplc="32FEB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526A4"/>
    <w:multiLevelType w:val="hybridMultilevel"/>
    <w:tmpl w:val="7B62D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E6292"/>
    <w:multiLevelType w:val="hybridMultilevel"/>
    <w:tmpl w:val="7F22D9CC"/>
    <w:lvl w:ilvl="0" w:tplc="E7AC43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8130A"/>
    <w:multiLevelType w:val="hybridMultilevel"/>
    <w:tmpl w:val="40789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71EE03DD"/>
    <w:multiLevelType w:val="hybridMultilevel"/>
    <w:tmpl w:val="A7E4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8"/>
  </w:num>
  <w:num w:numId="5">
    <w:abstractNumId w:val="13"/>
  </w:num>
  <w:num w:numId="6">
    <w:abstractNumId w:val="4"/>
  </w:num>
  <w:num w:numId="7">
    <w:abstractNumId w:val="2"/>
  </w:num>
  <w:num w:numId="8">
    <w:abstractNumId w:val="6"/>
  </w:num>
  <w:num w:numId="9">
    <w:abstractNumId w:val="9"/>
  </w:num>
  <w:num w:numId="10">
    <w:abstractNumId w:val="3"/>
  </w:num>
  <w:num w:numId="11">
    <w:abstractNumId w:val="10"/>
  </w:num>
  <w:num w:numId="12">
    <w:abstractNumId w:val="7"/>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AD"/>
    <w:rsid w:val="00012B84"/>
    <w:rsid w:val="000256B9"/>
    <w:rsid w:val="000512A4"/>
    <w:rsid w:val="00063C3B"/>
    <w:rsid w:val="0008671B"/>
    <w:rsid w:val="000A43CF"/>
    <w:rsid w:val="000B086E"/>
    <w:rsid w:val="000C602A"/>
    <w:rsid w:val="000D1914"/>
    <w:rsid w:val="000D53A5"/>
    <w:rsid w:val="00102B6D"/>
    <w:rsid w:val="001A314F"/>
    <w:rsid w:val="001B1465"/>
    <w:rsid w:val="001B32A5"/>
    <w:rsid w:val="001E0EEB"/>
    <w:rsid w:val="001F2C69"/>
    <w:rsid w:val="002243C0"/>
    <w:rsid w:val="00233759"/>
    <w:rsid w:val="00255CC7"/>
    <w:rsid w:val="0025639E"/>
    <w:rsid w:val="00262159"/>
    <w:rsid w:val="00262D79"/>
    <w:rsid w:val="00272D5F"/>
    <w:rsid w:val="00294525"/>
    <w:rsid w:val="00317944"/>
    <w:rsid w:val="00352EE3"/>
    <w:rsid w:val="00375FB6"/>
    <w:rsid w:val="0038163D"/>
    <w:rsid w:val="0038336C"/>
    <w:rsid w:val="003A5AB4"/>
    <w:rsid w:val="003A6AD1"/>
    <w:rsid w:val="003E6EEC"/>
    <w:rsid w:val="004256DB"/>
    <w:rsid w:val="00427FD0"/>
    <w:rsid w:val="004305AA"/>
    <w:rsid w:val="0044188C"/>
    <w:rsid w:val="00453386"/>
    <w:rsid w:val="00467EEC"/>
    <w:rsid w:val="00470DD3"/>
    <w:rsid w:val="004851C7"/>
    <w:rsid w:val="00486875"/>
    <w:rsid w:val="004A10CA"/>
    <w:rsid w:val="004A2A5E"/>
    <w:rsid w:val="004A6EFA"/>
    <w:rsid w:val="004D47B5"/>
    <w:rsid w:val="00502D8D"/>
    <w:rsid w:val="00521ECE"/>
    <w:rsid w:val="00561D74"/>
    <w:rsid w:val="0057658C"/>
    <w:rsid w:val="00581BE3"/>
    <w:rsid w:val="0061132F"/>
    <w:rsid w:val="0061774F"/>
    <w:rsid w:val="00625949"/>
    <w:rsid w:val="006265AD"/>
    <w:rsid w:val="00630E24"/>
    <w:rsid w:val="00631B23"/>
    <w:rsid w:val="00644FF9"/>
    <w:rsid w:val="00687C58"/>
    <w:rsid w:val="006A081C"/>
    <w:rsid w:val="006B2853"/>
    <w:rsid w:val="006B60E6"/>
    <w:rsid w:val="006F1239"/>
    <w:rsid w:val="00700BD3"/>
    <w:rsid w:val="00702C9A"/>
    <w:rsid w:val="00710E46"/>
    <w:rsid w:val="007609EB"/>
    <w:rsid w:val="007723EA"/>
    <w:rsid w:val="00782CDB"/>
    <w:rsid w:val="00794B4B"/>
    <w:rsid w:val="007A14A2"/>
    <w:rsid w:val="007C1D6F"/>
    <w:rsid w:val="007E3222"/>
    <w:rsid w:val="007F09BA"/>
    <w:rsid w:val="008044B5"/>
    <w:rsid w:val="00817051"/>
    <w:rsid w:val="008A3E21"/>
    <w:rsid w:val="008B5990"/>
    <w:rsid w:val="008D3674"/>
    <w:rsid w:val="008E00FE"/>
    <w:rsid w:val="0090183B"/>
    <w:rsid w:val="00913B91"/>
    <w:rsid w:val="00924154"/>
    <w:rsid w:val="009327D0"/>
    <w:rsid w:val="0098676A"/>
    <w:rsid w:val="00987C06"/>
    <w:rsid w:val="00992F3E"/>
    <w:rsid w:val="009A5204"/>
    <w:rsid w:val="009F76A2"/>
    <w:rsid w:val="00A4501D"/>
    <w:rsid w:val="00A6275A"/>
    <w:rsid w:val="00A81CA0"/>
    <w:rsid w:val="00A86995"/>
    <w:rsid w:val="00A937A4"/>
    <w:rsid w:val="00AD6EDB"/>
    <w:rsid w:val="00AE5FE8"/>
    <w:rsid w:val="00AF31F0"/>
    <w:rsid w:val="00B16EEF"/>
    <w:rsid w:val="00B310A3"/>
    <w:rsid w:val="00B6698F"/>
    <w:rsid w:val="00BB4CA8"/>
    <w:rsid w:val="00BC0890"/>
    <w:rsid w:val="00BC6F22"/>
    <w:rsid w:val="00BC708D"/>
    <w:rsid w:val="00C02842"/>
    <w:rsid w:val="00C21652"/>
    <w:rsid w:val="00C33417"/>
    <w:rsid w:val="00C33884"/>
    <w:rsid w:val="00C573AA"/>
    <w:rsid w:val="00C5797F"/>
    <w:rsid w:val="00C57DCF"/>
    <w:rsid w:val="00C66AEE"/>
    <w:rsid w:val="00C93726"/>
    <w:rsid w:val="00C971FE"/>
    <w:rsid w:val="00CA3867"/>
    <w:rsid w:val="00CA4E8F"/>
    <w:rsid w:val="00CA6796"/>
    <w:rsid w:val="00CD638C"/>
    <w:rsid w:val="00D04A7A"/>
    <w:rsid w:val="00D0586C"/>
    <w:rsid w:val="00D10DF5"/>
    <w:rsid w:val="00DC13E8"/>
    <w:rsid w:val="00E33092"/>
    <w:rsid w:val="00E403DA"/>
    <w:rsid w:val="00EB127F"/>
    <w:rsid w:val="00EC04DF"/>
    <w:rsid w:val="00EF046D"/>
    <w:rsid w:val="00F253D2"/>
    <w:rsid w:val="00F4233A"/>
    <w:rsid w:val="00F51112"/>
    <w:rsid w:val="00F83BEB"/>
    <w:rsid w:val="00F8492E"/>
    <w:rsid w:val="00FA10CB"/>
    <w:rsid w:val="00FA5A38"/>
    <w:rsid w:val="00FD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4B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B4B"/>
    <w:rPr>
      <w:sz w:val="20"/>
      <w:szCs w:val="20"/>
    </w:rPr>
  </w:style>
  <w:style w:type="character" w:styleId="EndnoteReference">
    <w:name w:val="endnote reference"/>
    <w:basedOn w:val="DefaultParagraphFont"/>
    <w:uiPriority w:val="99"/>
    <w:semiHidden/>
    <w:unhideWhenUsed/>
    <w:rsid w:val="00794B4B"/>
    <w:rPr>
      <w:vertAlign w:val="superscript"/>
    </w:rPr>
  </w:style>
  <w:style w:type="character" w:styleId="Hyperlink">
    <w:name w:val="Hyperlink"/>
    <w:basedOn w:val="DefaultParagraphFont"/>
    <w:uiPriority w:val="99"/>
    <w:unhideWhenUsed/>
    <w:rsid w:val="00794B4B"/>
    <w:rPr>
      <w:color w:val="0000FF" w:themeColor="hyperlink"/>
      <w:u w:val="single"/>
    </w:rPr>
  </w:style>
  <w:style w:type="paragraph" w:styleId="Header">
    <w:name w:val="header"/>
    <w:basedOn w:val="Normal"/>
    <w:link w:val="HeaderChar"/>
    <w:uiPriority w:val="99"/>
    <w:unhideWhenUsed/>
    <w:rsid w:val="0064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F9"/>
  </w:style>
  <w:style w:type="paragraph" w:styleId="Footer">
    <w:name w:val="footer"/>
    <w:basedOn w:val="Normal"/>
    <w:link w:val="FooterChar"/>
    <w:uiPriority w:val="99"/>
    <w:unhideWhenUsed/>
    <w:rsid w:val="0064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F9"/>
  </w:style>
  <w:style w:type="paragraph" w:styleId="NormalWeb">
    <w:name w:val="Normal (Web)"/>
    <w:basedOn w:val="Normal"/>
    <w:uiPriority w:val="99"/>
    <w:unhideWhenUsed/>
    <w:rsid w:val="00D10DF5"/>
    <w:pPr>
      <w:spacing w:before="300" w:after="30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62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59"/>
    <w:rPr>
      <w:rFonts w:ascii="Segoe UI" w:hAnsi="Segoe UI" w:cs="Segoe UI"/>
      <w:sz w:val="18"/>
      <w:szCs w:val="18"/>
    </w:rPr>
  </w:style>
  <w:style w:type="character" w:styleId="CommentReference">
    <w:name w:val="annotation reference"/>
    <w:basedOn w:val="DefaultParagraphFont"/>
    <w:uiPriority w:val="99"/>
    <w:semiHidden/>
    <w:unhideWhenUsed/>
    <w:rsid w:val="004D47B5"/>
    <w:rPr>
      <w:sz w:val="16"/>
      <w:szCs w:val="16"/>
    </w:rPr>
  </w:style>
  <w:style w:type="paragraph" w:styleId="CommentText">
    <w:name w:val="annotation text"/>
    <w:basedOn w:val="Normal"/>
    <w:link w:val="CommentTextChar"/>
    <w:uiPriority w:val="99"/>
    <w:semiHidden/>
    <w:unhideWhenUsed/>
    <w:rsid w:val="004D47B5"/>
    <w:pPr>
      <w:spacing w:line="240" w:lineRule="auto"/>
    </w:pPr>
    <w:rPr>
      <w:sz w:val="20"/>
      <w:szCs w:val="20"/>
    </w:rPr>
  </w:style>
  <w:style w:type="character" w:customStyle="1" w:styleId="CommentTextChar">
    <w:name w:val="Comment Text Char"/>
    <w:basedOn w:val="DefaultParagraphFont"/>
    <w:link w:val="CommentText"/>
    <w:uiPriority w:val="99"/>
    <w:semiHidden/>
    <w:rsid w:val="004D47B5"/>
    <w:rPr>
      <w:sz w:val="20"/>
      <w:szCs w:val="20"/>
    </w:rPr>
  </w:style>
  <w:style w:type="paragraph" w:styleId="CommentSubject">
    <w:name w:val="annotation subject"/>
    <w:basedOn w:val="CommentText"/>
    <w:next w:val="CommentText"/>
    <w:link w:val="CommentSubjectChar"/>
    <w:uiPriority w:val="99"/>
    <w:semiHidden/>
    <w:unhideWhenUsed/>
    <w:rsid w:val="004D47B5"/>
    <w:rPr>
      <w:b/>
      <w:bCs/>
    </w:rPr>
  </w:style>
  <w:style w:type="character" w:customStyle="1" w:styleId="CommentSubjectChar">
    <w:name w:val="Comment Subject Char"/>
    <w:basedOn w:val="CommentTextChar"/>
    <w:link w:val="CommentSubject"/>
    <w:uiPriority w:val="99"/>
    <w:semiHidden/>
    <w:rsid w:val="004D47B5"/>
    <w:rPr>
      <w:b/>
      <w:bCs/>
      <w:sz w:val="20"/>
      <w:szCs w:val="20"/>
    </w:rPr>
  </w:style>
  <w:style w:type="paragraph" w:styleId="ListParagraph">
    <w:name w:val="List Paragraph"/>
    <w:basedOn w:val="Normal"/>
    <w:uiPriority w:val="34"/>
    <w:qFormat/>
    <w:rsid w:val="000C602A"/>
    <w:pPr>
      <w:ind w:left="720"/>
      <w:contextualSpacing/>
    </w:pPr>
  </w:style>
  <w:style w:type="table" w:styleId="TableGrid">
    <w:name w:val="Table Grid"/>
    <w:basedOn w:val="TableNormal"/>
    <w:uiPriority w:val="59"/>
    <w:rsid w:val="0001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4B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B4B"/>
    <w:rPr>
      <w:sz w:val="20"/>
      <w:szCs w:val="20"/>
    </w:rPr>
  </w:style>
  <w:style w:type="character" w:styleId="EndnoteReference">
    <w:name w:val="endnote reference"/>
    <w:basedOn w:val="DefaultParagraphFont"/>
    <w:uiPriority w:val="99"/>
    <w:semiHidden/>
    <w:unhideWhenUsed/>
    <w:rsid w:val="00794B4B"/>
    <w:rPr>
      <w:vertAlign w:val="superscript"/>
    </w:rPr>
  </w:style>
  <w:style w:type="character" w:styleId="Hyperlink">
    <w:name w:val="Hyperlink"/>
    <w:basedOn w:val="DefaultParagraphFont"/>
    <w:uiPriority w:val="99"/>
    <w:unhideWhenUsed/>
    <w:rsid w:val="00794B4B"/>
    <w:rPr>
      <w:color w:val="0000FF" w:themeColor="hyperlink"/>
      <w:u w:val="single"/>
    </w:rPr>
  </w:style>
  <w:style w:type="paragraph" w:styleId="Header">
    <w:name w:val="header"/>
    <w:basedOn w:val="Normal"/>
    <w:link w:val="HeaderChar"/>
    <w:uiPriority w:val="99"/>
    <w:unhideWhenUsed/>
    <w:rsid w:val="0064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F9"/>
  </w:style>
  <w:style w:type="paragraph" w:styleId="Footer">
    <w:name w:val="footer"/>
    <w:basedOn w:val="Normal"/>
    <w:link w:val="FooterChar"/>
    <w:uiPriority w:val="99"/>
    <w:unhideWhenUsed/>
    <w:rsid w:val="0064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F9"/>
  </w:style>
  <w:style w:type="paragraph" w:styleId="NormalWeb">
    <w:name w:val="Normal (Web)"/>
    <w:basedOn w:val="Normal"/>
    <w:uiPriority w:val="99"/>
    <w:unhideWhenUsed/>
    <w:rsid w:val="00D10DF5"/>
    <w:pPr>
      <w:spacing w:before="300" w:after="30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62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59"/>
    <w:rPr>
      <w:rFonts w:ascii="Segoe UI" w:hAnsi="Segoe UI" w:cs="Segoe UI"/>
      <w:sz w:val="18"/>
      <w:szCs w:val="18"/>
    </w:rPr>
  </w:style>
  <w:style w:type="character" w:styleId="CommentReference">
    <w:name w:val="annotation reference"/>
    <w:basedOn w:val="DefaultParagraphFont"/>
    <w:uiPriority w:val="99"/>
    <w:semiHidden/>
    <w:unhideWhenUsed/>
    <w:rsid w:val="004D47B5"/>
    <w:rPr>
      <w:sz w:val="16"/>
      <w:szCs w:val="16"/>
    </w:rPr>
  </w:style>
  <w:style w:type="paragraph" w:styleId="CommentText">
    <w:name w:val="annotation text"/>
    <w:basedOn w:val="Normal"/>
    <w:link w:val="CommentTextChar"/>
    <w:uiPriority w:val="99"/>
    <w:semiHidden/>
    <w:unhideWhenUsed/>
    <w:rsid w:val="004D47B5"/>
    <w:pPr>
      <w:spacing w:line="240" w:lineRule="auto"/>
    </w:pPr>
    <w:rPr>
      <w:sz w:val="20"/>
      <w:szCs w:val="20"/>
    </w:rPr>
  </w:style>
  <w:style w:type="character" w:customStyle="1" w:styleId="CommentTextChar">
    <w:name w:val="Comment Text Char"/>
    <w:basedOn w:val="DefaultParagraphFont"/>
    <w:link w:val="CommentText"/>
    <w:uiPriority w:val="99"/>
    <w:semiHidden/>
    <w:rsid w:val="004D47B5"/>
    <w:rPr>
      <w:sz w:val="20"/>
      <w:szCs w:val="20"/>
    </w:rPr>
  </w:style>
  <w:style w:type="paragraph" w:styleId="CommentSubject">
    <w:name w:val="annotation subject"/>
    <w:basedOn w:val="CommentText"/>
    <w:next w:val="CommentText"/>
    <w:link w:val="CommentSubjectChar"/>
    <w:uiPriority w:val="99"/>
    <w:semiHidden/>
    <w:unhideWhenUsed/>
    <w:rsid w:val="004D47B5"/>
    <w:rPr>
      <w:b/>
      <w:bCs/>
    </w:rPr>
  </w:style>
  <w:style w:type="character" w:customStyle="1" w:styleId="CommentSubjectChar">
    <w:name w:val="Comment Subject Char"/>
    <w:basedOn w:val="CommentTextChar"/>
    <w:link w:val="CommentSubject"/>
    <w:uiPriority w:val="99"/>
    <w:semiHidden/>
    <w:rsid w:val="004D47B5"/>
    <w:rPr>
      <w:b/>
      <w:bCs/>
      <w:sz w:val="20"/>
      <w:szCs w:val="20"/>
    </w:rPr>
  </w:style>
  <w:style w:type="paragraph" w:styleId="ListParagraph">
    <w:name w:val="List Paragraph"/>
    <w:basedOn w:val="Normal"/>
    <w:uiPriority w:val="34"/>
    <w:qFormat/>
    <w:rsid w:val="000C602A"/>
    <w:pPr>
      <w:ind w:left="720"/>
      <w:contextualSpacing/>
    </w:pPr>
  </w:style>
  <w:style w:type="table" w:styleId="TableGrid">
    <w:name w:val="Table Grid"/>
    <w:basedOn w:val="TableNormal"/>
    <w:uiPriority w:val="59"/>
    <w:rsid w:val="0001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4607">
      <w:bodyDiv w:val="1"/>
      <w:marLeft w:val="0"/>
      <w:marRight w:val="0"/>
      <w:marTop w:val="0"/>
      <w:marBottom w:val="0"/>
      <w:divBdr>
        <w:top w:val="none" w:sz="0" w:space="0" w:color="auto"/>
        <w:left w:val="none" w:sz="0" w:space="0" w:color="auto"/>
        <w:bottom w:val="none" w:sz="0" w:space="0" w:color="auto"/>
        <w:right w:val="none" w:sz="0" w:space="0" w:color="auto"/>
      </w:divBdr>
    </w:div>
    <w:div w:id="7776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thecommunityguide.org/pa/environmental-policy/communitypolicies.html" TargetMode="External"/><Relationship Id="rId2" Type="http://schemas.openxmlformats.org/officeDocument/2006/relationships/hyperlink" Target="http://www.americashealthrankings.org/TN" TargetMode="External"/><Relationship Id="rId1" Type="http://schemas.openxmlformats.org/officeDocument/2006/relationships/hyperlink" Target="http://www.americashealthrankings.org/TN" TargetMode="External"/><Relationship Id="rId5" Type="http://schemas.openxmlformats.org/officeDocument/2006/relationships/hyperlink" Target="http://www.americashealthrankings.org/ALL/air" TargetMode="External"/><Relationship Id="rId4" Type="http://schemas.openxmlformats.org/officeDocument/2006/relationships/hyperlink" Target="http://lhhl.illinois.edu/download.php?article=4_article_Coping%20with%20pover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A716-D565-4B86-AB31-072A785D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Gourley</dc:creator>
  <cp:lastModifiedBy>Liesa J. Jenkins</cp:lastModifiedBy>
  <cp:revision>2</cp:revision>
  <cp:lastPrinted>2015-05-18T22:14:00Z</cp:lastPrinted>
  <dcterms:created xsi:type="dcterms:W3CDTF">2015-05-27T01:27:00Z</dcterms:created>
  <dcterms:modified xsi:type="dcterms:W3CDTF">2015-05-27T01:27:00Z</dcterms:modified>
</cp:coreProperties>
</file>