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Pr="0016738E" w:rsidRDefault="006C611D"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r>
      <w:r w:rsidR="00F532B3" w:rsidRPr="0016738E">
        <w:rPr>
          <w:color w:val="221F1F"/>
        </w:rPr>
        <w:t>Dean Flener, Director, Office of Communication</w:t>
      </w:r>
      <w:r w:rsidRPr="0016738E">
        <w:rPr>
          <w:color w:val="221F1F"/>
        </w:rPr>
        <w:t xml:space="preserve"> </w:t>
      </w:r>
      <w:bookmarkStart w:id="2" w:name="From:_Name,_Title_of_Sender__"/>
      <w:bookmarkEnd w:id="2"/>
    </w:p>
    <w:p w14:paraId="77BF523F" w14:textId="54CE9117" w:rsidR="00F532B3" w:rsidRPr="0016738E" w:rsidRDefault="006C611D" w:rsidP="00F532B3">
      <w:pPr>
        <w:pStyle w:val="BodyText"/>
        <w:tabs>
          <w:tab w:val="left" w:pos="1799"/>
        </w:tabs>
        <w:spacing w:line="352" w:lineRule="auto"/>
        <w:ind w:left="900"/>
        <w:rPr>
          <w:color w:val="221F1F"/>
        </w:rPr>
      </w:pPr>
      <w:r w:rsidRPr="0016738E">
        <w:rPr>
          <w:color w:val="221F1F"/>
          <w:spacing w:val="-2"/>
        </w:rPr>
        <w:t>From:</w:t>
      </w:r>
      <w:r w:rsidR="00F532B3" w:rsidRPr="0016738E">
        <w:rPr>
          <w:color w:val="221F1F"/>
        </w:rPr>
        <w:tab/>
      </w:r>
      <w:r w:rsidR="001A0495" w:rsidRPr="0016738E">
        <w:rPr>
          <w:color w:val="221F1F"/>
        </w:rPr>
        <w:t xml:space="preserve">Samantha Green, Board Administrator, Board of Medical Examiners </w:t>
      </w:r>
      <w:r w:rsidR="00F532B3" w:rsidRPr="0016738E">
        <w:rPr>
          <w:color w:val="221F1F"/>
          <w:spacing w:val="-13"/>
        </w:rPr>
        <w:t xml:space="preserve"> </w:t>
      </w:r>
      <w:r w:rsidRPr="0016738E">
        <w:rPr>
          <w:color w:val="221F1F"/>
        </w:rPr>
        <w:t xml:space="preserve"> </w:t>
      </w:r>
      <w:bookmarkStart w:id="3" w:name="Date:_Month_00,_2025__"/>
      <w:bookmarkEnd w:id="3"/>
    </w:p>
    <w:p w14:paraId="374EEF3E" w14:textId="6F309F5C" w:rsidR="00F532B3" w:rsidRDefault="006C611D" w:rsidP="00F532B3">
      <w:pPr>
        <w:pStyle w:val="BodyText"/>
        <w:tabs>
          <w:tab w:val="left" w:pos="1799"/>
        </w:tabs>
        <w:spacing w:line="352" w:lineRule="auto"/>
        <w:ind w:left="900"/>
        <w:rPr>
          <w:color w:val="221F1F"/>
        </w:rPr>
      </w:pPr>
      <w:r w:rsidRPr="0016738E">
        <w:rPr>
          <w:color w:val="221F1F"/>
          <w:spacing w:val="-2"/>
        </w:rPr>
        <w:t>Date:</w:t>
      </w:r>
      <w:r w:rsidR="00F532B3" w:rsidRPr="0016738E">
        <w:rPr>
          <w:color w:val="221F1F"/>
        </w:rPr>
        <w:tab/>
      </w:r>
      <w:r w:rsidR="00004FD0" w:rsidRPr="0016738E">
        <w:rPr>
          <w:color w:val="221F1F"/>
        </w:rPr>
        <w:t xml:space="preserve">June </w:t>
      </w:r>
      <w:r w:rsidR="00AB33F8">
        <w:rPr>
          <w:color w:val="221F1F"/>
        </w:rPr>
        <w:t>15</w:t>
      </w:r>
      <w:r w:rsidRPr="0016738E">
        <w:rPr>
          <w:color w:val="221F1F"/>
        </w:rPr>
        <w:t>, 202</w:t>
      </w:r>
      <w:r w:rsidR="00F532B3" w:rsidRPr="0016738E">
        <w:rPr>
          <w:color w:val="221F1F"/>
        </w:rPr>
        <w:t>6</w:t>
      </w:r>
      <w:r>
        <w:rPr>
          <w:color w:val="221F1F"/>
        </w:rPr>
        <w:t xml:space="preserve"> </w:t>
      </w:r>
      <w:bookmarkStart w:id="4" w:name="Subject:_Reason_for_the_Memo_"/>
      <w:bookmarkEnd w:id="4"/>
    </w:p>
    <w:p w14:paraId="02AB2ABB" w14:textId="1BD5ACE4" w:rsidR="00D80F25" w:rsidRDefault="006C611D"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645680D3" w14:textId="77777777" w:rsidR="0016738E" w:rsidRDefault="0016738E" w:rsidP="0016738E">
      <w:pPr>
        <w:pStyle w:val="BodyText"/>
        <w:tabs>
          <w:tab w:val="left" w:pos="1799"/>
        </w:tabs>
        <w:spacing w:line="352" w:lineRule="auto"/>
        <w:ind w:left="900"/>
        <w:jc w:val="center"/>
      </w:pPr>
      <w:r w:rsidRPr="00FA72B5">
        <w:rPr>
          <w:b/>
          <w:bCs/>
          <w:color w:val="221F1F"/>
        </w:rPr>
        <w:t>Name of Board:</w:t>
      </w:r>
      <w:r>
        <w:rPr>
          <w:b/>
          <w:bCs/>
          <w:color w:val="221F1F"/>
        </w:rPr>
        <w:t xml:space="preserve"> </w:t>
      </w:r>
      <w:r>
        <w:rPr>
          <w:color w:val="221F1F"/>
        </w:rPr>
        <w:t>Board of Medical Examiners</w:t>
      </w:r>
    </w:p>
    <w:p w14:paraId="6598FE7C" w14:textId="0DB6770E" w:rsidR="0016738E" w:rsidRDefault="0016738E" w:rsidP="0016738E">
      <w:pPr>
        <w:pStyle w:val="BodyText"/>
        <w:tabs>
          <w:tab w:val="left" w:pos="1799"/>
        </w:tabs>
        <w:spacing w:line="352" w:lineRule="auto"/>
        <w:ind w:left="900"/>
        <w:jc w:val="center"/>
      </w:pPr>
      <w:r w:rsidRPr="00FA72B5">
        <w:rPr>
          <w:b/>
          <w:bCs/>
          <w:color w:val="221F1F"/>
        </w:rPr>
        <w:t>Date of Meeting:</w:t>
      </w:r>
      <w:r>
        <w:rPr>
          <w:b/>
          <w:bCs/>
          <w:color w:val="221F1F"/>
        </w:rPr>
        <w:t xml:space="preserve"> </w:t>
      </w:r>
      <w:r>
        <w:rPr>
          <w:color w:val="221F1F"/>
        </w:rPr>
        <w:t xml:space="preserve">Tuesday, July </w:t>
      </w:r>
      <w:r w:rsidR="00AB33F8">
        <w:rPr>
          <w:color w:val="221F1F"/>
        </w:rPr>
        <w:t>14</w:t>
      </w:r>
      <w:r>
        <w:rPr>
          <w:color w:val="221F1F"/>
        </w:rPr>
        <w:t>, 2026</w:t>
      </w:r>
    </w:p>
    <w:p w14:paraId="3967C11A" w14:textId="25656FE9" w:rsidR="0016738E" w:rsidRPr="006E4C84" w:rsidRDefault="0016738E" w:rsidP="0016738E">
      <w:pPr>
        <w:pStyle w:val="BodyText"/>
        <w:tabs>
          <w:tab w:val="left" w:pos="1799"/>
        </w:tabs>
        <w:spacing w:line="352" w:lineRule="auto"/>
        <w:ind w:left="900"/>
        <w:jc w:val="center"/>
        <w:rPr>
          <w:color w:val="221F1F"/>
        </w:rPr>
      </w:pPr>
      <w:r w:rsidRPr="00FA72B5">
        <w:rPr>
          <w:b/>
          <w:bCs/>
          <w:color w:val="221F1F"/>
        </w:rPr>
        <w:t>Time:</w:t>
      </w:r>
      <w:r>
        <w:rPr>
          <w:b/>
          <w:bCs/>
          <w:color w:val="221F1F"/>
        </w:rPr>
        <w:t xml:space="preserve"> </w:t>
      </w:r>
      <w:r w:rsidR="00AB33F8">
        <w:rPr>
          <w:color w:val="221F1F"/>
        </w:rPr>
        <w:t>1</w:t>
      </w:r>
      <w:r>
        <w:rPr>
          <w:color w:val="221F1F"/>
        </w:rPr>
        <w:t xml:space="preserve">:00 </w:t>
      </w:r>
      <w:r w:rsidR="00AB33F8">
        <w:rPr>
          <w:color w:val="221F1F"/>
        </w:rPr>
        <w:t>P</w:t>
      </w:r>
      <w:r>
        <w:rPr>
          <w:color w:val="221F1F"/>
        </w:rPr>
        <w:t>.M., Central Standard Time</w:t>
      </w:r>
    </w:p>
    <w:p w14:paraId="5C67C50E" w14:textId="77777777" w:rsidR="0016738E" w:rsidRDefault="0016738E" w:rsidP="0016738E">
      <w:pPr>
        <w:pStyle w:val="BodyText"/>
        <w:tabs>
          <w:tab w:val="left" w:pos="1799"/>
        </w:tabs>
        <w:spacing w:line="352" w:lineRule="auto"/>
        <w:ind w:left="900"/>
        <w:jc w:val="center"/>
      </w:pPr>
      <w:r w:rsidRPr="00FA72B5">
        <w:rPr>
          <w:b/>
          <w:bCs/>
          <w:color w:val="221F1F"/>
        </w:rPr>
        <w:t>Place:</w:t>
      </w:r>
      <w:r>
        <w:rPr>
          <w:b/>
          <w:bCs/>
          <w:color w:val="221F1F"/>
        </w:rPr>
        <w:t xml:space="preserve"> </w:t>
      </w:r>
      <w:r>
        <w:rPr>
          <w:color w:val="221F1F"/>
        </w:rPr>
        <w:t>Tennessee Department of Health</w:t>
      </w:r>
    </w:p>
    <w:p w14:paraId="13FF9649" w14:textId="77777777" w:rsidR="0016738E" w:rsidRDefault="0016738E" w:rsidP="0016738E">
      <w:pPr>
        <w:pStyle w:val="BodyText"/>
        <w:tabs>
          <w:tab w:val="left" w:pos="1799"/>
        </w:tabs>
        <w:spacing w:line="352" w:lineRule="auto"/>
        <w:ind w:left="900"/>
        <w:jc w:val="center"/>
      </w:pPr>
      <w:r>
        <w:rPr>
          <w:color w:val="221F1F"/>
        </w:rPr>
        <w:t xml:space="preserve">Office of </w:t>
      </w:r>
      <w:proofErr w:type="gramStart"/>
      <w:r>
        <w:rPr>
          <w:color w:val="221F1F"/>
        </w:rPr>
        <w:t>Health Related</w:t>
      </w:r>
      <w:proofErr w:type="gramEnd"/>
      <w:r>
        <w:rPr>
          <w:color w:val="221F1F"/>
        </w:rPr>
        <w:t xml:space="preserve"> Boards</w:t>
      </w:r>
    </w:p>
    <w:p w14:paraId="4F352D16" w14:textId="77777777" w:rsidR="0016738E" w:rsidRDefault="0016738E" w:rsidP="0016738E">
      <w:pPr>
        <w:pStyle w:val="BodyText"/>
        <w:tabs>
          <w:tab w:val="left" w:pos="1799"/>
        </w:tabs>
        <w:spacing w:line="352" w:lineRule="auto"/>
        <w:ind w:left="900"/>
        <w:jc w:val="center"/>
      </w:pPr>
      <w:r>
        <w:rPr>
          <w:color w:val="221F1F"/>
        </w:rPr>
        <w:t>665 Mainstream Drive</w:t>
      </w:r>
    </w:p>
    <w:p w14:paraId="460F722B" w14:textId="77777777" w:rsidR="0016738E" w:rsidRDefault="0016738E" w:rsidP="0016738E">
      <w:pPr>
        <w:pStyle w:val="BodyText"/>
        <w:tabs>
          <w:tab w:val="left" w:pos="1799"/>
        </w:tabs>
        <w:spacing w:line="352" w:lineRule="auto"/>
        <w:ind w:left="900"/>
        <w:jc w:val="center"/>
      </w:pPr>
      <w:r>
        <w:rPr>
          <w:color w:val="221F1F"/>
        </w:rPr>
        <w:t>Nashville, TN 37243</w:t>
      </w:r>
    </w:p>
    <w:p w14:paraId="54EE6601" w14:textId="73A178AD" w:rsidR="00AB33F8" w:rsidRDefault="0016738E" w:rsidP="00AB33F8">
      <w:pPr>
        <w:pStyle w:val="BodyText"/>
        <w:tabs>
          <w:tab w:val="left" w:pos="1799"/>
        </w:tabs>
        <w:spacing w:line="352" w:lineRule="auto"/>
        <w:ind w:left="900"/>
        <w:jc w:val="center"/>
        <w:rPr>
          <w:color w:val="221F1F"/>
        </w:rPr>
      </w:pPr>
      <w:r w:rsidRPr="00D80F25">
        <w:rPr>
          <w:b/>
          <w:bCs/>
          <w:color w:val="221F1F"/>
        </w:rPr>
        <w:t>Conference Rooms:</w:t>
      </w:r>
      <w:r>
        <w:rPr>
          <w:b/>
          <w:bCs/>
          <w:color w:val="221F1F"/>
        </w:rPr>
        <w:t xml:space="preserve"> </w:t>
      </w:r>
      <w:r>
        <w:rPr>
          <w:color w:val="221F1F"/>
        </w:rPr>
        <w:t>Poplar Room</w:t>
      </w:r>
    </w:p>
    <w:p w14:paraId="4C57CC5E" w14:textId="025435D2" w:rsidR="00BF3514" w:rsidRDefault="00AB33F8" w:rsidP="0016738E">
      <w:pPr>
        <w:pStyle w:val="BodyText"/>
        <w:tabs>
          <w:tab w:val="left" w:pos="1799"/>
        </w:tabs>
        <w:spacing w:line="352" w:lineRule="auto"/>
        <w:ind w:left="900"/>
        <w:jc w:val="center"/>
      </w:pPr>
      <w:r>
        <w:rPr>
          <w:color w:val="221F1F"/>
        </w:rPr>
        <w:t xml:space="preserve">This meeting will be held electronically. </w:t>
      </w:r>
      <w:r w:rsidR="0016738E">
        <w:rPr>
          <w:color w:val="221F1F"/>
        </w:rPr>
        <w:br/>
      </w:r>
    </w:p>
    <w:p w14:paraId="52C2C498" w14:textId="171F8B5E" w:rsidR="0016738E" w:rsidRDefault="00FA72B5" w:rsidP="0016738E">
      <w:pPr>
        <w:pStyle w:val="BodyText"/>
        <w:tabs>
          <w:tab w:val="left" w:pos="1799"/>
        </w:tabs>
        <w:spacing w:line="352" w:lineRule="auto"/>
        <w:rPr>
          <w:b/>
          <w:bCs/>
          <w:color w:val="221F1F"/>
        </w:rPr>
      </w:pPr>
      <w:r w:rsidRPr="00FA72B5">
        <w:rPr>
          <w:b/>
          <w:bCs/>
          <w:color w:val="221F1F"/>
        </w:rPr>
        <w:t>Livestream Link:</w:t>
      </w:r>
      <w:r w:rsidR="0016738E">
        <w:rPr>
          <w:b/>
          <w:bCs/>
          <w:color w:val="221F1F"/>
        </w:rPr>
        <w:t xml:space="preserve"> </w:t>
      </w:r>
      <w:hyperlink r:id="rId9" w:history="1">
        <w:r w:rsidR="0016738E" w:rsidRPr="000E5C84">
          <w:rPr>
            <w:rStyle w:val="Hyperlink"/>
            <w:b/>
            <w:bCs/>
          </w:rPr>
          <w:t xml:space="preserve">July </w:t>
        </w:r>
        <w:r w:rsidR="000E5C84" w:rsidRPr="000E5C84">
          <w:rPr>
            <w:rStyle w:val="Hyperlink"/>
            <w:b/>
            <w:bCs/>
          </w:rPr>
          <w:t>14</w:t>
        </w:r>
        <w:r w:rsidR="0016738E" w:rsidRPr="000E5C84">
          <w:rPr>
            <w:rStyle w:val="Hyperlink"/>
            <w:b/>
            <w:bCs/>
          </w:rPr>
          <w:t>, 2026 Board of Medical Examiners</w:t>
        </w:r>
      </w:hyperlink>
      <w:r w:rsidR="00AD05FD">
        <w:rPr>
          <w:b/>
          <w:bCs/>
        </w:rPr>
        <w:t xml:space="preserve"> </w:t>
      </w:r>
      <w:r w:rsidR="000E5C84">
        <w:t xml:space="preserve"> </w:t>
      </w:r>
    </w:p>
    <w:p w14:paraId="14FCCF24" w14:textId="1969F412" w:rsidR="0016738E" w:rsidRDefault="0016738E" w:rsidP="0016738E">
      <w:pPr>
        <w:pStyle w:val="BodyText"/>
        <w:tabs>
          <w:tab w:val="left" w:pos="1799"/>
        </w:tabs>
        <w:spacing w:line="352" w:lineRule="auto"/>
        <w:rPr>
          <w:color w:val="221F1F"/>
        </w:rPr>
      </w:pPr>
      <w:r>
        <w:rPr>
          <w:b/>
          <w:bCs/>
          <w:color w:val="221F1F"/>
        </w:rPr>
        <w:t xml:space="preserve">Webinar Number: </w:t>
      </w:r>
      <w:r w:rsidR="000E5C84">
        <w:rPr>
          <w:color w:val="221F1F"/>
        </w:rPr>
        <w:t>2311 574 6496</w:t>
      </w:r>
    </w:p>
    <w:p w14:paraId="5D14EF09" w14:textId="100A8E5F" w:rsidR="000E5C84" w:rsidRDefault="0016738E" w:rsidP="00AD05FD">
      <w:pPr>
        <w:pStyle w:val="BodyText"/>
        <w:tabs>
          <w:tab w:val="left" w:pos="1799"/>
        </w:tabs>
        <w:spacing w:line="352" w:lineRule="auto"/>
        <w:rPr>
          <w:color w:val="221F1F"/>
        </w:rPr>
      </w:pPr>
      <w:r>
        <w:rPr>
          <w:b/>
          <w:bCs/>
          <w:color w:val="221F1F"/>
        </w:rPr>
        <w:t xml:space="preserve">Password: </w:t>
      </w:r>
      <w:r w:rsidR="000E5C84" w:rsidRPr="000E5C84">
        <w:rPr>
          <w:color w:val="221F1F"/>
        </w:rPr>
        <w:t>pgPeJSay488 (74735729 when dialing from a phone or video system)</w:t>
      </w:r>
    </w:p>
    <w:p w14:paraId="48C30A83" w14:textId="77777777" w:rsidR="00AD05FD" w:rsidRPr="00AD05FD" w:rsidRDefault="00AD05FD" w:rsidP="00AD05FD">
      <w:pPr>
        <w:pStyle w:val="BodyText"/>
        <w:tabs>
          <w:tab w:val="left" w:pos="1799"/>
        </w:tabs>
        <w:spacing w:line="352" w:lineRule="auto"/>
        <w:rPr>
          <w:color w:val="221F1F"/>
        </w:rPr>
      </w:pPr>
    </w:p>
    <w:p w14:paraId="39F3D8A8" w14:textId="0B051575"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76BC38D9" w14:textId="4DAB7100" w:rsidR="00F875D1" w:rsidRPr="00422EFC" w:rsidRDefault="000E5C84" w:rsidP="00F875D1">
      <w:pPr>
        <w:pStyle w:val="BodyText"/>
        <w:numPr>
          <w:ilvl w:val="0"/>
          <w:numId w:val="7"/>
        </w:numPr>
        <w:tabs>
          <w:tab w:val="left" w:pos="1799"/>
        </w:tabs>
        <w:spacing w:line="352" w:lineRule="auto"/>
        <w:rPr>
          <w:color w:val="221F1F"/>
        </w:rPr>
      </w:pPr>
      <w:r>
        <w:rPr>
          <w:color w:val="221F1F"/>
        </w:rPr>
        <w:t xml:space="preserve">Rulemaking Hearings </w:t>
      </w:r>
    </w:p>
    <w:p w14:paraId="02CAB29A" w14:textId="04BD3EDF" w:rsidR="00EF6059" w:rsidRDefault="000E5C84" w:rsidP="00C97413">
      <w:pPr>
        <w:pStyle w:val="BodyText"/>
        <w:numPr>
          <w:ilvl w:val="0"/>
          <w:numId w:val="8"/>
        </w:numPr>
        <w:tabs>
          <w:tab w:val="left" w:pos="1799"/>
        </w:tabs>
        <w:spacing w:line="352" w:lineRule="auto"/>
        <w:rPr>
          <w:color w:val="221F1F"/>
        </w:rPr>
      </w:pPr>
      <w:r>
        <w:rPr>
          <w:color w:val="221F1F"/>
        </w:rPr>
        <w:t xml:space="preserve">0880-09 General Rules and Regulations Governing Radiology Assistants </w:t>
      </w:r>
    </w:p>
    <w:p w14:paraId="06A44A95" w14:textId="72E46B54" w:rsidR="000E5C84" w:rsidRDefault="000E5C84" w:rsidP="00C97413">
      <w:pPr>
        <w:pStyle w:val="BodyText"/>
        <w:numPr>
          <w:ilvl w:val="0"/>
          <w:numId w:val="8"/>
        </w:numPr>
        <w:tabs>
          <w:tab w:val="left" w:pos="1799"/>
        </w:tabs>
        <w:spacing w:line="352" w:lineRule="auto"/>
        <w:rPr>
          <w:color w:val="221F1F"/>
        </w:rPr>
      </w:pPr>
      <w:r>
        <w:rPr>
          <w:color w:val="221F1F"/>
        </w:rPr>
        <w:t xml:space="preserve">0880-13 General Rules and Regulations Governing the Practice of Genetic Counselors </w:t>
      </w:r>
    </w:p>
    <w:p w14:paraId="166663FA" w14:textId="77777777" w:rsidR="00AD05FD" w:rsidRDefault="00AD05FD" w:rsidP="00AD05FD">
      <w:pPr>
        <w:pStyle w:val="BodyText"/>
        <w:tabs>
          <w:tab w:val="left" w:pos="1799"/>
        </w:tabs>
        <w:spacing w:line="352" w:lineRule="auto"/>
        <w:ind w:left="1620"/>
        <w:rPr>
          <w:color w:val="221F1F"/>
        </w:rPr>
      </w:pPr>
    </w:p>
    <w:p w14:paraId="6BE3F30A" w14:textId="158FC441" w:rsidR="000E5C84" w:rsidRDefault="00AD05FD" w:rsidP="00C97413">
      <w:pPr>
        <w:pStyle w:val="BodyText"/>
        <w:numPr>
          <w:ilvl w:val="0"/>
          <w:numId w:val="8"/>
        </w:numPr>
        <w:tabs>
          <w:tab w:val="left" w:pos="1799"/>
        </w:tabs>
        <w:spacing w:line="352" w:lineRule="auto"/>
        <w:rPr>
          <w:color w:val="221F1F"/>
        </w:rPr>
      </w:pPr>
      <w:r>
        <w:rPr>
          <w:color w:val="221F1F"/>
        </w:rPr>
        <w:lastRenderedPageBreak/>
        <w:t xml:space="preserve">0880-06 Rules and Regulations Governing the Utilization and Supervision of the Services of a Nurse Practitioner/Prescription Writer </w:t>
      </w:r>
    </w:p>
    <w:p w14:paraId="75159F33" w14:textId="711621D1" w:rsidR="00015BBE" w:rsidRDefault="00015BBE" w:rsidP="00AD05FD">
      <w:pPr>
        <w:pStyle w:val="BodyText"/>
        <w:tabs>
          <w:tab w:val="left" w:pos="1799"/>
        </w:tabs>
        <w:spacing w:line="352" w:lineRule="auto"/>
        <w:rPr>
          <w:color w:val="221F1F"/>
        </w:rPr>
      </w:pPr>
    </w:p>
    <w:p w14:paraId="557186BB" w14:textId="714B695A" w:rsidR="0094798C" w:rsidRDefault="0094798C" w:rsidP="008E55EA">
      <w:pPr>
        <w:pStyle w:val="BodyText"/>
        <w:numPr>
          <w:ilvl w:val="0"/>
          <w:numId w:val="7"/>
        </w:numPr>
        <w:tabs>
          <w:tab w:val="left" w:pos="1799"/>
        </w:tabs>
        <w:spacing w:line="352" w:lineRule="auto"/>
        <w:rPr>
          <w:color w:val="221F1F"/>
        </w:rPr>
      </w:pPr>
      <w:r>
        <w:rPr>
          <w:color w:val="221F1F"/>
        </w:rPr>
        <w:t xml:space="preserve">Public Comment </w:t>
      </w:r>
    </w:p>
    <w:p w14:paraId="5D798FCF" w14:textId="77777777" w:rsidR="001A0495" w:rsidRDefault="001A0495" w:rsidP="001A0495">
      <w:pPr>
        <w:pStyle w:val="BodyText"/>
        <w:tabs>
          <w:tab w:val="left" w:pos="1799"/>
        </w:tabs>
        <w:spacing w:line="352" w:lineRule="auto"/>
        <w:ind w:left="1260"/>
        <w:rPr>
          <w:color w:val="221F1F"/>
        </w:rPr>
      </w:pPr>
    </w:p>
    <w:p w14:paraId="7009C295" w14:textId="0169DDE0" w:rsidR="008E55EA" w:rsidRDefault="008E55EA" w:rsidP="008E55EA">
      <w:pPr>
        <w:pStyle w:val="BodyText"/>
        <w:numPr>
          <w:ilvl w:val="0"/>
          <w:numId w:val="7"/>
        </w:numPr>
        <w:tabs>
          <w:tab w:val="left" w:pos="1799"/>
        </w:tabs>
        <w:spacing w:line="352" w:lineRule="auto"/>
        <w:rPr>
          <w:color w:val="221F1F"/>
        </w:rPr>
      </w:pPr>
      <w:r>
        <w:rPr>
          <w:color w:val="221F1F"/>
        </w:rPr>
        <w:t>Adjourn</w:t>
      </w:r>
    </w:p>
    <w:p w14:paraId="496EE491" w14:textId="727702E3" w:rsidR="00A0184C" w:rsidRPr="00A0184C" w:rsidRDefault="00AD05FD" w:rsidP="00AD05FD">
      <w:pPr>
        <w:pStyle w:val="BodyText"/>
        <w:tabs>
          <w:tab w:val="left" w:pos="1799"/>
        </w:tabs>
        <w:spacing w:before="240" w:line="352" w:lineRule="auto"/>
        <w:rPr>
          <w:b/>
          <w:bCs/>
          <w:color w:val="221F1F"/>
        </w:rPr>
      </w:pPr>
      <w:r>
        <w:rPr>
          <w:b/>
          <w:bCs/>
          <w:color w:val="221F1F"/>
        </w:rPr>
        <w:t xml:space="preserve">                 </w:t>
      </w:r>
      <w:r w:rsidR="00A0184C">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r w:rsidRPr="00FA72B5">
        <w:rPr>
          <w:color w:val="221F1F"/>
        </w:rPr>
        <w:t xml:space="preserve">In order to participate in the period of public comment before a Governing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E4712FA" w14:textId="77777777" w:rsidR="00686B86" w:rsidRDefault="00686B86" w:rsidP="00BF3514">
      <w:pPr>
        <w:pStyle w:val="BodyText"/>
        <w:tabs>
          <w:tab w:val="left" w:pos="1799"/>
        </w:tabs>
        <w:spacing w:line="352" w:lineRule="auto"/>
      </w:pPr>
    </w:p>
    <w:p w14:paraId="1008CA6D" w14:textId="55C36865"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sidR="00636EAF">
        <w:rPr>
          <w:color w:val="221F1F"/>
        </w:rPr>
        <w:t>of Medical Examiners</w:t>
      </w:r>
      <w:r w:rsidRPr="00FA72B5">
        <w:rPr>
          <w:color w:val="221F1F"/>
        </w:rPr>
        <w:t xml:space="preserve"> may be submitted to </w:t>
      </w:r>
      <w:hyperlink r:id="rId10" w:history="1">
        <w:r w:rsidR="00BF3514" w:rsidRPr="00060D42">
          <w:rPr>
            <w:rStyle w:val="Hyperlink"/>
          </w:rPr>
          <w:t>Stacy.Tarr@tn.gov</w:t>
        </w:r>
      </w:hyperlink>
      <w:r w:rsidR="00BF3514">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06FC7BE3" w14:textId="5AB6BA18" w:rsidR="00FB375A" w:rsidRDefault="00D80F25" w:rsidP="00CE5532">
      <w:pPr>
        <w:pStyle w:val="BodyText"/>
        <w:tabs>
          <w:tab w:val="left" w:pos="1799"/>
        </w:tabs>
        <w:spacing w:line="352" w:lineRule="auto"/>
        <w:ind w:left="900"/>
      </w:pPr>
      <w:r w:rsidRPr="00323A55">
        <w:rPr>
          <w:b/>
          <w:bCs/>
          <w:i/>
          <w:iCs/>
          <w:color w:val="221F1F"/>
        </w:rPr>
        <w:t xml:space="preserve">References: </w:t>
      </w:r>
    </w:p>
    <w:p w14:paraId="68AF2AE0" w14:textId="556957DD" w:rsidR="00AD05FD" w:rsidRPr="00AD05FD" w:rsidRDefault="00AD05FD" w:rsidP="00AD05FD">
      <w:pPr>
        <w:pStyle w:val="BodyText"/>
        <w:tabs>
          <w:tab w:val="left" w:pos="1799"/>
        </w:tabs>
        <w:spacing w:line="352" w:lineRule="auto"/>
        <w:ind w:left="900"/>
        <w:rPr>
          <w:color w:val="221F1F"/>
        </w:rPr>
      </w:pPr>
      <w:hyperlink r:id="rId11" w:history="1">
        <w:r w:rsidRPr="00B72D1E">
          <w:rPr>
            <w:rStyle w:val="Hyperlink"/>
          </w:rPr>
          <w:t>https://publications.tnsosfiles.com/rules_filings/05-15-26.pdf</w:t>
        </w:r>
      </w:hyperlink>
      <w:r>
        <w:rPr>
          <w:color w:val="221F1F"/>
        </w:rPr>
        <w:t xml:space="preserve"> </w:t>
      </w:r>
    </w:p>
    <w:p w14:paraId="230CBB74" w14:textId="48D9952F" w:rsidR="00AD05FD" w:rsidRPr="00AD05FD" w:rsidRDefault="00AD05FD" w:rsidP="00AD05FD">
      <w:pPr>
        <w:pStyle w:val="BodyText"/>
        <w:tabs>
          <w:tab w:val="left" w:pos="1799"/>
        </w:tabs>
        <w:spacing w:line="352" w:lineRule="auto"/>
        <w:ind w:left="900"/>
        <w:rPr>
          <w:color w:val="221F1F"/>
        </w:rPr>
      </w:pPr>
      <w:hyperlink r:id="rId12" w:history="1">
        <w:r w:rsidRPr="00B72D1E">
          <w:rPr>
            <w:rStyle w:val="Hyperlink"/>
          </w:rPr>
          <w:t>https://publications.tnsosfiles.com/rules_filings/05-13-26.pdf</w:t>
        </w:r>
      </w:hyperlink>
      <w:r>
        <w:rPr>
          <w:color w:val="221F1F"/>
        </w:rPr>
        <w:t xml:space="preserve"> </w:t>
      </w:r>
    </w:p>
    <w:p w14:paraId="4BE8048C" w14:textId="5F8366DC" w:rsidR="00AD05FD" w:rsidRPr="003B6A20" w:rsidRDefault="00AD05FD" w:rsidP="00AD05FD">
      <w:pPr>
        <w:pStyle w:val="BodyText"/>
        <w:tabs>
          <w:tab w:val="left" w:pos="1799"/>
        </w:tabs>
        <w:spacing w:line="352" w:lineRule="auto"/>
        <w:ind w:left="900"/>
        <w:rPr>
          <w:color w:val="221F1F"/>
        </w:rPr>
      </w:pPr>
      <w:hyperlink r:id="rId13" w:history="1">
        <w:r w:rsidRPr="00B72D1E">
          <w:rPr>
            <w:rStyle w:val="Hyperlink"/>
          </w:rPr>
          <w:t>https://publications.tnsosfiles.com/rules_filings/05-14-26.pdf</w:t>
        </w:r>
      </w:hyperlink>
      <w:r>
        <w:rPr>
          <w:color w:val="221F1F"/>
        </w:rPr>
        <w:t xml:space="preserve"> </w:t>
      </w:r>
    </w:p>
    <w:sectPr w:rsidR="00AD05FD" w:rsidRPr="003B6A20">
      <w:footerReference w:type="default" r:id="rId14"/>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2EC2" w14:textId="77777777" w:rsidR="00005049" w:rsidRDefault="00005049">
      <w:r>
        <w:separator/>
      </w:r>
    </w:p>
  </w:endnote>
  <w:endnote w:type="continuationSeparator" w:id="0">
    <w:p w14:paraId="01CFA8A7" w14:textId="77777777" w:rsidR="00005049" w:rsidRDefault="0000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17D0C03D">
              <wp:simplePos x="0" y="0"/>
              <wp:positionH relativeFrom="page">
                <wp:posOffset>1038224</wp:posOffset>
              </wp:positionH>
              <wp:positionV relativeFrom="bottomMargin">
                <wp:align>top</wp:align>
              </wp:positionV>
              <wp:extent cx="2495550"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68935"/>
                      </a:xfrm>
                      <a:prstGeom prst="rect">
                        <a:avLst/>
                      </a:prstGeom>
                    </wps:spPr>
                    <wps:txbx>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196.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" filled="f" stroked="f">
              <v:textbox inset="0,0,0,0">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F2A4" w14:textId="77777777" w:rsidR="00005049" w:rsidRDefault="00005049">
      <w:r>
        <w:separator/>
      </w:r>
    </w:p>
  </w:footnote>
  <w:footnote w:type="continuationSeparator" w:id="0">
    <w:p w14:paraId="40129BE1" w14:textId="77777777" w:rsidR="00005049" w:rsidRDefault="00005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65A"/>
    <w:multiLevelType w:val="hybridMultilevel"/>
    <w:tmpl w:val="FE0E0F66"/>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5D32518"/>
    <w:multiLevelType w:val="hybridMultilevel"/>
    <w:tmpl w:val="1902E68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9B805EC"/>
    <w:multiLevelType w:val="hybridMultilevel"/>
    <w:tmpl w:val="D786C684"/>
    <w:lvl w:ilvl="0" w:tplc="79E6F4A6">
      <w:start w:val="1"/>
      <w:numFmt w:val="lowerLetter"/>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DEB2870"/>
    <w:multiLevelType w:val="hybridMultilevel"/>
    <w:tmpl w:val="209418FA"/>
    <w:lvl w:ilvl="0" w:tplc="061CD9B2">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06FA1"/>
    <w:multiLevelType w:val="hybridMultilevel"/>
    <w:tmpl w:val="F8940F1E"/>
    <w:lvl w:ilvl="0" w:tplc="85EE9A3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A846201"/>
    <w:multiLevelType w:val="hybridMultilevel"/>
    <w:tmpl w:val="A12CAC78"/>
    <w:lvl w:ilvl="0" w:tplc="81564CF6">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B69E9"/>
    <w:multiLevelType w:val="hybridMultilevel"/>
    <w:tmpl w:val="69A44852"/>
    <w:lvl w:ilvl="0" w:tplc="FFFFFFFF">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1"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E1D1583"/>
    <w:multiLevelType w:val="hybridMultilevel"/>
    <w:tmpl w:val="7DEA0DC4"/>
    <w:lvl w:ilvl="0" w:tplc="033685D8">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23997"/>
    <w:multiLevelType w:val="hybridMultilevel"/>
    <w:tmpl w:val="F5CAE3F2"/>
    <w:lvl w:ilvl="0" w:tplc="D776472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234A4"/>
    <w:multiLevelType w:val="hybridMultilevel"/>
    <w:tmpl w:val="4F70E742"/>
    <w:lvl w:ilvl="0" w:tplc="15606CEA">
      <w:start w:val="1"/>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64DF9"/>
    <w:multiLevelType w:val="hybridMultilevel"/>
    <w:tmpl w:val="657A5F1A"/>
    <w:lvl w:ilvl="0" w:tplc="95F0864E">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16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41EB3"/>
    <w:multiLevelType w:val="hybridMultilevel"/>
    <w:tmpl w:val="D5B2A144"/>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C57518E"/>
    <w:multiLevelType w:val="hybridMultilevel"/>
    <w:tmpl w:val="090EAAF8"/>
    <w:lvl w:ilvl="0" w:tplc="8C8EC87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601556AE"/>
    <w:multiLevelType w:val="hybridMultilevel"/>
    <w:tmpl w:val="5E26727A"/>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648634C4"/>
    <w:multiLevelType w:val="hybridMultilevel"/>
    <w:tmpl w:val="0B9CB58C"/>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69983F37"/>
    <w:multiLevelType w:val="hybridMultilevel"/>
    <w:tmpl w:val="A70CEEBC"/>
    <w:lvl w:ilvl="0" w:tplc="4378CA7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5" w15:restartNumberingAfterBreak="0">
    <w:nsid w:val="7B2B769F"/>
    <w:multiLevelType w:val="hybridMultilevel"/>
    <w:tmpl w:val="69A4485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C74394C"/>
    <w:multiLevelType w:val="hybridMultilevel"/>
    <w:tmpl w:val="BEB84CC2"/>
    <w:lvl w:ilvl="0" w:tplc="711E101A">
      <w:start w:val="1"/>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015197">
    <w:abstractNumId w:val="18"/>
  </w:num>
  <w:num w:numId="2" w16cid:durableId="1617981618">
    <w:abstractNumId w:val="24"/>
  </w:num>
  <w:num w:numId="3" w16cid:durableId="1175918860">
    <w:abstractNumId w:val="4"/>
  </w:num>
  <w:num w:numId="4" w16cid:durableId="1233739658">
    <w:abstractNumId w:val="8"/>
  </w:num>
  <w:num w:numId="5" w16cid:durableId="494345195">
    <w:abstractNumId w:val="11"/>
  </w:num>
  <w:num w:numId="6" w16cid:durableId="1790584319">
    <w:abstractNumId w:val="20"/>
  </w:num>
  <w:num w:numId="7" w16cid:durableId="1449197689">
    <w:abstractNumId w:val="17"/>
  </w:num>
  <w:num w:numId="8" w16cid:durableId="2095585664">
    <w:abstractNumId w:val="25"/>
  </w:num>
  <w:num w:numId="9" w16cid:durableId="1377588382">
    <w:abstractNumId w:val="1"/>
  </w:num>
  <w:num w:numId="10" w16cid:durableId="1359434394">
    <w:abstractNumId w:val="12"/>
  </w:num>
  <w:num w:numId="11" w16cid:durableId="1145048737">
    <w:abstractNumId w:val="21"/>
  </w:num>
  <w:num w:numId="12" w16cid:durableId="536553748">
    <w:abstractNumId w:val="7"/>
  </w:num>
  <w:num w:numId="13" w16cid:durableId="256989993">
    <w:abstractNumId w:val="3"/>
  </w:num>
  <w:num w:numId="14" w16cid:durableId="1789735278">
    <w:abstractNumId w:val="6"/>
  </w:num>
  <w:num w:numId="15" w16cid:durableId="1680506460">
    <w:abstractNumId w:val="23"/>
  </w:num>
  <w:num w:numId="16" w16cid:durableId="286548858">
    <w:abstractNumId w:val="26"/>
  </w:num>
  <w:num w:numId="17" w16cid:durableId="1377316321">
    <w:abstractNumId w:val="15"/>
  </w:num>
  <w:num w:numId="18" w16cid:durableId="89669225">
    <w:abstractNumId w:val="0"/>
  </w:num>
  <w:num w:numId="19" w16cid:durableId="129059859">
    <w:abstractNumId w:val="13"/>
  </w:num>
  <w:num w:numId="20" w16cid:durableId="359862601">
    <w:abstractNumId w:val="19"/>
  </w:num>
  <w:num w:numId="21" w16cid:durableId="967316923">
    <w:abstractNumId w:val="22"/>
  </w:num>
  <w:num w:numId="22" w16cid:durableId="1666588597">
    <w:abstractNumId w:val="9"/>
  </w:num>
  <w:num w:numId="23" w16cid:durableId="288318528">
    <w:abstractNumId w:val="14"/>
  </w:num>
  <w:num w:numId="24" w16cid:durableId="224293221">
    <w:abstractNumId w:val="2"/>
  </w:num>
  <w:num w:numId="25" w16cid:durableId="1868903518">
    <w:abstractNumId w:val="16"/>
  </w:num>
  <w:num w:numId="26" w16cid:durableId="123039524">
    <w:abstractNumId w:val="5"/>
  </w:num>
  <w:num w:numId="27" w16cid:durableId="1582176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2F25"/>
    <w:rsid w:val="00004FD0"/>
    <w:rsid w:val="00005049"/>
    <w:rsid w:val="0001075D"/>
    <w:rsid w:val="00015BBE"/>
    <w:rsid w:val="0003074C"/>
    <w:rsid w:val="000763F2"/>
    <w:rsid w:val="00081266"/>
    <w:rsid w:val="000932ED"/>
    <w:rsid w:val="000C1A36"/>
    <w:rsid w:val="000E5C84"/>
    <w:rsid w:val="001407CA"/>
    <w:rsid w:val="00151978"/>
    <w:rsid w:val="001608A7"/>
    <w:rsid w:val="0016738E"/>
    <w:rsid w:val="0018597D"/>
    <w:rsid w:val="001A0495"/>
    <w:rsid w:val="001E311A"/>
    <w:rsid w:val="00225CB9"/>
    <w:rsid w:val="00241D69"/>
    <w:rsid w:val="002471C5"/>
    <w:rsid w:val="00263334"/>
    <w:rsid w:val="00265D3B"/>
    <w:rsid w:val="0027492A"/>
    <w:rsid w:val="00280FDC"/>
    <w:rsid w:val="00283AAA"/>
    <w:rsid w:val="002F75CD"/>
    <w:rsid w:val="0031674B"/>
    <w:rsid w:val="00323A55"/>
    <w:rsid w:val="00326FF5"/>
    <w:rsid w:val="00341521"/>
    <w:rsid w:val="00343FE5"/>
    <w:rsid w:val="00347F59"/>
    <w:rsid w:val="00375A87"/>
    <w:rsid w:val="0039405F"/>
    <w:rsid w:val="003A7064"/>
    <w:rsid w:val="003B2208"/>
    <w:rsid w:val="003B6A20"/>
    <w:rsid w:val="003C2A40"/>
    <w:rsid w:val="003C34D1"/>
    <w:rsid w:val="00407FDC"/>
    <w:rsid w:val="00413049"/>
    <w:rsid w:val="00422EFC"/>
    <w:rsid w:val="004237BB"/>
    <w:rsid w:val="004902BE"/>
    <w:rsid w:val="004952D4"/>
    <w:rsid w:val="004C0310"/>
    <w:rsid w:val="00506AC9"/>
    <w:rsid w:val="00525685"/>
    <w:rsid w:val="00531BD7"/>
    <w:rsid w:val="00543949"/>
    <w:rsid w:val="005978D9"/>
    <w:rsid w:val="005B735D"/>
    <w:rsid w:val="005C4395"/>
    <w:rsid w:val="005C4DDD"/>
    <w:rsid w:val="005D1A32"/>
    <w:rsid w:val="00600B8C"/>
    <w:rsid w:val="00600D33"/>
    <w:rsid w:val="00610917"/>
    <w:rsid w:val="00636EAF"/>
    <w:rsid w:val="0065423E"/>
    <w:rsid w:val="006774B5"/>
    <w:rsid w:val="00682D07"/>
    <w:rsid w:val="00686B86"/>
    <w:rsid w:val="006B192F"/>
    <w:rsid w:val="006B6974"/>
    <w:rsid w:val="006C466F"/>
    <w:rsid w:val="006C611D"/>
    <w:rsid w:val="006E1910"/>
    <w:rsid w:val="00724729"/>
    <w:rsid w:val="00725DA9"/>
    <w:rsid w:val="00744E97"/>
    <w:rsid w:val="007847A6"/>
    <w:rsid w:val="00797026"/>
    <w:rsid w:val="007C0EC6"/>
    <w:rsid w:val="007E1629"/>
    <w:rsid w:val="007E3059"/>
    <w:rsid w:val="007F54C3"/>
    <w:rsid w:val="00847C7C"/>
    <w:rsid w:val="00871FB2"/>
    <w:rsid w:val="00881291"/>
    <w:rsid w:val="008977E0"/>
    <w:rsid w:val="008E55EA"/>
    <w:rsid w:val="008E6C10"/>
    <w:rsid w:val="00904463"/>
    <w:rsid w:val="00905807"/>
    <w:rsid w:val="00912E4D"/>
    <w:rsid w:val="009216C2"/>
    <w:rsid w:val="00927AAC"/>
    <w:rsid w:val="0094798C"/>
    <w:rsid w:val="00963E7A"/>
    <w:rsid w:val="009927EF"/>
    <w:rsid w:val="009C40DF"/>
    <w:rsid w:val="009D0E87"/>
    <w:rsid w:val="009F6501"/>
    <w:rsid w:val="00A015DA"/>
    <w:rsid w:val="00A0184C"/>
    <w:rsid w:val="00A01BDD"/>
    <w:rsid w:val="00A02217"/>
    <w:rsid w:val="00A27488"/>
    <w:rsid w:val="00A37D5C"/>
    <w:rsid w:val="00A6156C"/>
    <w:rsid w:val="00A625D9"/>
    <w:rsid w:val="00A64CC2"/>
    <w:rsid w:val="00AB33F8"/>
    <w:rsid w:val="00AC7A49"/>
    <w:rsid w:val="00AD05FD"/>
    <w:rsid w:val="00B20BCF"/>
    <w:rsid w:val="00B22CA3"/>
    <w:rsid w:val="00B44A3F"/>
    <w:rsid w:val="00B454ED"/>
    <w:rsid w:val="00B50DE5"/>
    <w:rsid w:val="00B53B2D"/>
    <w:rsid w:val="00B816AD"/>
    <w:rsid w:val="00BF3514"/>
    <w:rsid w:val="00BF3660"/>
    <w:rsid w:val="00C153EE"/>
    <w:rsid w:val="00C3007E"/>
    <w:rsid w:val="00C446B9"/>
    <w:rsid w:val="00C4697F"/>
    <w:rsid w:val="00C6714D"/>
    <w:rsid w:val="00C73B37"/>
    <w:rsid w:val="00C74188"/>
    <w:rsid w:val="00C958D6"/>
    <w:rsid w:val="00C97413"/>
    <w:rsid w:val="00CB1806"/>
    <w:rsid w:val="00CB2DA3"/>
    <w:rsid w:val="00CE4836"/>
    <w:rsid w:val="00CE5532"/>
    <w:rsid w:val="00D1417A"/>
    <w:rsid w:val="00D80F25"/>
    <w:rsid w:val="00D918A9"/>
    <w:rsid w:val="00D96632"/>
    <w:rsid w:val="00DB1552"/>
    <w:rsid w:val="00DD4776"/>
    <w:rsid w:val="00DD7627"/>
    <w:rsid w:val="00E0075F"/>
    <w:rsid w:val="00E37231"/>
    <w:rsid w:val="00E434E1"/>
    <w:rsid w:val="00E45DA1"/>
    <w:rsid w:val="00E51FBF"/>
    <w:rsid w:val="00E716B0"/>
    <w:rsid w:val="00E8162B"/>
    <w:rsid w:val="00EC08F8"/>
    <w:rsid w:val="00EF6059"/>
    <w:rsid w:val="00F431BC"/>
    <w:rsid w:val="00F532B3"/>
    <w:rsid w:val="00F63388"/>
    <w:rsid w:val="00F64F1E"/>
    <w:rsid w:val="00F73272"/>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 w:type="character" w:styleId="FollowedHyperlink">
    <w:name w:val="FollowedHyperlink"/>
    <w:basedOn w:val="DefaultParagraphFont"/>
    <w:uiPriority w:val="99"/>
    <w:semiHidden/>
    <w:unhideWhenUsed/>
    <w:locked/>
    <w:rsid w:val="00BF35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lications.tnsosfiles.com/rules_filings/05-14-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tnsosfiles.com/rules_filings/05-13-2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tnsosfiles.com/rules_filings/05-15-2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cy.Tarr@tn.gov" TargetMode="External"/><Relationship Id="rId4" Type="http://schemas.openxmlformats.org/officeDocument/2006/relationships/settings" Target="settings.xml"/><Relationship Id="rId9" Type="http://schemas.openxmlformats.org/officeDocument/2006/relationships/hyperlink" Target="https://tn.webex.com/tn/j.php?MTID=m320849e5308b766be89f3875517e3013"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88</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Stacy Tarr</cp:lastModifiedBy>
  <cp:revision>2</cp:revision>
  <dcterms:created xsi:type="dcterms:W3CDTF">2026-06-17T20:32:00Z</dcterms:created>
  <dcterms:modified xsi:type="dcterms:W3CDTF">2026-06-17T20:32:00Z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