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7426"/>
        <w:tblW w:w="97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1467"/>
        <w:gridCol w:w="3267"/>
        <w:gridCol w:w="1467"/>
      </w:tblGrid>
      <w:tr w:rsidR="0066001E" w:rsidRPr="000A7DC9" w:rsidTr="00B360BA">
        <w:trPr>
          <w:trHeight w:val="45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Region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Victims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Population Estimates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Rates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1,104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939,452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117.5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658,598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154.4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MID CUMBERLAND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1,159,759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74.8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EAST TN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751,199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59.6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534,395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80.8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444,624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67.7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SOUTH CENTRAL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385,889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76.2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348,669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62.8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UPPER CUMBERLAND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341,785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58.8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156,599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119.4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325,516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56.8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350,654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52.5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98,727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105.3</w:t>
            </w:r>
          </w:p>
        </w:tc>
      </w:tr>
      <w:tr w:rsidR="0066001E" w:rsidRPr="000A7DC9" w:rsidTr="00B360BA">
        <w:trPr>
          <w:trHeight w:val="4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5,544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6,495,866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1E" w:rsidRPr="000D1A50" w:rsidRDefault="0066001E" w:rsidP="00B360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1A50">
              <w:rPr>
                <w:rFonts w:eastAsia="Times New Roman" w:cs="Times New Roman"/>
                <w:color w:val="000000"/>
                <w:sz w:val="20"/>
                <w:szCs w:val="20"/>
              </w:rPr>
              <w:t>85.3</w:t>
            </w:r>
          </w:p>
        </w:tc>
      </w:tr>
    </w:tbl>
    <w:p w:rsidR="000A7DC9" w:rsidRDefault="00854C8B" w:rsidP="00245465">
      <w:pPr>
        <w:tabs>
          <w:tab w:val="left" w:pos="90"/>
          <w:tab w:val="left" w:pos="600"/>
          <w:tab w:val="center" w:pos="5400"/>
          <w:tab w:val="left" w:pos="9270"/>
        </w:tabs>
        <w:spacing w:after="0"/>
        <w:rPr>
          <w:rFonts w:ascii="Arial" w:hAnsi="Arial" w:cs="Arial"/>
          <w:b/>
          <w:sz w:val="44"/>
          <w:szCs w:val="44"/>
        </w:rPr>
      </w:pPr>
      <w:r w:rsidRPr="0066001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57D38B" wp14:editId="4A5B4AEB">
                <wp:simplePos x="0" y="0"/>
                <wp:positionH relativeFrom="column">
                  <wp:posOffset>243205</wp:posOffset>
                </wp:positionH>
                <wp:positionV relativeFrom="paragraph">
                  <wp:posOffset>4397071</wp:posOffset>
                </wp:positionV>
                <wp:extent cx="5229225" cy="1403985"/>
                <wp:effectExtent l="0" t="0" r="9525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01E" w:rsidRPr="00A50199" w:rsidRDefault="00224615" w:rsidP="006600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61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66001E" w:rsidRPr="00A50199">
                              <w:rPr>
                                <w:sz w:val="18"/>
                                <w:szCs w:val="18"/>
                              </w:rPr>
                              <w:t xml:space="preserve">Excludes victims (n=4) who had missing regional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346.25pt;width:411.75pt;height:11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7SIAIAABw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" stroked="f">
                <v:textbox style="mso-fit-shape-to-text:t">
                  <w:txbxContent>
                    <w:p w:rsidR="0066001E" w:rsidRPr="00A50199" w:rsidRDefault="00224615" w:rsidP="0066001E">
                      <w:pPr>
                        <w:rPr>
                          <w:sz w:val="18"/>
                          <w:szCs w:val="18"/>
                        </w:rPr>
                      </w:pPr>
                      <w:r w:rsidRPr="00224615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66001E" w:rsidRPr="00A50199">
                        <w:rPr>
                          <w:sz w:val="18"/>
                          <w:szCs w:val="18"/>
                        </w:rPr>
                        <w:t xml:space="preserve">Excludes victims (n=4) who had missing regional information. </w:t>
                      </w:r>
                    </w:p>
                  </w:txbxContent>
                </v:textbox>
              </v:shape>
            </w:pict>
          </mc:Fallback>
        </mc:AlternateContent>
      </w:r>
      <w:r w:rsidR="00035AA9" w:rsidRPr="008B293A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ADD96" wp14:editId="1663911F">
                <wp:simplePos x="0" y="0"/>
                <wp:positionH relativeFrom="column">
                  <wp:posOffset>-75234</wp:posOffset>
                </wp:positionH>
                <wp:positionV relativeFrom="paragraph">
                  <wp:posOffset>4605655</wp:posOffset>
                </wp:positionV>
                <wp:extent cx="6487795" cy="5880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046" w:rsidRDefault="00035AA9" w:rsidP="00035AA9">
                            <w:pPr>
                              <w:spacing w:after="0" w:line="240" w:lineRule="auto"/>
                              <w:rPr>
                                <w:color w:val="808080"/>
                              </w:rPr>
                            </w:pPr>
                            <w:r w:rsidRPr="00C5452D">
                              <w:rPr>
                                <w:color w:val="808080"/>
                              </w:rPr>
                              <w:t xml:space="preserve">Data Sources: </w:t>
                            </w:r>
                          </w:p>
                          <w:p w:rsidR="00035AA9" w:rsidRPr="00C5452D" w:rsidRDefault="00035AA9" w:rsidP="00035AA9">
                            <w:pPr>
                              <w:spacing w:after="0" w:line="240" w:lineRule="auto"/>
                              <w:rPr>
                                <w:color w:val="808080"/>
                              </w:rPr>
                            </w:pPr>
                            <w:r w:rsidRPr="00C5452D">
                              <w:rPr>
                                <w:color w:val="808080"/>
                              </w:rPr>
                              <w:t xml:space="preserve">Tennessee Bureau of Investigations, </w:t>
                            </w:r>
                            <w:r>
                              <w:rPr>
                                <w:color w:val="808080"/>
                              </w:rPr>
                              <w:t xml:space="preserve">Tennessee Incident Based Reporting System (TIBRS), </w:t>
                            </w:r>
                            <w:r w:rsidRPr="00C5452D">
                              <w:rPr>
                                <w:color w:val="808080"/>
                              </w:rPr>
                              <w:t>2013</w:t>
                            </w:r>
                            <w:r>
                              <w:rPr>
                                <w:color w:val="808080"/>
                              </w:rPr>
                              <w:t xml:space="preserve">; </w:t>
                            </w:r>
                            <w:r w:rsidR="004F7046">
                              <w:rPr>
                                <w:color w:val="808080"/>
                              </w:rPr>
                              <w:t xml:space="preserve">                                </w:t>
                            </w:r>
                            <w:r w:rsidRPr="00862648">
                              <w:rPr>
                                <w:color w:val="808080"/>
                              </w:rPr>
                              <w:t>U.S. Census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9pt;margin-top:362.65pt;width:510.85pt;height:4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" stroked="f">
                <v:fill opacity="0"/>
                <v:textbox>
                  <w:txbxContent>
                    <w:p w:rsidR="004F7046" w:rsidRDefault="00035AA9" w:rsidP="00035AA9">
                      <w:pPr>
                        <w:spacing w:after="0" w:line="240" w:lineRule="auto"/>
                        <w:rPr>
                          <w:color w:val="808080"/>
                        </w:rPr>
                      </w:pPr>
                      <w:r w:rsidRPr="00C5452D">
                        <w:rPr>
                          <w:color w:val="808080"/>
                        </w:rPr>
                        <w:t xml:space="preserve">Data Sources: </w:t>
                      </w:r>
                    </w:p>
                    <w:p w:rsidR="00035AA9" w:rsidRPr="00C5452D" w:rsidRDefault="00035AA9" w:rsidP="00035AA9">
                      <w:pPr>
                        <w:spacing w:after="0" w:line="240" w:lineRule="auto"/>
                        <w:rPr>
                          <w:color w:val="808080"/>
                        </w:rPr>
                      </w:pPr>
                      <w:r w:rsidRPr="00C5452D">
                        <w:rPr>
                          <w:color w:val="808080"/>
                        </w:rPr>
                        <w:t xml:space="preserve">Tennessee Bureau of Investigations, </w:t>
                      </w:r>
                      <w:r>
                        <w:rPr>
                          <w:color w:val="808080"/>
                        </w:rPr>
                        <w:t xml:space="preserve">Tennessee Incident Based Reporting System (TIBRS), </w:t>
                      </w:r>
                      <w:r w:rsidRPr="00C5452D">
                        <w:rPr>
                          <w:color w:val="808080"/>
                        </w:rPr>
                        <w:t>2013</w:t>
                      </w:r>
                      <w:r>
                        <w:rPr>
                          <w:color w:val="808080"/>
                        </w:rPr>
                        <w:t xml:space="preserve">; </w:t>
                      </w:r>
                      <w:r w:rsidR="004F7046">
                        <w:rPr>
                          <w:color w:val="808080"/>
                        </w:rPr>
                        <w:t xml:space="preserve">                                </w:t>
                      </w:r>
                      <w:r w:rsidRPr="00862648">
                        <w:rPr>
                          <w:color w:val="808080"/>
                        </w:rPr>
                        <w:t>U.S. Census Bureau</w:t>
                      </w:r>
                    </w:p>
                  </w:txbxContent>
                </v:textbox>
              </v:shape>
            </w:pict>
          </mc:Fallback>
        </mc:AlternateContent>
      </w:r>
      <w:r w:rsidR="00B360B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6DE2BA" wp14:editId="469FDE0D">
                <wp:simplePos x="0" y="0"/>
                <wp:positionH relativeFrom="column">
                  <wp:posOffset>-57150</wp:posOffset>
                </wp:positionH>
                <wp:positionV relativeFrom="paragraph">
                  <wp:posOffset>3997325</wp:posOffset>
                </wp:positionV>
                <wp:extent cx="6896100" cy="3562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F6" w:rsidRPr="001B18C8" w:rsidRDefault="00177FF6" w:rsidP="0092690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1B18C8">
                              <w:rPr>
                                <w:rFonts w:cs="Times New Roman"/>
                                <w:b/>
                              </w:rPr>
                              <w:t>Table 1: Sexual Assault</w:t>
                            </w:r>
                            <w:r w:rsidR="00926902" w:rsidRPr="001B18C8">
                              <w:rPr>
                                <w:rFonts w:cs="Times New Roman"/>
                                <w:b/>
                              </w:rPr>
                              <w:t xml:space="preserve"> Victim Numbers</w:t>
                            </w:r>
                            <w:r w:rsidR="00224615" w:rsidRPr="00224615">
                              <w:rPr>
                                <w:rFonts w:cs="Times New Roman"/>
                                <w:b/>
                                <w:vertAlign w:val="superscript"/>
                              </w:rPr>
                              <w:t>1</w:t>
                            </w:r>
                            <w:r w:rsidR="00926902" w:rsidRPr="001B18C8">
                              <w:rPr>
                                <w:rFonts w:cs="Times New Roman"/>
                                <w:b/>
                              </w:rPr>
                              <w:t xml:space="preserve"> and Crude</w:t>
                            </w:r>
                            <w:r w:rsidRPr="001B18C8">
                              <w:rPr>
                                <w:rFonts w:cs="Times New Roman"/>
                                <w:b/>
                              </w:rPr>
                              <w:t xml:space="preserve"> Rates </w:t>
                            </w:r>
                            <w:r w:rsidR="00926902" w:rsidRPr="001B18C8">
                              <w:rPr>
                                <w:rFonts w:cs="Times New Roman"/>
                                <w:b/>
                              </w:rPr>
                              <w:t>per 100,000 Persons by Region, 2013</w:t>
                            </w:r>
                          </w:p>
                          <w:p w:rsidR="00177FF6" w:rsidRPr="00FC43F2" w:rsidRDefault="00177FF6" w:rsidP="00177F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314.75pt;width:543pt;height:28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" stroked="f">
                <v:fill opacity="0"/>
                <v:textbox>
                  <w:txbxContent>
                    <w:p w:rsidR="00177FF6" w:rsidRPr="001B18C8" w:rsidRDefault="00177FF6" w:rsidP="00926902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1B18C8">
                        <w:rPr>
                          <w:rFonts w:cs="Times New Roman"/>
                          <w:b/>
                        </w:rPr>
                        <w:t>Table 1: Sexual Assault</w:t>
                      </w:r>
                      <w:r w:rsidR="00926902" w:rsidRPr="001B18C8">
                        <w:rPr>
                          <w:rFonts w:cs="Times New Roman"/>
                          <w:b/>
                        </w:rPr>
                        <w:t xml:space="preserve"> Victim Numbers</w:t>
                      </w:r>
                      <w:r w:rsidR="00224615" w:rsidRPr="00224615">
                        <w:rPr>
                          <w:rFonts w:cs="Times New Roman"/>
                          <w:b/>
                          <w:vertAlign w:val="superscript"/>
                        </w:rPr>
                        <w:t>1</w:t>
                      </w:r>
                      <w:r w:rsidR="00926902" w:rsidRPr="001B18C8">
                        <w:rPr>
                          <w:rFonts w:cs="Times New Roman"/>
                          <w:b/>
                        </w:rPr>
                        <w:t xml:space="preserve"> and Crude</w:t>
                      </w:r>
                      <w:r w:rsidRPr="001B18C8">
                        <w:rPr>
                          <w:rFonts w:cs="Times New Roman"/>
                          <w:b/>
                        </w:rPr>
                        <w:t xml:space="preserve"> Rates </w:t>
                      </w:r>
                      <w:r w:rsidR="00926902" w:rsidRPr="001B18C8">
                        <w:rPr>
                          <w:rFonts w:cs="Times New Roman"/>
                          <w:b/>
                        </w:rPr>
                        <w:t>per 100,000 Persons by Region, 2013</w:t>
                      </w:r>
                    </w:p>
                    <w:p w:rsidR="00177FF6" w:rsidRPr="00FC43F2" w:rsidRDefault="00177FF6" w:rsidP="00177F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A7DC9">
        <w:rPr>
          <w:rFonts w:ascii="Arial" w:hAnsi="Arial" w:cs="Arial"/>
          <w:b/>
          <w:sz w:val="44"/>
          <w:szCs w:val="44"/>
        </w:rPr>
        <w:tab/>
      </w:r>
      <w:bookmarkStart w:id="0" w:name="_GoBack"/>
      <w:bookmarkEnd w:id="0"/>
      <w:r w:rsidR="00245465" w:rsidRPr="0075342D">
        <w:rPr>
          <w:rFonts w:ascii="Arial" w:hAnsi="Arial" w:cs="Arial"/>
          <w:noProof/>
          <w:sz w:val="44"/>
          <w:szCs w:val="44"/>
        </w:rPr>
        <w:drawing>
          <wp:anchor distT="0" distB="0" distL="0" distR="0" simplePos="0" relativeHeight="251671552" behindDoc="1" locked="1" layoutInCell="1" allowOverlap="1" wp14:anchorId="5FF5871D" wp14:editId="694D4B89">
            <wp:simplePos x="0" y="0"/>
            <wp:positionH relativeFrom="column">
              <wp:posOffset>66675</wp:posOffset>
            </wp:positionH>
            <wp:positionV relativeFrom="paragraph">
              <wp:posOffset>252095</wp:posOffset>
            </wp:positionV>
            <wp:extent cx="6875780" cy="3666490"/>
            <wp:effectExtent l="0" t="0" r="1270" b="0"/>
            <wp:wrapThrough wrapText="bothSides">
              <wp:wrapPolygon edited="0">
                <wp:start x="0" y="0"/>
                <wp:lineTo x="0" y="21435"/>
                <wp:lineTo x="21544" y="21435"/>
                <wp:lineTo x="2154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e2013_noMetr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27711" r="1511" b="6863"/>
                    <a:stretch/>
                  </pic:blipFill>
                  <pic:spPr bwMode="auto">
                    <a:xfrm>
                      <a:off x="0" y="0"/>
                      <a:ext cx="6875780" cy="3666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BF7" w:rsidRPr="00A73BF7">
        <w:rPr>
          <w:rFonts w:ascii="Arial" w:eastAsia="Times New Roman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5557A51A" wp14:editId="1E65CA96">
                <wp:simplePos x="0" y="0"/>
                <wp:positionH relativeFrom="column">
                  <wp:posOffset>-441325</wp:posOffset>
                </wp:positionH>
                <wp:positionV relativeFrom="paragraph">
                  <wp:posOffset>-52070</wp:posOffset>
                </wp:positionV>
                <wp:extent cx="7759700" cy="8775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877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F7" w:rsidRPr="005D02AB" w:rsidRDefault="00A73BF7" w:rsidP="000D1A5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D02A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Tennessee Regional Sexual Assault Data Report,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75pt;margin-top:-4.1pt;width:611pt;height:69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" stroked="f">
                <v:fill opacity="0"/>
                <v:textbox>
                  <w:txbxContent>
                    <w:p w:rsidR="00A73BF7" w:rsidRPr="005D02AB" w:rsidRDefault="00A73BF7" w:rsidP="000D1A5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5D02A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Tennessee Regional Sexual Assault Data Report, 2013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46"/>
        <w:tblOverlap w:val="never"/>
        <w:tblW w:w="8370" w:type="dxa"/>
        <w:tblLook w:val="04A0" w:firstRow="1" w:lastRow="0" w:firstColumn="1" w:lastColumn="0" w:noHBand="0" w:noVBand="1"/>
      </w:tblPr>
      <w:tblGrid>
        <w:gridCol w:w="1637"/>
        <w:gridCol w:w="1685"/>
        <w:gridCol w:w="2208"/>
        <w:gridCol w:w="1155"/>
        <w:gridCol w:w="1685"/>
      </w:tblGrid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Race</w:t>
            </w:r>
            <w:r w:rsidRPr="0086264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Victims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Population Estimate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Rate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Relative Rate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3,763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5,139,373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1,656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1,107,069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149.58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2.04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249,424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Gender</w:t>
            </w: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Victims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Population Estimate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Rate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Relative Rate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3,167,029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4,815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3,328,837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144.65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6.37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Age</w:t>
            </w: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Victims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Population Estimate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Rate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b/>
                <w:color w:val="FFFFFF"/>
                <w:sz w:val="20"/>
                <w:szCs w:val="20"/>
              </w:rPr>
              <w:t>Relative Rate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Under 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817,654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137.96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1.85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338,383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268.63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3.60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332,939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443.32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5.94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632,547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124.58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846,326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74.68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841,477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38.38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0.51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902,025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19.62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0.26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832,203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44ADD" w:rsidRPr="00550671" w:rsidTr="00644ADD">
        <w:trPr>
          <w:trHeight w:val="3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DD" w:rsidRPr="00862648" w:rsidRDefault="00644ADD" w:rsidP="00644ADD">
            <w:pPr>
              <w:spacing w:after="0" w:line="240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65 and over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952,312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ADD" w:rsidRPr="00862648" w:rsidRDefault="00644ADD" w:rsidP="00644A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2648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:rsidR="00177FF6" w:rsidRPr="0075342D" w:rsidRDefault="00644ADD" w:rsidP="002E6E7A">
      <w:pPr>
        <w:tabs>
          <w:tab w:val="left" w:pos="600"/>
          <w:tab w:val="center" w:pos="5400"/>
          <w:tab w:val="left" w:pos="9270"/>
        </w:tabs>
        <w:spacing w:after="0"/>
        <w:rPr>
          <w:rFonts w:ascii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7CBCBE" wp14:editId="47618B4E">
                <wp:simplePos x="0" y="0"/>
                <wp:positionH relativeFrom="column">
                  <wp:posOffset>-464820</wp:posOffset>
                </wp:positionH>
                <wp:positionV relativeFrom="paragraph">
                  <wp:posOffset>-52457</wp:posOffset>
                </wp:positionV>
                <wp:extent cx="779208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08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55" w:rsidRPr="00064A55" w:rsidRDefault="00064A55" w:rsidP="00B925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2: Sexual Assault Victim </w:t>
                            </w:r>
                            <w:r w:rsidR="00862648">
                              <w:rPr>
                                <w:b/>
                              </w:rPr>
                              <w:t>Number and Rates by Race, Gender and Age,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6.6pt;margin-top:-4.15pt;width:613.55pt;height:110.55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" stroked="f">
                <v:fill opacity="0"/>
                <v:textbox style="mso-fit-shape-to-text:t">
                  <w:txbxContent>
                    <w:p w:rsidR="00064A55" w:rsidRPr="00064A55" w:rsidRDefault="00064A55" w:rsidP="00B925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Table 2: Sexual Assault Victim </w:t>
                      </w:r>
                      <w:r w:rsidR="00862648">
                        <w:rPr>
                          <w:b/>
                        </w:rPr>
                        <w:t>Number and Rates by Race, Gender and Age, 2013</w:t>
                      </w:r>
                    </w:p>
                  </w:txbxContent>
                </v:textbox>
              </v:shape>
            </w:pict>
          </mc:Fallback>
        </mc:AlternateContent>
      </w:r>
      <w:r w:rsidR="000A7DC9">
        <w:rPr>
          <w:rFonts w:ascii="Arial" w:hAnsi="Arial" w:cs="Arial"/>
          <w:b/>
          <w:sz w:val="44"/>
          <w:szCs w:val="44"/>
        </w:rPr>
        <w:tab/>
      </w:r>
      <w:r w:rsidR="00177FF6">
        <w:rPr>
          <w:rFonts w:ascii="Arial" w:hAnsi="Arial" w:cs="Arial"/>
          <w:b/>
          <w:sz w:val="44"/>
          <w:szCs w:val="44"/>
        </w:rPr>
        <w:t xml:space="preserve"> </w:t>
      </w:r>
    </w:p>
    <w:p w:rsidR="00177FF6" w:rsidRPr="00FC43F2" w:rsidRDefault="00177FF6" w:rsidP="002E6E7A">
      <w:pPr>
        <w:tabs>
          <w:tab w:val="left" w:pos="90"/>
          <w:tab w:val="left" w:pos="360"/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42A17B7" wp14:editId="5DDC7BEE">
                <wp:simplePos x="0" y="0"/>
                <wp:positionH relativeFrom="column">
                  <wp:posOffset>-6588760</wp:posOffset>
                </wp:positionH>
                <wp:positionV relativeFrom="paragraph">
                  <wp:posOffset>7971155</wp:posOffset>
                </wp:positionV>
                <wp:extent cx="3218180" cy="210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F6" w:rsidRDefault="00177FF6" w:rsidP="00177FF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C43F2">
                              <w:rPr>
                                <w:sz w:val="18"/>
                                <w:szCs w:val="18"/>
                              </w:rPr>
                              <w:t>* Excludes victims who were missing regional information (n=4).</w:t>
                            </w:r>
                          </w:p>
                          <w:p w:rsidR="00177FF6" w:rsidRPr="00FC43F2" w:rsidRDefault="00177FF6" w:rsidP="00177F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8.8pt;margin-top:627.65pt;width:253.4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" stroked="f">
                <v:fill opacity="0"/>
                <v:textbox>
                  <w:txbxContent>
                    <w:p w:rsidR="00177FF6" w:rsidRDefault="00177FF6" w:rsidP="00177FF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C43F2">
                        <w:rPr>
                          <w:sz w:val="18"/>
                          <w:szCs w:val="18"/>
                        </w:rPr>
                        <w:t>* Excludes victims who were missing regional information (n=4).</w:t>
                      </w:r>
                    </w:p>
                    <w:p w:rsidR="00177FF6" w:rsidRPr="00FC43F2" w:rsidRDefault="00177FF6" w:rsidP="00177FF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177FF6" w:rsidRDefault="00177FF6" w:rsidP="00177FF6">
      <w:pPr>
        <w:tabs>
          <w:tab w:val="left" w:pos="90"/>
          <w:tab w:val="left" w:pos="1275"/>
          <w:tab w:val="left" w:pos="5310"/>
        </w:tabs>
        <w:rPr>
          <w:rFonts w:ascii="Arial" w:hAnsi="Arial" w:cs="Arial"/>
          <w:sz w:val="32"/>
          <w:szCs w:val="32"/>
        </w:rPr>
      </w:pPr>
    </w:p>
    <w:p w:rsidR="00B00641" w:rsidRDefault="00644ADD" w:rsidP="00177FF6">
      <w:r w:rsidRPr="0066001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641418" wp14:editId="256382A2">
                <wp:simplePos x="0" y="0"/>
                <wp:positionH relativeFrom="column">
                  <wp:posOffset>679450</wp:posOffset>
                </wp:positionH>
                <wp:positionV relativeFrom="paragraph">
                  <wp:posOffset>38348</wp:posOffset>
                </wp:positionV>
                <wp:extent cx="5229225" cy="7550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55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A9" w:rsidRPr="00A50199" w:rsidRDefault="00400BF6" w:rsidP="007F58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01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7F58A9" w:rsidRPr="00A50199">
                              <w:rPr>
                                <w:sz w:val="18"/>
                                <w:szCs w:val="18"/>
                              </w:rPr>
                              <w:t xml:space="preserve">Excludes victims (n=92) who had missing </w:t>
                            </w:r>
                            <w:r w:rsidR="00E32495">
                              <w:rPr>
                                <w:sz w:val="18"/>
                                <w:szCs w:val="18"/>
                              </w:rPr>
                              <w:t>race</w:t>
                            </w:r>
                            <w:r w:rsidR="007F58A9" w:rsidRPr="00A50199">
                              <w:rPr>
                                <w:sz w:val="18"/>
                                <w:szCs w:val="18"/>
                              </w:rPr>
                              <w:t xml:space="preserve"> information. </w:t>
                            </w:r>
                          </w:p>
                          <w:p w:rsidR="007F58A9" w:rsidRPr="00A50199" w:rsidRDefault="00400BF6" w:rsidP="007F58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01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7F58A9" w:rsidRPr="00A50199">
                              <w:rPr>
                                <w:sz w:val="18"/>
                                <w:szCs w:val="18"/>
                              </w:rPr>
                              <w:t xml:space="preserve">Excludes victims (n=14) who had missing </w:t>
                            </w:r>
                            <w:r w:rsidR="00E32495">
                              <w:rPr>
                                <w:sz w:val="18"/>
                                <w:szCs w:val="18"/>
                              </w:rPr>
                              <w:t>gender</w:t>
                            </w:r>
                            <w:r w:rsidR="007F58A9" w:rsidRPr="00A50199">
                              <w:rPr>
                                <w:sz w:val="18"/>
                                <w:szCs w:val="18"/>
                              </w:rPr>
                              <w:t xml:space="preserve"> information.</w:t>
                            </w:r>
                          </w:p>
                          <w:p w:rsidR="006C59DB" w:rsidRDefault="00400BF6" w:rsidP="007F58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01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7F58A9" w:rsidRPr="00A50199">
                              <w:rPr>
                                <w:sz w:val="18"/>
                                <w:szCs w:val="18"/>
                              </w:rPr>
                              <w:t xml:space="preserve">Excludes victims (n=26) who had missing </w:t>
                            </w:r>
                            <w:r w:rsidR="00E32495">
                              <w:rPr>
                                <w:sz w:val="18"/>
                                <w:szCs w:val="18"/>
                              </w:rPr>
                              <w:t>age</w:t>
                            </w:r>
                            <w:r w:rsidR="007F58A9" w:rsidRPr="00A50199">
                              <w:rPr>
                                <w:sz w:val="18"/>
                                <w:szCs w:val="18"/>
                              </w:rPr>
                              <w:t xml:space="preserve"> information. </w:t>
                            </w:r>
                          </w:p>
                          <w:p w:rsidR="00B925F2" w:rsidRPr="00B925F2" w:rsidRDefault="007C6D11" w:rsidP="007F58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B925F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B925F2">
                              <w:rPr>
                                <w:sz w:val="18"/>
                                <w:szCs w:val="18"/>
                              </w:rPr>
                              <w:t>Relative Rate is statistically significant at p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&lt;.05 level. </w:t>
                            </w:r>
                          </w:p>
                          <w:p w:rsidR="006C59DB" w:rsidRDefault="006C59DB" w:rsidP="007F58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.5pt;margin-top:3pt;width:411.75pt;height:59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" stroked="f">
                <v:fill opacity="0"/>
                <v:textbox>
                  <w:txbxContent>
                    <w:p w:rsidR="007F58A9" w:rsidRPr="00A50199" w:rsidRDefault="00400BF6" w:rsidP="007F58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50199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7F58A9" w:rsidRPr="00A50199">
                        <w:rPr>
                          <w:sz w:val="18"/>
                          <w:szCs w:val="18"/>
                        </w:rPr>
                        <w:t xml:space="preserve">Excludes victims (n=92) who had missing </w:t>
                      </w:r>
                      <w:r w:rsidR="00E32495">
                        <w:rPr>
                          <w:sz w:val="18"/>
                          <w:szCs w:val="18"/>
                        </w:rPr>
                        <w:t>race</w:t>
                      </w:r>
                      <w:r w:rsidR="007F58A9" w:rsidRPr="00A50199">
                        <w:rPr>
                          <w:sz w:val="18"/>
                          <w:szCs w:val="18"/>
                        </w:rPr>
                        <w:t xml:space="preserve"> information. </w:t>
                      </w:r>
                    </w:p>
                    <w:p w:rsidR="007F58A9" w:rsidRPr="00A50199" w:rsidRDefault="00400BF6" w:rsidP="007F58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50199"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7F58A9" w:rsidRPr="00A50199">
                        <w:rPr>
                          <w:sz w:val="18"/>
                          <w:szCs w:val="18"/>
                        </w:rPr>
                        <w:t xml:space="preserve">Excludes victims (n=14) who had missing </w:t>
                      </w:r>
                      <w:r w:rsidR="00E32495">
                        <w:rPr>
                          <w:sz w:val="18"/>
                          <w:szCs w:val="18"/>
                        </w:rPr>
                        <w:t>gender</w:t>
                      </w:r>
                      <w:r w:rsidR="007F58A9" w:rsidRPr="00A50199">
                        <w:rPr>
                          <w:sz w:val="18"/>
                          <w:szCs w:val="18"/>
                        </w:rPr>
                        <w:t xml:space="preserve"> information.</w:t>
                      </w:r>
                    </w:p>
                    <w:p w:rsidR="006C59DB" w:rsidRDefault="00400BF6" w:rsidP="007F58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50199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7F58A9" w:rsidRPr="00A50199">
                        <w:rPr>
                          <w:sz w:val="18"/>
                          <w:szCs w:val="18"/>
                        </w:rPr>
                        <w:t xml:space="preserve">Excludes victims (n=26) who had missing </w:t>
                      </w:r>
                      <w:r w:rsidR="00E32495">
                        <w:rPr>
                          <w:sz w:val="18"/>
                          <w:szCs w:val="18"/>
                        </w:rPr>
                        <w:t>age</w:t>
                      </w:r>
                      <w:r w:rsidR="007F58A9" w:rsidRPr="00A50199">
                        <w:rPr>
                          <w:sz w:val="18"/>
                          <w:szCs w:val="18"/>
                        </w:rPr>
                        <w:t xml:space="preserve"> information. </w:t>
                      </w:r>
                    </w:p>
                    <w:p w:rsidR="00B925F2" w:rsidRPr="00B925F2" w:rsidRDefault="007C6D11" w:rsidP="007F58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="00B925F2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B925F2">
                        <w:rPr>
                          <w:sz w:val="18"/>
                          <w:szCs w:val="18"/>
                        </w:rPr>
                        <w:t>Relative Rate is statistically significant at p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&lt;.05 level. </w:t>
                      </w:r>
                    </w:p>
                    <w:p w:rsidR="006C59DB" w:rsidRDefault="006C59DB" w:rsidP="007F58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26902" w:rsidRDefault="00926902" w:rsidP="00177FF6"/>
    <w:p w:rsidR="00926902" w:rsidRDefault="00644ADD" w:rsidP="00177FF6">
      <w:r w:rsidRPr="007B54B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4307CB" wp14:editId="618EE87C">
                <wp:simplePos x="0" y="0"/>
                <wp:positionH relativeFrom="column">
                  <wp:posOffset>123190</wp:posOffset>
                </wp:positionH>
                <wp:positionV relativeFrom="paragraph">
                  <wp:posOffset>170815</wp:posOffset>
                </wp:positionV>
                <wp:extent cx="6734175" cy="3509645"/>
                <wp:effectExtent l="0" t="0" r="28575" b="14605"/>
                <wp:wrapThrough wrapText="bothSides">
                  <wp:wrapPolygon edited="0">
                    <wp:start x="1344" y="0"/>
                    <wp:lineTo x="978" y="234"/>
                    <wp:lineTo x="61" y="1524"/>
                    <wp:lineTo x="0" y="2814"/>
                    <wp:lineTo x="0" y="19228"/>
                    <wp:lineTo x="428" y="20635"/>
                    <wp:lineTo x="428" y="20752"/>
                    <wp:lineTo x="1222" y="21573"/>
                    <wp:lineTo x="1283" y="21573"/>
                    <wp:lineTo x="20347" y="21573"/>
                    <wp:lineTo x="20470" y="21573"/>
                    <wp:lineTo x="21203" y="20635"/>
                    <wp:lineTo x="21631" y="19228"/>
                    <wp:lineTo x="21631" y="2697"/>
                    <wp:lineTo x="21569" y="1524"/>
                    <wp:lineTo x="20775" y="352"/>
                    <wp:lineTo x="20286" y="0"/>
                    <wp:lineTo x="1344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5096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F6" w:rsidRPr="00DC4641" w:rsidRDefault="00177FF6" w:rsidP="00177FF6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DC4641">
                              <w:rPr>
                                <w:rFonts w:cs="Times New Roman"/>
                                <w:b/>
                              </w:rPr>
                              <w:t>INTRODUCTION</w:t>
                            </w:r>
                            <w:r w:rsidRPr="00DC4641">
                              <w:rPr>
                                <w:rFonts w:cs="Times New Roman"/>
                              </w:rPr>
                              <w:t>:</w:t>
                            </w:r>
                          </w:p>
                          <w:p w:rsidR="00177FF6" w:rsidRPr="00DC4641" w:rsidRDefault="00177FF6" w:rsidP="00177FF6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DC4641">
                              <w:rPr>
                                <w:rFonts w:cs="Times New Roman"/>
                              </w:rPr>
                              <w:t xml:space="preserve">Sexual Assaults are tracked by the Tennessee Bureau of Investigation (TBI) and are identified as cases involving victims who meet the categories of Forcible Rape, Forcible Sodomy, </w:t>
                            </w:r>
                            <w:proofErr w:type="gramStart"/>
                            <w:r w:rsidRPr="00DC4641">
                              <w:rPr>
                                <w:rFonts w:cs="Times New Roman"/>
                              </w:rPr>
                              <w:t>Sexual</w:t>
                            </w:r>
                            <w:proofErr w:type="gramEnd"/>
                            <w:r w:rsidRPr="00DC4641">
                              <w:rPr>
                                <w:rFonts w:cs="Times New Roman"/>
                              </w:rPr>
                              <w:t xml:space="preserve"> Assault with an Object, Forcible Fondling, Incest, or Statutory Rape.   </w:t>
                            </w:r>
                          </w:p>
                          <w:p w:rsidR="00177FF6" w:rsidRPr="00FD00EF" w:rsidRDefault="00177FF6" w:rsidP="00177FF6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7FF6" w:rsidRPr="00DC4641" w:rsidRDefault="00177FF6" w:rsidP="00177FF6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DC4641">
                              <w:rPr>
                                <w:rFonts w:cs="Times New Roman"/>
                                <w:b/>
                              </w:rPr>
                              <w:t>ABOUT THE VICTIMS:</w:t>
                            </w:r>
                          </w:p>
                          <w:p w:rsidR="00177FF6" w:rsidRPr="00DC4641" w:rsidRDefault="00177FF6" w:rsidP="00177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DC4641">
                              <w:rPr>
                                <w:rFonts w:cs="Times New Roman"/>
                              </w:rPr>
                              <w:t xml:space="preserve">In 2013, a total of 5,548 persons were recognized as Sexual Assault victims in Tennessee. </w:t>
                            </w:r>
                          </w:p>
                          <w:p w:rsidR="00177FF6" w:rsidRPr="00DC4641" w:rsidRDefault="00907A20" w:rsidP="00177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African Americans</w:t>
                            </w:r>
                            <w:r w:rsidR="00177FF6" w:rsidRPr="00DC4641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DC4641">
                              <w:rPr>
                                <w:rFonts w:cs="Times New Roman"/>
                              </w:rPr>
                              <w:t>were</w:t>
                            </w:r>
                            <w:r w:rsidR="00B725D3" w:rsidRPr="00DC4641">
                              <w:rPr>
                                <w:rFonts w:cs="Times New Roman"/>
                              </w:rPr>
                              <w:t xml:space="preserve"> twice</w:t>
                            </w:r>
                            <w:r w:rsidR="00DC4641">
                              <w:rPr>
                                <w:rFonts w:cs="Times New Roman"/>
                              </w:rPr>
                              <w:t xml:space="preserve"> as likely to be </w:t>
                            </w:r>
                            <w:r w:rsidR="00177FF6" w:rsidRPr="00DC4641">
                              <w:rPr>
                                <w:rFonts w:cs="Times New Roman"/>
                              </w:rPr>
                              <w:t>sexual</w:t>
                            </w:r>
                            <w:r w:rsidR="00DC4641">
                              <w:rPr>
                                <w:rFonts w:cs="Times New Roman"/>
                              </w:rPr>
                              <w:t>ly</w:t>
                            </w:r>
                            <w:r w:rsidR="005D0D70" w:rsidRPr="00DC4641">
                              <w:rPr>
                                <w:rFonts w:cs="Times New Roman"/>
                              </w:rPr>
                              <w:t xml:space="preserve"> assault</w:t>
                            </w:r>
                            <w:r w:rsidR="00DC4641">
                              <w:rPr>
                                <w:rFonts w:cs="Times New Roman"/>
                              </w:rPr>
                              <w:t>ed</w:t>
                            </w:r>
                            <w:r w:rsidR="005D0D70" w:rsidRPr="00DC4641">
                              <w:rPr>
                                <w:rFonts w:cs="Times New Roman"/>
                              </w:rPr>
                              <w:t xml:space="preserve"> compared to Whites</w:t>
                            </w:r>
                            <w:r w:rsidR="00DC4641">
                              <w:rPr>
                                <w:rFonts w:cs="Times New Roman"/>
                              </w:rPr>
                              <w:t xml:space="preserve"> in 2013</w:t>
                            </w:r>
                            <w:r w:rsidR="005D0D70" w:rsidRPr="00DC4641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DC4641" w:rsidRPr="00DC4641" w:rsidRDefault="00DC4641" w:rsidP="00177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Females were more than six times as likely to be sexually assaulted compared to Males in 2013. </w:t>
                            </w:r>
                          </w:p>
                          <w:p w:rsidR="00DC4641" w:rsidRPr="00957715" w:rsidRDefault="00957715" w:rsidP="00177F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Children under 10 were 85% more likely to be sexually assaulted compared to adults 25-34 in 2013.</w:t>
                            </w:r>
                          </w:p>
                          <w:p w:rsidR="00EE7709" w:rsidRPr="00E9244F" w:rsidRDefault="00957715" w:rsidP="00E924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14-17 </w:t>
                            </w:r>
                            <w:r w:rsidR="00E9244F">
                              <w:rPr>
                                <w:rFonts w:cs="Times New Roman"/>
                              </w:rPr>
                              <w:t xml:space="preserve">year olds </w:t>
                            </w:r>
                            <w:r>
                              <w:rPr>
                                <w:rFonts w:cs="Times New Roman"/>
                              </w:rPr>
                              <w:t xml:space="preserve">were almost six times as likely to be sexually assaulted </w:t>
                            </w:r>
                            <w:r w:rsidR="00E9244F">
                              <w:rPr>
                                <w:rFonts w:cs="Times New Roman"/>
                              </w:rPr>
                              <w:t>compared to adults 25-34 in 2013.</w:t>
                            </w:r>
                          </w:p>
                          <w:p w:rsidR="00E9244F" w:rsidRPr="00E9244F" w:rsidRDefault="00E9244F" w:rsidP="00E9244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177FF6" w:rsidRPr="00DC4641" w:rsidRDefault="00177FF6" w:rsidP="00177FF6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DC4641">
                              <w:rPr>
                                <w:rFonts w:cs="Times New Roman"/>
                                <w:b/>
                              </w:rPr>
                              <w:t>REGIONAL DISTRIBUTION:</w:t>
                            </w:r>
                          </w:p>
                          <w:p w:rsidR="00177FF6" w:rsidRPr="00644ADD" w:rsidRDefault="00177FF6" w:rsidP="00177F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 w:rsidRPr="00DC4641">
                              <w:rPr>
                                <w:rFonts w:cs="Times New Roman"/>
                              </w:rPr>
                              <w:t>Davidson County had the highest rate of victims in 2013</w:t>
                            </w:r>
                            <w:r w:rsidR="00676531">
                              <w:rPr>
                                <w:rFonts w:cs="Times New Roman"/>
                              </w:rPr>
                              <w:t xml:space="preserve"> at 154.4</w:t>
                            </w:r>
                            <w:r w:rsidR="00E522A6">
                              <w:rPr>
                                <w:rFonts w:cs="Times New Roman"/>
                              </w:rPr>
                              <w:t xml:space="preserve"> per 100,000</w:t>
                            </w:r>
                            <w:r w:rsidR="00907A20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gramStart"/>
                            <w:r w:rsidR="00907A20">
                              <w:rPr>
                                <w:rFonts w:cs="Times New Roman"/>
                              </w:rPr>
                              <w:t>population</w:t>
                            </w:r>
                            <w:proofErr w:type="gramEnd"/>
                            <w:r w:rsidRPr="00DC4641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:rsidR="00644ADD" w:rsidRPr="00644ADD" w:rsidRDefault="00644ADD" w:rsidP="00644A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644ADD">
                              <w:rPr>
                                <w:rFonts w:cs="Times New Roman"/>
                              </w:rPr>
                              <w:t xml:space="preserve">North East Tennessee had the lowest rate of victims in 2013 at 52.5 per 100,000 </w:t>
                            </w:r>
                            <w:proofErr w:type="gramStart"/>
                            <w:r w:rsidRPr="00644ADD">
                              <w:rPr>
                                <w:rFonts w:cs="Times New Roman"/>
                              </w:rPr>
                              <w:t>population</w:t>
                            </w:r>
                            <w:proofErr w:type="gramEnd"/>
                            <w:r w:rsidRPr="00644ADD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p w:rsidR="00E522A6" w:rsidRPr="00E522A6" w:rsidRDefault="00E522A6" w:rsidP="00E522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Shelby County had the highest number of victims at 1,104 </w:t>
                            </w:r>
                            <w:r w:rsidRPr="00E522A6">
                              <w:rPr>
                                <w:rFonts w:cs="Times New Roman"/>
                              </w:rPr>
                              <w:t>in 2013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E522A6" w:rsidRPr="00E522A6" w:rsidRDefault="00E522A6" w:rsidP="00177F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Madison County had the lowest number of victims at 104 in 2013.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9.7pt;margin-top:13.45pt;width:530.25pt;height:27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" fillcolor="#c6d9f1 [671]" strokecolor="black [3200]" strokeweight="2pt">
                <v:textbox>
                  <w:txbxContent>
                    <w:p w:rsidR="00177FF6" w:rsidRPr="00DC4641" w:rsidRDefault="00177FF6" w:rsidP="00177FF6">
                      <w:pPr>
                        <w:spacing w:after="0"/>
                        <w:rPr>
                          <w:rFonts w:cs="Times New Roman"/>
                        </w:rPr>
                      </w:pPr>
                      <w:r w:rsidRPr="00DC4641">
                        <w:rPr>
                          <w:rFonts w:cs="Times New Roman"/>
                          <w:b/>
                        </w:rPr>
                        <w:t>INTRODUCTION</w:t>
                      </w:r>
                      <w:r w:rsidRPr="00DC4641">
                        <w:rPr>
                          <w:rFonts w:cs="Times New Roman"/>
                        </w:rPr>
                        <w:t>:</w:t>
                      </w:r>
                    </w:p>
                    <w:p w:rsidR="00177FF6" w:rsidRPr="00DC4641" w:rsidRDefault="00177FF6" w:rsidP="00177FF6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  <w:r w:rsidRPr="00DC4641">
                        <w:rPr>
                          <w:rFonts w:cs="Times New Roman"/>
                        </w:rPr>
                        <w:t xml:space="preserve">Sexual Assaults are tracked by the Tennessee Bureau of Investigation (TBI) and are identified as cases involving victims who meet the categories of Forcible Rape, Forcible Sodomy, </w:t>
                      </w:r>
                      <w:proofErr w:type="gramStart"/>
                      <w:r w:rsidRPr="00DC4641">
                        <w:rPr>
                          <w:rFonts w:cs="Times New Roman"/>
                        </w:rPr>
                        <w:t>Sexual</w:t>
                      </w:r>
                      <w:proofErr w:type="gramEnd"/>
                      <w:r w:rsidRPr="00DC4641">
                        <w:rPr>
                          <w:rFonts w:cs="Times New Roman"/>
                        </w:rPr>
                        <w:t xml:space="preserve"> Assault with an Object, Forcible Fondling, Incest, or Statutory Rape.   </w:t>
                      </w:r>
                    </w:p>
                    <w:p w:rsidR="00177FF6" w:rsidRPr="00FD00EF" w:rsidRDefault="00177FF6" w:rsidP="00177FF6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177FF6" w:rsidRPr="00DC4641" w:rsidRDefault="00177FF6" w:rsidP="00177FF6">
                      <w:pPr>
                        <w:spacing w:after="0"/>
                        <w:rPr>
                          <w:rFonts w:cs="Times New Roman"/>
                          <w:b/>
                        </w:rPr>
                      </w:pPr>
                      <w:r w:rsidRPr="00DC4641">
                        <w:rPr>
                          <w:rFonts w:cs="Times New Roman"/>
                          <w:b/>
                        </w:rPr>
                        <w:t>ABOUT THE VICTIMS:</w:t>
                      </w:r>
                    </w:p>
                    <w:p w:rsidR="00177FF6" w:rsidRPr="00DC4641" w:rsidRDefault="00177FF6" w:rsidP="00177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 w:rsidRPr="00DC4641">
                        <w:rPr>
                          <w:rFonts w:cs="Times New Roman"/>
                        </w:rPr>
                        <w:t xml:space="preserve">In 2013, a total of 5,548 persons were recognized as Sexual Assault victims in Tennessee. </w:t>
                      </w:r>
                    </w:p>
                    <w:p w:rsidR="00177FF6" w:rsidRPr="00DC4641" w:rsidRDefault="00907A20" w:rsidP="00177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>African Americans</w:t>
                      </w:r>
                      <w:r w:rsidR="00177FF6" w:rsidRPr="00DC4641">
                        <w:rPr>
                          <w:rFonts w:cs="Times New Roman"/>
                        </w:rPr>
                        <w:t xml:space="preserve"> </w:t>
                      </w:r>
                      <w:r w:rsidR="00DC4641">
                        <w:rPr>
                          <w:rFonts w:cs="Times New Roman"/>
                        </w:rPr>
                        <w:t>were</w:t>
                      </w:r>
                      <w:r w:rsidR="00B725D3" w:rsidRPr="00DC4641">
                        <w:rPr>
                          <w:rFonts w:cs="Times New Roman"/>
                        </w:rPr>
                        <w:t xml:space="preserve"> twice</w:t>
                      </w:r>
                      <w:r w:rsidR="00DC4641">
                        <w:rPr>
                          <w:rFonts w:cs="Times New Roman"/>
                        </w:rPr>
                        <w:t xml:space="preserve"> as likely to be </w:t>
                      </w:r>
                      <w:r w:rsidR="00177FF6" w:rsidRPr="00DC4641">
                        <w:rPr>
                          <w:rFonts w:cs="Times New Roman"/>
                        </w:rPr>
                        <w:t>sexual</w:t>
                      </w:r>
                      <w:r w:rsidR="00DC4641">
                        <w:rPr>
                          <w:rFonts w:cs="Times New Roman"/>
                        </w:rPr>
                        <w:t>ly</w:t>
                      </w:r>
                      <w:r w:rsidR="005D0D70" w:rsidRPr="00DC4641">
                        <w:rPr>
                          <w:rFonts w:cs="Times New Roman"/>
                        </w:rPr>
                        <w:t xml:space="preserve"> assault</w:t>
                      </w:r>
                      <w:r w:rsidR="00DC4641">
                        <w:rPr>
                          <w:rFonts w:cs="Times New Roman"/>
                        </w:rPr>
                        <w:t>ed</w:t>
                      </w:r>
                      <w:r w:rsidR="005D0D70" w:rsidRPr="00DC4641">
                        <w:rPr>
                          <w:rFonts w:cs="Times New Roman"/>
                        </w:rPr>
                        <w:t xml:space="preserve"> compared to Whites</w:t>
                      </w:r>
                      <w:r w:rsidR="00DC4641">
                        <w:rPr>
                          <w:rFonts w:cs="Times New Roman"/>
                        </w:rPr>
                        <w:t xml:space="preserve"> in 2013</w:t>
                      </w:r>
                      <w:r w:rsidR="005D0D70" w:rsidRPr="00DC4641">
                        <w:rPr>
                          <w:rFonts w:cs="Times New Roman"/>
                        </w:rPr>
                        <w:t>.</w:t>
                      </w:r>
                    </w:p>
                    <w:p w:rsidR="00DC4641" w:rsidRPr="00DC4641" w:rsidRDefault="00DC4641" w:rsidP="00177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 xml:space="preserve">Females were more than six times as likely to be sexually assaulted compared to Males in 2013. </w:t>
                      </w:r>
                    </w:p>
                    <w:p w:rsidR="00DC4641" w:rsidRPr="00957715" w:rsidRDefault="00957715" w:rsidP="00177F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>Children under 10 were 85% more likely to be sexually assaulted compared to adults 25-34 in 2013.</w:t>
                      </w:r>
                    </w:p>
                    <w:p w:rsidR="00EE7709" w:rsidRPr="00E9244F" w:rsidRDefault="00957715" w:rsidP="00E924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 xml:space="preserve">14-17 </w:t>
                      </w:r>
                      <w:r w:rsidR="00E9244F">
                        <w:rPr>
                          <w:rFonts w:cs="Times New Roman"/>
                        </w:rPr>
                        <w:t xml:space="preserve">year olds </w:t>
                      </w:r>
                      <w:r>
                        <w:rPr>
                          <w:rFonts w:cs="Times New Roman"/>
                        </w:rPr>
                        <w:t xml:space="preserve">were almost six times as likely to be sexually assaulted </w:t>
                      </w:r>
                      <w:r w:rsidR="00E9244F">
                        <w:rPr>
                          <w:rFonts w:cs="Times New Roman"/>
                        </w:rPr>
                        <w:t>compared to adults 25-34 in 2013.</w:t>
                      </w:r>
                    </w:p>
                    <w:p w:rsidR="00E9244F" w:rsidRPr="00E9244F" w:rsidRDefault="00E9244F" w:rsidP="00E9244F">
                      <w:pPr>
                        <w:pStyle w:val="ListParagraph"/>
                        <w:spacing w:after="0"/>
                        <w:ind w:left="360"/>
                        <w:rPr>
                          <w:rFonts w:cs="Times New Roman"/>
                          <w:b/>
                        </w:rPr>
                      </w:pPr>
                    </w:p>
                    <w:p w:rsidR="00177FF6" w:rsidRPr="00DC4641" w:rsidRDefault="00177FF6" w:rsidP="00177FF6">
                      <w:pPr>
                        <w:spacing w:after="0"/>
                        <w:rPr>
                          <w:rFonts w:cs="Times New Roman"/>
                          <w:b/>
                        </w:rPr>
                      </w:pPr>
                      <w:r w:rsidRPr="00DC4641">
                        <w:rPr>
                          <w:rFonts w:cs="Times New Roman"/>
                          <w:b/>
                        </w:rPr>
                        <w:t>REGIONAL DISTRIBUTION:</w:t>
                      </w:r>
                    </w:p>
                    <w:p w:rsidR="00177FF6" w:rsidRPr="00644ADD" w:rsidRDefault="00177FF6" w:rsidP="00177F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 w:rsidRPr="00DC4641">
                        <w:rPr>
                          <w:rFonts w:cs="Times New Roman"/>
                        </w:rPr>
                        <w:t>Davidson County had the highest rate of victims in 2013</w:t>
                      </w:r>
                      <w:r w:rsidR="00676531">
                        <w:rPr>
                          <w:rFonts w:cs="Times New Roman"/>
                        </w:rPr>
                        <w:t xml:space="preserve"> at 154.4</w:t>
                      </w:r>
                      <w:r w:rsidR="00E522A6">
                        <w:rPr>
                          <w:rFonts w:cs="Times New Roman"/>
                        </w:rPr>
                        <w:t xml:space="preserve"> per 100,000</w:t>
                      </w:r>
                      <w:r w:rsidR="00907A20">
                        <w:rPr>
                          <w:rFonts w:cs="Times New Roman"/>
                        </w:rPr>
                        <w:t xml:space="preserve"> </w:t>
                      </w:r>
                      <w:proofErr w:type="gramStart"/>
                      <w:r w:rsidR="00907A20">
                        <w:rPr>
                          <w:rFonts w:cs="Times New Roman"/>
                        </w:rPr>
                        <w:t>population</w:t>
                      </w:r>
                      <w:proofErr w:type="gramEnd"/>
                      <w:r w:rsidRPr="00DC4641">
                        <w:rPr>
                          <w:rFonts w:cs="Times New Roman"/>
                        </w:rPr>
                        <w:t xml:space="preserve">. </w:t>
                      </w:r>
                    </w:p>
                    <w:p w:rsidR="00644ADD" w:rsidRPr="00644ADD" w:rsidRDefault="00644ADD" w:rsidP="00644A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644ADD">
                        <w:rPr>
                          <w:rFonts w:cs="Times New Roman"/>
                        </w:rPr>
                        <w:t xml:space="preserve">North East Tennessee had the lowest rate of victims in 2013 at 52.5 per 100,000 </w:t>
                      </w:r>
                      <w:proofErr w:type="gramStart"/>
                      <w:r w:rsidRPr="00644ADD">
                        <w:rPr>
                          <w:rFonts w:cs="Times New Roman"/>
                        </w:rPr>
                        <w:t>population</w:t>
                      </w:r>
                      <w:proofErr w:type="gramEnd"/>
                      <w:r w:rsidRPr="00644ADD">
                        <w:rPr>
                          <w:rFonts w:cs="Times New Roman"/>
                        </w:rPr>
                        <w:t xml:space="preserve">. </w:t>
                      </w:r>
                    </w:p>
                    <w:p w:rsidR="00E522A6" w:rsidRPr="00E522A6" w:rsidRDefault="00E522A6" w:rsidP="00E522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 xml:space="preserve">Shelby County had the highest number of victims at 1,104 </w:t>
                      </w:r>
                      <w:r w:rsidRPr="00E522A6">
                        <w:rPr>
                          <w:rFonts w:cs="Times New Roman"/>
                        </w:rPr>
                        <w:t>in 2013</w:t>
                      </w:r>
                      <w:r>
                        <w:rPr>
                          <w:rFonts w:cs="Times New Roman"/>
                        </w:rPr>
                        <w:t>.</w:t>
                      </w:r>
                    </w:p>
                    <w:p w:rsidR="00E522A6" w:rsidRPr="00E522A6" w:rsidRDefault="00E522A6" w:rsidP="00177F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</w:rPr>
                        <w:t xml:space="preserve">Madison County had the lowest number of victims at 104 in 2013.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26902" w:rsidRPr="00177FF6" w:rsidRDefault="00222B47" w:rsidP="00177FF6">
      <w:r w:rsidRPr="008B293A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95D9D" wp14:editId="4CC947EC">
                <wp:simplePos x="0" y="0"/>
                <wp:positionH relativeFrom="column">
                  <wp:posOffset>-159385</wp:posOffset>
                </wp:positionH>
                <wp:positionV relativeFrom="paragraph">
                  <wp:posOffset>3598628</wp:posOffset>
                </wp:positionV>
                <wp:extent cx="5947576" cy="588396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883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046" w:rsidRDefault="008B293A" w:rsidP="008B293A">
                            <w:pPr>
                              <w:spacing w:after="0" w:line="240" w:lineRule="auto"/>
                              <w:rPr>
                                <w:color w:val="808080"/>
                              </w:rPr>
                            </w:pPr>
                            <w:r w:rsidRPr="00C5452D">
                              <w:rPr>
                                <w:color w:val="808080"/>
                              </w:rPr>
                              <w:t xml:space="preserve">Data Sources: </w:t>
                            </w:r>
                          </w:p>
                          <w:p w:rsidR="004F7046" w:rsidRDefault="008B293A" w:rsidP="008B293A">
                            <w:pPr>
                              <w:spacing w:after="0" w:line="240" w:lineRule="auto"/>
                              <w:rPr>
                                <w:color w:val="808080"/>
                              </w:rPr>
                            </w:pPr>
                            <w:r w:rsidRPr="00C5452D">
                              <w:rPr>
                                <w:color w:val="808080"/>
                              </w:rPr>
                              <w:t>Tennessee Bureau of Investigations</w:t>
                            </w:r>
                            <w:r w:rsidR="00862648" w:rsidRPr="00C5452D">
                              <w:rPr>
                                <w:color w:val="808080"/>
                              </w:rPr>
                              <w:t xml:space="preserve">, </w:t>
                            </w:r>
                            <w:r w:rsidR="00862648">
                              <w:rPr>
                                <w:color w:val="808080"/>
                              </w:rPr>
                              <w:t xml:space="preserve">Tennessee Incident Based Reporting System (TIBRS), </w:t>
                            </w:r>
                            <w:r w:rsidRPr="00C5452D">
                              <w:rPr>
                                <w:color w:val="808080"/>
                              </w:rPr>
                              <w:t>2013</w:t>
                            </w:r>
                            <w:r w:rsidR="00862648">
                              <w:rPr>
                                <w:color w:val="808080"/>
                              </w:rPr>
                              <w:t xml:space="preserve">; </w:t>
                            </w:r>
                          </w:p>
                          <w:p w:rsidR="008B293A" w:rsidRPr="00C5452D" w:rsidRDefault="00862648" w:rsidP="008B293A">
                            <w:pPr>
                              <w:spacing w:after="0" w:line="240" w:lineRule="auto"/>
                              <w:rPr>
                                <w:color w:val="808080"/>
                              </w:rPr>
                            </w:pPr>
                            <w:r w:rsidRPr="00862648">
                              <w:rPr>
                                <w:color w:val="808080"/>
                              </w:rPr>
                              <w:t>U.S. Census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55pt;margin-top:283.35pt;width:468.3pt;height: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" stroked="f">
                <v:fill opacity="0"/>
                <v:textbox>
                  <w:txbxContent>
                    <w:p w:rsidR="004F7046" w:rsidRDefault="008B293A" w:rsidP="008B293A">
                      <w:pPr>
                        <w:spacing w:after="0" w:line="240" w:lineRule="auto"/>
                        <w:rPr>
                          <w:color w:val="808080"/>
                        </w:rPr>
                      </w:pPr>
                      <w:r w:rsidRPr="00C5452D">
                        <w:rPr>
                          <w:color w:val="808080"/>
                        </w:rPr>
                        <w:t xml:space="preserve">Data Sources: </w:t>
                      </w:r>
                    </w:p>
                    <w:p w:rsidR="004F7046" w:rsidRDefault="008B293A" w:rsidP="008B293A">
                      <w:pPr>
                        <w:spacing w:after="0" w:line="240" w:lineRule="auto"/>
                        <w:rPr>
                          <w:color w:val="808080"/>
                        </w:rPr>
                      </w:pPr>
                      <w:r w:rsidRPr="00C5452D">
                        <w:rPr>
                          <w:color w:val="808080"/>
                        </w:rPr>
                        <w:t>Tennessee Bureau of Investigations</w:t>
                      </w:r>
                      <w:r w:rsidR="00862648" w:rsidRPr="00C5452D">
                        <w:rPr>
                          <w:color w:val="808080"/>
                        </w:rPr>
                        <w:t xml:space="preserve">, </w:t>
                      </w:r>
                      <w:r w:rsidR="00862648">
                        <w:rPr>
                          <w:color w:val="808080"/>
                        </w:rPr>
                        <w:t xml:space="preserve">Tennessee Incident Based Reporting System (TIBRS), </w:t>
                      </w:r>
                      <w:r w:rsidRPr="00C5452D">
                        <w:rPr>
                          <w:color w:val="808080"/>
                        </w:rPr>
                        <w:t>2013</w:t>
                      </w:r>
                      <w:r w:rsidR="00862648">
                        <w:rPr>
                          <w:color w:val="808080"/>
                        </w:rPr>
                        <w:t xml:space="preserve">; </w:t>
                      </w:r>
                    </w:p>
                    <w:p w:rsidR="008B293A" w:rsidRPr="00C5452D" w:rsidRDefault="00862648" w:rsidP="008B293A">
                      <w:pPr>
                        <w:spacing w:after="0" w:line="240" w:lineRule="auto"/>
                        <w:rPr>
                          <w:color w:val="808080"/>
                        </w:rPr>
                      </w:pPr>
                      <w:r w:rsidRPr="00862648">
                        <w:rPr>
                          <w:color w:val="808080"/>
                        </w:rPr>
                        <w:t>U.S. Census Bureau</w:t>
                      </w:r>
                    </w:p>
                  </w:txbxContent>
                </v:textbox>
              </v:shape>
            </w:pict>
          </mc:Fallback>
        </mc:AlternateContent>
      </w:r>
      <w:r w:rsidR="00DA42D2">
        <w:rPr>
          <w:noProof/>
        </w:rPr>
        <w:drawing>
          <wp:anchor distT="0" distB="0" distL="114300" distR="114300" simplePos="0" relativeHeight="251682816" behindDoc="1" locked="1" layoutInCell="1" allowOverlap="1" wp14:anchorId="60D8F42F" wp14:editId="7E1CABE7">
            <wp:simplePos x="0" y="0"/>
            <wp:positionH relativeFrom="column">
              <wp:posOffset>5996940</wp:posOffset>
            </wp:positionH>
            <wp:positionV relativeFrom="paragraph">
              <wp:posOffset>3597910</wp:posOffset>
            </wp:positionV>
            <wp:extent cx="1160780" cy="630555"/>
            <wp:effectExtent l="0" t="0" r="0" b="0"/>
            <wp:wrapThrough wrapText="bothSides">
              <wp:wrapPolygon edited="0">
                <wp:start x="354" y="1958"/>
                <wp:lineTo x="354" y="18924"/>
                <wp:lineTo x="17724" y="18924"/>
                <wp:lineTo x="17370" y="14356"/>
                <wp:lineTo x="20915" y="12399"/>
                <wp:lineTo x="20560" y="9136"/>
                <wp:lineTo x="8862" y="1958"/>
                <wp:lineTo x="354" y="1958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Health-Color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902" w:rsidRPr="00177FF6" w:rsidSect="00870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494"/>
    <w:multiLevelType w:val="hybridMultilevel"/>
    <w:tmpl w:val="A6FA3A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D5F9B"/>
    <w:multiLevelType w:val="hybridMultilevel"/>
    <w:tmpl w:val="112417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6"/>
    <w:rsid w:val="00035AA9"/>
    <w:rsid w:val="00064A55"/>
    <w:rsid w:val="000A7DC9"/>
    <w:rsid w:val="000D1A50"/>
    <w:rsid w:val="000D2028"/>
    <w:rsid w:val="00177FF6"/>
    <w:rsid w:val="00181A7E"/>
    <w:rsid w:val="001B18C8"/>
    <w:rsid w:val="00222B47"/>
    <w:rsid w:val="00224615"/>
    <w:rsid w:val="00245465"/>
    <w:rsid w:val="002828EE"/>
    <w:rsid w:val="0028522B"/>
    <w:rsid w:val="002C2264"/>
    <w:rsid w:val="002E6E7A"/>
    <w:rsid w:val="00345268"/>
    <w:rsid w:val="003C07E5"/>
    <w:rsid w:val="00400BF6"/>
    <w:rsid w:val="00406C4A"/>
    <w:rsid w:val="00415810"/>
    <w:rsid w:val="004F7046"/>
    <w:rsid w:val="0052037E"/>
    <w:rsid w:val="00550671"/>
    <w:rsid w:val="00560C7A"/>
    <w:rsid w:val="005D02AB"/>
    <w:rsid w:val="005D0D70"/>
    <w:rsid w:val="00644ADD"/>
    <w:rsid w:val="0066001E"/>
    <w:rsid w:val="00676531"/>
    <w:rsid w:val="006B2171"/>
    <w:rsid w:val="006C032D"/>
    <w:rsid w:val="006C59DB"/>
    <w:rsid w:val="00727F25"/>
    <w:rsid w:val="00741BF9"/>
    <w:rsid w:val="007C6D11"/>
    <w:rsid w:val="007D1E20"/>
    <w:rsid w:val="007F58A9"/>
    <w:rsid w:val="008440DE"/>
    <w:rsid w:val="00854C8B"/>
    <w:rsid w:val="00862648"/>
    <w:rsid w:val="00870FA0"/>
    <w:rsid w:val="008B293A"/>
    <w:rsid w:val="008D1C25"/>
    <w:rsid w:val="00907A20"/>
    <w:rsid w:val="00926902"/>
    <w:rsid w:val="00957715"/>
    <w:rsid w:val="00A50199"/>
    <w:rsid w:val="00A73BF7"/>
    <w:rsid w:val="00AC63B5"/>
    <w:rsid w:val="00B00641"/>
    <w:rsid w:val="00B360BA"/>
    <w:rsid w:val="00B575FA"/>
    <w:rsid w:val="00B725D3"/>
    <w:rsid w:val="00B8067A"/>
    <w:rsid w:val="00B8212D"/>
    <w:rsid w:val="00B9094C"/>
    <w:rsid w:val="00B925F2"/>
    <w:rsid w:val="00C91A0D"/>
    <w:rsid w:val="00CF5E11"/>
    <w:rsid w:val="00D236D0"/>
    <w:rsid w:val="00D2653D"/>
    <w:rsid w:val="00DA42D2"/>
    <w:rsid w:val="00DC4641"/>
    <w:rsid w:val="00E24227"/>
    <w:rsid w:val="00E32495"/>
    <w:rsid w:val="00E4721D"/>
    <w:rsid w:val="00E522A6"/>
    <w:rsid w:val="00E64F82"/>
    <w:rsid w:val="00E9244F"/>
    <w:rsid w:val="00EE7709"/>
    <w:rsid w:val="00EF1FB2"/>
    <w:rsid w:val="00EF76AA"/>
    <w:rsid w:val="00F058B4"/>
    <w:rsid w:val="00F24094"/>
    <w:rsid w:val="00F71A52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C917-E9FE-42AD-B44B-AD5EDE0F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Philipose</dc:creator>
  <cp:lastModifiedBy>Shaquallah Shanks</cp:lastModifiedBy>
  <cp:revision>31</cp:revision>
  <dcterms:created xsi:type="dcterms:W3CDTF">2015-07-21T16:11:00Z</dcterms:created>
  <dcterms:modified xsi:type="dcterms:W3CDTF">2016-03-15T20:31:00Z</dcterms:modified>
</cp:coreProperties>
</file>