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CEAF2D" w14:textId="77777777" w:rsidR="0023243C" w:rsidRDefault="0023243C">
      <w:pPr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193FAD7E" w14:textId="77777777" w:rsidR="0023243C" w:rsidRDefault="0023243C">
      <w:pPr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6FDA8728" w14:textId="02232499" w:rsidR="00CA45C1" w:rsidRDefault="0023243C">
      <w:pPr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Scope of Practice in Settings outside Traditional EMS</w:t>
      </w:r>
    </w:p>
    <w:p w14:paraId="10EF18B3" w14:textId="77777777" w:rsidR="0023243C" w:rsidRDefault="0023243C">
      <w:pPr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118C2D1D" w14:textId="1B92BCE5" w:rsidR="0023243C" w:rsidRDefault="0023243C">
      <w:pPr>
        <w:jc w:val="both"/>
        <w:rPr>
          <w:rFonts w:ascii="Calibri" w:eastAsia="Calibri" w:hAnsi="Calibri" w:cs="Calibri"/>
          <w:bCs/>
          <w:sz w:val="24"/>
          <w:szCs w:val="24"/>
        </w:rPr>
      </w:pPr>
      <w:r w:rsidRPr="0023243C">
        <w:rPr>
          <w:rFonts w:ascii="Calibri" w:eastAsia="Calibri" w:hAnsi="Calibri" w:cs="Calibri"/>
          <w:bCs/>
          <w:sz w:val="24"/>
          <w:szCs w:val="24"/>
        </w:rPr>
        <w:t xml:space="preserve">This statement reflects the position of the Clinical issue Committee regarding </w:t>
      </w:r>
      <w:r>
        <w:rPr>
          <w:rFonts w:ascii="Calibri" w:eastAsia="Calibri" w:hAnsi="Calibri" w:cs="Calibri"/>
          <w:bCs/>
          <w:sz w:val="24"/>
          <w:szCs w:val="24"/>
        </w:rPr>
        <w:t>EMS licensed practitioners working in setting outside traditional emergency response EMS. Such settings include but are not limited to event medicine, healthcare facilities, clinics, special events, non-traditional healthcare settings, and medical practice offices.</w:t>
      </w:r>
    </w:p>
    <w:p w14:paraId="392C9B1E" w14:textId="77777777" w:rsidR="0023243C" w:rsidRDefault="0023243C">
      <w:pPr>
        <w:jc w:val="both"/>
        <w:rPr>
          <w:rFonts w:ascii="Calibri" w:eastAsia="Calibri" w:hAnsi="Calibri" w:cs="Calibri"/>
          <w:bCs/>
          <w:sz w:val="24"/>
          <w:szCs w:val="24"/>
        </w:rPr>
      </w:pPr>
    </w:p>
    <w:p w14:paraId="780B211C" w14:textId="2B64DB4E" w:rsidR="0023243C" w:rsidRDefault="0023243C">
      <w:pPr>
        <w:jc w:val="both"/>
        <w:rPr>
          <w:rFonts w:ascii="Calibri" w:eastAsia="Calibri" w:hAnsi="Calibri" w:cs="Calibri"/>
          <w:bCs/>
          <w:sz w:val="24"/>
          <w:szCs w:val="24"/>
        </w:rPr>
      </w:pPr>
      <w:r>
        <w:rPr>
          <w:rFonts w:ascii="Calibri" w:eastAsia="Calibri" w:hAnsi="Calibri" w:cs="Calibri"/>
          <w:bCs/>
          <w:sz w:val="24"/>
          <w:szCs w:val="24"/>
        </w:rPr>
        <w:t xml:space="preserve">EMS licensed practitioners will be held to the </w:t>
      </w:r>
      <w:r w:rsidR="006F0891">
        <w:rPr>
          <w:rFonts w:ascii="Calibri" w:eastAsia="Calibri" w:hAnsi="Calibri" w:cs="Calibri"/>
          <w:bCs/>
          <w:sz w:val="24"/>
          <w:szCs w:val="24"/>
        </w:rPr>
        <w:t>standards</w:t>
      </w:r>
      <w:r w:rsidR="00582E46">
        <w:rPr>
          <w:rFonts w:ascii="Calibri" w:eastAsia="Calibri" w:hAnsi="Calibri" w:cs="Calibri"/>
          <w:bCs/>
          <w:sz w:val="24"/>
          <w:szCs w:val="24"/>
        </w:rPr>
        <w:t xml:space="preserve"> set by the State EMS Board Rules and Regulations</w:t>
      </w:r>
      <w:r w:rsidR="006F0891">
        <w:rPr>
          <w:rFonts w:ascii="Calibri" w:eastAsia="Calibri" w:hAnsi="Calibri" w:cs="Calibri"/>
          <w:bCs/>
          <w:sz w:val="24"/>
          <w:szCs w:val="24"/>
        </w:rPr>
        <w:t xml:space="preserve"> and the EMS Practice Act</w:t>
      </w:r>
      <w:r w:rsidR="00582E46">
        <w:rPr>
          <w:rFonts w:ascii="Calibri" w:eastAsia="Calibri" w:hAnsi="Calibri" w:cs="Calibri"/>
          <w:bCs/>
          <w:sz w:val="24"/>
          <w:szCs w:val="24"/>
        </w:rPr>
        <w:t xml:space="preserve"> </w:t>
      </w:r>
      <w:r>
        <w:rPr>
          <w:rFonts w:ascii="Calibri" w:eastAsia="Calibri" w:hAnsi="Calibri" w:cs="Calibri"/>
          <w:bCs/>
          <w:sz w:val="24"/>
          <w:szCs w:val="24"/>
        </w:rPr>
        <w:t>required of all licensed EMS practitioners regardless of the practice setting. The EMS Board of the State of Tennessee will have authority over all licensees regardless of their practice environment.</w:t>
      </w:r>
      <w:r w:rsidR="006F0891">
        <w:rPr>
          <w:rFonts w:ascii="Calibri" w:eastAsia="Calibri" w:hAnsi="Calibri" w:cs="Calibri"/>
          <w:bCs/>
          <w:sz w:val="24"/>
          <w:szCs w:val="24"/>
        </w:rPr>
        <w:t xml:space="preserve"> EMS licensees must operate within protocols established by the Medical Director.</w:t>
      </w:r>
    </w:p>
    <w:p w14:paraId="66573428" w14:textId="77777777" w:rsidR="006F0891" w:rsidRDefault="006F0891">
      <w:pPr>
        <w:jc w:val="both"/>
        <w:rPr>
          <w:rFonts w:ascii="Calibri" w:eastAsia="Calibri" w:hAnsi="Calibri" w:cs="Calibri"/>
          <w:bCs/>
          <w:sz w:val="24"/>
          <w:szCs w:val="24"/>
        </w:rPr>
      </w:pPr>
    </w:p>
    <w:p w14:paraId="3933F14D" w14:textId="52CD9834" w:rsidR="00CD6404" w:rsidRPr="00CD6404" w:rsidRDefault="00CD6404" w:rsidP="00B0153D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 w:rsidRPr="00CD6404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Use of </w:t>
      </w:r>
      <w:r w:rsidR="00625BE9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Glucometer </w:t>
      </w:r>
      <w:r w:rsidRPr="00CD6404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by </w:t>
      </w:r>
      <w:r w:rsidR="00625BE9">
        <w:rPr>
          <w:rFonts w:ascii="Calibri" w:eastAsia="Calibri" w:hAnsi="Calibri" w:cs="Calibri"/>
          <w:b/>
          <w:bCs/>
          <w:color w:val="000000"/>
          <w:sz w:val="24"/>
          <w:szCs w:val="24"/>
        </w:rPr>
        <w:t>EMR</w:t>
      </w:r>
    </w:p>
    <w:p w14:paraId="6C23EAE4" w14:textId="77777777" w:rsidR="00CD6404" w:rsidRPr="00CD6404" w:rsidRDefault="00CD6404" w:rsidP="00B0153D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rFonts w:ascii="Calibri" w:eastAsia="Calibri" w:hAnsi="Calibri" w:cs="Calibri"/>
          <w:color w:val="000000"/>
          <w:sz w:val="24"/>
          <w:szCs w:val="24"/>
        </w:rPr>
      </w:pPr>
    </w:p>
    <w:p w14:paraId="7C6DAA53" w14:textId="129FE7C9" w:rsidR="00CD6404" w:rsidRPr="00CD6404" w:rsidRDefault="00590B46" w:rsidP="00B0153D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The EMS Board</w:t>
      </w:r>
      <w:r w:rsidR="00CD6404" w:rsidRPr="00CD6404">
        <w:rPr>
          <w:rFonts w:ascii="Calibri" w:eastAsia="Calibri" w:hAnsi="Calibri" w:cs="Calibri"/>
          <w:color w:val="000000"/>
          <w:sz w:val="24"/>
          <w:szCs w:val="24"/>
        </w:rPr>
        <w:t xml:space="preserve"> is not in support of the use of </w:t>
      </w:r>
      <w:r w:rsidR="00625BE9">
        <w:rPr>
          <w:rFonts w:ascii="Calibri" w:eastAsia="Calibri" w:hAnsi="Calibri" w:cs="Calibri"/>
          <w:color w:val="000000"/>
          <w:sz w:val="24"/>
          <w:szCs w:val="24"/>
        </w:rPr>
        <w:t>a glucometer by EMR</w:t>
      </w:r>
      <w:r w:rsidR="00CD6404" w:rsidRPr="00CD6404">
        <w:rPr>
          <w:rFonts w:ascii="Calibri" w:eastAsia="Calibri" w:hAnsi="Calibri" w:cs="Calibri"/>
          <w:color w:val="000000"/>
          <w:sz w:val="24"/>
          <w:szCs w:val="24"/>
        </w:rPr>
        <w:t xml:space="preserve"> due to the need for CLIA waiver requirements.</w:t>
      </w:r>
    </w:p>
    <w:p w14:paraId="6A1AF68E" w14:textId="77777777" w:rsidR="00677E86" w:rsidRDefault="00677E86" w:rsidP="00B0153D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rFonts w:ascii="Calibri" w:eastAsia="Calibri" w:hAnsi="Calibri" w:cs="Calibri"/>
          <w:color w:val="000000"/>
          <w:sz w:val="15"/>
          <w:szCs w:val="15"/>
        </w:rPr>
      </w:pPr>
    </w:p>
    <w:p w14:paraId="4C2844AB" w14:textId="77777777" w:rsidR="00677E86" w:rsidRDefault="00677E86" w:rsidP="00B0153D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rFonts w:ascii="Calibri" w:eastAsia="Calibri" w:hAnsi="Calibri" w:cs="Calibri"/>
          <w:color w:val="000000"/>
          <w:sz w:val="15"/>
          <w:szCs w:val="15"/>
        </w:rPr>
      </w:pPr>
    </w:p>
    <w:p w14:paraId="70C1FEBA" w14:textId="3B2AE6DB" w:rsidR="00677E86" w:rsidRDefault="00CD6404" w:rsidP="00B0153D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 w:rsidRPr="00CD6404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Expand use of </w:t>
      </w:r>
      <w:proofErr w:type="spellStart"/>
      <w:r w:rsidRPr="00CD6404">
        <w:rPr>
          <w:rFonts w:ascii="Calibri" w:eastAsia="Calibri" w:hAnsi="Calibri" w:cs="Calibri"/>
          <w:b/>
          <w:bCs/>
          <w:color w:val="000000"/>
          <w:sz w:val="24"/>
          <w:szCs w:val="24"/>
        </w:rPr>
        <w:t>IntraOsseous</w:t>
      </w:r>
      <w:proofErr w:type="spellEnd"/>
      <w:r w:rsidRPr="00CD6404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Devices beyond Cardiac Arrest</w:t>
      </w:r>
    </w:p>
    <w:p w14:paraId="7BEDF718" w14:textId="77777777" w:rsidR="00CD6404" w:rsidRDefault="00CD6404" w:rsidP="00B0153D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2DA00EFB" w14:textId="4684E0AA" w:rsidR="00CD6404" w:rsidRDefault="00590B46" w:rsidP="00B0153D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The EMS Board</w:t>
      </w:r>
      <w:r w:rsidRPr="00CD6404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 w:rsidR="00CD6404" w:rsidRPr="00CD6404">
        <w:rPr>
          <w:rFonts w:ascii="Calibri" w:eastAsia="Calibri" w:hAnsi="Calibri" w:cs="Calibri"/>
          <w:color w:val="000000"/>
          <w:sz w:val="24"/>
          <w:szCs w:val="24"/>
        </w:rPr>
        <w:t>recommends r</w:t>
      </w:r>
      <w:r w:rsidR="00625BE9">
        <w:rPr>
          <w:rFonts w:ascii="Calibri" w:eastAsia="Calibri" w:hAnsi="Calibri" w:cs="Calibri"/>
          <w:color w:val="000000"/>
          <w:sz w:val="24"/>
          <w:szCs w:val="24"/>
        </w:rPr>
        <w:t>etirement</w:t>
      </w:r>
      <w:r w:rsidR="00CD6404" w:rsidRPr="00CD6404">
        <w:rPr>
          <w:rFonts w:ascii="Calibri" w:eastAsia="Calibri" w:hAnsi="Calibri" w:cs="Calibri"/>
          <w:color w:val="000000"/>
          <w:sz w:val="24"/>
          <w:szCs w:val="24"/>
        </w:rPr>
        <w:t xml:space="preserve"> of the ACP document</w:t>
      </w:r>
      <w:r w:rsidR="00625BE9">
        <w:rPr>
          <w:rFonts w:ascii="Calibri" w:eastAsia="Calibri" w:hAnsi="Calibri" w:cs="Calibri"/>
          <w:color w:val="000000"/>
          <w:sz w:val="24"/>
          <w:szCs w:val="24"/>
        </w:rPr>
        <w:t xml:space="preserve"> as this is addressed by S</w:t>
      </w:r>
      <w:r w:rsidR="002E2CBA">
        <w:rPr>
          <w:rFonts w:ascii="Calibri" w:eastAsia="Calibri" w:hAnsi="Calibri" w:cs="Calibri"/>
          <w:color w:val="000000"/>
          <w:sz w:val="24"/>
          <w:szCs w:val="24"/>
        </w:rPr>
        <w:t xml:space="preserve">cope </w:t>
      </w:r>
      <w:r w:rsidR="00625BE9">
        <w:rPr>
          <w:rFonts w:ascii="Calibri" w:eastAsia="Calibri" w:hAnsi="Calibri" w:cs="Calibri"/>
          <w:color w:val="000000"/>
          <w:sz w:val="24"/>
          <w:szCs w:val="24"/>
        </w:rPr>
        <w:t>o</w:t>
      </w:r>
      <w:r w:rsidR="002E2CBA">
        <w:rPr>
          <w:rFonts w:ascii="Calibri" w:eastAsia="Calibri" w:hAnsi="Calibri" w:cs="Calibri"/>
          <w:color w:val="000000"/>
          <w:sz w:val="24"/>
          <w:szCs w:val="24"/>
        </w:rPr>
        <w:t>f Practice</w:t>
      </w:r>
      <w:r w:rsidR="00625BE9">
        <w:rPr>
          <w:rFonts w:ascii="Calibri" w:eastAsia="Calibri" w:hAnsi="Calibri" w:cs="Calibri"/>
          <w:color w:val="000000"/>
          <w:sz w:val="24"/>
          <w:szCs w:val="24"/>
        </w:rPr>
        <w:t>.</w:t>
      </w:r>
    </w:p>
    <w:p w14:paraId="25407814" w14:textId="77777777" w:rsidR="00B5103C" w:rsidRDefault="00B5103C" w:rsidP="00B0153D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rFonts w:ascii="Calibri" w:eastAsia="Calibri" w:hAnsi="Calibri" w:cs="Calibri"/>
          <w:color w:val="000000"/>
          <w:sz w:val="24"/>
          <w:szCs w:val="24"/>
        </w:rPr>
      </w:pPr>
    </w:p>
    <w:p w14:paraId="26A713DE" w14:textId="2EE286FB" w:rsidR="00B5103C" w:rsidRDefault="00B5103C" w:rsidP="00B0153D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 w:rsidRPr="00B5103C">
        <w:rPr>
          <w:rFonts w:ascii="Calibri" w:eastAsia="Calibri" w:hAnsi="Calibri" w:cs="Calibri"/>
          <w:b/>
          <w:bCs/>
          <w:color w:val="000000"/>
          <w:sz w:val="24"/>
          <w:szCs w:val="24"/>
        </w:rPr>
        <w:t>Use of Nursing personnel in EMS</w:t>
      </w:r>
    </w:p>
    <w:p w14:paraId="1447E6F6" w14:textId="61E48BC9" w:rsidR="007354C0" w:rsidRDefault="00B5103C" w:rsidP="00B0153D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ab/>
      </w:r>
      <w:r w:rsidR="00590B46" w:rsidRPr="00C962C2">
        <w:rPr>
          <w:rFonts w:ascii="Calibri" w:eastAsia="Calibri" w:hAnsi="Calibri" w:cs="Calibri"/>
          <w:color w:val="000000"/>
          <w:sz w:val="24"/>
          <w:szCs w:val="24"/>
        </w:rPr>
        <w:t xml:space="preserve">The EMS board rules and regulations describe the licensure requirements for licensed ambulance services and EMS </w:t>
      </w:r>
      <w:r w:rsidR="00C962C2" w:rsidRPr="00C962C2">
        <w:rPr>
          <w:rFonts w:ascii="Calibri" w:eastAsia="Calibri" w:hAnsi="Calibri" w:cs="Calibri"/>
          <w:color w:val="000000"/>
          <w:sz w:val="24"/>
          <w:szCs w:val="24"/>
        </w:rPr>
        <w:t>personnel</w:t>
      </w:r>
      <w:r w:rsidR="00590B46" w:rsidRPr="00C962C2">
        <w:rPr>
          <w:rFonts w:ascii="Calibri" w:eastAsia="Calibri" w:hAnsi="Calibri" w:cs="Calibri"/>
          <w:color w:val="000000"/>
          <w:sz w:val="24"/>
          <w:szCs w:val="24"/>
        </w:rPr>
        <w:t xml:space="preserve">. Ground ambulance personnel must be licensed by the Office of EMS. Those with other </w:t>
      </w:r>
      <w:r w:rsidR="00C962C2" w:rsidRPr="00C962C2">
        <w:rPr>
          <w:rFonts w:ascii="Calibri" w:eastAsia="Calibri" w:hAnsi="Calibri" w:cs="Calibri"/>
          <w:color w:val="000000"/>
          <w:sz w:val="24"/>
          <w:szCs w:val="24"/>
        </w:rPr>
        <w:t>healthcare</w:t>
      </w:r>
      <w:r w:rsidR="00590B46" w:rsidRPr="00C962C2">
        <w:rPr>
          <w:rFonts w:ascii="Calibri" w:eastAsia="Calibri" w:hAnsi="Calibri" w:cs="Calibri"/>
          <w:color w:val="000000"/>
          <w:sz w:val="24"/>
          <w:szCs w:val="24"/>
        </w:rPr>
        <w:t xml:space="preserve"> licenses may perform skills appropriate for their other healthcare </w:t>
      </w:r>
      <w:r w:rsidR="00C962C2" w:rsidRPr="00C962C2">
        <w:rPr>
          <w:rFonts w:ascii="Calibri" w:eastAsia="Calibri" w:hAnsi="Calibri" w:cs="Calibri"/>
          <w:color w:val="000000"/>
          <w:sz w:val="24"/>
          <w:szCs w:val="24"/>
        </w:rPr>
        <w:t>license</w:t>
      </w:r>
      <w:r w:rsidR="00590B46" w:rsidRPr="00C962C2">
        <w:rPr>
          <w:rFonts w:ascii="Calibri" w:eastAsia="Calibri" w:hAnsi="Calibri" w:cs="Calibri"/>
          <w:color w:val="000000"/>
          <w:sz w:val="24"/>
          <w:szCs w:val="24"/>
        </w:rPr>
        <w:t xml:space="preserve"> with approval of the medical director and will be bound by the appropriate Board regarding those skills.</w:t>
      </w:r>
    </w:p>
    <w:p w14:paraId="4E0C9AA7" w14:textId="77777777" w:rsidR="00B0153D" w:rsidRDefault="00B0153D" w:rsidP="00B0153D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rFonts w:ascii="Calibri" w:eastAsia="Calibri" w:hAnsi="Calibri" w:cs="Calibri"/>
          <w:color w:val="000000"/>
          <w:sz w:val="24"/>
          <w:szCs w:val="24"/>
        </w:rPr>
      </w:pPr>
    </w:p>
    <w:p w14:paraId="145319C0" w14:textId="1AF542B3" w:rsidR="00B0153D" w:rsidRPr="00B0153D" w:rsidRDefault="00B0153D" w:rsidP="00B0153D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rFonts w:ascii="Calibri" w:eastAsia="Calibri" w:hAnsi="Calibri" w:cs="Calibri"/>
          <w:color w:val="000000"/>
          <w:sz w:val="24"/>
          <w:szCs w:val="24"/>
        </w:rPr>
      </w:pPr>
      <w:r w:rsidRPr="00B0153D">
        <w:rPr>
          <w:rFonts w:ascii="Calibri" w:eastAsia="Calibri" w:hAnsi="Calibri" w:cs="Calibri"/>
          <w:b/>
          <w:bCs/>
          <w:color w:val="000000"/>
          <w:sz w:val="24"/>
          <w:szCs w:val="24"/>
        </w:rPr>
        <w:t>Patellar Reduction</w:t>
      </w:r>
    </w:p>
    <w:p w14:paraId="5222BACB" w14:textId="686671FA" w:rsidR="00B0153D" w:rsidRPr="00B0153D" w:rsidRDefault="00B0153D" w:rsidP="00B0153D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ab/>
      </w:r>
      <w:r w:rsidRPr="00B0153D">
        <w:rPr>
          <w:rFonts w:ascii="Calibri" w:eastAsia="Calibri" w:hAnsi="Calibri" w:cs="Calibri"/>
          <w:color w:val="000000"/>
          <w:sz w:val="24"/>
          <w:szCs w:val="24"/>
        </w:rPr>
        <w:t>The EMS Board is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in support of Paramedics reforming patellar reduction after training and competency confirmation.</w:t>
      </w:r>
      <w:r w:rsidRPr="00B0153D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This practice is restricted to patients older than 14 years.</w:t>
      </w:r>
    </w:p>
    <w:sectPr w:rsidR="00B0153D" w:rsidRPr="00B0153D" w:rsidSect="0023243C">
      <w:headerReference w:type="default" r:id="rId8"/>
      <w:footerReference w:type="default" r:id="rId9"/>
      <w:pgSz w:w="12240" w:h="15840"/>
      <w:pgMar w:top="2300" w:right="1320" w:bottom="1420" w:left="1340" w:header="576" w:footer="122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B91AB6" w14:textId="77777777" w:rsidR="007C1778" w:rsidRDefault="007C1778">
      <w:r>
        <w:separator/>
      </w:r>
    </w:p>
  </w:endnote>
  <w:endnote w:type="continuationSeparator" w:id="0">
    <w:p w14:paraId="052F1782" w14:textId="77777777" w:rsidR="007C1778" w:rsidRDefault="007C17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EB2750F8-D2E3-4B8F-ABE5-D1C1A91CC01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CF41B9E-4771-4416-BFA5-3A0CB2DDA4CD}"/>
    <w:embedBold r:id="rId3" w:fontKey="{54FA0B2C-5E50-4FCD-9FED-4E4D6C236F3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BB66C07-1F5A-4CCE-9FEE-1426C168F0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47A3D5" w14:textId="10DD964B" w:rsidR="006F0891" w:rsidRDefault="006F0891">
    <w:pPr>
      <w:pStyle w:val="Footer"/>
    </w:pPr>
  </w:p>
  <w:p w14:paraId="78832E4C" w14:textId="67C32852" w:rsidR="006F0891" w:rsidRDefault="006F0891">
    <w:pPr>
      <w:pStyle w:val="Footer"/>
    </w:pPr>
    <w:r>
      <w:t>This Position Statement approved by the Tennessee EMS Board on Sept 19, 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4EC550" w14:textId="77777777" w:rsidR="007C1778" w:rsidRDefault="007C1778">
      <w:r>
        <w:separator/>
      </w:r>
    </w:p>
  </w:footnote>
  <w:footnote w:type="continuationSeparator" w:id="0">
    <w:p w14:paraId="7BB0C3B6" w14:textId="77777777" w:rsidR="007C1778" w:rsidRDefault="007C17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ABF467" w14:textId="77777777" w:rsidR="00677E86" w:rsidRDefault="00677E86" w:rsidP="00677E86">
    <w:pPr>
      <w:spacing w:before="240" w:after="240"/>
      <w:jc w:val="center"/>
    </w:pPr>
    <w:r>
      <w:rPr>
        <w:noProof/>
      </w:rPr>
      <w:drawing>
        <wp:inline distT="114300" distB="114300" distL="114300" distR="114300" wp14:anchorId="1293CCA8" wp14:editId="5EB7698E">
          <wp:extent cx="627063" cy="584856"/>
          <wp:effectExtent l="0" t="0" r="0" b="0"/>
          <wp:docPr id="2" name="image1.png" descr="A black seal with text and a boat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 descr="A black seal with text and a boat&#10;&#10;AI-generated content may be incorrect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7063" cy="58485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2CBE6E4" w14:textId="77777777" w:rsidR="00677E86" w:rsidRDefault="00677E86" w:rsidP="00677E86">
    <w:pPr>
      <w:spacing w:before="240" w:after="240"/>
      <w:jc w:val="center"/>
    </w:pPr>
    <w:r>
      <w:t>State of Tennessee Board of Emergency Medical Services</w:t>
    </w:r>
  </w:p>
  <w:p w14:paraId="1224586E" w14:textId="23C3704A" w:rsidR="00677E86" w:rsidRPr="00677E86" w:rsidRDefault="00677E86" w:rsidP="00677E86">
    <w:pPr>
      <w:pStyle w:val="Header"/>
      <w:jc w:val="center"/>
      <w:rPr>
        <w:b/>
        <w:bCs/>
      </w:rPr>
    </w:pPr>
    <w:r w:rsidRPr="00677E86">
      <w:rPr>
        <w:b/>
        <w:bCs/>
      </w:rPr>
      <w:t>Position Statement</w:t>
    </w:r>
  </w:p>
  <w:p w14:paraId="708FF701" w14:textId="4291C9DD" w:rsidR="00677E86" w:rsidRPr="00677E86" w:rsidRDefault="006F0891" w:rsidP="00677E86">
    <w:pPr>
      <w:pStyle w:val="Header"/>
      <w:jc w:val="center"/>
      <w:rPr>
        <w:b/>
        <w:bCs/>
      </w:rPr>
    </w:pPr>
    <w:r>
      <w:rPr>
        <w:b/>
        <w:bCs/>
      </w:rPr>
      <w:t>Board of Emergency Medical Services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558EE"/>
    <w:multiLevelType w:val="multilevel"/>
    <w:tmpl w:val="E93C683E"/>
    <w:lvl w:ilvl="0">
      <w:start w:val="1"/>
      <w:numFmt w:val="decimal"/>
      <w:lvlText w:val="%1."/>
      <w:lvlJc w:val="left"/>
      <w:pPr>
        <w:ind w:left="887" w:hanging="248"/>
      </w:pPr>
      <w:rPr>
        <w:rFonts w:ascii="Arial" w:eastAsia="Arial" w:hAnsi="Arial" w:cs="Arial"/>
        <w:sz w:val="22"/>
        <w:szCs w:val="22"/>
      </w:rPr>
    </w:lvl>
    <w:lvl w:ilvl="1">
      <w:start w:val="1"/>
      <w:numFmt w:val="bullet"/>
      <w:lvlText w:val="•"/>
      <w:lvlJc w:val="left"/>
      <w:pPr>
        <w:ind w:left="1750" w:hanging="248"/>
      </w:pPr>
    </w:lvl>
    <w:lvl w:ilvl="2">
      <w:start w:val="1"/>
      <w:numFmt w:val="bullet"/>
      <w:lvlText w:val="•"/>
      <w:lvlJc w:val="left"/>
      <w:pPr>
        <w:ind w:left="2620" w:hanging="248"/>
      </w:pPr>
    </w:lvl>
    <w:lvl w:ilvl="3">
      <w:start w:val="1"/>
      <w:numFmt w:val="bullet"/>
      <w:lvlText w:val="•"/>
      <w:lvlJc w:val="left"/>
      <w:pPr>
        <w:ind w:left="3490" w:hanging="248"/>
      </w:pPr>
    </w:lvl>
    <w:lvl w:ilvl="4">
      <w:start w:val="1"/>
      <w:numFmt w:val="bullet"/>
      <w:lvlText w:val="•"/>
      <w:lvlJc w:val="left"/>
      <w:pPr>
        <w:ind w:left="4360" w:hanging="248"/>
      </w:pPr>
    </w:lvl>
    <w:lvl w:ilvl="5">
      <w:start w:val="1"/>
      <w:numFmt w:val="bullet"/>
      <w:lvlText w:val="•"/>
      <w:lvlJc w:val="left"/>
      <w:pPr>
        <w:ind w:left="5230" w:hanging="248"/>
      </w:pPr>
    </w:lvl>
    <w:lvl w:ilvl="6">
      <w:start w:val="1"/>
      <w:numFmt w:val="bullet"/>
      <w:lvlText w:val="•"/>
      <w:lvlJc w:val="left"/>
      <w:pPr>
        <w:ind w:left="6100" w:hanging="248"/>
      </w:pPr>
    </w:lvl>
    <w:lvl w:ilvl="7">
      <w:start w:val="1"/>
      <w:numFmt w:val="bullet"/>
      <w:lvlText w:val="•"/>
      <w:lvlJc w:val="left"/>
      <w:pPr>
        <w:ind w:left="6970" w:hanging="248"/>
      </w:pPr>
    </w:lvl>
    <w:lvl w:ilvl="8">
      <w:start w:val="1"/>
      <w:numFmt w:val="bullet"/>
      <w:lvlText w:val="•"/>
      <w:lvlJc w:val="left"/>
      <w:pPr>
        <w:ind w:left="7840" w:hanging="248"/>
      </w:pPr>
    </w:lvl>
  </w:abstractNum>
  <w:abstractNum w:abstractNumId="1" w15:restartNumberingAfterBreak="0">
    <w:nsid w:val="3CA421D1"/>
    <w:multiLevelType w:val="multilevel"/>
    <w:tmpl w:val="861C8A0A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5CE39BF"/>
    <w:multiLevelType w:val="multilevel"/>
    <w:tmpl w:val="0F325624"/>
    <w:lvl w:ilvl="0">
      <w:start w:val="1"/>
      <w:numFmt w:val="bullet"/>
      <w:lvlText w:val="●"/>
      <w:lvlJc w:val="left"/>
      <w:pPr>
        <w:ind w:left="460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bullet"/>
      <w:lvlText w:val="•"/>
      <w:lvlJc w:val="left"/>
      <w:pPr>
        <w:ind w:left="1372" w:hanging="360"/>
      </w:pPr>
    </w:lvl>
    <w:lvl w:ilvl="2">
      <w:start w:val="1"/>
      <w:numFmt w:val="bullet"/>
      <w:lvlText w:val="•"/>
      <w:lvlJc w:val="left"/>
      <w:pPr>
        <w:ind w:left="2284" w:hanging="360"/>
      </w:pPr>
    </w:lvl>
    <w:lvl w:ilvl="3">
      <w:start w:val="1"/>
      <w:numFmt w:val="bullet"/>
      <w:lvlText w:val="•"/>
      <w:lvlJc w:val="left"/>
      <w:pPr>
        <w:ind w:left="3196" w:hanging="360"/>
      </w:pPr>
    </w:lvl>
    <w:lvl w:ilvl="4">
      <w:start w:val="1"/>
      <w:numFmt w:val="bullet"/>
      <w:lvlText w:val="•"/>
      <w:lvlJc w:val="left"/>
      <w:pPr>
        <w:ind w:left="4108" w:hanging="360"/>
      </w:pPr>
    </w:lvl>
    <w:lvl w:ilvl="5">
      <w:start w:val="1"/>
      <w:numFmt w:val="bullet"/>
      <w:lvlText w:val="•"/>
      <w:lvlJc w:val="left"/>
      <w:pPr>
        <w:ind w:left="5020" w:hanging="360"/>
      </w:pPr>
    </w:lvl>
    <w:lvl w:ilvl="6">
      <w:start w:val="1"/>
      <w:numFmt w:val="bullet"/>
      <w:lvlText w:val="•"/>
      <w:lvlJc w:val="left"/>
      <w:pPr>
        <w:ind w:left="5932" w:hanging="360"/>
      </w:pPr>
    </w:lvl>
    <w:lvl w:ilvl="7">
      <w:start w:val="1"/>
      <w:numFmt w:val="bullet"/>
      <w:lvlText w:val="•"/>
      <w:lvlJc w:val="left"/>
      <w:pPr>
        <w:ind w:left="6844" w:hanging="360"/>
      </w:pPr>
    </w:lvl>
    <w:lvl w:ilvl="8">
      <w:start w:val="1"/>
      <w:numFmt w:val="bullet"/>
      <w:lvlText w:val="•"/>
      <w:lvlJc w:val="left"/>
      <w:pPr>
        <w:ind w:left="7756" w:hanging="360"/>
      </w:pPr>
    </w:lvl>
  </w:abstractNum>
  <w:abstractNum w:abstractNumId="3" w15:restartNumberingAfterBreak="0">
    <w:nsid w:val="736700E8"/>
    <w:multiLevelType w:val="multilevel"/>
    <w:tmpl w:val="E228D138"/>
    <w:lvl w:ilvl="0">
      <w:start w:val="1"/>
      <w:numFmt w:val="decimal"/>
      <w:lvlText w:val="%1."/>
      <w:lvlJc w:val="left"/>
      <w:pPr>
        <w:ind w:left="1000" w:hanging="360"/>
      </w:pPr>
      <w:rPr>
        <w:rFonts w:ascii="Arial" w:eastAsia="Arial" w:hAnsi="Arial" w:cs="Arial"/>
        <w:sz w:val="22"/>
        <w:szCs w:val="22"/>
      </w:rPr>
    </w:lvl>
    <w:lvl w:ilvl="1">
      <w:start w:val="1"/>
      <w:numFmt w:val="bullet"/>
      <w:lvlText w:val="•"/>
      <w:lvlJc w:val="left"/>
      <w:pPr>
        <w:ind w:left="1858" w:hanging="360"/>
      </w:pPr>
    </w:lvl>
    <w:lvl w:ilvl="2">
      <w:start w:val="1"/>
      <w:numFmt w:val="bullet"/>
      <w:lvlText w:val="•"/>
      <w:lvlJc w:val="left"/>
      <w:pPr>
        <w:ind w:left="2716" w:hanging="360"/>
      </w:pPr>
    </w:lvl>
    <w:lvl w:ilvl="3">
      <w:start w:val="1"/>
      <w:numFmt w:val="bullet"/>
      <w:lvlText w:val="•"/>
      <w:lvlJc w:val="left"/>
      <w:pPr>
        <w:ind w:left="3574" w:hanging="360"/>
      </w:pPr>
    </w:lvl>
    <w:lvl w:ilvl="4">
      <w:start w:val="1"/>
      <w:numFmt w:val="bullet"/>
      <w:lvlText w:val="•"/>
      <w:lvlJc w:val="left"/>
      <w:pPr>
        <w:ind w:left="4432" w:hanging="360"/>
      </w:pPr>
    </w:lvl>
    <w:lvl w:ilvl="5">
      <w:start w:val="1"/>
      <w:numFmt w:val="bullet"/>
      <w:lvlText w:val="•"/>
      <w:lvlJc w:val="left"/>
      <w:pPr>
        <w:ind w:left="5290" w:hanging="360"/>
      </w:pPr>
    </w:lvl>
    <w:lvl w:ilvl="6">
      <w:start w:val="1"/>
      <w:numFmt w:val="bullet"/>
      <w:lvlText w:val="•"/>
      <w:lvlJc w:val="left"/>
      <w:pPr>
        <w:ind w:left="6148" w:hanging="360"/>
      </w:pPr>
    </w:lvl>
    <w:lvl w:ilvl="7">
      <w:start w:val="1"/>
      <w:numFmt w:val="bullet"/>
      <w:lvlText w:val="•"/>
      <w:lvlJc w:val="left"/>
      <w:pPr>
        <w:ind w:left="7006" w:hanging="360"/>
      </w:pPr>
    </w:lvl>
    <w:lvl w:ilvl="8">
      <w:start w:val="1"/>
      <w:numFmt w:val="bullet"/>
      <w:lvlText w:val="•"/>
      <w:lvlJc w:val="left"/>
      <w:pPr>
        <w:ind w:left="7864" w:hanging="360"/>
      </w:pPr>
    </w:lvl>
  </w:abstractNum>
  <w:num w:numId="1" w16cid:durableId="746340395">
    <w:abstractNumId w:val="1"/>
  </w:num>
  <w:num w:numId="2" w16cid:durableId="446463783">
    <w:abstractNumId w:val="2"/>
  </w:num>
  <w:num w:numId="3" w16cid:durableId="1481650757">
    <w:abstractNumId w:val="0"/>
  </w:num>
  <w:num w:numId="4" w16cid:durableId="114389187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45C1"/>
    <w:rsid w:val="00024C08"/>
    <w:rsid w:val="0023243C"/>
    <w:rsid w:val="002E2CBA"/>
    <w:rsid w:val="00301A3C"/>
    <w:rsid w:val="004C4E97"/>
    <w:rsid w:val="0054277A"/>
    <w:rsid w:val="00582E46"/>
    <w:rsid w:val="00590B46"/>
    <w:rsid w:val="00625BE9"/>
    <w:rsid w:val="00677E86"/>
    <w:rsid w:val="006F0891"/>
    <w:rsid w:val="007354C0"/>
    <w:rsid w:val="007C1778"/>
    <w:rsid w:val="008053F4"/>
    <w:rsid w:val="008311D0"/>
    <w:rsid w:val="008774AF"/>
    <w:rsid w:val="00974BE8"/>
    <w:rsid w:val="00B0153D"/>
    <w:rsid w:val="00B15A0F"/>
    <w:rsid w:val="00B5103C"/>
    <w:rsid w:val="00C12EE0"/>
    <w:rsid w:val="00C962C2"/>
    <w:rsid w:val="00CA45C1"/>
    <w:rsid w:val="00CD6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ED41C2"/>
  <w15:docId w15:val="{12470E56-8C2F-4DD5-B2E2-820A6C80D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69"/>
      <w:ind w:right="1199"/>
      <w:outlineLvl w:val="0"/>
    </w:pPr>
    <w:rPr>
      <w:b/>
      <w:sz w:val="24"/>
      <w:szCs w:val="24"/>
    </w:rPr>
  </w:style>
  <w:style w:type="paragraph" w:styleId="Heading2">
    <w:name w:val="heading 2"/>
    <w:basedOn w:val="Normal"/>
    <w:next w:val="Normal"/>
    <w:uiPriority w:val="9"/>
    <w:unhideWhenUsed/>
    <w:qFormat/>
    <w:pPr>
      <w:ind w:left="100" w:right="1199"/>
      <w:outlineLvl w:val="1"/>
    </w:pPr>
    <w:rPr>
      <w:b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300"/>
    </w:pPr>
    <w:rPr>
      <w:color w:val="17365D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rPr>
      <w:i/>
      <w:color w:val="4F81BD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324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243C"/>
  </w:style>
  <w:style w:type="paragraph" w:styleId="Footer">
    <w:name w:val="footer"/>
    <w:basedOn w:val="Normal"/>
    <w:link w:val="FooterChar"/>
    <w:uiPriority w:val="99"/>
    <w:unhideWhenUsed/>
    <w:rsid w:val="0023243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24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kl8SP2ainDqO9GLO64vRz1IDDg==">CgMxLjAyCGguZ2pkZ3hzMgloLjMwajB6bGwyCWguMWZvYjl0ZTIJaC4zem55c2g3MgloLjJldDkycDAyCGgudHlqY3d0OAByITFwbGtpV0p4S0R3TnZYWlkyUWhFR1NBakpHamJybnk2aw==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259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Holley</dc:creator>
  <cp:lastModifiedBy>Sherrie Stanley</cp:lastModifiedBy>
  <cp:revision>2</cp:revision>
  <dcterms:created xsi:type="dcterms:W3CDTF">2026-06-02T17:53:00Z</dcterms:created>
  <dcterms:modified xsi:type="dcterms:W3CDTF">2026-06-02T17:53:00Z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2015-01-30T00:00:00Z</vt:lpwstr>
  </property>
  <property fmtid="{D5CDD505-2E9C-101B-9397-08002B2CF9AE}" pid="3" name="Creator">
    <vt:lpwstr>Microsoft® Word 2010</vt:lpwstr>
  </property>
  <property fmtid="{D5CDD505-2E9C-101B-9397-08002B2CF9AE}" pid="4" name="LastSaved">
    <vt:lpwstr>2016-06-27T00:00:00Z</vt:lpwstr>
  </property>
</Properties>
</file>