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CBB3" w14:textId="77777777" w:rsidR="001A2F6B" w:rsidRDefault="00000000">
      <w:pPr>
        <w:ind w:left="242"/>
        <w:rPr>
          <w:rFonts w:ascii="Times New Roman"/>
          <w:sz w:val="20"/>
        </w:rPr>
      </w:pPr>
      <w:permStart w:id="1402084812" w:edGrp="everyone"/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A10B688" wp14:editId="07777777">
                <wp:extent cx="6545580" cy="443865"/>
                <wp:effectExtent l="9525" t="0" r="0" b="380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5580" cy="4438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2F630D" w14:textId="77777777" w:rsidR="001A2F6B" w:rsidRDefault="00000000">
                            <w:pPr>
                              <w:spacing w:before="22" w:line="230" w:lineRule="auto"/>
                              <w:ind w:left="3728" w:hanging="3529"/>
                              <w:rPr>
                                <w:rFonts w:ascii="Arial Black"/>
                                <w:sz w:val="24"/>
                              </w:rPr>
                            </w:pPr>
                            <w:bookmarkStart w:id="0" w:name="2_hours_Continuing_Education_for_Control"/>
                            <w:bookmarkStart w:id="1" w:name="The_Following_are_links_to_ON-LINE_OPTIO"/>
                            <w:bookmarkEnd w:id="0"/>
                            <w:bookmarkEnd w:id="1"/>
                            <w:permStart w:id="1705902832" w:edGrp="everyone"/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>2 hours Continuing</w:t>
                            </w:r>
                            <w:r>
                              <w:rPr>
                                <w:rFonts w:ascii="Arial Black"/>
                                <w:spacing w:val="-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>Education for Controlled</w:t>
                            </w:r>
                            <w:r>
                              <w:rPr>
                                <w:rFonts w:ascii="Arial Black"/>
                                <w:spacing w:val="-1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w w:val="90"/>
                                <w:sz w:val="24"/>
                              </w:rPr>
                              <w:t xml:space="preserve">Substance Prescribing with Tennessee 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>Chronic Pain Guidelines</w:t>
                            </w:r>
                            <w:permEnd w:id="170590283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10B68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15.4pt;height:3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" filled="f" strokeweight=".48pt">
                <v:path arrowok="t"/>
                <v:textbox inset="0,0,0,0">
                  <w:txbxContent>
                    <w:p w14:paraId="4E2F630D" w14:textId="77777777" w:rsidR="001A2F6B" w:rsidRDefault="00000000">
                      <w:pPr>
                        <w:spacing w:before="22" w:line="230" w:lineRule="auto"/>
                        <w:ind w:left="3728" w:hanging="3529"/>
                        <w:rPr>
                          <w:rFonts w:ascii="Arial Black"/>
                          <w:sz w:val="24"/>
                        </w:rPr>
                      </w:pPr>
                      <w:bookmarkStart w:id="2" w:name="2_hours_Continuing_Education_for_Control"/>
                      <w:bookmarkStart w:id="3" w:name="The_Following_are_links_to_ON-LINE_OPTIO"/>
                      <w:bookmarkEnd w:id="2"/>
                      <w:bookmarkEnd w:id="3"/>
                      <w:permStart w:id="1705902832" w:edGrp="everyone"/>
                      <w:r>
                        <w:rPr>
                          <w:rFonts w:ascii="Arial Black"/>
                          <w:w w:val="90"/>
                          <w:sz w:val="24"/>
                        </w:rPr>
                        <w:t>2 hours Continuing</w:t>
                      </w:r>
                      <w:r>
                        <w:rPr>
                          <w:rFonts w:ascii="Arial Black"/>
                          <w:spacing w:val="-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/>
                          <w:w w:val="90"/>
                          <w:sz w:val="24"/>
                        </w:rPr>
                        <w:t>Education for Controlled</w:t>
                      </w:r>
                      <w:r>
                        <w:rPr>
                          <w:rFonts w:ascii="Arial Black"/>
                          <w:spacing w:val="-1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/>
                          <w:w w:val="90"/>
                          <w:sz w:val="24"/>
                        </w:rPr>
                        <w:t xml:space="preserve">Substance Prescribing with Tennessee </w:t>
                      </w:r>
                      <w:r>
                        <w:rPr>
                          <w:rFonts w:ascii="Arial Black"/>
                          <w:sz w:val="24"/>
                        </w:rPr>
                        <w:t>Chronic Pain Guidelines</w:t>
                      </w:r>
                      <w:permEnd w:id="1705902832"/>
                    </w:p>
                  </w:txbxContent>
                </v:textbox>
                <w10:anchorlock/>
              </v:shape>
            </w:pict>
          </mc:Fallback>
        </mc:AlternateContent>
      </w:r>
      <w:permEnd w:id="1402084812"/>
    </w:p>
    <w:p w14:paraId="672A6659" w14:textId="77777777" w:rsidR="001A2F6B" w:rsidRDefault="001A2F6B">
      <w:pPr>
        <w:pStyle w:val="BodyText"/>
        <w:ind w:left="0"/>
        <w:rPr>
          <w:rFonts w:ascii="Times New Roman"/>
        </w:rPr>
      </w:pPr>
    </w:p>
    <w:p w14:paraId="0A37501D" w14:textId="77777777" w:rsidR="001A2F6B" w:rsidRDefault="001A2F6B">
      <w:pPr>
        <w:pStyle w:val="BodyText"/>
        <w:spacing w:before="58"/>
        <w:ind w:left="0"/>
        <w:rPr>
          <w:rFonts w:ascii="Times New Roman"/>
        </w:rPr>
      </w:pPr>
    </w:p>
    <w:p w14:paraId="58ED36D7" w14:textId="77777777" w:rsidR="001A2F6B" w:rsidRDefault="00000000">
      <w:pPr>
        <w:pStyle w:val="BodyText"/>
        <w:spacing w:line="283" w:lineRule="auto"/>
        <w:ind w:left="360" w:right="362" w:hanging="1"/>
      </w:pPr>
      <w:r>
        <w:rPr>
          <w:w w:val="105"/>
        </w:rPr>
        <w:t>All licensees holding a current Tennessee medical license must have documentation of a</w:t>
      </w:r>
      <w:r>
        <w:rPr>
          <w:spacing w:val="40"/>
          <w:w w:val="105"/>
        </w:rPr>
        <w:t xml:space="preserve"> </w:t>
      </w:r>
      <w:r>
        <w:rPr>
          <w:w w:val="105"/>
        </w:rPr>
        <w:t>minimum of (2) contact hours of continuing education designed specifically to address controlled substance prescribing practices.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The continuing</w:t>
      </w:r>
      <w:proofErr w:type="gramEnd"/>
      <w:r>
        <w:rPr>
          <w:w w:val="105"/>
        </w:rPr>
        <w:t xml:space="preserve"> education must include instruction in the Tennessee</w:t>
      </w:r>
      <w:r>
        <w:rPr>
          <w:spacing w:val="-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Health’s</w:t>
      </w:r>
      <w:r>
        <w:rPr>
          <w:spacing w:val="-3"/>
          <w:w w:val="105"/>
        </w:rPr>
        <w:t xml:space="preserve"> </w:t>
      </w:r>
      <w:r>
        <w:rPr>
          <w:w w:val="105"/>
        </w:rPr>
        <w:t>treatment guidelines</w:t>
      </w:r>
      <w:r>
        <w:rPr>
          <w:spacing w:val="-3"/>
          <w:w w:val="105"/>
        </w:rPr>
        <w:t xml:space="preserve"> </w:t>
      </w:r>
      <w:r>
        <w:rPr>
          <w:w w:val="105"/>
        </w:rPr>
        <w:t>on opioids, benzodiazepines, barbiturates and carisoprodol, and may include such other topics as medication addiction or risk management tools.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See </w:t>
      </w:r>
      <w:r>
        <w:rPr>
          <w:rFonts w:ascii="Calibri" w:hAnsi="Calibri"/>
          <w:i/>
          <w:w w:val="105"/>
        </w:rPr>
        <w:t>Rule 0880-02-.19</w:t>
      </w:r>
      <w:r>
        <w:rPr>
          <w:w w:val="105"/>
        </w:rPr>
        <w:t xml:space="preserve">: </w:t>
      </w:r>
      <w:hyperlink r:id="rId5">
        <w:r w:rsidR="001A2F6B">
          <w:rPr>
            <w:color w:val="0000FF"/>
            <w:w w:val="105"/>
            <w:u w:val="single" w:color="0000FF"/>
          </w:rPr>
          <w:t>https://publications.tnsosfiles.com/rules/0880/0880-02.20191023.pdf</w:t>
        </w:r>
      </w:hyperlink>
    </w:p>
    <w:p w14:paraId="228D7F9F" w14:textId="4BB31655" w:rsidR="001A2F6B" w:rsidRDefault="00000000" w:rsidP="6C6F2F36">
      <w:pPr>
        <w:spacing w:before="252"/>
        <w:ind w:left="360"/>
      </w:pPr>
      <w:r w:rsidRPr="6C6F2F36">
        <w:rPr>
          <w:rFonts w:ascii="Arial Black"/>
          <w:color w:val="DF006F"/>
          <w:w w:val="90"/>
          <w:u w:val="single" w:color="DF006F"/>
        </w:rPr>
        <w:t>The</w:t>
      </w:r>
      <w:r w:rsidRPr="6C6F2F36">
        <w:rPr>
          <w:rFonts w:ascii="Arial Black"/>
          <w:color w:val="DF006F"/>
          <w:spacing w:val="-7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Following</w:t>
      </w:r>
      <w:r w:rsidRPr="6C6F2F36">
        <w:rPr>
          <w:rFonts w:ascii="Arial Black"/>
          <w:color w:val="DF006F"/>
          <w:spacing w:val="-2"/>
          <w:w w:val="90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are</w:t>
      </w:r>
      <w:r w:rsidRPr="6C6F2F36">
        <w:rPr>
          <w:rFonts w:ascii="Arial Black"/>
          <w:color w:val="DF006F"/>
          <w:spacing w:val="-2"/>
          <w:w w:val="90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links</w:t>
      </w:r>
      <w:r w:rsidRPr="6C6F2F36">
        <w:rPr>
          <w:rFonts w:ascii="Arial Black"/>
          <w:color w:val="DF006F"/>
          <w:spacing w:val="-3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to</w:t>
      </w:r>
      <w:r w:rsidRPr="6C6F2F36">
        <w:rPr>
          <w:rFonts w:ascii="Arial Black"/>
          <w:color w:val="DF006F"/>
          <w:spacing w:val="-3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ON-LINE</w:t>
      </w:r>
      <w:r w:rsidRPr="6C6F2F36">
        <w:rPr>
          <w:rFonts w:ascii="Arial Black"/>
          <w:color w:val="DF006F"/>
          <w:spacing w:val="-4"/>
          <w:u w:val="single" w:color="DF006F"/>
        </w:rPr>
        <w:t xml:space="preserve"> </w:t>
      </w:r>
      <w:r w:rsidRPr="6C6F2F36">
        <w:rPr>
          <w:rFonts w:ascii="Arial Black"/>
          <w:color w:val="DF006F"/>
          <w:w w:val="90"/>
          <w:u w:val="single" w:color="DF006F"/>
        </w:rPr>
        <w:t>OPTIONS.</w:t>
      </w:r>
      <w:r w:rsidRPr="6C6F2F36">
        <w:rPr>
          <w:rFonts w:ascii="Arial Black"/>
          <w:color w:val="DF006F"/>
          <w:spacing w:val="62"/>
        </w:rPr>
        <w:t xml:space="preserve"> </w:t>
      </w:r>
      <w:r w:rsidRPr="6C6F2F36">
        <w:rPr>
          <w:w w:val="90"/>
        </w:rPr>
        <w:t>(fees</w:t>
      </w:r>
      <w:r w:rsidRPr="6C6F2F36">
        <w:rPr>
          <w:spacing w:val="4"/>
        </w:rPr>
        <w:t xml:space="preserve"> </w:t>
      </w:r>
      <w:r w:rsidRPr="6C6F2F36">
        <w:rPr>
          <w:w w:val="90"/>
        </w:rPr>
        <w:t>may</w:t>
      </w:r>
      <w:r w:rsidRPr="6C6F2F36">
        <w:rPr>
          <w:spacing w:val="4"/>
        </w:rPr>
        <w:t xml:space="preserve"> </w:t>
      </w:r>
      <w:r w:rsidRPr="6C6F2F36">
        <w:rPr>
          <w:spacing w:val="-2"/>
          <w:w w:val="90"/>
        </w:rPr>
        <w:t>apply)</w:t>
      </w:r>
      <w:r>
        <w:br/>
      </w:r>
    </w:p>
    <w:p w14:paraId="5DAB6C7B" w14:textId="77777777" w:rsidR="001A2F6B" w:rsidRDefault="001A2F6B">
      <w:pPr>
        <w:pStyle w:val="BodyText"/>
        <w:spacing w:before="55"/>
        <w:ind w:left="0"/>
      </w:pPr>
    </w:p>
    <w:p w14:paraId="09094992" w14:textId="298B9366" w:rsidR="001A2F6B" w:rsidRDefault="6C6F2F36" w:rsidP="6C6F2F36">
      <w:pPr>
        <w:pStyle w:val="ListParagraph"/>
        <w:numPr>
          <w:ilvl w:val="0"/>
          <w:numId w:val="2"/>
        </w:numPr>
        <w:tabs>
          <w:tab w:val="left" w:pos="1062"/>
          <w:tab w:val="left" w:pos="1080"/>
        </w:tabs>
        <w:spacing w:line="280" w:lineRule="auto"/>
        <w:ind w:right="4854"/>
      </w:pPr>
      <w:hyperlink r:id="rId6">
        <w:r w:rsidRPr="6C6F2F36">
          <w:rPr>
            <w:rStyle w:val="Hyperlink"/>
          </w:rPr>
          <w:t>Tennessee Physician Assistant Association</w:t>
        </w:r>
      </w:hyperlink>
      <w:r w:rsidRPr="6C6F2F36">
        <w:rPr>
          <w:w w:val="105"/>
        </w:rPr>
        <w:t xml:space="preserve"> </w:t>
      </w:r>
    </w:p>
    <w:p w14:paraId="05235192" w14:textId="004C6A0D" w:rsidR="001A2F6B" w:rsidRDefault="6C6F2F36" w:rsidP="6C6F2F36">
      <w:pPr>
        <w:pStyle w:val="ListParagraph"/>
        <w:numPr>
          <w:ilvl w:val="0"/>
          <w:numId w:val="2"/>
        </w:numPr>
        <w:tabs>
          <w:tab w:val="left" w:pos="1062"/>
          <w:tab w:val="left" w:pos="1080"/>
        </w:tabs>
        <w:spacing w:line="280" w:lineRule="auto"/>
        <w:ind w:right="4396"/>
        <w:rPr>
          <w:color w:val="0000FF"/>
          <w:u w:val="single"/>
        </w:rPr>
      </w:pPr>
      <w:hyperlink r:id="rId7">
        <w:r w:rsidRPr="6C6F2F36">
          <w:rPr>
            <w:rStyle w:val="Hyperlink"/>
          </w:rPr>
          <w:t>State Volunteer Mutual Insurance Company (SVMIC)</w:t>
        </w:r>
      </w:hyperlink>
      <w:r w:rsidRPr="6C6F2F36">
        <w:t xml:space="preserve"> </w:t>
      </w:r>
    </w:p>
    <w:p w14:paraId="5A2C92C7" w14:textId="0831B6D4" w:rsidR="001A2F6B" w:rsidRDefault="6C6F2F36" w:rsidP="6C6F2F36">
      <w:pPr>
        <w:pStyle w:val="ListParagraph"/>
        <w:numPr>
          <w:ilvl w:val="0"/>
          <w:numId w:val="2"/>
        </w:numPr>
        <w:tabs>
          <w:tab w:val="left" w:pos="1062"/>
          <w:tab w:val="left" w:pos="1080"/>
        </w:tabs>
        <w:spacing w:line="280" w:lineRule="auto"/>
        <w:ind w:right="3995"/>
        <w:rPr>
          <w:color w:val="0000FF"/>
          <w:u w:val="single"/>
        </w:rPr>
      </w:pPr>
      <w:hyperlink r:id="rId8">
        <w:r w:rsidRPr="6C6F2F36">
          <w:rPr>
            <w:rStyle w:val="Hyperlink"/>
          </w:rPr>
          <w:t>The University of Arizona</w:t>
        </w:r>
      </w:hyperlink>
      <w:r w:rsidRPr="6C6F2F36">
        <w:rPr>
          <w:w w:val="105"/>
        </w:rPr>
        <w:t xml:space="preserve"> </w:t>
      </w:r>
    </w:p>
    <w:p w14:paraId="29D48F73" w14:textId="77777777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line="258" w:lineRule="exact"/>
      </w:pPr>
      <w:hyperlink r:id="rId9">
        <w:r w:rsidRPr="6C6F2F36">
          <w:rPr>
            <w:rStyle w:val="Hyperlink"/>
          </w:rPr>
          <w:t>Tennessee Medical Association</w:t>
        </w:r>
      </w:hyperlink>
    </w:p>
    <w:p w14:paraId="10D7BAEF" w14:textId="602DC69C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10">
        <w:r w:rsidRPr="6C6F2F36">
          <w:rPr>
            <w:rStyle w:val="Hyperlink"/>
          </w:rPr>
          <w:t>DO·CME</w:t>
        </w:r>
      </w:hyperlink>
    </w:p>
    <w:p w14:paraId="17B864F7" w14:textId="2F4C0528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  <w:rPr>
          <w:color w:val="0000FF"/>
          <w:u w:val="single"/>
        </w:rPr>
      </w:pPr>
      <w:hyperlink r:id="rId11">
        <w:r w:rsidRPr="6C6F2F36">
          <w:rPr>
            <w:rStyle w:val="Hyperlink"/>
          </w:rPr>
          <w:t>Ascension Saint Thomas</w:t>
        </w:r>
      </w:hyperlink>
    </w:p>
    <w:p w14:paraId="4690F56F" w14:textId="55F462A9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  <w:rPr>
          <w:color w:val="0000FF"/>
          <w:u w:val="single"/>
        </w:rPr>
      </w:pPr>
      <w:hyperlink r:id="rId12">
        <w:proofErr w:type="spellStart"/>
        <w:r w:rsidRPr="6C6F2F36">
          <w:rPr>
            <w:rStyle w:val="Hyperlink"/>
          </w:rPr>
          <w:t>NetCE</w:t>
        </w:r>
        <w:proofErr w:type="spellEnd"/>
      </w:hyperlink>
      <w:r w:rsidRPr="6C6F2F36">
        <w:rPr>
          <w:spacing w:val="-2"/>
        </w:rPr>
        <w:t xml:space="preserve"> </w:t>
      </w:r>
    </w:p>
    <w:p w14:paraId="602E3A3D" w14:textId="65F23616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13">
        <w:proofErr w:type="spellStart"/>
        <w:r w:rsidRPr="6C6F2F36">
          <w:rPr>
            <w:rStyle w:val="Hyperlink"/>
          </w:rPr>
          <w:t>InforMed</w:t>
        </w:r>
        <w:proofErr w:type="spellEnd"/>
      </w:hyperlink>
      <w:r w:rsidRPr="6C6F2F36">
        <w:rPr>
          <w:spacing w:val="-2"/>
          <w:w w:val="110"/>
        </w:rPr>
        <w:t xml:space="preserve"> </w:t>
      </w:r>
    </w:p>
    <w:p w14:paraId="312F3FB8" w14:textId="45DBC567" w:rsidR="001A2F6B" w:rsidRDefault="6C6F2F36" w:rsidP="6C6F2F36">
      <w:pPr>
        <w:pStyle w:val="ListParagraph"/>
        <w:numPr>
          <w:ilvl w:val="0"/>
          <w:numId w:val="2"/>
        </w:numPr>
        <w:tabs>
          <w:tab w:val="left" w:pos="1080"/>
        </w:tabs>
        <w:spacing w:before="50"/>
      </w:pPr>
      <w:hyperlink r:id="rId14">
        <w:r w:rsidRPr="6C6F2F36">
          <w:rPr>
            <w:rStyle w:val="Hyperlink"/>
          </w:rPr>
          <w:t>Vanderbilt Quiz Time</w:t>
        </w:r>
      </w:hyperlink>
    </w:p>
    <w:p w14:paraId="02EB378F" w14:textId="77777777" w:rsidR="001A2F6B" w:rsidRDefault="001A2F6B">
      <w:pPr>
        <w:pStyle w:val="BodyText"/>
        <w:ind w:left="0"/>
      </w:pPr>
    </w:p>
    <w:p w14:paraId="6A05A809" w14:textId="77777777" w:rsidR="001A2F6B" w:rsidRDefault="001A2F6B">
      <w:pPr>
        <w:pStyle w:val="BodyText"/>
        <w:ind w:left="0"/>
      </w:pPr>
    </w:p>
    <w:p w14:paraId="5A39BBE3" w14:textId="77777777" w:rsidR="001A2F6B" w:rsidRDefault="001A2F6B">
      <w:pPr>
        <w:pStyle w:val="BodyText"/>
        <w:spacing w:before="133"/>
        <w:ind w:left="0"/>
      </w:pPr>
    </w:p>
    <w:p w14:paraId="42C6666F" w14:textId="77777777" w:rsidR="001A2F6B" w:rsidRDefault="00000000">
      <w:pPr>
        <w:pStyle w:val="BodyText"/>
        <w:spacing w:line="283" w:lineRule="auto"/>
        <w:ind w:left="360" w:right="383"/>
      </w:pP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T.C.A.</w:t>
      </w:r>
      <w:r>
        <w:rPr>
          <w:spacing w:val="-15"/>
          <w:w w:val="105"/>
        </w:rPr>
        <w:t xml:space="preserve"> </w:t>
      </w:r>
      <w:r>
        <w:rPr>
          <w:w w:val="105"/>
        </w:rPr>
        <w:t>§</w:t>
      </w:r>
      <w:r>
        <w:rPr>
          <w:spacing w:val="-15"/>
          <w:w w:val="105"/>
        </w:rPr>
        <w:t xml:space="preserve"> </w:t>
      </w:r>
      <w:r>
        <w:rPr>
          <w:w w:val="105"/>
        </w:rPr>
        <w:t>63-1-402(c),</w:t>
      </w:r>
      <w:r>
        <w:rPr>
          <w:spacing w:val="-15"/>
          <w:w w:val="105"/>
        </w:rPr>
        <w:t xml:space="preserve"> </w:t>
      </w:r>
      <w:r>
        <w:rPr>
          <w:w w:val="105"/>
        </w:rPr>
        <w:t>Medical</w:t>
      </w:r>
      <w:r>
        <w:rPr>
          <w:spacing w:val="-15"/>
          <w:w w:val="105"/>
        </w:rPr>
        <w:t xml:space="preserve"> </w:t>
      </w:r>
      <w:r>
        <w:rPr>
          <w:w w:val="105"/>
        </w:rPr>
        <w:t>doctors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osteopathic</w:t>
      </w:r>
      <w:r>
        <w:rPr>
          <w:spacing w:val="-14"/>
          <w:w w:val="105"/>
        </w:rPr>
        <w:t xml:space="preserve"> </w:t>
      </w:r>
      <w:r>
        <w:rPr>
          <w:w w:val="105"/>
        </w:rPr>
        <w:t>physicians</w:t>
      </w:r>
      <w:r>
        <w:rPr>
          <w:spacing w:val="-15"/>
          <w:w w:val="105"/>
        </w:rPr>
        <w:t xml:space="preserve"> </w:t>
      </w:r>
      <w:r>
        <w:rPr>
          <w:w w:val="105"/>
        </w:rPr>
        <w:t>who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board</w:t>
      </w:r>
      <w:r>
        <w:rPr>
          <w:spacing w:val="-16"/>
          <w:w w:val="105"/>
        </w:rPr>
        <w:t xml:space="preserve"> </w:t>
      </w:r>
      <w:r>
        <w:rPr>
          <w:w w:val="105"/>
        </w:rPr>
        <w:t>certified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the American</w:t>
      </w:r>
      <w:r>
        <w:rPr>
          <w:spacing w:val="-9"/>
          <w:w w:val="105"/>
        </w:rPr>
        <w:t xml:space="preserve"> </w:t>
      </w:r>
      <w:r>
        <w:rPr>
          <w:w w:val="105"/>
        </w:rPr>
        <w:t>Board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Specialties</w:t>
      </w:r>
      <w:r>
        <w:rPr>
          <w:spacing w:val="-8"/>
          <w:w w:val="105"/>
        </w:rPr>
        <w:t xml:space="preserve"> </w:t>
      </w:r>
      <w:r>
        <w:rPr>
          <w:w w:val="105"/>
        </w:rPr>
        <w:t>(ABMS),</w:t>
      </w:r>
      <w:r>
        <w:rPr>
          <w:spacing w:val="-10"/>
          <w:w w:val="105"/>
        </w:rPr>
        <w:t xml:space="preserve"> </w:t>
      </w:r>
      <w:r>
        <w:rPr>
          <w:w w:val="105"/>
        </w:rPr>
        <w:t>American</w:t>
      </w:r>
      <w:r>
        <w:rPr>
          <w:spacing w:val="-9"/>
          <w:w w:val="105"/>
        </w:rPr>
        <w:t xml:space="preserve"> </w:t>
      </w:r>
      <w:r>
        <w:rPr>
          <w:w w:val="105"/>
        </w:rPr>
        <w:t>Osteopathic</w:t>
      </w:r>
      <w:r>
        <w:rPr>
          <w:spacing w:val="-11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7"/>
          <w:w w:val="105"/>
        </w:rPr>
        <w:t xml:space="preserve"> </w:t>
      </w:r>
      <w:r>
        <w:rPr>
          <w:w w:val="105"/>
        </w:rPr>
        <w:t>(AOA)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the American Board of Physician Specialties in one (1) or more of the following specialties or subspecialties do not have to complete the two (2) hour controlled substance prescribing </w:t>
      </w:r>
      <w:r>
        <w:rPr>
          <w:spacing w:val="-2"/>
          <w:w w:val="105"/>
        </w:rPr>
        <w:t>course(s):</w:t>
      </w:r>
    </w:p>
    <w:p w14:paraId="51E4C8BE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5"/>
        <w:ind w:hanging="475"/>
        <w:jc w:val="left"/>
      </w:pPr>
      <w:r>
        <w:t>Pain</w:t>
      </w:r>
      <w:r>
        <w:rPr>
          <w:spacing w:val="-2"/>
        </w:rPr>
        <w:t xml:space="preserve"> management;</w:t>
      </w:r>
    </w:p>
    <w:p w14:paraId="1CA59A14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30"/>
        <w:jc w:val="left"/>
      </w:pPr>
      <w:r>
        <w:rPr>
          <w:spacing w:val="-2"/>
          <w:w w:val="105"/>
        </w:rPr>
        <w:t>Anesthesiology;</w:t>
      </w:r>
    </w:p>
    <w:p w14:paraId="28360FF5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86"/>
        <w:jc w:val="left"/>
      </w:pPr>
      <w:r>
        <w:rPr>
          <w:spacing w:val="-2"/>
          <w:w w:val="105"/>
        </w:rPr>
        <w:t>Physical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medicine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rehabilitation;</w:t>
      </w:r>
    </w:p>
    <w:p w14:paraId="17D21994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5"/>
        <w:ind w:hanging="586"/>
        <w:jc w:val="left"/>
      </w:pPr>
      <w:r>
        <w:rPr>
          <w:w w:val="105"/>
        </w:rPr>
        <w:t>Neurology;</w:t>
      </w:r>
      <w:r>
        <w:rPr>
          <w:spacing w:val="-12"/>
          <w:w w:val="105"/>
        </w:rPr>
        <w:t xml:space="preserve"> </w:t>
      </w:r>
      <w:r>
        <w:rPr>
          <w:spacing w:val="-5"/>
          <w:w w:val="110"/>
        </w:rPr>
        <w:t>or</w:t>
      </w:r>
    </w:p>
    <w:p w14:paraId="130190E3" w14:textId="77777777" w:rsidR="001A2F6B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47"/>
        <w:ind w:hanging="528"/>
        <w:jc w:val="left"/>
      </w:pPr>
      <w:r>
        <w:rPr>
          <w:spacing w:val="-2"/>
          <w:w w:val="105"/>
        </w:rPr>
        <w:t>Rheumatology.</w:t>
      </w:r>
    </w:p>
    <w:sectPr w:rsidR="001A2F6B"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BCB75"/>
    <w:multiLevelType w:val="hybridMultilevel"/>
    <w:tmpl w:val="AF34FC10"/>
    <w:lvl w:ilvl="0" w:tplc="9D92585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501A0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0406DD9A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3" w:tplc="21A03EDC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4" w:tplc="DBAAAA3A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127219E4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6" w:tplc="B25C1A18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  <w:lvl w:ilvl="7" w:tplc="7ADE31AC">
      <w:numFmt w:val="bullet"/>
      <w:lvlText w:val="•"/>
      <w:lvlJc w:val="left"/>
      <w:pPr>
        <w:ind w:left="7878" w:hanging="360"/>
      </w:pPr>
      <w:rPr>
        <w:rFonts w:hint="default"/>
        <w:lang w:val="en-US" w:eastAsia="en-US" w:bidi="ar-SA"/>
      </w:rPr>
    </w:lvl>
    <w:lvl w:ilvl="8" w:tplc="D8B8B33C"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1DD51A"/>
    <w:multiLevelType w:val="hybridMultilevel"/>
    <w:tmpl w:val="FF749DBC"/>
    <w:lvl w:ilvl="0" w:tplc="E24658D8">
      <w:start w:val="1"/>
      <w:numFmt w:val="lowerRoman"/>
      <w:lvlText w:val="%1."/>
      <w:lvlJc w:val="left"/>
      <w:pPr>
        <w:ind w:left="1080" w:hanging="47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1" w:tplc="C4E4E366">
      <w:numFmt w:val="bullet"/>
      <w:lvlText w:val="•"/>
      <w:lvlJc w:val="left"/>
      <w:pPr>
        <w:ind w:left="2052" w:hanging="476"/>
      </w:pPr>
      <w:rPr>
        <w:rFonts w:hint="default"/>
        <w:lang w:val="en-US" w:eastAsia="en-US" w:bidi="ar-SA"/>
      </w:rPr>
    </w:lvl>
    <w:lvl w:ilvl="2" w:tplc="74880812">
      <w:numFmt w:val="bullet"/>
      <w:lvlText w:val="•"/>
      <w:lvlJc w:val="left"/>
      <w:pPr>
        <w:ind w:left="3024" w:hanging="476"/>
      </w:pPr>
      <w:rPr>
        <w:rFonts w:hint="default"/>
        <w:lang w:val="en-US" w:eastAsia="en-US" w:bidi="ar-SA"/>
      </w:rPr>
    </w:lvl>
    <w:lvl w:ilvl="3" w:tplc="F26E29E0">
      <w:numFmt w:val="bullet"/>
      <w:lvlText w:val="•"/>
      <w:lvlJc w:val="left"/>
      <w:pPr>
        <w:ind w:left="3996" w:hanging="476"/>
      </w:pPr>
      <w:rPr>
        <w:rFonts w:hint="default"/>
        <w:lang w:val="en-US" w:eastAsia="en-US" w:bidi="ar-SA"/>
      </w:rPr>
    </w:lvl>
    <w:lvl w:ilvl="4" w:tplc="EF0E89A0">
      <w:numFmt w:val="bullet"/>
      <w:lvlText w:val="•"/>
      <w:lvlJc w:val="left"/>
      <w:pPr>
        <w:ind w:left="4968" w:hanging="476"/>
      </w:pPr>
      <w:rPr>
        <w:rFonts w:hint="default"/>
        <w:lang w:val="en-US" w:eastAsia="en-US" w:bidi="ar-SA"/>
      </w:rPr>
    </w:lvl>
    <w:lvl w:ilvl="5" w:tplc="5D1682A2">
      <w:numFmt w:val="bullet"/>
      <w:lvlText w:val="•"/>
      <w:lvlJc w:val="left"/>
      <w:pPr>
        <w:ind w:left="5940" w:hanging="476"/>
      </w:pPr>
      <w:rPr>
        <w:rFonts w:hint="default"/>
        <w:lang w:val="en-US" w:eastAsia="en-US" w:bidi="ar-SA"/>
      </w:rPr>
    </w:lvl>
    <w:lvl w:ilvl="6" w:tplc="289EBE5C">
      <w:numFmt w:val="bullet"/>
      <w:lvlText w:val="•"/>
      <w:lvlJc w:val="left"/>
      <w:pPr>
        <w:ind w:left="6912" w:hanging="476"/>
      </w:pPr>
      <w:rPr>
        <w:rFonts w:hint="default"/>
        <w:lang w:val="en-US" w:eastAsia="en-US" w:bidi="ar-SA"/>
      </w:rPr>
    </w:lvl>
    <w:lvl w:ilvl="7" w:tplc="780E344A">
      <w:numFmt w:val="bullet"/>
      <w:lvlText w:val="•"/>
      <w:lvlJc w:val="left"/>
      <w:pPr>
        <w:ind w:left="7884" w:hanging="476"/>
      </w:pPr>
      <w:rPr>
        <w:rFonts w:hint="default"/>
        <w:lang w:val="en-US" w:eastAsia="en-US" w:bidi="ar-SA"/>
      </w:rPr>
    </w:lvl>
    <w:lvl w:ilvl="8" w:tplc="6D5CE7AE">
      <w:numFmt w:val="bullet"/>
      <w:lvlText w:val="•"/>
      <w:lvlJc w:val="left"/>
      <w:pPr>
        <w:ind w:left="8856" w:hanging="476"/>
      </w:pPr>
      <w:rPr>
        <w:rFonts w:hint="default"/>
        <w:lang w:val="en-US" w:eastAsia="en-US" w:bidi="ar-SA"/>
      </w:rPr>
    </w:lvl>
  </w:abstractNum>
  <w:num w:numId="1" w16cid:durableId="838739614">
    <w:abstractNumId w:val="1"/>
  </w:num>
  <w:num w:numId="2" w16cid:durableId="15812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wmJvttzkK7Q4rZdrPDp+PFVSTCanEqfHn8pdtE0ecWHql+CNS/kCNDUL2I/wnlGKfvnq06OuRmMeOoFl1/oyA==" w:salt="4z+LMDbl5KzrjRd3HftZT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6F2F36"/>
    <w:rsid w:val="000D29AB"/>
    <w:rsid w:val="001A2F6B"/>
    <w:rsid w:val="006E2EE5"/>
    <w:rsid w:val="009D54DB"/>
    <w:rsid w:val="00CC5D93"/>
    <w:rsid w:val="6C6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D440"/>
  <w15:docId w15:val="{90D5C699-E702-4521-A658-9D96CEE4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62"/>
    </w:pPr>
  </w:style>
  <w:style w:type="paragraph" w:styleId="ListParagraph">
    <w:name w:val="List Paragraph"/>
    <w:basedOn w:val="Normal"/>
    <w:uiPriority w:val="1"/>
    <w:qFormat/>
    <w:pPr>
      <w:ind w:left="1080" w:hanging="34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6C6F2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lh.com/shared/courses/all.cfm?stateid=44" TargetMode="External"/><Relationship Id="rId13" Type="http://schemas.openxmlformats.org/officeDocument/2006/relationships/hyperlink" Target="https://www.elitelearning.com/physician/tenness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svmic.com" TargetMode="External"/><Relationship Id="rId12" Type="http://schemas.openxmlformats.org/officeDocument/2006/relationships/hyperlink" Target="https://www.netce.com/learning.php?page=coursedetails;courseid=18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npa.mclms.net/en/package/12323/view" TargetMode="External"/><Relationship Id="rId11" Type="http://schemas.openxmlformats.org/officeDocument/2006/relationships/hyperlink" Target="https://ast.cloud-cme.com/course/courseoverview?P=0&amp;EID=14780" TargetMode="External"/><Relationship Id="rId5" Type="http://schemas.openxmlformats.org/officeDocument/2006/relationships/hyperlink" Target="https://publications.tnsosfiles.com/rules/0880/0880-02.20191023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docm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e.tnmed.org/catalog/product.xhtml;jsessionid=0df32729123912ca3b2a114752d6?eid=69995" TargetMode="External"/><Relationship Id="rId14" Type="http://schemas.openxmlformats.org/officeDocument/2006/relationships/hyperlink" Target="https://catalog.quiztimehealth.com/catalog/tennessee-state-opioid-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8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Prescribing BME</dc:title>
  <dc:creator>Teresa Phillips</dc:creator>
  <cp:keywords>continuing education</cp:keywords>
  <cp:lastModifiedBy>Brandi Allocco</cp:lastModifiedBy>
  <cp:revision>3</cp:revision>
  <dcterms:created xsi:type="dcterms:W3CDTF">2026-08-25T17:18:00Z</dcterms:created>
  <dcterms:modified xsi:type="dcterms:W3CDTF">2026-08-25T17:23:00Z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2026-08-25T00:00:00Z</vt:filetime>
  </property>
  <property fmtid="{D5CDD505-2E9C-101B-9397-08002B2CF9AE}" pid="5" name="NCCL_App">
    <vt:lpwstr>PDF</vt:lpwstr>
  </property>
  <property fmtid="{D5CDD505-2E9C-101B-9397-08002B2CF9AE}" pid="6" name="NCCL_Standard">
    <vt:lpwstr>PDF/UA;WCAG 2.0 AA;WCAG 2.1 AA;</vt:lpwstr>
  </property>
  <property fmtid="{D5CDD505-2E9C-101B-9397-08002B2CF9AE}" pid="7" name="NCCL_Status">
    <vt:lpwstr>Passed</vt:lpwstr>
  </property>
  <property fmtid="{D5CDD505-2E9C-101B-9397-08002B2CF9AE}" pid="8" name="Producer">
    <vt:lpwstr>Microsoft® Word for Microsoft 365</vt:lpwstr>
  </property>
</Properties>
</file>