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FA24" w14:textId="77777777" w:rsidR="00050150" w:rsidRPr="00E90874" w:rsidRDefault="00050150" w:rsidP="00050150">
      <w:pPr>
        <w:spacing w:after="0"/>
        <w:jc w:val="center"/>
        <w:rPr>
          <w:sz w:val="22"/>
          <w:szCs w:val="22"/>
        </w:rPr>
      </w:pPr>
      <w:r w:rsidRPr="00E90874">
        <w:rPr>
          <w:sz w:val="22"/>
          <w:szCs w:val="22"/>
        </w:rPr>
        <w:t>TENNESSEE BOARD OF PHARMACY</w:t>
      </w:r>
    </w:p>
    <w:p w14:paraId="17100DA0" w14:textId="77777777" w:rsidR="00050150" w:rsidRPr="00E90874" w:rsidRDefault="00050150" w:rsidP="00050150">
      <w:pPr>
        <w:spacing w:after="0"/>
        <w:jc w:val="center"/>
        <w:rPr>
          <w:sz w:val="22"/>
          <w:szCs w:val="22"/>
        </w:rPr>
      </w:pPr>
      <w:r w:rsidRPr="00E90874">
        <w:rPr>
          <w:sz w:val="22"/>
          <w:szCs w:val="22"/>
        </w:rPr>
        <w:t>665 Mainstream Dr</w:t>
      </w:r>
    </w:p>
    <w:p w14:paraId="5DE75EBB" w14:textId="77777777" w:rsidR="00050150" w:rsidRPr="00E90874" w:rsidRDefault="00050150" w:rsidP="00050150">
      <w:pPr>
        <w:spacing w:after="0"/>
        <w:jc w:val="center"/>
        <w:rPr>
          <w:sz w:val="22"/>
          <w:szCs w:val="22"/>
        </w:rPr>
      </w:pPr>
      <w:r w:rsidRPr="00E90874">
        <w:rPr>
          <w:sz w:val="22"/>
          <w:szCs w:val="22"/>
        </w:rPr>
        <w:t xml:space="preserve">Nashville, TN </w:t>
      </w:r>
    </w:p>
    <w:p w14:paraId="102A2133" w14:textId="77777777" w:rsidR="00050150" w:rsidRPr="00E90874" w:rsidRDefault="00050150" w:rsidP="00050150">
      <w:pPr>
        <w:spacing w:after="0"/>
        <w:jc w:val="center"/>
        <w:rPr>
          <w:sz w:val="22"/>
          <w:szCs w:val="22"/>
        </w:rPr>
      </w:pPr>
    </w:p>
    <w:p w14:paraId="3B485F45" w14:textId="77777777" w:rsidR="00050150" w:rsidRPr="00E90874" w:rsidRDefault="00050150" w:rsidP="00050150">
      <w:pPr>
        <w:spacing w:after="0"/>
        <w:rPr>
          <w:b/>
          <w:bCs/>
          <w:sz w:val="22"/>
          <w:szCs w:val="22"/>
        </w:rPr>
      </w:pPr>
      <w:r w:rsidRPr="00E90874">
        <w:rPr>
          <w:b/>
          <w:bCs/>
          <w:sz w:val="22"/>
          <w:szCs w:val="22"/>
        </w:rPr>
        <w:t>BOARD MEMBERS PRESENT</w:t>
      </w:r>
      <w:r w:rsidRPr="00E90874">
        <w:rPr>
          <w:b/>
          <w:bCs/>
          <w:sz w:val="22"/>
          <w:szCs w:val="22"/>
        </w:rPr>
        <w:tab/>
      </w:r>
      <w:r w:rsidRPr="00E90874">
        <w:rPr>
          <w:b/>
          <w:bCs/>
          <w:sz w:val="22"/>
          <w:szCs w:val="22"/>
        </w:rPr>
        <w:tab/>
      </w:r>
      <w:r w:rsidRPr="00E90874">
        <w:rPr>
          <w:b/>
          <w:bCs/>
          <w:sz w:val="22"/>
          <w:szCs w:val="22"/>
        </w:rPr>
        <w:tab/>
      </w:r>
      <w:r w:rsidRPr="00E90874">
        <w:rPr>
          <w:b/>
          <w:bCs/>
          <w:sz w:val="22"/>
          <w:szCs w:val="22"/>
        </w:rPr>
        <w:tab/>
      </w:r>
      <w:r>
        <w:rPr>
          <w:b/>
          <w:bCs/>
          <w:sz w:val="22"/>
          <w:szCs w:val="22"/>
        </w:rPr>
        <w:t xml:space="preserve"> </w:t>
      </w:r>
      <w:r>
        <w:rPr>
          <w:b/>
          <w:bCs/>
          <w:sz w:val="22"/>
          <w:szCs w:val="22"/>
        </w:rPr>
        <w:tab/>
        <w:t xml:space="preserve">   </w:t>
      </w:r>
      <w:r w:rsidRPr="00E90874">
        <w:rPr>
          <w:b/>
          <w:bCs/>
          <w:sz w:val="22"/>
          <w:szCs w:val="22"/>
        </w:rPr>
        <w:t>STAFF PRESENT</w:t>
      </w:r>
    </w:p>
    <w:p w14:paraId="627BA751" w14:textId="00CED8D6" w:rsidR="00050150" w:rsidRPr="00E90874" w:rsidRDefault="00BA5D64" w:rsidP="00050150">
      <w:pPr>
        <w:spacing w:after="0"/>
        <w:rPr>
          <w:sz w:val="22"/>
          <w:szCs w:val="22"/>
        </w:rPr>
      </w:pPr>
      <w:r>
        <w:rPr>
          <w:sz w:val="22"/>
          <w:szCs w:val="22"/>
        </w:rPr>
        <w:t>Marlin Blane</w:t>
      </w:r>
      <w:r w:rsidR="00050150" w:rsidRPr="00E90874">
        <w:rPr>
          <w:sz w:val="22"/>
          <w:szCs w:val="22"/>
        </w:rPr>
        <w:t>, Pharmacist, President</w:t>
      </w:r>
      <w:r w:rsidR="00050150" w:rsidRPr="00E90874">
        <w:rPr>
          <w:sz w:val="22"/>
          <w:szCs w:val="22"/>
        </w:rPr>
        <w:tab/>
        <w:t xml:space="preserve"> </w:t>
      </w:r>
      <w:r w:rsidR="00050150">
        <w:rPr>
          <w:sz w:val="22"/>
          <w:szCs w:val="22"/>
        </w:rPr>
        <w:tab/>
      </w:r>
      <w:r>
        <w:rPr>
          <w:sz w:val="22"/>
          <w:szCs w:val="22"/>
        </w:rPr>
        <w:tab/>
      </w:r>
      <w:r w:rsidR="00050150" w:rsidRPr="00E90874">
        <w:rPr>
          <w:sz w:val="22"/>
          <w:szCs w:val="22"/>
        </w:rPr>
        <w:t>Lucy Shell, Executive Director</w:t>
      </w:r>
    </w:p>
    <w:p w14:paraId="3CCEB2AE" w14:textId="1F7C1EC3" w:rsidR="00050150" w:rsidRPr="00E90874" w:rsidRDefault="00BA5D64" w:rsidP="00050150">
      <w:pPr>
        <w:spacing w:after="0"/>
        <w:rPr>
          <w:sz w:val="22"/>
          <w:szCs w:val="22"/>
        </w:rPr>
      </w:pPr>
      <w:r>
        <w:rPr>
          <w:sz w:val="22"/>
          <w:szCs w:val="22"/>
        </w:rPr>
        <w:t>Rebecca Leinart, Pharmacist, Vice President</w:t>
      </w:r>
      <w:r w:rsidR="00050150" w:rsidRPr="00E90874">
        <w:rPr>
          <w:sz w:val="22"/>
          <w:szCs w:val="22"/>
        </w:rPr>
        <w:tab/>
      </w:r>
      <w:r w:rsidR="00050150" w:rsidRPr="00E90874">
        <w:rPr>
          <w:sz w:val="22"/>
          <w:szCs w:val="22"/>
        </w:rPr>
        <w:tab/>
      </w:r>
      <w:r w:rsidR="00050150">
        <w:rPr>
          <w:sz w:val="22"/>
          <w:szCs w:val="22"/>
        </w:rPr>
        <w:t>Justin Harleman</w:t>
      </w:r>
      <w:r w:rsidR="00050150" w:rsidRPr="00E90874">
        <w:rPr>
          <w:sz w:val="22"/>
          <w:szCs w:val="22"/>
        </w:rPr>
        <w:t>, Deputy General Counsel</w:t>
      </w:r>
    </w:p>
    <w:p w14:paraId="60A99866" w14:textId="77777777" w:rsidR="00050150" w:rsidRPr="00E90874" w:rsidRDefault="00050150" w:rsidP="00050150">
      <w:pPr>
        <w:spacing w:after="0"/>
        <w:rPr>
          <w:sz w:val="22"/>
          <w:szCs w:val="22"/>
        </w:rPr>
      </w:pPr>
      <w:r w:rsidRPr="00E90874">
        <w:rPr>
          <w:sz w:val="22"/>
          <w:szCs w:val="22"/>
        </w:rPr>
        <w:t>M. Kyle Phillips, Pharmacist</w:t>
      </w:r>
      <w:r w:rsidRPr="00E90874">
        <w:rPr>
          <w:sz w:val="22"/>
          <w:szCs w:val="22"/>
        </w:rPr>
        <w:tab/>
      </w:r>
      <w:r w:rsidRPr="00E90874">
        <w:rPr>
          <w:sz w:val="22"/>
          <w:szCs w:val="22"/>
        </w:rPr>
        <w:tab/>
      </w:r>
      <w:r w:rsidRPr="00E90874">
        <w:rPr>
          <w:sz w:val="22"/>
          <w:szCs w:val="22"/>
        </w:rPr>
        <w:tab/>
      </w:r>
      <w:r>
        <w:rPr>
          <w:sz w:val="22"/>
          <w:szCs w:val="22"/>
        </w:rPr>
        <w:tab/>
      </w:r>
      <w:r w:rsidRPr="00E90874">
        <w:rPr>
          <w:sz w:val="22"/>
          <w:szCs w:val="22"/>
        </w:rPr>
        <w:t>Taylor Ashton, Pharmacist Investigator</w:t>
      </w:r>
    </w:p>
    <w:p w14:paraId="01E0C906" w14:textId="77777777" w:rsidR="00BA5D64" w:rsidRPr="00E90874" w:rsidRDefault="00BA5D64" w:rsidP="00BA5D64">
      <w:pPr>
        <w:spacing w:after="0"/>
        <w:rPr>
          <w:sz w:val="22"/>
          <w:szCs w:val="22"/>
        </w:rPr>
      </w:pPr>
      <w:r>
        <w:rPr>
          <w:sz w:val="22"/>
          <w:szCs w:val="22"/>
        </w:rPr>
        <w:t>Melissa Boruff</w:t>
      </w:r>
      <w:r w:rsidR="00050150" w:rsidRPr="00E90874">
        <w:rPr>
          <w:sz w:val="22"/>
          <w:szCs w:val="22"/>
        </w:rPr>
        <w:t>, Pharmacist</w:t>
      </w:r>
      <w:r w:rsidR="00050150" w:rsidRPr="00E90874">
        <w:rPr>
          <w:sz w:val="22"/>
          <w:szCs w:val="22"/>
        </w:rPr>
        <w:tab/>
      </w:r>
      <w:r w:rsidR="00050150" w:rsidRPr="00E90874">
        <w:rPr>
          <w:sz w:val="22"/>
          <w:szCs w:val="22"/>
        </w:rPr>
        <w:tab/>
      </w:r>
      <w:r w:rsidR="00050150">
        <w:rPr>
          <w:sz w:val="22"/>
          <w:szCs w:val="22"/>
        </w:rPr>
        <w:tab/>
      </w:r>
      <w:r w:rsidR="00050150">
        <w:rPr>
          <w:sz w:val="22"/>
          <w:szCs w:val="22"/>
        </w:rPr>
        <w:tab/>
      </w:r>
      <w:r w:rsidRPr="00E90874">
        <w:rPr>
          <w:sz w:val="22"/>
          <w:szCs w:val="22"/>
        </w:rPr>
        <w:t>Shannon Kelly, Pharmacist Investigator</w:t>
      </w:r>
    </w:p>
    <w:p w14:paraId="278C9272" w14:textId="68A55B03" w:rsidR="00BA5D64" w:rsidRDefault="00BA5D64" w:rsidP="00BA5D64">
      <w:pPr>
        <w:spacing w:after="0"/>
        <w:rPr>
          <w:sz w:val="22"/>
          <w:szCs w:val="22"/>
        </w:rPr>
      </w:pPr>
      <w:r w:rsidRPr="00E90874">
        <w:rPr>
          <w:sz w:val="22"/>
          <w:szCs w:val="22"/>
        </w:rPr>
        <w:t>David Brown, Pharmacist</w:t>
      </w:r>
      <w:r w:rsidRPr="00E90874">
        <w:rPr>
          <w:sz w:val="22"/>
          <w:szCs w:val="22"/>
        </w:rPr>
        <w:tab/>
      </w:r>
      <w:r w:rsidRPr="00E90874">
        <w:rPr>
          <w:sz w:val="22"/>
          <w:szCs w:val="22"/>
        </w:rPr>
        <w:tab/>
      </w:r>
      <w:r>
        <w:rPr>
          <w:sz w:val="22"/>
          <w:szCs w:val="22"/>
        </w:rPr>
        <w:tab/>
      </w:r>
      <w:r>
        <w:rPr>
          <w:sz w:val="22"/>
          <w:szCs w:val="22"/>
        </w:rPr>
        <w:tab/>
      </w:r>
      <w:r w:rsidRPr="00E90874">
        <w:rPr>
          <w:sz w:val="22"/>
          <w:szCs w:val="22"/>
        </w:rPr>
        <w:t>Patricia Beckham, Pharmacist Investigato</w:t>
      </w:r>
      <w:r>
        <w:rPr>
          <w:sz w:val="22"/>
          <w:szCs w:val="22"/>
        </w:rPr>
        <w:t>r</w:t>
      </w:r>
    </w:p>
    <w:p w14:paraId="6548EBA0" w14:textId="77777777" w:rsidR="00BA5D64" w:rsidRPr="00E90874" w:rsidRDefault="00BA5D64" w:rsidP="00BA5D64">
      <w:pPr>
        <w:spacing w:after="0"/>
        <w:rPr>
          <w:sz w:val="22"/>
          <w:szCs w:val="22"/>
        </w:rPr>
      </w:pPr>
      <w:r w:rsidRPr="00E90874">
        <w:rPr>
          <w:sz w:val="22"/>
          <w:szCs w:val="22"/>
        </w:rPr>
        <w:t>Brooke Mills, Pharmacist</w:t>
      </w:r>
      <w:r>
        <w:rPr>
          <w:sz w:val="22"/>
          <w:szCs w:val="22"/>
        </w:rPr>
        <w:tab/>
      </w:r>
      <w:r>
        <w:rPr>
          <w:sz w:val="22"/>
          <w:szCs w:val="22"/>
        </w:rPr>
        <w:tab/>
      </w:r>
      <w:r>
        <w:rPr>
          <w:sz w:val="22"/>
          <w:szCs w:val="22"/>
        </w:rPr>
        <w:tab/>
      </w:r>
      <w:r>
        <w:rPr>
          <w:sz w:val="22"/>
          <w:szCs w:val="22"/>
        </w:rPr>
        <w:tab/>
      </w:r>
      <w:r w:rsidRPr="00E90874">
        <w:rPr>
          <w:sz w:val="22"/>
          <w:szCs w:val="22"/>
        </w:rPr>
        <w:t>Scott Denaburg, Pharmacist Investigator</w:t>
      </w:r>
    </w:p>
    <w:p w14:paraId="2427311D" w14:textId="0C87BC07" w:rsidR="00050150" w:rsidRPr="00E90874" w:rsidRDefault="00BA5D64" w:rsidP="00050150">
      <w:pPr>
        <w:spacing w:after="0"/>
        <w:rPr>
          <w:sz w:val="22"/>
          <w:szCs w:val="22"/>
        </w:rPr>
      </w:pPr>
      <w:r w:rsidRPr="00E90874">
        <w:rPr>
          <w:sz w:val="22"/>
          <w:szCs w:val="22"/>
        </w:rPr>
        <w:t>David Brown</w:t>
      </w:r>
      <w:r w:rsidR="00050150" w:rsidRPr="00E90874">
        <w:rPr>
          <w:sz w:val="22"/>
          <w:szCs w:val="22"/>
        </w:rPr>
        <w:t>, Pharmacist</w:t>
      </w:r>
      <w:r w:rsidR="00050150" w:rsidRPr="00E90874">
        <w:rPr>
          <w:sz w:val="22"/>
          <w:szCs w:val="22"/>
        </w:rPr>
        <w:tab/>
      </w:r>
      <w:r w:rsidR="00050150" w:rsidRPr="00E90874">
        <w:rPr>
          <w:sz w:val="22"/>
          <w:szCs w:val="22"/>
        </w:rPr>
        <w:tab/>
      </w:r>
      <w:r w:rsidR="00050150">
        <w:rPr>
          <w:sz w:val="22"/>
          <w:szCs w:val="22"/>
        </w:rPr>
        <w:tab/>
      </w:r>
      <w:r w:rsidR="00050150">
        <w:rPr>
          <w:sz w:val="22"/>
          <w:szCs w:val="22"/>
        </w:rPr>
        <w:tab/>
      </w:r>
      <w:r w:rsidRPr="00E90874">
        <w:rPr>
          <w:sz w:val="22"/>
          <w:szCs w:val="22"/>
        </w:rPr>
        <w:t>Andrea Miller, Pharmacist Investigator</w:t>
      </w:r>
    </w:p>
    <w:p w14:paraId="0E93FA82" w14:textId="24435C87" w:rsidR="00050150" w:rsidRPr="00E90874" w:rsidRDefault="00BA5D64" w:rsidP="00050150">
      <w:pPr>
        <w:spacing w:after="0"/>
        <w:rPr>
          <w:sz w:val="22"/>
          <w:szCs w:val="22"/>
        </w:rPr>
      </w:pPr>
      <w:r w:rsidRPr="00E90874">
        <w:rPr>
          <w:sz w:val="22"/>
          <w:szCs w:val="22"/>
        </w:rPr>
        <w:t>Brooke Mills</w:t>
      </w:r>
      <w:r w:rsidR="00050150" w:rsidRPr="00E90874">
        <w:rPr>
          <w:sz w:val="22"/>
          <w:szCs w:val="22"/>
        </w:rPr>
        <w:t>, Pharmacist</w:t>
      </w:r>
      <w:r w:rsidR="00050150" w:rsidRPr="00E90874">
        <w:rPr>
          <w:sz w:val="22"/>
          <w:szCs w:val="22"/>
        </w:rPr>
        <w:tab/>
      </w:r>
      <w:r w:rsidR="00050150" w:rsidRPr="00E90874">
        <w:rPr>
          <w:sz w:val="22"/>
          <w:szCs w:val="22"/>
        </w:rPr>
        <w:tab/>
      </w:r>
      <w:r w:rsidR="00050150" w:rsidRPr="00E90874">
        <w:rPr>
          <w:sz w:val="22"/>
          <w:szCs w:val="22"/>
        </w:rPr>
        <w:tab/>
      </w:r>
      <w:r w:rsidR="00050150">
        <w:rPr>
          <w:sz w:val="22"/>
          <w:szCs w:val="22"/>
        </w:rPr>
        <w:tab/>
      </w:r>
      <w:r w:rsidRPr="00E90874">
        <w:rPr>
          <w:sz w:val="22"/>
          <w:szCs w:val="22"/>
        </w:rPr>
        <w:t>Albert Hill, Pharmacist Investigator</w:t>
      </w:r>
    </w:p>
    <w:p w14:paraId="0010BD2B" w14:textId="65B70B21" w:rsidR="00050150" w:rsidRDefault="00BA5D64" w:rsidP="00050150">
      <w:pPr>
        <w:spacing w:after="0"/>
        <w:rPr>
          <w:sz w:val="22"/>
          <w:szCs w:val="22"/>
        </w:rPr>
      </w:pPr>
      <w:r w:rsidRPr="00E90874">
        <w:rPr>
          <w:sz w:val="22"/>
          <w:szCs w:val="22"/>
        </w:rPr>
        <w:t>Nichole Foster, Pharmacy Technician</w:t>
      </w:r>
      <w:r w:rsidR="00050150" w:rsidRPr="00E90874">
        <w:rPr>
          <w:sz w:val="22"/>
          <w:szCs w:val="22"/>
        </w:rPr>
        <w:tab/>
      </w:r>
      <w:r w:rsidR="00050150" w:rsidRPr="00E90874">
        <w:rPr>
          <w:sz w:val="22"/>
          <w:szCs w:val="22"/>
        </w:rPr>
        <w:tab/>
      </w:r>
      <w:r w:rsidR="00050150" w:rsidRPr="00E90874">
        <w:rPr>
          <w:sz w:val="22"/>
          <w:szCs w:val="22"/>
        </w:rPr>
        <w:tab/>
      </w:r>
      <w:r>
        <w:rPr>
          <w:sz w:val="22"/>
          <w:szCs w:val="22"/>
        </w:rPr>
        <w:t>Derek Johnston, Pharmacist Investigator</w:t>
      </w:r>
    </w:p>
    <w:p w14:paraId="32A69879" w14:textId="5B2D5865" w:rsidR="00050150" w:rsidRPr="00E90874" w:rsidRDefault="00BA5D64" w:rsidP="00050150">
      <w:pPr>
        <w:spacing w:after="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050150">
        <w:rPr>
          <w:sz w:val="22"/>
          <w:szCs w:val="22"/>
        </w:rPr>
        <w:t>Sheila Bush, Administrative Director</w:t>
      </w:r>
    </w:p>
    <w:p w14:paraId="3C34361F" w14:textId="77777777" w:rsidR="00050150" w:rsidRPr="00E90874" w:rsidRDefault="00050150" w:rsidP="00050150">
      <w:pPr>
        <w:spacing w:after="0"/>
        <w:rPr>
          <w:sz w:val="22"/>
          <w:szCs w:val="22"/>
        </w:rPr>
      </w:pPr>
    </w:p>
    <w:p w14:paraId="3A0D06C6" w14:textId="51CAF306" w:rsidR="00050150" w:rsidRPr="00E90874" w:rsidRDefault="00BA5D64" w:rsidP="00050150">
      <w:pPr>
        <w:spacing w:after="0"/>
        <w:rPr>
          <w:b/>
          <w:bCs/>
          <w:sz w:val="22"/>
          <w:szCs w:val="22"/>
        </w:rPr>
      </w:pPr>
      <w:r w:rsidRPr="00BA5D64">
        <w:rPr>
          <w:b/>
          <w:bCs/>
          <w:sz w:val="22"/>
          <w:szCs w:val="22"/>
        </w:rPr>
        <w:t>BOARD MEMBER ABSENT</w:t>
      </w:r>
      <w:r>
        <w:rPr>
          <w:sz w:val="22"/>
          <w:szCs w:val="22"/>
        </w:rPr>
        <w:tab/>
      </w:r>
      <w:r>
        <w:rPr>
          <w:sz w:val="22"/>
          <w:szCs w:val="22"/>
        </w:rPr>
        <w:tab/>
      </w:r>
      <w:r>
        <w:rPr>
          <w:sz w:val="22"/>
          <w:szCs w:val="22"/>
        </w:rPr>
        <w:tab/>
      </w:r>
      <w:r w:rsidR="00050150" w:rsidRPr="00E90874">
        <w:rPr>
          <w:sz w:val="22"/>
          <w:szCs w:val="22"/>
        </w:rPr>
        <w:tab/>
      </w:r>
      <w:r w:rsidR="00050150">
        <w:rPr>
          <w:sz w:val="22"/>
          <w:szCs w:val="22"/>
        </w:rPr>
        <w:t xml:space="preserve">   </w:t>
      </w:r>
      <w:r w:rsidR="00050150" w:rsidRPr="00E90874">
        <w:rPr>
          <w:b/>
          <w:bCs/>
          <w:sz w:val="22"/>
          <w:szCs w:val="22"/>
        </w:rPr>
        <w:t>STAFF ABSENT</w:t>
      </w:r>
    </w:p>
    <w:p w14:paraId="20C9A6A9" w14:textId="077F8AA2" w:rsidR="00050150" w:rsidRDefault="00BA5D64" w:rsidP="00050150">
      <w:pPr>
        <w:spacing w:after="0"/>
        <w:rPr>
          <w:sz w:val="22"/>
          <w:szCs w:val="22"/>
        </w:rPr>
      </w:pPr>
      <w:r w:rsidRPr="00E90874">
        <w:rPr>
          <w:sz w:val="22"/>
          <w:szCs w:val="22"/>
        </w:rPr>
        <w:t>Jake Bynum, Consumer Member</w:t>
      </w:r>
      <w:r>
        <w:rPr>
          <w:sz w:val="22"/>
          <w:szCs w:val="22"/>
        </w:rPr>
        <w:t xml:space="preserve"> </w:t>
      </w:r>
      <w:r>
        <w:rPr>
          <w:sz w:val="22"/>
          <w:szCs w:val="22"/>
        </w:rPr>
        <w:tab/>
      </w:r>
      <w:r>
        <w:rPr>
          <w:sz w:val="22"/>
          <w:szCs w:val="22"/>
        </w:rPr>
        <w:tab/>
      </w:r>
      <w:r>
        <w:rPr>
          <w:sz w:val="22"/>
          <w:szCs w:val="22"/>
        </w:rPr>
        <w:tab/>
        <w:t>Rita Golden</w:t>
      </w:r>
      <w:r w:rsidR="00050150" w:rsidRPr="00E90874">
        <w:rPr>
          <w:sz w:val="22"/>
          <w:szCs w:val="22"/>
        </w:rPr>
        <w:t>, Pharmacist Investigator</w:t>
      </w:r>
    </w:p>
    <w:p w14:paraId="5D4DCA92" w14:textId="3D70FCA1" w:rsidR="00BA5D64" w:rsidRPr="00E90874" w:rsidRDefault="00BA5D64" w:rsidP="00050150">
      <w:pPr>
        <w:spacing w:after="0"/>
        <w:rPr>
          <w:sz w:val="22"/>
          <w:szCs w:val="22"/>
        </w:rPr>
      </w:pPr>
      <w:r>
        <w:rPr>
          <w:sz w:val="22"/>
          <w:szCs w:val="22"/>
        </w:rPr>
        <w:t xml:space="preserve">Shanea McKinney, Pharmacist </w:t>
      </w:r>
      <w:r>
        <w:rPr>
          <w:sz w:val="22"/>
          <w:szCs w:val="22"/>
        </w:rPr>
        <w:tab/>
      </w:r>
      <w:r>
        <w:rPr>
          <w:sz w:val="22"/>
          <w:szCs w:val="22"/>
        </w:rPr>
        <w:tab/>
      </w:r>
      <w:r>
        <w:rPr>
          <w:sz w:val="22"/>
          <w:szCs w:val="22"/>
        </w:rPr>
        <w:tab/>
        <w:t>Kenneth Dyer, Pharmacist Investigator</w:t>
      </w:r>
    </w:p>
    <w:p w14:paraId="730B54DE" w14:textId="77777777" w:rsidR="00050150" w:rsidRPr="00E90874" w:rsidRDefault="00050150" w:rsidP="00050150">
      <w:pPr>
        <w:spacing w:after="0"/>
        <w:rPr>
          <w:sz w:val="22"/>
          <w:szCs w:val="22"/>
        </w:rPr>
      </w:pPr>
      <w:r w:rsidRPr="00E90874">
        <w:rPr>
          <w:sz w:val="22"/>
          <w:szCs w:val="22"/>
        </w:rPr>
        <w:tab/>
      </w:r>
      <w:r w:rsidRPr="00E90874">
        <w:rPr>
          <w:sz w:val="22"/>
          <w:szCs w:val="22"/>
        </w:rPr>
        <w:tab/>
      </w:r>
      <w:r w:rsidRPr="00E90874">
        <w:rPr>
          <w:sz w:val="22"/>
          <w:szCs w:val="22"/>
        </w:rPr>
        <w:tab/>
      </w:r>
      <w:r w:rsidRPr="00E90874">
        <w:rPr>
          <w:sz w:val="22"/>
          <w:szCs w:val="22"/>
        </w:rPr>
        <w:tab/>
      </w:r>
      <w:r w:rsidRPr="00E90874">
        <w:rPr>
          <w:sz w:val="22"/>
          <w:szCs w:val="22"/>
        </w:rPr>
        <w:tab/>
      </w:r>
      <w:r w:rsidRPr="00E90874">
        <w:rPr>
          <w:sz w:val="22"/>
          <w:szCs w:val="22"/>
        </w:rPr>
        <w:tab/>
      </w:r>
      <w:r>
        <w:rPr>
          <w:sz w:val="22"/>
          <w:szCs w:val="22"/>
        </w:rPr>
        <w:tab/>
      </w:r>
    </w:p>
    <w:p w14:paraId="14C3C0B0" w14:textId="77777777" w:rsidR="00050150" w:rsidRDefault="00050150" w:rsidP="00050150">
      <w:pPr>
        <w:spacing w:after="0"/>
      </w:pPr>
    </w:p>
    <w:p w14:paraId="34C3D31D" w14:textId="38149BA5" w:rsidR="00050150" w:rsidRDefault="00050150" w:rsidP="00050150">
      <w:pPr>
        <w:spacing w:after="0"/>
        <w:rPr>
          <w:sz w:val="22"/>
          <w:szCs w:val="22"/>
        </w:rPr>
      </w:pPr>
      <w:r w:rsidRPr="006171D8">
        <w:rPr>
          <w:sz w:val="22"/>
          <w:szCs w:val="22"/>
        </w:rPr>
        <w:t xml:space="preserve">The Tennessee Board of Pharmacy convened on </w:t>
      </w:r>
      <w:r w:rsidR="00BA5D64">
        <w:rPr>
          <w:sz w:val="22"/>
          <w:szCs w:val="22"/>
        </w:rPr>
        <w:t>Wednesday, April 1</w:t>
      </w:r>
      <w:r>
        <w:rPr>
          <w:sz w:val="22"/>
          <w:szCs w:val="22"/>
        </w:rPr>
        <w:t>, 2026</w:t>
      </w:r>
      <w:r w:rsidRPr="006171D8">
        <w:rPr>
          <w:sz w:val="22"/>
          <w:szCs w:val="22"/>
        </w:rPr>
        <w:t>, in the Iris Room, 655 Mainstream Dr, Nashville, TN. A quorum of the members being present, the meeting was called to order at 9</w:t>
      </w:r>
      <w:r>
        <w:rPr>
          <w:sz w:val="22"/>
          <w:szCs w:val="22"/>
        </w:rPr>
        <w:t>:10</w:t>
      </w:r>
      <w:r w:rsidRPr="006171D8">
        <w:rPr>
          <w:sz w:val="22"/>
          <w:szCs w:val="22"/>
        </w:rPr>
        <w:t xml:space="preserve"> a.m. with Dr. </w:t>
      </w:r>
      <w:r w:rsidR="00BA5D64">
        <w:rPr>
          <w:sz w:val="22"/>
          <w:szCs w:val="22"/>
        </w:rPr>
        <w:t>Blane</w:t>
      </w:r>
      <w:r w:rsidRPr="006171D8">
        <w:rPr>
          <w:sz w:val="22"/>
          <w:szCs w:val="22"/>
        </w:rPr>
        <w:t xml:space="preserve"> presiding.  </w:t>
      </w:r>
      <w:r>
        <w:rPr>
          <w:sz w:val="22"/>
          <w:szCs w:val="22"/>
        </w:rPr>
        <w:t xml:space="preserve">Dr. </w:t>
      </w:r>
      <w:r w:rsidR="00BA5D64">
        <w:rPr>
          <w:sz w:val="22"/>
          <w:szCs w:val="22"/>
        </w:rPr>
        <w:t>Blane</w:t>
      </w:r>
      <w:r>
        <w:rPr>
          <w:sz w:val="22"/>
          <w:szCs w:val="22"/>
        </w:rPr>
        <w:t xml:space="preserve"> </w:t>
      </w:r>
      <w:r w:rsidR="00362A0B">
        <w:rPr>
          <w:sz w:val="22"/>
          <w:szCs w:val="22"/>
        </w:rPr>
        <w:t>recognized the students in the audience</w:t>
      </w:r>
      <w:r>
        <w:rPr>
          <w:sz w:val="22"/>
          <w:szCs w:val="22"/>
        </w:rPr>
        <w:t>.</w:t>
      </w:r>
    </w:p>
    <w:p w14:paraId="70371934" w14:textId="77777777" w:rsidR="00362A0B" w:rsidRDefault="00362A0B" w:rsidP="00050150">
      <w:pPr>
        <w:spacing w:after="0"/>
        <w:rPr>
          <w:sz w:val="22"/>
          <w:szCs w:val="22"/>
        </w:rPr>
      </w:pPr>
    </w:p>
    <w:p w14:paraId="7607DB04" w14:textId="5CE2EE95" w:rsidR="00362A0B" w:rsidRPr="001732C9" w:rsidRDefault="00362A0B" w:rsidP="00050150">
      <w:pPr>
        <w:spacing w:after="0"/>
        <w:rPr>
          <w:b/>
          <w:bCs/>
          <w:sz w:val="22"/>
          <w:szCs w:val="22"/>
        </w:rPr>
      </w:pPr>
      <w:r w:rsidRPr="001732C9">
        <w:rPr>
          <w:b/>
          <w:bCs/>
          <w:sz w:val="22"/>
          <w:szCs w:val="22"/>
        </w:rPr>
        <w:t>Rulemaking Hearing</w:t>
      </w:r>
    </w:p>
    <w:p w14:paraId="0A5E33BE" w14:textId="005F0538" w:rsidR="001B4933" w:rsidRDefault="001B4933" w:rsidP="001B4933">
      <w:pPr>
        <w:spacing w:after="0"/>
        <w:rPr>
          <w:sz w:val="22"/>
          <w:szCs w:val="22"/>
        </w:rPr>
      </w:pPr>
      <w:r>
        <w:rPr>
          <w:sz w:val="22"/>
          <w:szCs w:val="22"/>
        </w:rPr>
        <w:t xml:space="preserve">Mr. Justin Harleman started the rulemaking hearing. After reading the rules into the record, public comments were taken. </w:t>
      </w:r>
      <w:r w:rsidRPr="001B4933">
        <w:rPr>
          <w:sz w:val="22"/>
          <w:szCs w:val="22"/>
        </w:rPr>
        <w:t>There were both oral and written comments received.</w:t>
      </w:r>
    </w:p>
    <w:p w14:paraId="525A7978" w14:textId="77777777" w:rsidR="001732C9" w:rsidRDefault="001732C9" w:rsidP="001B4933">
      <w:pPr>
        <w:spacing w:after="0"/>
        <w:rPr>
          <w:sz w:val="22"/>
          <w:szCs w:val="22"/>
        </w:rPr>
      </w:pPr>
    </w:p>
    <w:p w14:paraId="048D0748" w14:textId="1578B23D" w:rsidR="001B4933" w:rsidRPr="001B4933" w:rsidRDefault="001B4933" w:rsidP="001B4933">
      <w:pPr>
        <w:spacing w:after="0"/>
        <w:rPr>
          <w:sz w:val="22"/>
          <w:szCs w:val="22"/>
        </w:rPr>
      </w:pPr>
      <w:r w:rsidRPr="001B4933">
        <w:rPr>
          <w:sz w:val="22"/>
          <w:szCs w:val="22"/>
        </w:rPr>
        <w:t>Written Comments:</w:t>
      </w:r>
    </w:p>
    <w:p w14:paraId="7F4193D6" w14:textId="77777777" w:rsidR="001732C9" w:rsidRDefault="001732C9" w:rsidP="001B4933">
      <w:pPr>
        <w:spacing w:after="0"/>
        <w:rPr>
          <w:sz w:val="22"/>
          <w:szCs w:val="22"/>
        </w:rPr>
      </w:pPr>
    </w:p>
    <w:p w14:paraId="315D06E9" w14:textId="7B40500C" w:rsidR="001B4933" w:rsidRPr="001B4933" w:rsidRDefault="001B4933" w:rsidP="001B4933">
      <w:pPr>
        <w:spacing w:after="0"/>
        <w:rPr>
          <w:sz w:val="22"/>
          <w:szCs w:val="22"/>
        </w:rPr>
      </w:pPr>
      <w:r w:rsidRPr="001B4933">
        <w:rPr>
          <w:sz w:val="22"/>
          <w:szCs w:val="22"/>
        </w:rPr>
        <w:t>Tennessee Pharmacists Association (TPA), submitted by Dr. Anthony Pudlo</w:t>
      </w:r>
      <w:r w:rsidR="006E663C">
        <w:rPr>
          <w:sz w:val="22"/>
          <w:szCs w:val="22"/>
        </w:rPr>
        <w:t xml:space="preserve"> </w:t>
      </w:r>
      <w:r w:rsidRPr="001B4933">
        <w:rPr>
          <w:sz w:val="22"/>
          <w:szCs w:val="22"/>
        </w:rPr>
        <w:t>and Dr. Olivia Welter</w:t>
      </w:r>
      <w:r w:rsidR="006E663C">
        <w:rPr>
          <w:sz w:val="22"/>
          <w:szCs w:val="22"/>
        </w:rPr>
        <w:t>,</w:t>
      </w:r>
    </w:p>
    <w:p w14:paraId="58DEE37F" w14:textId="77777777" w:rsidR="001B4933" w:rsidRPr="001B4933" w:rsidRDefault="001B4933" w:rsidP="001B4933">
      <w:pPr>
        <w:spacing w:after="0"/>
        <w:rPr>
          <w:sz w:val="22"/>
          <w:szCs w:val="22"/>
        </w:rPr>
      </w:pPr>
      <w:r w:rsidRPr="001B4933">
        <w:rPr>
          <w:sz w:val="22"/>
          <w:szCs w:val="22"/>
        </w:rPr>
        <w:t>TPA’s initial comments asked the Board to support waiver allowances in 1140-07-.02(5), .03(5), .045(2), and .09(3).</w:t>
      </w:r>
    </w:p>
    <w:p w14:paraId="79CA6A95"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these comments. </w:t>
      </w:r>
    </w:p>
    <w:p w14:paraId="6567C219" w14:textId="77777777" w:rsidR="001B4933" w:rsidRPr="001B4933" w:rsidRDefault="001B4933" w:rsidP="001B4933">
      <w:pPr>
        <w:spacing w:after="0"/>
        <w:rPr>
          <w:sz w:val="22"/>
          <w:szCs w:val="22"/>
        </w:rPr>
      </w:pPr>
      <w:r w:rsidRPr="001B4933">
        <w:rPr>
          <w:sz w:val="22"/>
          <w:szCs w:val="22"/>
        </w:rPr>
        <w:t>TPA also commented asking the board for clarification as to the enforcement date of these new rules. This question was raised by multiple commenters.</w:t>
      </w:r>
    </w:p>
    <w:p w14:paraId="588E2F8B"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agreed they would allow a one-year educational period after the rules become effective. This agreement to allow a one-year educational period is not stated in the rules </w:t>
      </w:r>
      <w:r w:rsidRPr="001732C9">
        <w:rPr>
          <w:sz w:val="22"/>
          <w:szCs w:val="22"/>
        </w:rPr>
        <w:lastRenderedPageBreak/>
        <w:t xml:space="preserve">but was discussed by the Board and agreed upon in providing guidance to numerous comments that asked about the enforcement date of these rules. </w:t>
      </w:r>
    </w:p>
    <w:p w14:paraId="61C2C801" w14:textId="77777777" w:rsidR="001B4933" w:rsidRPr="001B4933" w:rsidRDefault="001B4933" w:rsidP="001B4933">
      <w:pPr>
        <w:spacing w:after="0"/>
        <w:rPr>
          <w:sz w:val="22"/>
          <w:szCs w:val="22"/>
        </w:rPr>
      </w:pPr>
      <w:r w:rsidRPr="001B4933">
        <w:rPr>
          <w:sz w:val="22"/>
          <w:szCs w:val="22"/>
        </w:rPr>
        <w:t>Additionally, TPA asked for insight from the Board on whether pharmacies will be required to purchase relevant USP chapters, or if there is an alternate method for pharmacies to assess their compliance.</w:t>
      </w:r>
    </w:p>
    <w:p w14:paraId="087FA668"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said they will explore options. </w:t>
      </w:r>
    </w:p>
    <w:p w14:paraId="241FA7AB" w14:textId="77777777" w:rsidR="001B4933" w:rsidRPr="001B4933" w:rsidRDefault="001B4933" w:rsidP="001B4933">
      <w:pPr>
        <w:spacing w:after="0"/>
        <w:rPr>
          <w:sz w:val="22"/>
          <w:szCs w:val="22"/>
        </w:rPr>
      </w:pPr>
      <w:r w:rsidRPr="001B4933">
        <w:rPr>
          <w:sz w:val="22"/>
          <w:szCs w:val="22"/>
        </w:rPr>
        <w:t>TPA also commented that the terms “compounded drug product” and “compounding drug product” seem to be used interchangeably in the rules.</w:t>
      </w:r>
    </w:p>
    <w:p w14:paraId="6D701453"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This comment was accepted by the Board.  </w:t>
      </w:r>
    </w:p>
    <w:p w14:paraId="7FC89FBF" w14:textId="77777777" w:rsidR="001B4933" w:rsidRPr="001B4933" w:rsidRDefault="001B4933" w:rsidP="001B4933">
      <w:pPr>
        <w:spacing w:after="0"/>
        <w:rPr>
          <w:sz w:val="22"/>
          <w:szCs w:val="22"/>
        </w:rPr>
      </w:pPr>
      <w:r w:rsidRPr="001B4933">
        <w:rPr>
          <w:sz w:val="22"/>
          <w:szCs w:val="22"/>
        </w:rPr>
        <w:t>TPA also commented asking, does the term "hazardous residues" refer to trace surface contamination under USP 800, or regulated hazardous waste under EPA/RCRA?</w:t>
      </w:r>
    </w:p>
    <w:p w14:paraId="4EA55C4B"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and stated that the term is to have the same definition as outlined in USP 800. </w:t>
      </w:r>
    </w:p>
    <w:p w14:paraId="38D29777" w14:textId="77777777" w:rsidR="001B4933" w:rsidRPr="001B4933" w:rsidRDefault="001B4933" w:rsidP="001B4933">
      <w:pPr>
        <w:spacing w:after="0"/>
        <w:rPr>
          <w:sz w:val="22"/>
          <w:szCs w:val="22"/>
        </w:rPr>
      </w:pPr>
      <w:r w:rsidRPr="001B4933">
        <w:rPr>
          <w:sz w:val="22"/>
          <w:szCs w:val="22"/>
        </w:rPr>
        <w:t xml:space="preserve">TPA also asked for clarification on 1140-07-.08(4), and a definition of “immediately” in the context of reporting recall or quality assurance problems upon discovery. </w:t>
      </w:r>
    </w:p>
    <w:p w14:paraId="0209917E" w14:textId="77777777" w:rsidR="001B4933" w:rsidRPr="001732C9" w:rsidRDefault="001B4933" w:rsidP="001732C9">
      <w:pPr>
        <w:pStyle w:val="ListParagraph"/>
        <w:numPr>
          <w:ilvl w:val="0"/>
          <w:numId w:val="1"/>
        </w:numPr>
        <w:spacing w:after="0"/>
        <w:rPr>
          <w:sz w:val="22"/>
          <w:szCs w:val="22"/>
        </w:rPr>
      </w:pPr>
      <w:r w:rsidRPr="001732C9">
        <w:rPr>
          <w:sz w:val="22"/>
          <w:szCs w:val="22"/>
        </w:rPr>
        <w:t>The Board accepted this comment and chose to define the term a pharmacy has to report these issues, to three (3) calendar days, upon discovery. The Board also defined what must be reported, which will include: (a) Compounded drug product recalls; (b) Confirmed sterility failures that are dispensed or distributed for patients; (c) confirmed out-of-specification results impacting dispensed or distributed products; (d) Events that lead to serious personal injury or death or significant risk to public health"</w:t>
      </w:r>
    </w:p>
    <w:p w14:paraId="441F3968" w14:textId="77777777" w:rsidR="001B4933" w:rsidRPr="001B4933" w:rsidRDefault="001B4933" w:rsidP="001B4933">
      <w:pPr>
        <w:spacing w:after="0"/>
        <w:rPr>
          <w:sz w:val="22"/>
          <w:szCs w:val="22"/>
        </w:rPr>
      </w:pPr>
      <w:r w:rsidRPr="001B4933">
        <w:rPr>
          <w:sz w:val="22"/>
          <w:szCs w:val="22"/>
        </w:rPr>
        <w:t xml:space="preserve">TPA also commented that the chapter name should be changed to “Compounded Drug Product” rather than “Sterile Drug Product”. </w:t>
      </w:r>
    </w:p>
    <w:p w14:paraId="7CEA322E"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w:t>
      </w:r>
    </w:p>
    <w:p w14:paraId="3F941907" w14:textId="77777777" w:rsidR="001B4933" w:rsidRPr="001B4933" w:rsidRDefault="001B4933" w:rsidP="001B4933">
      <w:pPr>
        <w:spacing w:after="0"/>
        <w:rPr>
          <w:sz w:val="22"/>
          <w:szCs w:val="22"/>
        </w:rPr>
      </w:pPr>
      <w:r w:rsidRPr="001B4933">
        <w:rPr>
          <w:sz w:val="22"/>
          <w:szCs w:val="22"/>
        </w:rPr>
        <w:t>TPA also suggested a change to Rule 1140-07-.01, Applicability, which placed the word “compounded” in front of the term “drug products”.</w:t>
      </w:r>
    </w:p>
    <w:p w14:paraId="2F91075F"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w:t>
      </w:r>
    </w:p>
    <w:p w14:paraId="69D49B94" w14:textId="77777777" w:rsidR="001B4933" w:rsidRPr="001B4933" w:rsidRDefault="001B4933" w:rsidP="001B4933">
      <w:pPr>
        <w:spacing w:after="0"/>
        <w:rPr>
          <w:sz w:val="22"/>
          <w:szCs w:val="22"/>
        </w:rPr>
      </w:pPr>
      <w:r w:rsidRPr="001B4933">
        <w:rPr>
          <w:sz w:val="22"/>
          <w:szCs w:val="22"/>
        </w:rPr>
        <w:t xml:space="preserve">TPA commented that they support the removal of quarterly reports as required in 1140-07-.02(4). </w:t>
      </w:r>
    </w:p>
    <w:p w14:paraId="1C617554"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61DED4F5" w14:textId="77777777" w:rsidR="001B4933" w:rsidRPr="001B4933" w:rsidRDefault="001B4933" w:rsidP="001B4933">
      <w:pPr>
        <w:spacing w:after="0"/>
        <w:rPr>
          <w:sz w:val="22"/>
          <w:szCs w:val="22"/>
        </w:rPr>
      </w:pPr>
      <w:r w:rsidRPr="001B4933">
        <w:rPr>
          <w:sz w:val="22"/>
          <w:szCs w:val="22"/>
        </w:rPr>
        <w:t xml:space="preserve">TPA suggested two changes in 1140-07-.02(4), which included changing the term “sterile product” to “compounded drug” in two places within this rule. </w:t>
      </w:r>
    </w:p>
    <w:p w14:paraId="3C9C92BF"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w:t>
      </w:r>
    </w:p>
    <w:p w14:paraId="5DB677C3" w14:textId="77777777" w:rsidR="001B4933" w:rsidRPr="001B4933" w:rsidRDefault="001B4933" w:rsidP="001B4933">
      <w:pPr>
        <w:spacing w:after="0"/>
        <w:rPr>
          <w:sz w:val="22"/>
          <w:szCs w:val="22"/>
        </w:rPr>
      </w:pPr>
      <w:r w:rsidRPr="001B4933">
        <w:rPr>
          <w:sz w:val="22"/>
          <w:szCs w:val="22"/>
        </w:rPr>
        <w:t xml:space="preserve">TPA suggested changing the term adding the word “any” before the term “personnel”. </w:t>
      </w:r>
    </w:p>
    <w:p w14:paraId="3C1D4D88"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4B341E24" w14:textId="77777777" w:rsidR="001B4933" w:rsidRPr="001B4933" w:rsidRDefault="001B4933" w:rsidP="001B4933">
      <w:pPr>
        <w:spacing w:after="0"/>
        <w:rPr>
          <w:sz w:val="22"/>
          <w:szCs w:val="22"/>
        </w:rPr>
      </w:pPr>
      <w:r w:rsidRPr="001B4933">
        <w:rPr>
          <w:sz w:val="22"/>
          <w:szCs w:val="22"/>
        </w:rPr>
        <w:t xml:space="preserve">TPA commented, asking whether there would be a standardized reporting procedure for Quality Assurance problems that require notification to the Board. </w:t>
      </w:r>
    </w:p>
    <w:p w14:paraId="29752CB6"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and stated that required notifications can be sent to the Board’s general email address. </w:t>
      </w:r>
    </w:p>
    <w:p w14:paraId="0F410F99" w14:textId="77777777" w:rsidR="001B4933" w:rsidRPr="001B4933" w:rsidRDefault="001B4933" w:rsidP="001B4933">
      <w:pPr>
        <w:spacing w:after="0"/>
        <w:rPr>
          <w:sz w:val="22"/>
          <w:szCs w:val="22"/>
        </w:rPr>
      </w:pPr>
      <w:r w:rsidRPr="001B4933">
        <w:rPr>
          <w:sz w:val="22"/>
          <w:szCs w:val="22"/>
        </w:rPr>
        <w:lastRenderedPageBreak/>
        <w:t xml:space="preserve">TPA also suggested that the Board add the word “intentional” to the Quality Assurance section before the term “failure”. </w:t>
      </w:r>
    </w:p>
    <w:p w14:paraId="4E000D04" w14:textId="77777777" w:rsidR="001B4933" w:rsidRPr="001732C9" w:rsidRDefault="001B4933" w:rsidP="001732C9">
      <w:pPr>
        <w:pStyle w:val="ListParagraph"/>
        <w:numPr>
          <w:ilvl w:val="0"/>
          <w:numId w:val="1"/>
        </w:numPr>
        <w:spacing w:after="0"/>
        <w:rPr>
          <w:sz w:val="22"/>
          <w:szCs w:val="22"/>
        </w:rPr>
      </w:pPr>
      <w:r w:rsidRPr="001732C9">
        <w:rPr>
          <w:sz w:val="22"/>
          <w:szCs w:val="22"/>
        </w:rPr>
        <w:t>The Board rejected this comment as this does not appear in any other Board rule, and the provability of a violation for an “intentional failure” is near impossible.</w:t>
      </w:r>
    </w:p>
    <w:p w14:paraId="73002146" w14:textId="77777777" w:rsidR="001B4933" w:rsidRPr="001B4933" w:rsidRDefault="001B4933" w:rsidP="001B4933">
      <w:pPr>
        <w:spacing w:after="0"/>
        <w:rPr>
          <w:sz w:val="22"/>
          <w:szCs w:val="22"/>
        </w:rPr>
      </w:pPr>
      <w:r w:rsidRPr="001B4933">
        <w:rPr>
          <w:sz w:val="22"/>
          <w:szCs w:val="22"/>
        </w:rPr>
        <w:t xml:space="preserve">TPA also commented in support of removing the sole act of flavoring as an act of compounding. </w:t>
      </w:r>
    </w:p>
    <w:p w14:paraId="67097DED"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5B505337" w14:textId="77777777" w:rsidR="001732C9" w:rsidRDefault="001732C9" w:rsidP="001B4933">
      <w:pPr>
        <w:spacing w:after="0"/>
        <w:rPr>
          <w:sz w:val="22"/>
          <w:szCs w:val="22"/>
        </w:rPr>
      </w:pPr>
    </w:p>
    <w:p w14:paraId="7230E4E8" w14:textId="67AC629F" w:rsidR="001B4933" w:rsidRPr="001B4933" w:rsidRDefault="001B4933" w:rsidP="001B4933">
      <w:pPr>
        <w:spacing w:after="0"/>
        <w:rPr>
          <w:sz w:val="22"/>
          <w:szCs w:val="22"/>
        </w:rPr>
      </w:pPr>
      <w:r w:rsidRPr="001B4933">
        <w:rPr>
          <w:sz w:val="22"/>
          <w:szCs w:val="22"/>
        </w:rPr>
        <w:t xml:space="preserve">People’s Custom Rx, submitted by Dr. Chris Gilbert </w:t>
      </w:r>
    </w:p>
    <w:p w14:paraId="58CA8321" w14:textId="77777777" w:rsidR="001B4933" w:rsidRPr="001B4933" w:rsidRDefault="001B4933" w:rsidP="001B4933">
      <w:pPr>
        <w:spacing w:after="0"/>
        <w:rPr>
          <w:sz w:val="22"/>
          <w:szCs w:val="22"/>
        </w:rPr>
      </w:pPr>
      <w:r w:rsidRPr="001B4933">
        <w:rPr>
          <w:sz w:val="22"/>
          <w:szCs w:val="22"/>
        </w:rPr>
        <w:t xml:space="preserve">People’s Custom Rx submitted comments in support of the adoption of USP 795 and 800. </w:t>
      </w:r>
    </w:p>
    <w:p w14:paraId="6C1563B9"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1C5087AA" w14:textId="77777777" w:rsidR="001732C9" w:rsidRDefault="001732C9" w:rsidP="001B4933">
      <w:pPr>
        <w:spacing w:after="0"/>
        <w:rPr>
          <w:sz w:val="22"/>
          <w:szCs w:val="22"/>
        </w:rPr>
      </w:pPr>
    </w:p>
    <w:p w14:paraId="0B9FAF24" w14:textId="7729DEAD" w:rsidR="001B4933" w:rsidRPr="001B4933" w:rsidRDefault="001B4933" w:rsidP="001B4933">
      <w:pPr>
        <w:spacing w:after="0"/>
        <w:rPr>
          <w:sz w:val="22"/>
          <w:szCs w:val="22"/>
        </w:rPr>
      </w:pPr>
      <w:r w:rsidRPr="001B4933">
        <w:rPr>
          <w:sz w:val="22"/>
          <w:szCs w:val="22"/>
        </w:rPr>
        <w:t>St. Jude, submitted by Dr. Cindy Brasher</w:t>
      </w:r>
    </w:p>
    <w:p w14:paraId="080EA02B" w14:textId="77777777" w:rsidR="001B4933" w:rsidRPr="001B4933" w:rsidRDefault="001B4933" w:rsidP="001B4933">
      <w:pPr>
        <w:spacing w:after="0"/>
        <w:rPr>
          <w:sz w:val="22"/>
          <w:szCs w:val="22"/>
        </w:rPr>
      </w:pPr>
      <w:r w:rsidRPr="001B4933">
        <w:rPr>
          <w:sz w:val="22"/>
          <w:szCs w:val="22"/>
        </w:rPr>
        <w:t>Dr. Brasher’s initial comments focused on her support of the safety and conformity provided by the rules in compounding.</w:t>
      </w:r>
    </w:p>
    <w:p w14:paraId="34234BEB"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492435FC" w14:textId="77777777" w:rsidR="001B4933" w:rsidRPr="001B4933" w:rsidRDefault="001B4933" w:rsidP="001B4933">
      <w:pPr>
        <w:spacing w:after="0"/>
        <w:rPr>
          <w:sz w:val="22"/>
          <w:szCs w:val="22"/>
        </w:rPr>
      </w:pPr>
      <w:r w:rsidRPr="001B4933">
        <w:rPr>
          <w:sz w:val="22"/>
          <w:szCs w:val="22"/>
        </w:rPr>
        <w:t>Dr. Brasher also mentioned that the Personnel rule, 1170-04-.03(2), included the term “written record” and later, the requirement of a “signature”. Dr. Brasher commented that the current state of technology may require different terminology.</w:t>
      </w:r>
    </w:p>
    <w:p w14:paraId="0D37E68E"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and changed the term “written” to “documented”, and the term “Signature” to “Acknowledgement”. </w:t>
      </w:r>
    </w:p>
    <w:p w14:paraId="735351F0" w14:textId="77777777" w:rsidR="001732C9" w:rsidRDefault="001732C9" w:rsidP="001B4933">
      <w:pPr>
        <w:spacing w:after="0"/>
        <w:rPr>
          <w:sz w:val="22"/>
          <w:szCs w:val="22"/>
        </w:rPr>
      </w:pPr>
    </w:p>
    <w:p w14:paraId="34949F8B" w14:textId="7DF9CDA6" w:rsidR="001B4933" w:rsidRPr="001B4933" w:rsidRDefault="001B4933" w:rsidP="001B4933">
      <w:pPr>
        <w:spacing w:after="0"/>
        <w:rPr>
          <w:sz w:val="22"/>
          <w:szCs w:val="22"/>
        </w:rPr>
      </w:pPr>
      <w:r w:rsidRPr="001B4933">
        <w:rPr>
          <w:sz w:val="22"/>
          <w:szCs w:val="22"/>
        </w:rPr>
        <w:t>Midtown Express, submitted by Dr. Allison Damratoski</w:t>
      </w:r>
    </w:p>
    <w:p w14:paraId="44B955B0" w14:textId="77777777" w:rsidR="001B4933" w:rsidRPr="001B4933" w:rsidRDefault="001B4933" w:rsidP="001B4933">
      <w:pPr>
        <w:spacing w:after="0"/>
        <w:rPr>
          <w:sz w:val="22"/>
          <w:szCs w:val="22"/>
        </w:rPr>
      </w:pPr>
      <w:r w:rsidRPr="001B4933">
        <w:rPr>
          <w:sz w:val="22"/>
          <w:szCs w:val="22"/>
        </w:rPr>
        <w:t xml:space="preserve">Midtown commented asking whether a sterile pharmacy qualification will be necessary. </w:t>
      </w:r>
    </w:p>
    <w:p w14:paraId="151911A3"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provided guidance, stating that there are no current plans to add the requirement for a sterile pharmacy qualification, or any additional licensure fees for a pharmacy doing this work. </w:t>
      </w:r>
    </w:p>
    <w:p w14:paraId="7DC665BD" w14:textId="77777777" w:rsidR="001B4933" w:rsidRPr="001B4933" w:rsidRDefault="001B4933" w:rsidP="001B4933">
      <w:pPr>
        <w:spacing w:after="0"/>
        <w:rPr>
          <w:sz w:val="22"/>
          <w:szCs w:val="22"/>
        </w:rPr>
      </w:pPr>
      <w:r w:rsidRPr="001B4933">
        <w:rPr>
          <w:sz w:val="22"/>
          <w:szCs w:val="22"/>
        </w:rPr>
        <w:t xml:space="preserve">Midtown also commented, asking about the enforcement date of these rules. </w:t>
      </w:r>
    </w:p>
    <w:p w14:paraId="3F3A0776"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and resolved this issue as stated above. </w:t>
      </w:r>
    </w:p>
    <w:p w14:paraId="303D00D3" w14:textId="77777777" w:rsidR="001B4933" w:rsidRPr="001B4933" w:rsidRDefault="001B4933" w:rsidP="001B4933">
      <w:pPr>
        <w:spacing w:after="0"/>
        <w:rPr>
          <w:sz w:val="22"/>
          <w:szCs w:val="22"/>
        </w:rPr>
      </w:pPr>
      <w:r w:rsidRPr="001B4933">
        <w:rPr>
          <w:sz w:val="22"/>
          <w:szCs w:val="22"/>
        </w:rPr>
        <w:t xml:space="preserve">Midtown also asked about the frequency of inspections under these rules, and they wanted to know if there would be an increase in inspections. </w:t>
      </w:r>
    </w:p>
    <w:p w14:paraId="2F557904"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provided guidance, stating that there was no plan for an increase in inspections, but that is always an administrative decision. </w:t>
      </w:r>
    </w:p>
    <w:p w14:paraId="5EDACCF0" w14:textId="77777777" w:rsidR="001732C9" w:rsidRDefault="001732C9" w:rsidP="001B4933">
      <w:pPr>
        <w:spacing w:after="0"/>
        <w:rPr>
          <w:sz w:val="22"/>
          <w:szCs w:val="22"/>
        </w:rPr>
      </w:pPr>
    </w:p>
    <w:p w14:paraId="7D106A89" w14:textId="42C01B0E" w:rsidR="001B4933" w:rsidRPr="001B4933" w:rsidRDefault="001B4933" w:rsidP="001B4933">
      <w:pPr>
        <w:spacing w:after="0"/>
        <w:rPr>
          <w:sz w:val="22"/>
          <w:szCs w:val="22"/>
        </w:rPr>
      </w:pPr>
      <w:r w:rsidRPr="001B4933">
        <w:rPr>
          <w:sz w:val="22"/>
          <w:szCs w:val="22"/>
        </w:rPr>
        <w:t xml:space="preserve">Him &amp; Hers, submitted by Dr. Joshua Brandt </w:t>
      </w:r>
    </w:p>
    <w:p w14:paraId="79D41309" w14:textId="77777777" w:rsidR="001B4933" w:rsidRPr="001B4933" w:rsidRDefault="001B4933" w:rsidP="001B4933">
      <w:pPr>
        <w:spacing w:after="0"/>
        <w:rPr>
          <w:sz w:val="22"/>
          <w:szCs w:val="22"/>
        </w:rPr>
      </w:pPr>
      <w:r w:rsidRPr="001B4933">
        <w:rPr>
          <w:sz w:val="22"/>
          <w:szCs w:val="22"/>
        </w:rPr>
        <w:t xml:space="preserve">Dr. Brandt offered overall support from Him &amp; Hers, for these rules. </w:t>
      </w:r>
    </w:p>
    <w:p w14:paraId="57EB377B"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75BC4338" w14:textId="77777777" w:rsidR="001B4933" w:rsidRPr="001B4933" w:rsidRDefault="001B4933" w:rsidP="001B4933">
      <w:pPr>
        <w:spacing w:after="0"/>
        <w:rPr>
          <w:sz w:val="22"/>
          <w:szCs w:val="22"/>
        </w:rPr>
      </w:pPr>
      <w:r w:rsidRPr="001B4933">
        <w:rPr>
          <w:sz w:val="22"/>
          <w:szCs w:val="22"/>
        </w:rPr>
        <w:t xml:space="preserve">Him &amp; Hers commented that a change to the chapter name would be appropriate. </w:t>
      </w:r>
    </w:p>
    <w:p w14:paraId="526BBDDE"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as stated above. </w:t>
      </w:r>
    </w:p>
    <w:p w14:paraId="0A5FD7AD" w14:textId="77777777" w:rsidR="001B4933" w:rsidRPr="001B4933" w:rsidRDefault="001B4933" w:rsidP="001B4933">
      <w:pPr>
        <w:spacing w:after="0"/>
        <w:rPr>
          <w:sz w:val="22"/>
          <w:szCs w:val="22"/>
        </w:rPr>
      </w:pPr>
      <w:r w:rsidRPr="001B4933">
        <w:rPr>
          <w:sz w:val="22"/>
          <w:szCs w:val="22"/>
        </w:rPr>
        <w:lastRenderedPageBreak/>
        <w:t xml:space="preserve">Him &amp; Hers suggested these rules include specific versions of the USP, as it has changed over the years. </w:t>
      </w:r>
    </w:p>
    <w:p w14:paraId="19E1BC26"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because they didn’t want to change the rules just because the USP is updated to a new version. </w:t>
      </w:r>
    </w:p>
    <w:p w14:paraId="03FBCF68" w14:textId="77777777" w:rsidR="001B4933" w:rsidRPr="001B4933" w:rsidRDefault="001B4933" w:rsidP="001B4933">
      <w:pPr>
        <w:spacing w:after="0"/>
        <w:rPr>
          <w:sz w:val="22"/>
          <w:szCs w:val="22"/>
        </w:rPr>
      </w:pPr>
      <w:r w:rsidRPr="001B4933">
        <w:rPr>
          <w:sz w:val="22"/>
          <w:szCs w:val="22"/>
        </w:rPr>
        <w:t xml:space="preserve">Him &amp; Hers suggested some terminology changes, including “sterile products” to “compounded products”, and the removal of the term “sterile” throughout the rules. </w:t>
      </w:r>
    </w:p>
    <w:p w14:paraId="6E5074D6"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as stated above, when made by another commenter. </w:t>
      </w:r>
    </w:p>
    <w:p w14:paraId="1F9F2E74" w14:textId="77777777" w:rsidR="001B4933" w:rsidRPr="001B4933" w:rsidRDefault="001B4933" w:rsidP="001B4933">
      <w:pPr>
        <w:spacing w:after="0"/>
        <w:rPr>
          <w:sz w:val="22"/>
          <w:szCs w:val="22"/>
        </w:rPr>
      </w:pPr>
      <w:r w:rsidRPr="001B4933">
        <w:rPr>
          <w:sz w:val="22"/>
          <w:szCs w:val="22"/>
        </w:rPr>
        <w:t xml:space="preserve">Him &amp; Hers commented on six (6) specific references to the USP in the rules and asked that the references be removed. </w:t>
      </w:r>
    </w:p>
    <w:p w14:paraId="38C5E398"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for the same reasons previously stated, they wanted the rules to be able to adapt to any new changes in guidelines, rather than amending the rules each time a new version was released. </w:t>
      </w:r>
    </w:p>
    <w:p w14:paraId="0267C0B1" w14:textId="77777777" w:rsidR="001732C9" w:rsidRDefault="001732C9" w:rsidP="001B4933">
      <w:pPr>
        <w:spacing w:after="0"/>
        <w:rPr>
          <w:sz w:val="22"/>
          <w:szCs w:val="22"/>
        </w:rPr>
      </w:pPr>
    </w:p>
    <w:p w14:paraId="1AB914B0" w14:textId="589C61FB" w:rsidR="001B4933" w:rsidRPr="001B4933" w:rsidRDefault="001B4933" w:rsidP="001B4933">
      <w:pPr>
        <w:spacing w:after="0"/>
        <w:rPr>
          <w:sz w:val="22"/>
          <w:szCs w:val="22"/>
        </w:rPr>
      </w:pPr>
      <w:r w:rsidRPr="001B4933">
        <w:rPr>
          <w:sz w:val="22"/>
          <w:szCs w:val="22"/>
        </w:rPr>
        <w:t>Empower, submitted by Dr. Derek Webb</w:t>
      </w:r>
    </w:p>
    <w:p w14:paraId="495B6EF1" w14:textId="77777777" w:rsidR="001B4933" w:rsidRPr="001B4933" w:rsidRDefault="001B4933" w:rsidP="001B4933">
      <w:pPr>
        <w:spacing w:after="0"/>
        <w:rPr>
          <w:sz w:val="22"/>
          <w:szCs w:val="22"/>
        </w:rPr>
      </w:pPr>
      <w:r w:rsidRPr="001B4933">
        <w:rPr>
          <w:sz w:val="22"/>
          <w:szCs w:val="22"/>
        </w:rPr>
        <w:t xml:space="preserve">Empower asked the Board to remove the references to USP that will require adherence to future versions of the USP, without Board review of the updated USP. </w:t>
      </w:r>
    </w:p>
    <w:p w14:paraId="53BBE692"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for all references of the USP. </w:t>
      </w:r>
    </w:p>
    <w:p w14:paraId="6A8952C4" w14:textId="77777777" w:rsidR="001B4933" w:rsidRPr="001B4933" w:rsidRDefault="001B4933" w:rsidP="001B4933">
      <w:pPr>
        <w:spacing w:after="0"/>
        <w:rPr>
          <w:sz w:val="22"/>
          <w:szCs w:val="22"/>
        </w:rPr>
      </w:pPr>
      <w:r w:rsidRPr="001B4933">
        <w:rPr>
          <w:sz w:val="22"/>
          <w:szCs w:val="22"/>
        </w:rPr>
        <w:t xml:space="preserve">Empower additionally commented asking for clarification on what specific Quality Assurance events required notification to the Board. </w:t>
      </w:r>
    </w:p>
    <w:p w14:paraId="31392057"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and clarified what is required under 1140-07-.08. </w:t>
      </w:r>
    </w:p>
    <w:p w14:paraId="5026EDB0" w14:textId="77777777" w:rsidR="001732C9" w:rsidRDefault="001732C9" w:rsidP="001B4933">
      <w:pPr>
        <w:spacing w:after="0"/>
        <w:rPr>
          <w:sz w:val="22"/>
          <w:szCs w:val="22"/>
        </w:rPr>
      </w:pPr>
    </w:p>
    <w:p w14:paraId="779A7C19" w14:textId="5E327106" w:rsidR="001B4933" w:rsidRPr="001B4933" w:rsidRDefault="001B4933" w:rsidP="001B4933">
      <w:pPr>
        <w:spacing w:after="0"/>
        <w:rPr>
          <w:sz w:val="22"/>
          <w:szCs w:val="22"/>
        </w:rPr>
      </w:pPr>
      <w:r w:rsidRPr="001B4933">
        <w:rPr>
          <w:sz w:val="22"/>
          <w:szCs w:val="22"/>
        </w:rPr>
        <w:t xml:space="preserve">Erlanger, submitted by Dr. Bea Turner </w:t>
      </w:r>
    </w:p>
    <w:p w14:paraId="7C97CAC2" w14:textId="77777777" w:rsidR="001B4933" w:rsidRPr="001B4933" w:rsidRDefault="001B4933" w:rsidP="001B4933">
      <w:pPr>
        <w:spacing w:after="0"/>
        <w:rPr>
          <w:sz w:val="22"/>
          <w:szCs w:val="22"/>
        </w:rPr>
      </w:pPr>
      <w:r w:rsidRPr="001B4933">
        <w:rPr>
          <w:sz w:val="22"/>
          <w:szCs w:val="22"/>
        </w:rPr>
        <w:t>Erlanger commented asking the Board what data supports the pressure differential range and how should BUDs be assigned?</w:t>
      </w:r>
    </w:p>
    <w:p w14:paraId="664A6218" w14:textId="77777777" w:rsidR="001B4933" w:rsidRPr="001732C9" w:rsidRDefault="001B4933" w:rsidP="001732C9">
      <w:pPr>
        <w:pStyle w:val="ListParagraph"/>
        <w:numPr>
          <w:ilvl w:val="0"/>
          <w:numId w:val="1"/>
        </w:numPr>
        <w:spacing w:after="0"/>
        <w:rPr>
          <w:sz w:val="22"/>
          <w:szCs w:val="22"/>
        </w:rPr>
      </w:pPr>
      <w:r w:rsidRPr="001732C9">
        <w:rPr>
          <w:sz w:val="22"/>
          <w:szCs w:val="22"/>
        </w:rPr>
        <w:t>The Board provided guidance, stating the pressures needed are outlined in USP; the Beyond-Use-Dates (BUDs) are not affected by these pressures, as they are in place to protect the individuals compounding.</w:t>
      </w:r>
    </w:p>
    <w:p w14:paraId="4EA22908" w14:textId="77777777" w:rsidR="001B4933" w:rsidRPr="001B4933" w:rsidRDefault="001B4933" w:rsidP="001B4933">
      <w:pPr>
        <w:spacing w:after="0"/>
        <w:rPr>
          <w:sz w:val="22"/>
          <w:szCs w:val="22"/>
        </w:rPr>
      </w:pPr>
      <w:r w:rsidRPr="001B4933">
        <w:rPr>
          <w:sz w:val="22"/>
          <w:szCs w:val="22"/>
        </w:rPr>
        <w:t xml:space="preserve">Erlanger also commented, asking “how stringent must our C-SECs align with USP regulations” according to the BOP rules. </w:t>
      </w:r>
    </w:p>
    <w:p w14:paraId="3E0CEA7A"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provided the guidance that licensees must always follow USP standards. </w:t>
      </w:r>
    </w:p>
    <w:p w14:paraId="5EEFF047" w14:textId="77777777" w:rsidR="001732C9" w:rsidRDefault="001732C9" w:rsidP="001B4933">
      <w:pPr>
        <w:spacing w:after="0"/>
        <w:rPr>
          <w:sz w:val="22"/>
          <w:szCs w:val="22"/>
        </w:rPr>
      </w:pPr>
    </w:p>
    <w:p w14:paraId="108C2A9B" w14:textId="0C66CDC0" w:rsidR="001B4933" w:rsidRPr="001B4933" w:rsidRDefault="001B4933" w:rsidP="001B4933">
      <w:pPr>
        <w:spacing w:after="0"/>
        <w:rPr>
          <w:sz w:val="22"/>
          <w:szCs w:val="22"/>
        </w:rPr>
      </w:pPr>
      <w:r w:rsidRPr="001B4933">
        <w:rPr>
          <w:sz w:val="22"/>
          <w:szCs w:val="22"/>
        </w:rPr>
        <w:t>Collierville Compounding, submitted by Dr. Ryan Wooden and Dr. Jeff Wooden</w:t>
      </w:r>
    </w:p>
    <w:p w14:paraId="6C4B3F71" w14:textId="77777777" w:rsidR="001B4933" w:rsidRPr="001B4933" w:rsidRDefault="001B4933" w:rsidP="001B4933">
      <w:pPr>
        <w:spacing w:after="0"/>
        <w:rPr>
          <w:sz w:val="22"/>
          <w:szCs w:val="22"/>
        </w:rPr>
      </w:pPr>
      <w:r w:rsidRPr="001B4933">
        <w:rPr>
          <w:sz w:val="22"/>
          <w:szCs w:val="22"/>
        </w:rPr>
        <w:t xml:space="preserve">Collierville Compounding commented advocating for the removal of two requirements, including the name of the verifying pharmacist on the label, and they also asked to remove the requirement of some other information on the label, like date of dispensation, because these are kept in the medical record. </w:t>
      </w:r>
    </w:p>
    <w:p w14:paraId="1DCDC8AA"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these comments, stating that initials are sufficient for the verifying pharmacist, and the date of dispensing is already required by rule. </w:t>
      </w:r>
    </w:p>
    <w:p w14:paraId="67B5B5DC" w14:textId="77777777" w:rsidR="001732C9" w:rsidRDefault="001732C9" w:rsidP="001B4933">
      <w:pPr>
        <w:spacing w:after="0"/>
        <w:rPr>
          <w:sz w:val="22"/>
          <w:szCs w:val="22"/>
        </w:rPr>
      </w:pPr>
    </w:p>
    <w:p w14:paraId="7A97E9E9" w14:textId="12EEA17B" w:rsidR="001B4933" w:rsidRPr="001B4933" w:rsidRDefault="001B4933" w:rsidP="001B4933">
      <w:pPr>
        <w:spacing w:after="0"/>
        <w:rPr>
          <w:sz w:val="22"/>
          <w:szCs w:val="22"/>
        </w:rPr>
      </w:pPr>
      <w:r w:rsidRPr="001B4933">
        <w:rPr>
          <w:sz w:val="22"/>
          <w:szCs w:val="22"/>
        </w:rPr>
        <w:lastRenderedPageBreak/>
        <w:t xml:space="preserve">Alliance for Pharmacy Compounding, submitted by Dr. Scott Brunner </w:t>
      </w:r>
    </w:p>
    <w:p w14:paraId="30F58CC7" w14:textId="77777777" w:rsidR="001B4933" w:rsidRPr="001B4933" w:rsidRDefault="001B4933" w:rsidP="001B4933">
      <w:pPr>
        <w:spacing w:after="0"/>
        <w:rPr>
          <w:sz w:val="22"/>
          <w:szCs w:val="22"/>
        </w:rPr>
      </w:pPr>
      <w:r w:rsidRPr="001B4933">
        <w:rPr>
          <w:sz w:val="22"/>
          <w:szCs w:val="22"/>
        </w:rPr>
        <w:t xml:space="preserve">Alliance commented that a change to the chapter name would be appropriate. </w:t>
      </w:r>
    </w:p>
    <w:p w14:paraId="57266EF4"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as stated above. </w:t>
      </w:r>
    </w:p>
    <w:p w14:paraId="787B7D79" w14:textId="77777777" w:rsidR="001B4933" w:rsidRPr="001B4933" w:rsidRDefault="001B4933" w:rsidP="001B4933">
      <w:pPr>
        <w:spacing w:after="0"/>
        <w:rPr>
          <w:sz w:val="22"/>
          <w:szCs w:val="22"/>
        </w:rPr>
      </w:pPr>
      <w:r w:rsidRPr="001B4933">
        <w:rPr>
          <w:sz w:val="22"/>
          <w:szCs w:val="22"/>
        </w:rPr>
        <w:t xml:space="preserve">Alliance also commented asking for the removal of the references to specific USP sections. </w:t>
      </w:r>
    </w:p>
    <w:p w14:paraId="34898E4F"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for the same reasons previously stated, they wanted the rules to be able to adapt to any new changes in guidelines, rather than amending the rules each time a new version was released. </w:t>
      </w:r>
    </w:p>
    <w:p w14:paraId="1C253036" w14:textId="77777777" w:rsidR="001B4933" w:rsidRPr="001B4933" w:rsidRDefault="001B4933" w:rsidP="001B4933">
      <w:pPr>
        <w:spacing w:after="0"/>
        <w:rPr>
          <w:sz w:val="22"/>
          <w:szCs w:val="22"/>
        </w:rPr>
      </w:pPr>
      <w:r w:rsidRPr="001B4933">
        <w:rPr>
          <w:sz w:val="22"/>
          <w:szCs w:val="22"/>
        </w:rPr>
        <w:t xml:space="preserve">Alliance commented asking what Quality Assurance events require notification to the Board. </w:t>
      </w:r>
    </w:p>
    <w:p w14:paraId="59B75458"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addressed this as stated above, defining in rule what specific events are required to be reported to the Board. </w:t>
      </w:r>
    </w:p>
    <w:p w14:paraId="692B8DCE" w14:textId="77777777" w:rsidR="001B4933" w:rsidRPr="001B4933" w:rsidRDefault="001B4933" w:rsidP="001B4933">
      <w:pPr>
        <w:spacing w:after="0"/>
        <w:rPr>
          <w:sz w:val="22"/>
          <w:szCs w:val="22"/>
        </w:rPr>
      </w:pPr>
      <w:r w:rsidRPr="001B4933">
        <w:rPr>
          <w:sz w:val="22"/>
          <w:szCs w:val="22"/>
        </w:rPr>
        <w:t xml:space="preserve">Alliance also commented on the format for files that may be inspected under these rules. </w:t>
      </w:r>
    </w:p>
    <w:p w14:paraId="46EC0FDF"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stated that there is not a specific format required for submission. </w:t>
      </w:r>
    </w:p>
    <w:p w14:paraId="6929B766" w14:textId="77777777" w:rsidR="001B4933" w:rsidRPr="001B4933" w:rsidRDefault="001B4933" w:rsidP="001B4933">
      <w:pPr>
        <w:spacing w:after="0"/>
        <w:rPr>
          <w:sz w:val="22"/>
          <w:szCs w:val="22"/>
        </w:rPr>
      </w:pPr>
      <w:r w:rsidRPr="001B4933">
        <w:rPr>
          <w:sz w:val="22"/>
          <w:szCs w:val="22"/>
        </w:rPr>
        <w:t xml:space="preserve">Alliance also asked for clarification on whether drugs compounded in ASTCs are limited to same-day use. </w:t>
      </w:r>
    </w:p>
    <w:p w14:paraId="006DB8A6"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removing the statement requiring same-day use. </w:t>
      </w:r>
    </w:p>
    <w:p w14:paraId="0C515DB3" w14:textId="77777777" w:rsidR="001B4933" w:rsidRPr="001B4933" w:rsidRDefault="001B4933" w:rsidP="001B4933">
      <w:pPr>
        <w:spacing w:after="0"/>
        <w:rPr>
          <w:sz w:val="22"/>
          <w:szCs w:val="22"/>
        </w:rPr>
      </w:pPr>
      <w:r w:rsidRPr="001B4933">
        <w:rPr>
          <w:sz w:val="22"/>
          <w:szCs w:val="22"/>
        </w:rPr>
        <w:t xml:space="preserve">Alliance commented, asking for clarification on whether compounding activities remain under the supervision of pharmacy personnel consistent with USP standards, and that the designation of a medical director at an ASTC does not alter the professional practice requirements applicable to compounding pharmacists. </w:t>
      </w:r>
    </w:p>
    <w:p w14:paraId="288441A5"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and removed the statement that allowed a medical director to assume the duties and responsibilities of the PIC. </w:t>
      </w:r>
    </w:p>
    <w:p w14:paraId="74D71CF6" w14:textId="77777777" w:rsidR="001B4933" w:rsidRPr="001B4933" w:rsidRDefault="001B4933" w:rsidP="001B4933">
      <w:pPr>
        <w:spacing w:after="0"/>
        <w:rPr>
          <w:sz w:val="22"/>
          <w:szCs w:val="22"/>
        </w:rPr>
      </w:pPr>
      <w:r w:rsidRPr="001B4933">
        <w:rPr>
          <w:sz w:val="22"/>
          <w:szCs w:val="22"/>
        </w:rPr>
        <w:t xml:space="preserve">Alliance also asked the Board to changed “compounding drug product” to “compounded drug product” throughout the rules. </w:t>
      </w:r>
    </w:p>
    <w:p w14:paraId="7B7EEC88"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this comment, as stated above. </w:t>
      </w:r>
    </w:p>
    <w:p w14:paraId="4F4519DD" w14:textId="77777777" w:rsidR="001B4933" w:rsidRPr="001B4933" w:rsidRDefault="001B4933" w:rsidP="001B4933">
      <w:pPr>
        <w:spacing w:after="0"/>
        <w:rPr>
          <w:sz w:val="22"/>
          <w:szCs w:val="22"/>
        </w:rPr>
      </w:pPr>
      <w:r w:rsidRPr="001B4933">
        <w:rPr>
          <w:sz w:val="22"/>
          <w:szCs w:val="22"/>
        </w:rPr>
        <w:t xml:space="preserve">Alliance also commented in support of the removal of quarterly reports under 1140-07-.02(4). </w:t>
      </w:r>
    </w:p>
    <w:p w14:paraId="28FE01E3"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13DD8F15" w14:textId="77777777" w:rsidR="001732C9" w:rsidRDefault="001732C9" w:rsidP="001B4933">
      <w:pPr>
        <w:spacing w:after="0"/>
        <w:rPr>
          <w:sz w:val="22"/>
          <w:szCs w:val="22"/>
        </w:rPr>
      </w:pPr>
    </w:p>
    <w:p w14:paraId="339B29B2" w14:textId="1B472831" w:rsidR="001B4933" w:rsidRPr="001B4933" w:rsidRDefault="001B4933" w:rsidP="001B4933">
      <w:pPr>
        <w:spacing w:after="0"/>
        <w:rPr>
          <w:sz w:val="22"/>
          <w:szCs w:val="22"/>
        </w:rPr>
      </w:pPr>
      <w:r w:rsidRPr="001B4933">
        <w:rPr>
          <w:sz w:val="22"/>
          <w:szCs w:val="22"/>
        </w:rPr>
        <w:t xml:space="preserve">Fresh Pharmacy, submitted by Dr. Joseph Nowell </w:t>
      </w:r>
    </w:p>
    <w:p w14:paraId="629B6F66" w14:textId="77777777" w:rsidR="001B4933" w:rsidRPr="001B4933" w:rsidRDefault="001B4933" w:rsidP="001B4933">
      <w:pPr>
        <w:spacing w:after="0"/>
        <w:rPr>
          <w:sz w:val="22"/>
          <w:szCs w:val="22"/>
        </w:rPr>
      </w:pPr>
      <w:r w:rsidRPr="001B4933">
        <w:rPr>
          <w:sz w:val="22"/>
          <w:szCs w:val="22"/>
        </w:rPr>
        <w:t xml:space="preserve">Fresh submitted a comment in support of the abolition of any regulations on non-sterile pharmacies and hazardous compounds. </w:t>
      </w:r>
    </w:p>
    <w:p w14:paraId="000D7ED0"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stating that they felt they were doing their duty to protect the public by regulating these areas. </w:t>
      </w:r>
    </w:p>
    <w:p w14:paraId="4C3F9E74" w14:textId="77777777" w:rsidR="001732C9" w:rsidRDefault="001732C9" w:rsidP="001B4933">
      <w:pPr>
        <w:spacing w:after="0"/>
        <w:rPr>
          <w:sz w:val="22"/>
          <w:szCs w:val="22"/>
        </w:rPr>
      </w:pPr>
    </w:p>
    <w:p w14:paraId="20C6B47A" w14:textId="54D00AEA" w:rsidR="001B4933" w:rsidRPr="001B4933" w:rsidRDefault="001B4933" w:rsidP="001B4933">
      <w:pPr>
        <w:spacing w:after="0"/>
        <w:rPr>
          <w:sz w:val="22"/>
          <w:szCs w:val="22"/>
        </w:rPr>
      </w:pPr>
      <w:r w:rsidRPr="001B4933">
        <w:rPr>
          <w:sz w:val="22"/>
          <w:szCs w:val="22"/>
        </w:rPr>
        <w:t xml:space="preserve">Anonymous </w:t>
      </w:r>
    </w:p>
    <w:p w14:paraId="020667AB" w14:textId="77777777" w:rsidR="001B4933" w:rsidRPr="001B4933" w:rsidRDefault="001B4933" w:rsidP="001B4933">
      <w:pPr>
        <w:spacing w:after="0"/>
        <w:rPr>
          <w:sz w:val="22"/>
          <w:szCs w:val="22"/>
        </w:rPr>
      </w:pPr>
      <w:r w:rsidRPr="001B4933">
        <w:rPr>
          <w:sz w:val="22"/>
          <w:szCs w:val="22"/>
        </w:rPr>
        <w:t xml:space="preserve">The first Anonymous comment was in opposition to the inclusion of any reference to USP 800. </w:t>
      </w:r>
    </w:p>
    <w:p w14:paraId="4AC3C6D7"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as stated above. </w:t>
      </w:r>
    </w:p>
    <w:p w14:paraId="53AFF708" w14:textId="77777777" w:rsidR="001B4933" w:rsidRPr="001B4933" w:rsidRDefault="001B4933" w:rsidP="001B4933">
      <w:pPr>
        <w:spacing w:after="0"/>
        <w:rPr>
          <w:sz w:val="22"/>
          <w:szCs w:val="22"/>
        </w:rPr>
      </w:pPr>
      <w:r w:rsidRPr="001B4933">
        <w:rPr>
          <w:sz w:val="22"/>
          <w:szCs w:val="22"/>
        </w:rPr>
        <w:lastRenderedPageBreak/>
        <w:t xml:space="preserve">Additionally, Anonymous commented that the Board should publish data from exact hazards and require all compounding personnel to sign off as to their awareness of these hazards, then employers and employees could decide how to mitigate potential hazards. </w:t>
      </w:r>
    </w:p>
    <w:p w14:paraId="20A4BEFB"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stating this was not an appropriate solution. </w:t>
      </w:r>
    </w:p>
    <w:p w14:paraId="6B3F6B30" w14:textId="07E57E9C" w:rsidR="001B4933" w:rsidRPr="001B4933" w:rsidRDefault="001B4933" w:rsidP="001B4933">
      <w:pPr>
        <w:spacing w:after="0"/>
        <w:rPr>
          <w:sz w:val="22"/>
          <w:szCs w:val="22"/>
        </w:rPr>
      </w:pPr>
      <w:r w:rsidRPr="001B4933">
        <w:rPr>
          <w:sz w:val="22"/>
          <w:szCs w:val="22"/>
        </w:rPr>
        <w:t xml:space="preserve">The last Anonymous comment proposed that the Board could require a specific Continuing Education (CE) course when training requirements are deemed unsatisfactory under updated standards from the USP. </w:t>
      </w:r>
    </w:p>
    <w:p w14:paraId="7AFFFFA1"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stating this was not an appropriate solution. </w:t>
      </w:r>
    </w:p>
    <w:p w14:paraId="7DE1F33F" w14:textId="77777777" w:rsidR="001732C9" w:rsidRDefault="001732C9" w:rsidP="001B4933">
      <w:pPr>
        <w:spacing w:after="0"/>
        <w:rPr>
          <w:sz w:val="22"/>
          <w:szCs w:val="22"/>
        </w:rPr>
      </w:pPr>
    </w:p>
    <w:p w14:paraId="49FEB29B" w14:textId="49B9F467" w:rsidR="001B4933" w:rsidRPr="001B4933" w:rsidRDefault="001B4933" w:rsidP="001B4933">
      <w:pPr>
        <w:spacing w:after="0"/>
        <w:rPr>
          <w:sz w:val="22"/>
          <w:szCs w:val="22"/>
        </w:rPr>
      </w:pPr>
      <w:r w:rsidRPr="001B4933">
        <w:rPr>
          <w:sz w:val="22"/>
          <w:szCs w:val="22"/>
        </w:rPr>
        <w:t>Anonymous #2</w:t>
      </w:r>
    </w:p>
    <w:p w14:paraId="4B16CC89" w14:textId="77777777" w:rsidR="001B4933" w:rsidRPr="001B4933" w:rsidRDefault="001B4933" w:rsidP="001B4933">
      <w:pPr>
        <w:spacing w:after="0"/>
        <w:rPr>
          <w:sz w:val="22"/>
          <w:szCs w:val="22"/>
        </w:rPr>
      </w:pPr>
      <w:r w:rsidRPr="001B4933">
        <w:rPr>
          <w:sz w:val="22"/>
          <w:szCs w:val="22"/>
        </w:rPr>
        <w:t xml:space="preserve">Anonymous #2 commented in support of the position that non-sterile compounding should not be regulated per USP standards. </w:t>
      </w:r>
    </w:p>
    <w:p w14:paraId="44B170A5"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stating that their duty to keep the public safety includes the regulation of all compounded drugs. </w:t>
      </w:r>
    </w:p>
    <w:p w14:paraId="663B51B7" w14:textId="77777777" w:rsidR="001B4933" w:rsidRPr="001B4933" w:rsidRDefault="001B4933" w:rsidP="001B4933">
      <w:pPr>
        <w:spacing w:after="0"/>
        <w:rPr>
          <w:sz w:val="22"/>
          <w:szCs w:val="22"/>
        </w:rPr>
      </w:pPr>
      <w:r w:rsidRPr="001B4933">
        <w:rPr>
          <w:sz w:val="22"/>
          <w:szCs w:val="22"/>
        </w:rPr>
        <w:t xml:space="preserve">Anonymous #2 also commented that any compliance to the USP 800 standard should be something that a license opts into, while others are allowed to practice without that standard. </w:t>
      </w:r>
    </w:p>
    <w:p w14:paraId="0CBAC947"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rejected this comment, stating that the inclusion of USP 800 standards fulfills their duty of safety to the public. </w:t>
      </w:r>
    </w:p>
    <w:p w14:paraId="74C85C91" w14:textId="77777777" w:rsidR="001B4933" w:rsidRPr="001B4933" w:rsidRDefault="001B4933" w:rsidP="001B4933">
      <w:pPr>
        <w:spacing w:after="0"/>
        <w:rPr>
          <w:sz w:val="22"/>
          <w:szCs w:val="22"/>
        </w:rPr>
      </w:pPr>
      <w:r w:rsidRPr="001B4933">
        <w:rPr>
          <w:sz w:val="22"/>
          <w:szCs w:val="22"/>
        </w:rPr>
        <w:t xml:space="preserve">Anonymous #2 also inquired about a grace period for enforcement of these rules. </w:t>
      </w:r>
    </w:p>
    <w:p w14:paraId="45941439"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addressed this issue with a one-year educational period, as stated above. </w:t>
      </w:r>
    </w:p>
    <w:p w14:paraId="5CD897C3" w14:textId="77777777" w:rsidR="001B4933" w:rsidRPr="001B4933" w:rsidRDefault="001B4933" w:rsidP="001B4933">
      <w:pPr>
        <w:spacing w:after="0"/>
        <w:rPr>
          <w:sz w:val="22"/>
          <w:szCs w:val="22"/>
        </w:rPr>
      </w:pPr>
    </w:p>
    <w:p w14:paraId="7C42F17F" w14:textId="77777777" w:rsidR="001B4933" w:rsidRPr="001B4933" w:rsidRDefault="001B4933" w:rsidP="001B4933">
      <w:pPr>
        <w:spacing w:after="0"/>
        <w:rPr>
          <w:sz w:val="22"/>
          <w:szCs w:val="22"/>
        </w:rPr>
      </w:pPr>
      <w:r w:rsidRPr="001B4933">
        <w:rPr>
          <w:sz w:val="22"/>
          <w:szCs w:val="22"/>
        </w:rPr>
        <w:t>Oral Comments:</w:t>
      </w:r>
    </w:p>
    <w:p w14:paraId="2F75797F" w14:textId="77777777" w:rsidR="001732C9" w:rsidRDefault="001732C9" w:rsidP="001B4933">
      <w:pPr>
        <w:spacing w:after="0"/>
        <w:rPr>
          <w:sz w:val="22"/>
          <w:szCs w:val="22"/>
        </w:rPr>
      </w:pPr>
    </w:p>
    <w:p w14:paraId="2F37974A" w14:textId="3000F2F5" w:rsidR="001B4933" w:rsidRPr="001B4933" w:rsidRDefault="001B4933" w:rsidP="001B4933">
      <w:pPr>
        <w:spacing w:after="0"/>
        <w:rPr>
          <w:sz w:val="22"/>
          <w:szCs w:val="22"/>
        </w:rPr>
      </w:pPr>
      <w:r w:rsidRPr="001B4933">
        <w:rPr>
          <w:sz w:val="22"/>
          <w:szCs w:val="22"/>
        </w:rPr>
        <w:t xml:space="preserve">Dr. Mark Binkley, Dr. Binkley spoke in overall support of the rules. Dr. Binkley mentioned his concerns with allowing physicians to be engaged in the process, but that is required by law. </w:t>
      </w:r>
    </w:p>
    <w:p w14:paraId="02B3B8FE"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these comments. </w:t>
      </w:r>
    </w:p>
    <w:p w14:paraId="43CCAA36" w14:textId="77777777" w:rsidR="001B4933" w:rsidRPr="001B4933" w:rsidRDefault="001B4933" w:rsidP="001B4933">
      <w:pPr>
        <w:spacing w:after="0"/>
        <w:rPr>
          <w:sz w:val="22"/>
          <w:szCs w:val="22"/>
        </w:rPr>
      </w:pPr>
      <w:r w:rsidRPr="001B4933">
        <w:rPr>
          <w:sz w:val="22"/>
          <w:szCs w:val="22"/>
        </w:rPr>
        <w:t>Dr. Binkley asked the board to consider requiring less information on a label, under 1140-07-.06(a).</w:t>
      </w:r>
    </w:p>
    <w:p w14:paraId="1DAAAD77" w14:textId="77777777" w:rsidR="001B4933" w:rsidRPr="001732C9" w:rsidRDefault="001B4933" w:rsidP="001732C9">
      <w:pPr>
        <w:pStyle w:val="ListParagraph"/>
        <w:numPr>
          <w:ilvl w:val="0"/>
          <w:numId w:val="1"/>
        </w:numPr>
        <w:spacing w:after="0"/>
        <w:rPr>
          <w:sz w:val="22"/>
          <w:szCs w:val="22"/>
        </w:rPr>
      </w:pPr>
      <w:r w:rsidRPr="001732C9">
        <w:rPr>
          <w:sz w:val="22"/>
          <w:szCs w:val="22"/>
        </w:rPr>
        <w:t>The Board rejected this comment, stating there was already a system built to accommodate labels that required more information than could fit on one label.</w:t>
      </w:r>
    </w:p>
    <w:p w14:paraId="37CD8287" w14:textId="77777777" w:rsidR="001B4933" w:rsidRPr="001B4933" w:rsidRDefault="001B4933" w:rsidP="001B4933">
      <w:pPr>
        <w:spacing w:after="0"/>
        <w:rPr>
          <w:sz w:val="22"/>
          <w:szCs w:val="22"/>
        </w:rPr>
      </w:pPr>
      <w:r w:rsidRPr="001B4933">
        <w:rPr>
          <w:sz w:val="22"/>
          <w:szCs w:val="22"/>
        </w:rPr>
        <w:t xml:space="preserve">Dr. Binkley also commented on the effective date of these rules, which was addressed by the Board with a one-year educational period. </w:t>
      </w:r>
    </w:p>
    <w:p w14:paraId="01B65FED" w14:textId="77777777" w:rsidR="001732C9" w:rsidRDefault="001732C9" w:rsidP="001B4933">
      <w:pPr>
        <w:spacing w:after="0"/>
        <w:rPr>
          <w:sz w:val="22"/>
          <w:szCs w:val="22"/>
        </w:rPr>
      </w:pPr>
    </w:p>
    <w:p w14:paraId="621535C7" w14:textId="650EBEB0" w:rsidR="001B4933" w:rsidRPr="001B4933" w:rsidRDefault="001B4933" w:rsidP="001B4933">
      <w:pPr>
        <w:spacing w:after="0"/>
        <w:rPr>
          <w:sz w:val="22"/>
          <w:szCs w:val="22"/>
        </w:rPr>
      </w:pPr>
      <w:r w:rsidRPr="001B4933">
        <w:rPr>
          <w:sz w:val="22"/>
          <w:szCs w:val="22"/>
        </w:rPr>
        <w:t>Dr. Chris Gilbert, People’s Custom Rx</w:t>
      </w:r>
    </w:p>
    <w:p w14:paraId="62BD1119" w14:textId="77777777" w:rsidR="001B4933" w:rsidRPr="001B4933" w:rsidRDefault="001B4933" w:rsidP="001B4933">
      <w:pPr>
        <w:spacing w:after="0"/>
        <w:rPr>
          <w:sz w:val="22"/>
          <w:szCs w:val="22"/>
        </w:rPr>
      </w:pPr>
      <w:r w:rsidRPr="001B4933">
        <w:rPr>
          <w:sz w:val="22"/>
          <w:szCs w:val="22"/>
        </w:rPr>
        <w:t xml:space="preserve">Dr. Gilbert commented in support of the rules and a 6-12 month educational period. </w:t>
      </w:r>
    </w:p>
    <w:p w14:paraId="0A45C4F3"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acknowledged this comment. </w:t>
      </w:r>
    </w:p>
    <w:p w14:paraId="538B0614" w14:textId="77777777" w:rsidR="001732C9" w:rsidRDefault="001732C9" w:rsidP="001B4933">
      <w:pPr>
        <w:spacing w:after="0"/>
        <w:rPr>
          <w:sz w:val="22"/>
          <w:szCs w:val="22"/>
        </w:rPr>
      </w:pPr>
    </w:p>
    <w:p w14:paraId="31A16217" w14:textId="23ECEE9F" w:rsidR="001B4933" w:rsidRPr="001B4933" w:rsidRDefault="001B4933" w:rsidP="001B4933">
      <w:pPr>
        <w:spacing w:after="0"/>
        <w:rPr>
          <w:sz w:val="22"/>
          <w:szCs w:val="22"/>
        </w:rPr>
      </w:pPr>
      <w:r w:rsidRPr="001B4933">
        <w:rPr>
          <w:sz w:val="22"/>
          <w:szCs w:val="22"/>
        </w:rPr>
        <w:t>Dr. Cindy Brasher, St. Jude</w:t>
      </w:r>
    </w:p>
    <w:p w14:paraId="173CCE98" w14:textId="77777777" w:rsidR="001B4933" w:rsidRPr="001B4933" w:rsidRDefault="001B4933" w:rsidP="001B4933">
      <w:pPr>
        <w:spacing w:after="0"/>
        <w:rPr>
          <w:sz w:val="22"/>
          <w:szCs w:val="22"/>
        </w:rPr>
      </w:pPr>
      <w:r w:rsidRPr="001B4933">
        <w:rPr>
          <w:sz w:val="22"/>
          <w:szCs w:val="22"/>
        </w:rPr>
        <w:t xml:space="preserve">Dr. Brasher supplemented her written comments, first by suggesting that the Board add a specific reference to USP 795 and 797 standards in 1140-07-.02(4)(d). </w:t>
      </w:r>
    </w:p>
    <w:p w14:paraId="12CE6694" w14:textId="77777777" w:rsidR="001B4933" w:rsidRPr="001732C9" w:rsidRDefault="001B4933" w:rsidP="001732C9">
      <w:pPr>
        <w:pStyle w:val="ListParagraph"/>
        <w:numPr>
          <w:ilvl w:val="0"/>
          <w:numId w:val="1"/>
        </w:numPr>
        <w:spacing w:after="0"/>
        <w:rPr>
          <w:sz w:val="22"/>
          <w:szCs w:val="22"/>
        </w:rPr>
      </w:pPr>
      <w:r w:rsidRPr="001732C9">
        <w:rPr>
          <w:sz w:val="22"/>
          <w:szCs w:val="22"/>
        </w:rPr>
        <w:lastRenderedPageBreak/>
        <w:t xml:space="preserve">The Board accepted this comment, adding “as outlined in USP 795 and 797”, at the end of the first sentence of that subsection. </w:t>
      </w:r>
    </w:p>
    <w:p w14:paraId="1341E893" w14:textId="77777777" w:rsidR="001B4933" w:rsidRPr="001B4933" w:rsidRDefault="001B4933" w:rsidP="001B4933">
      <w:pPr>
        <w:spacing w:after="0"/>
        <w:rPr>
          <w:sz w:val="22"/>
          <w:szCs w:val="22"/>
        </w:rPr>
      </w:pPr>
      <w:r w:rsidRPr="001B4933">
        <w:rPr>
          <w:sz w:val="22"/>
          <w:szCs w:val="22"/>
        </w:rPr>
        <w:t xml:space="preserve">Dr. Brasher reiterated the same changes from “written” to “documented”, and “signature” to “authorization”. </w:t>
      </w:r>
    </w:p>
    <w:p w14:paraId="62841AB4" w14:textId="77777777" w:rsidR="001B4933" w:rsidRPr="001732C9" w:rsidRDefault="001B4933" w:rsidP="001732C9">
      <w:pPr>
        <w:pStyle w:val="ListParagraph"/>
        <w:numPr>
          <w:ilvl w:val="0"/>
          <w:numId w:val="1"/>
        </w:numPr>
        <w:spacing w:after="0"/>
        <w:rPr>
          <w:sz w:val="22"/>
          <w:szCs w:val="22"/>
        </w:rPr>
      </w:pPr>
      <w:r w:rsidRPr="001732C9">
        <w:rPr>
          <w:sz w:val="22"/>
          <w:szCs w:val="22"/>
        </w:rPr>
        <w:t xml:space="preserve">The Board accepted these comments. </w:t>
      </w:r>
    </w:p>
    <w:p w14:paraId="54C37665" w14:textId="77777777" w:rsidR="001732C9" w:rsidRDefault="001732C9" w:rsidP="001B4933">
      <w:pPr>
        <w:spacing w:after="0"/>
        <w:rPr>
          <w:sz w:val="22"/>
          <w:szCs w:val="22"/>
        </w:rPr>
      </w:pPr>
    </w:p>
    <w:p w14:paraId="01015A4A" w14:textId="45CC96D6" w:rsidR="001B4933" w:rsidRPr="001B4933" w:rsidRDefault="001B4933" w:rsidP="001B4933">
      <w:pPr>
        <w:spacing w:after="0"/>
        <w:rPr>
          <w:sz w:val="22"/>
          <w:szCs w:val="22"/>
        </w:rPr>
      </w:pPr>
      <w:r w:rsidRPr="001B4933">
        <w:rPr>
          <w:sz w:val="22"/>
          <w:szCs w:val="22"/>
        </w:rPr>
        <w:t>Dr. Olivia Welter, TPA</w:t>
      </w:r>
    </w:p>
    <w:p w14:paraId="5E43462F" w14:textId="77777777" w:rsidR="001732C9" w:rsidRDefault="001B4933" w:rsidP="001B4933">
      <w:pPr>
        <w:spacing w:after="0"/>
        <w:rPr>
          <w:sz w:val="22"/>
          <w:szCs w:val="22"/>
        </w:rPr>
      </w:pPr>
      <w:r w:rsidRPr="001B4933">
        <w:rPr>
          <w:sz w:val="22"/>
          <w:szCs w:val="22"/>
        </w:rPr>
        <w:t xml:space="preserve">Dr. Welter spoke on behalf of the Tennessee Pharmacist Association (“TPA”) and reiterated TPA’s written comments. </w:t>
      </w:r>
    </w:p>
    <w:p w14:paraId="39FD2D98" w14:textId="00692F2B" w:rsidR="00362A0B" w:rsidRPr="001732C9" w:rsidRDefault="001B4933" w:rsidP="001732C9">
      <w:pPr>
        <w:pStyle w:val="ListParagraph"/>
        <w:numPr>
          <w:ilvl w:val="0"/>
          <w:numId w:val="1"/>
        </w:numPr>
        <w:spacing w:after="0"/>
        <w:rPr>
          <w:sz w:val="22"/>
          <w:szCs w:val="22"/>
        </w:rPr>
      </w:pPr>
      <w:r w:rsidRPr="001732C9">
        <w:rPr>
          <w:sz w:val="22"/>
          <w:szCs w:val="22"/>
        </w:rPr>
        <w:t>The Board responded to TPA’s comments as outlined above.</w:t>
      </w:r>
    </w:p>
    <w:p w14:paraId="4421B78E" w14:textId="77777777" w:rsidR="00362A0B" w:rsidRDefault="00362A0B" w:rsidP="00050150">
      <w:pPr>
        <w:spacing w:after="0"/>
        <w:rPr>
          <w:sz w:val="22"/>
          <w:szCs w:val="22"/>
        </w:rPr>
      </w:pPr>
    </w:p>
    <w:p w14:paraId="487083D1" w14:textId="6502CF6C" w:rsidR="001732C9" w:rsidRDefault="00330401" w:rsidP="00050150">
      <w:pPr>
        <w:spacing w:after="0"/>
        <w:rPr>
          <w:sz w:val="22"/>
          <w:szCs w:val="22"/>
        </w:rPr>
      </w:pPr>
      <w:r>
        <w:rPr>
          <w:sz w:val="22"/>
          <w:szCs w:val="22"/>
        </w:rPr>
        <w:t xml:space="preserve">Dr. Leinart made a motion to approve the following rules as amended. Dr. Boruff seconded the motion. The motion carried. </w:t>
      </w:r>
    </w:p>
    <w:p w14:paraId="108D0B47" w14:textId="77777777" w:rsidR="00C76F70" w:rsidRPr="00C76F70" w:rsidRDefault="00C76F70" w:rsidP="00050150">
      <w:pPr>
        <w:spacing w:after="0"/>
        <w:rPr>
          <w:sz w:val="22"/>
          <w:szCs w:val="22"/>
        </w:rPr>
      </w:pPr>
    </w:p>
    <w:p w14:paraId="48C681E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3" w:hanging="4593"/>
        <w:jc w:val="center"/>
        <w:rPr>
          <w:rFonts w:ascii="Arial" w:eastAsia="Arial" w:hAnsi="Arial" w:cs="Arial"/>
          <w:b/>
          <w:bCs/>
          <w:spacing w:val="-6"/>
          <w:kern w:val="0"/>
          <w:sz w:val="20"/>
          <w:szCs w:val="20"/>
          <w14:ligatures w14:val="none"/>
        </w:rPr>
      </w:pPr>
      <w:r w:rsidRPr="00C76F70">
        <w:rPr>
          <w:rFonts w:ascii="Arial" w:eastAsia="Arial" w:hAnsi="Arial" w:cs="Arial"/>
          <w:b/>
          <w:spacing w:val="-2"/>
          <w:kern w:val="0"/>
          <w:sz w:val="20"/>
          <w14:ligatures w14:val="none"/>
        </w:rPr>
        <w:t xml:space="preserve">RULES </w:t>
      </w:r>
    </w:p>
    <w:p w14:paraId="0272CD2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3" w:hanging="4593"/>
        <w:jc w:val="center"/>
        <w:rPr>
          <w:rFonts w:ascii="Arial" w:eastAsia="Arial" w:hAnsi="Arial" w:cs="Arial"/>
          <w:kern w:val="0"/>
          <w:sz w:val="22"/>
          <w:szCs w:val="22"/>
          <w14:ligatures w14:val="none"/>
        </w:rPr>
      </w:pPr>
      <w:r w:rsidRPr="00C76F70">
        <w:rPr>
          <w:rFonts w:ascii="Arial" w:eastAsia="Arial" w:hAnsi="Arial" w:cs="Arial"/>
          <w:b/>
          <w:spacing w:val="-6"/>
          <w:kern w:val="0"/>
          <w:sz w:val="20"/>
          <w14:ligatures w14:val="none"/>
        </w:rPr>
        <w:t>OF</w:t>
      </w:r>
    </w:p>
    <w:p w14:paraId="0935B85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29" w:lineRule="atLeast"/>
        <w:ind w:left="4593" w:hanging="4593"/>
        <w:jc w:val="center"/>
        <w:rPr>
          <w:rFonts w:ascii="Arial" w:eastAsia="Cambria" w:hAnsi="Arial" w:cs="Times New Roman"/>
          <w:kern w:val="0"/>
          <w:sz w:val="20"/>
          <w14:ligatures w14:val="none"/>
        </w:rPr>
      </w:pPr>
      <w:r w:rsidRPr="00C76F70">
        <w:rPr>
          <w:rFonts w:ascii="Arial" w:eastAsia="Arial" w:hAnsi="Arial" w:cs="Arial"/>
          <w:b/>
          <w:kern w:val="0"/>
          <w:sz w:val="20"/>
          <w14:ligatures w14:val="none"/>
        </w:rPr>
        <w:t>THE</w:t>
      </w:r>
      <w:r w:rsidRPr="00C76F70">
        <w:rPr>
          <w:rFonts w:ascii="Arial" w:eastAsia="Arial" w:hAnsi="Arial" w:cs="Arial"/>
          <w:b/>
          <w:spacing w:val="-8"/>
          <w:kern w:val="0"/>
          <w:sz w:val="20"/>
          <w14:ligatures w14:val="none"/>
        </w:rPr>
        <w:t xml:space="preserve"> </w:t>
      </w:r>
      <w:r w:rsidRPr="00C76F70">
        <w:rPr>
          <w:rFonts w:ascii="Arial" w:eastAsia="Arial" w:hAnsi="Arial" w:cs="Arial"/>
          <w:b/>
          <w:kern w:val="0"/>
          <w:sz w:val="20"/>
          <w14:ligatures w14:val="none"/>
        </w:rPr>
        <w:t>TENNESSEE</w:t>
      </w:r>
      <w:r w:rsidRPr="00C76F70">
        <w:rPr>
          <w:rFonts w:ascii="Arial" w:eastAsia="Arial" w:hAnsi="Arial" w:cs="Arial"/>
          <w:b/>
          <w:spacing w:val="-7"/>
          <w:kern w:val="0"/>
          <w:sz w:val="20"/>
          <w14:ligatures w14:val="none"/>
        </w:rPr>
        <w:t xml:space="preserve"> </w:t>
      </w:r>
      <w:r w:rsidRPr="00C76F70">
        <w:rPr>
          <w:rFonts w:ascii="Arial" w:eastAsia="Arial" w:hAnsi="Arial" w:cs="Arial"/>
          <w:b/>
          <w:kern w:val="0"/>
          <w:sz w:val="20"/>
          <w14:ligatures w14:val="none"/>
        </w:rPr>
        <w:t>BOARD</w:t>
      </w:r>
      <w:r w:rsidRPr="00C76F70">
        <w:rPr>
          <w:rFonts w:ascii="Arial" w:eastAsia="Arial" w:hAnsi="Arial" w:cs="Arial"/>
          <w:b/>
          <w:spacing w:val="-3"/>
          <w:kern w:val="0"/>
          <w:sz w:val="20"/>
          <w14:ligatures w14:val="none"/>
        </w:rPr>
        <w:t xml:space="preserve"> </w:t>
      </w:r>
      <w:r w:rsidRPr="00C76F70">
        <w:rPr>
          <w:rFonts w:ascii="Arial" w:eastAsia="Arial" w:hAnsi="Arial" w:cs="Arial"/>
          <w:b/>
          <w:kern w:val="0"/>
          <w:sz w:val="20"/>
          <w14:ligatures w14:val="none"/>
        </w:rPr>
        <w:t>OF</w:t>
      </w:r>
      <w:r w:rsidRPr="00C76F70">
        <w:rPr>
          <w:rFonts w:ascii="Arial" w:eastAsia="Arial" w:hAnsi="Arial" w:cs="Arial"/>
          <w:b/>
          <w:spacing w:val="-6"/>
          <w:kern w:val="0"/>
          <w:sz w:val="20"/>
          <w14:ligatures w14:val="none"/>
        </w:rPr>
        <w:t xml:space="preserve"> </w:t>
      </w:r>
      <w:r w:rsidRPr="00C76F70">
        <w:rPr>
          <w:rFonts w:ascii="Arial" w:eastAsia="Arial" w:hAnsi="Arial" w:cs="Arial"/>
          <w:b/>
          <w:spacing w:val="-2"/>
          <w:kern w:val="0"/>
          <w:sz w:val="20"/>
          <w14:ligatures w14:val="none"/>
        </w:rPr>
        <w:t>PHARMACY</w:t>
      </w:r>
    </w:p>
    <w:p w14:paraId="6CED097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 w:after="0" w:line="240" w:lineRule="auto"/>
        <w:ind w:left="4593" w:hanging="4593"/>
        <w:jc w:val="both"/>
        <w:rPr>
          <w:rFonts w:ascii="Arial" w:eastAsia="Cambria" w:hAnsi="Arial" w:cs="Times New Roman"/>
          <w:kern w:val="0"/>
          <w:sz w:val="20"/>
          <w14:ligatures w14:val="none"/>
        </w:rPr>
      </w:pPr>
      <w:r w:rsidRPr="00C76F70">
        <w:rPr>
          <w:rFonts w:ascii="Arial" w:eastAsia="Arial" w:hAnsi="Arial" w:cs="Arial"/>
          <w:b/>
          <w:kern w:val="0"/>
          <w:sz w:val="20"/>
          <w14:ligatures w14:val="none"/>
        </w:rPr>
        <w:t> </w:t>
      </w:r>
    </w:p>
    <w:p w14:paraId="5C92003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3" w:hanging="4593"/>
        <w:jc w:val="center"/>
        <w:rPr>
          <w:rFonts w:ascii="Arial" w:eastAsia="Arial" w:hAnsi="Arial" w:cs="Arial"/>
          <w:b/>
          <w:bCs/>
          <w:kern w:val="0"/>
          <w:sz w:val="20"/>
          <w:szCs w:val="20"/>
          <w14:ligatures w14:val="none"/>
        </w:rPr>
      </w:pPr>
      <w:r w:rsidRPr="00C76F70">
        <w:rPr>
          <w:rFonts w:ascii="Arial" w:eastAsia="Arial" w:hAnsi="Arial" w:cs="Arial"/>
          <w:b/>
          <w:kern w:val="0"/>
          <w:sz w:val="20"/>
          <w14:ligatures w14:val="none"/>
        </w:rPr>
        <w:t xml:space="preserve">CHAPTER 1140-01 </w:t>
      </w:r>
    </w:p>
    <w:p w14:paraId="681F9D7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3" w:hanging="4593"/>
        <w:jc w:val="center"/>
        <w:rPr>
          <w:rFonts w:ascii="Arial" w:eastAsia="Arial" w:hAnsi="Arial" w:cs="Arial"/>
          <w:kern w:val="0"/>
          <w:sz w:val="22"/>
          <w:szCs w:val="22"/>
          <w14:ligatures w14:val="none"/>
        </w:rPr>
      </w:pPr>
      <w:r w:rsidRPr="00C76F70">
        <w:rPr>
          <w:rFonts w:ascii="Arial" w:eastAsia="Arial" w:hAnsi="Arial" w:cs="Arial"/>
          <w:b/>
          <w:kern w:val="0"/>
          <w:sz w:val="20"/>
          <w14:ligatures w14:val="none"/>
        </w:rPr>
        <w:t>INTRODUCTORY</w:t>
      </w:r>
      <w:r w:rsidRPr="00C76F70">
        <w:rPr>
          <w:rFonts w:ascii="Arial" w:eastAsia="Arial" w:hAnsi="Arial" w:cs="Arial"/>
          <w:b/>
          <w:spacing w:val="-14"/>
          <w:kern w:val="0"/>
          <w:sz w:val="20"/>
          <w14:ligatures w14:val="none"/>
        </w:rPr>
        <w:t xml:space="preserve"> </w:t>
      </w:r>
      <w:r w:rsidRPr="00C76F70">
        <w:rPr>
          <w:rFonts w:ascii="Arial" w:eastAsia="Arial" w:hAnsi="Arial" w:cs="Arial"/>
          <w:b/>
          <w:kern w:val="0"/>
          <w:sz w:val="20"/>
          <w14:ligatures w14:val="none"/>
        </w:rPr>
        <w:t>RULES</w:t>
      </w:r>
    </w:p>
    <w:p w14:paraId="1FE9BE3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2" w:after="0" w:line="240" w:lineRule="auto"/>
        <w:ind w:left="4593" w:hanging="4593"/>
        <w:jc w:val="both"/>
        <w:rPr>
          <w:rFonts w:ascii="Arial" w:eastAsia="Cambria" w:hAnsi="Arial" w:cs="Times New Roman"/>
          <w:kern w:val="0"/>
          <w:sz w:val="20"/>
          <w14:ligatures w14:val="none"/>
        </w:rPr>
      </w:pPr>
      <w:r w:rsidRPr="00C76F70">
        <w:rPr>
          <w:rFonts w:ascii="Arial" w:eastAsia="Arial" w:hAnsi="Arial" w:cs="Arial"/>
          <w:b/>
          <w:kern w:val="0"/>
          <w:sz w:val="20"/>
          <w14:ligatures w14:val="none"/>
        </w:rPr>
        <w:t> </w:t>
      </w:r>
    </w:p>
    <w:p w14:paraId="653437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3" w:hanging="4593"/>
        <w:jc w:val="center"/>
        <w:rPr>
          <w:rFonts w:ascii="Arial" w:eastAsia="Cambria" w:hAnsi="Arial" w:cs="Times New Roman"/>
          <w:kern w:val="0"/>
          <w:sz w:val="20"/>
          <w14:ligatures w14:val="none"/>
        </w:rPr>
      </w:pPr>
      <w:r w:rsidRPr="00C76F70">
        <w:rPr>
          <w:rFonts w:ascii="Arial" w:eastAsia="Arial" w:hAnsi="Arial" w:cs="Arial"/>
          <w:b/>
          <w:kern w:val="0"/>
          <w:sz w:val="20"/>
          <w14:ligatures w14:val="none"/>
        </w:rPr>
        <w:t>TABLE</w:t>
      </w:r>
      <w:r w:rsidRPr="00C76F70">
        <w:rPr>
          <w:rFonts w:ascii="Arial" w:eastAsia="Arial" w:hAnsi="Arial" w:cs="Arial"/>
          <w:b/>
          <w:spacing w:val="-7"/>
          <w:kern w:val="0"/>
          <w:sz w:val="20"/>
          <w14:ligatures w14:val="none"/>
        </w:rPr>
        <w:t xml:space="preserve"> </w:t>
      </w:r>
      <w:r w:rsidRPr="00C76F70">
        <w:rPr>
          <w:rFonts w:ascii="Arial" w:eastAsia="Arial" w:hAnsi="Arial" w:cs="Arial"/>
          <w:b/>
          <w:kern w:val="0"/>
          <w:sz w:val="20"/>
          <w14:ligatures w14:val="none"/>
        </w:rPr>
        <w:t>OF</w:t>
      </w:r>
      <w:r w:rsidRPr="00C76F70">
        <w:rPr>
          <w:rFonts w:ascii="Arial" w:eastAsia="Arial" w:hAnsi="Arial" w:cs="Arial"/>
          <w:b/>
          <w:spacing w:val="-4"/>
          <w:kern w:val="0"/>
          <w:sz w:val="20"/>
          <w14:ligatures w14:val="none"/>
        </w:rPr>
        <w:t xml:space="preserve"> </w:t>
      </w:r>
      <w:r w:rsidRPr="00C76F70">
        <w:rPr>
          <w:rFonts w:ascii="Arial" w:eastAsia="Arial" w:hAnsi="Arial" w:cs="Arial"/>
          <w:b/>
          <w:spacing w:val="-2"/>
          <w:kern w:val="0"/>
          <w:sz w:val="20"/>
          <w14:ligatures w14:val="none"/>
        </w:rPr>
        <w:t>CONTENTS</w:t>
      </w:r>
    </w:p>
    <w:p w14:paraId="1F49AC7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3" w:after="0" w:line="240" w:lineRule="auto"/>
        <w:jc w:val="both"/>
        <w:rPr>
          <w:rFonts w:ascii="Arial" w:eastAsia="Cambria" w:hAnsi="Arial" w:cs="Times New Roman"/>
          <w:kern w:val="0"/>
          <w:sz w:val="20"/>
          <w14:ligatures w14:val="none"/>
        </w:rPr>
      </w:pPr>
      <w:r w:rsidRPr="00C76F70">
        <w:rPr>
          <w:rFonts w:ascii="Arial" w:eastAsia="Arial" w:hAnsi="Arial" w:cs="Arial"/>
          <w:b/>
          <w:kern w:val="0"/>
          <w:sz w:val="20"/>
          <w14:ligatures w14:val="none"/>
        </w:rPr>
        <w:t> </w:t>
      </w:r>
    </w:p>
    <w:tbl>
      <w:tblPr>
        <w:tblStyle w:val="TableGrid1"/>
        <w:tblW w:w="0" w:type="auto"/>
        <w:tblInd w:w="31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978"/>
        <w:gridCol w:w="3619"/>
        <w:gridCol w:w="1312"/>
        <w:gridCol w:w="3134"/>
      </w:tblGrid>
      <w:tr w:rsidR="00C76F70" w:rsidRPr="00C76F70" w14:paraId="231556D3" w14:textId="77777777" w:rsidTr="000F49F3">
        <w:trPr>
          <w:trHeight w:val="182"/>
        </w:trPr>
        <w:tc>
          <w:tcPr>
            <w:tcW w:w="999" w:type="dxa"/>
            <w:tcMar>
              <w:top w:w="0" w:type="dxa"/>
              <w:left w:w="0" w:type="dxa"/>
              <w:bottom w:w="0" w:type="dxa"/>
              <w:right w:w="0" w:type="dxa"/>
            </w:tcMar>
          </w:tcPr>
          <w:p w14:paraId="6869196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1"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.01</w:t>
            </w:r>
          </w:p>
        </w:tc>
        <w:tc>
          <w:tcPr>
            <w:tcW w:w="3695" w:type="dxa"/>
            <w:tcMar>
              <w:top w:w="0" w:type="dxa"/>
              <w:left w:w="0" w:type="dxa"/>
              <w:bottom w:w="0" w:type="dxa"/>
              <w:right w:w="0" w:type="dxa"/>
            </w:tcMar>
          </w:tcPr>
          <w:p w14:paraId="23017B8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1" w:lineRule="atLeast"/>
              <w:ind w:left="87"/>
              <w:jc w:val="both"/>
              <w:rPr>
                <w:rFonts w:ascii="Arial" w:eastAsia="Cambria" w:hAnsi="Arial" w:cs="Times New Roman"/>
                <w:sz w:val="20"/>
              </w:rPr>
            </w:pPr>
            <w:r w:rsidRPr="00C76F70">
              <w:rPr>
                <w:rFonts w:ascii="Arial" w:eastAsia="Arial" w:hAnsi="Arial" w:cs="Arial"/>
                <w:spacing w:val="-2"/>
                <w:sz w:val="16"/>
              </w:rPr>
              <w:t>Definitions</w:t>
            </w:r>
          </w:p>
        </w:tc>
        <w:tc>
          <w:tcPr>
            <w:tcW w:w="1344" w:type="dxa"/>
            <w:tcMar>
              <w:top w:w="0" w:type="dxa"/>
              <w:left w:w="0" w:type="dxa"/>
              <w:bottom w:w="0" w:type="dxa"/>
              <w:right w:w="0" w:type="dxa"/>
            </w:tcMar>
          </w:tcPr>
          <w:p w14:paraId="0AEC0F4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1"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.10</w:t>
            </w:r>
          </w:p>
        </w:tc>
        <w:tc>
          <w:tcPr>
            <w:tcW w:w="3187" w:type="dxa"/>
            <w:tcMar>
              <w:top w:w="0" w:type="dxa"/>
              <w:left w:w="0" w:type="dxa"/>
              <w:bottom w:w="0" w:type="dxa"/>
              <w:right w:w="0" w:type="dxa"/>
            </w:tcMar>
          </w:tcPr>
          <w:p w14:paraId="1D13FE7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1" w:lineRule="atLeast"/>
              <w:ind w:left="88"/>
              <w:jc w:val="both"/>
              <w:rPr>
                <w:rFonts w:ascii="Arial" w:eastAsia="Cambria" w:hAnsi="Arial" w:cs="Times New Roman"/>
                <w:sz w:val="20"/>
              </w:rPr>
            </w:pPr>
            <w:r w:rsidRPr="00C76F70">
              <w:rPr>
                <w:rFonts w:ascii="Arial" w:eastAsia="Arial" w:hAnsi="Arial" w:cs="Arial"/>
                <w:spacing w:val="-4"/>
                <w:sz w:val="16"/>
              </w:rPr>
              <w:t>Fees</w:t>
            </w:r>
          </w:p>
        </w:tc>
      </w:tr>
      <w:tr w:rsidR="00C76F70" w:rsidRPr="00C76F70" w14:paraId="513D1444" w14:textId="77777777" w:rsidTr="000F49F3">
        <w:trPr>
          <w:trHeight w:val="183"/>
        </w:trPr>
        <w:tc>
          <w:tcPr>
            <w:tcW w:w="999" w:type="dxa"/>
            <w:tcMar>
              <w:top w:w="0" w:type="dxa"/>
              <w:left w:w="0" w:type="dxa"/>
              <w:bottom w:w="0" w:type="dxa"/>
              <w:right w:w="0" w:type="dxa"/>
            </w:tcMar>
          </w:tcPr>
          <w:p w14:paraId="04B0965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.02</w:t>
            </w:r>
          </w:p>
        </w:tc>
        <w:tc>
          <w:tcPr>
            <w:tcW w:w="3695" w:type="dxa"/>
            <w:tcMar>
              <w:top w:w="0" w:type="dxa"/>
              <w:left w:w="0" w:type="dxa"/>
              <w:bottom w:w="0" w:type="dxa"/>
              <w:right w:w="0" w:type="dxa"/>
            </w:tcMar>
          </w:tcPr>
          <w:p w14:paraId="0584A8E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Violations</w:t>
            </w:r>
            <w:r w:rsidRPr="00C76F70">
              <w:rPr>
                <w:rFonts w:ascii="Arial" w:eastAsia="Arial" w:hAnsi="Arial" w:cs="Arial"/>
                <w:spacing w:val="-10"/>
                <w:sz w:val="16"/>
              </w:rPr>
              <w:t xml:space="preserve"> </w:t>
            </w:r>
            <w:r w:rsidRPr="00C76F70">
              <w:rPr>
                <w:rFonts w:ascii="Arial" w:eastAsia="Arial" w:hAnsi="Arial" w:cs="Arial"/>
                <w:sz w:val="16"/>
              </w:rPr>
              <w:t>Constitute</w:t>
            </w:r>
            <w:r w:rsidRPr="00C76F70">
              <w:rPr>
                <w:rFonts w:ascii="Arial" w:eastAsia="Arial" w:hAnsi="Arial" w:cs="Arial"/>
                <w:spacing w:val="-10"/>
                <w:sz w:val="16"/>
              </w:rPr>
              <w:t xml:space="preserve"> </w:t>
            </w:r>
            <w:r w:rsidRPr="00C76F70">
              <w:rPr>
                <w:rFonts w:ascii="Arial" w:eastAsia="Arial" w:hAnsi="Arial" w:cs="Arial"/>
                <w:sz w:val="16"/>
              </w:rPr>
              <w:t>Unprofessional</w:t>
            </w:r>
            <w:r w:rsidRPr="00C76F70">
              <w:rPr>
                <w:rFonts w:ascii="Arial" w:eastAsia="Arial" w:hAnsi="Arial" w:cs="Arial"/>
                <w:spacing w:val="-8"/>
                <w:sz w:val="16"/>
              </w:rPr>
              <w:t xml:space="preserve"> </w:t>
            </w:r>
            <w:r w:rsidRPr="00C76F70">
              <w:rPr>
                <w:rFonts w:ascii="Arial" w:eastAsia="Arial" w:hAnsi="Arial" w:cs="Arial"/>
                <w:spacing w:val="-2"/>
                <w:sz w:val="16"/>
              </w:rPr>
              <w:t>Conduct</w:t>
            </w:r>
          </w:p>
        </w:tc>
        <w:tc>
          <w:tcPr>
            <w:tcW w:w="1344" w:type="dxa"/>
            <w:tcMar>
              <w:top w:w="0" w:type="dxa"/>
              <w:left w:w="0" w:type="dxa"/>
              <w:bottom w:w="0" w:type="dxa"/>
              <w:right w:w="0" w:type="dxa"/>
            </w:tcMar>
          </w:tcPr>
          <w:p w14:paraId="4D5168B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.11</w:t>
            </w:r>
          </w:p>
        </w:tc>
        <w:tc>
          <w:tcPr>
            <w:tcW w:w="3187" w:type="dxa"/>
            <w:tcMar>
              <w:top w:w="0" w:type="dxa"/>
              <w:left w:w="0" w:type="dxa"/>
              <w:bottom w:w="0" w:type="dxa"/>
              <w:right w:w="0" w:type="dxa"/>
            </w:tcMar>
          </w:tcPr>
          <w:p w14:paraId="472AD51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8"/>
              <w:jc w:val="both"/>
              <w:rPr>
                <w:rFonts w:ascii="Arial" w:eastAsia="Cambria" w:hAnsi="Arial" w:cs="Times New Roman"/>
                <w:sz w:val="20"/>
              </w:rPr>
            </w:pPr>
            <w:r w:rsidRPr="00C76F70">
              <w:rPr>
                <w:rFonts w:ascii="Arial" w:eastAsia="Arial" w:hAnsi="Arial" w:cs="Arial"/>
                <w:sz w:val="16"/>
              </w:rPr>
              <w:t>Controlled</w:t>
            </w:r>
            <w:r w:rsidRPr="00C76F70">
              <w:rPr>
                <w:rFonts w:ascii="Arial" w:eastAsia="Arial" w:hAnsi="Arial" w:cs="Arial"/>
                <w:spacing w:val="-8"/>
                <w:sz w:val="16"/>
              </w:rPr>
              <w:t xml:space="preserve"> </w:t>
            </w:r>
            <w:r w:rsidRPr="00C76F70">
              <w:rPr>
                <w:rFonts w:ascii="Arial" w:eastAsia="Arial" w:hAnsi="Arial" w:cs="Arial"/>
                <w:sz w:val="16"/>
              </w:rPr>
              <w:t>Substance</w:t>
            </w:r>
            <w:r w:rsidRPr="00C76F70">
              <w:rPr>
                <w:rFonts w:ascii="Arial" w:eastAsia="Arial" w:hAnsi="Arial" w:cs="Arial"/>
                <w:spacing w:val="-5"/>
                <w:sz w:val="16"/>
              </w:rPr>
              <w:t xml:space="preserve"> </w:t>
            </w:r>
            <w:r w:rsidRPr="00C76F70">
              <w:rPr>
                <w:rFonts w:ascii="Arial" w:eastAsia="Arial" w:hAnsi="Arial" w:cs="Arial"/>
                <w:spacing w:val="-2"/>
                <w:sz w:val="16"/>
              </w:rPr>
              <w:t>Registration</w:t>
            </w:r>
          </w:p>
        </w:tc>
      </w:tr>
      <w:tr w:rsidR="00C76F70" w:rsidRPr="00C76F70" w14:paraId="11569840" w14:textId="77777777" w:rsidTr="000F49F3">
        <w:trPr>
          <w:trHeight w:val="183"/>
        </w:trPr>
        <w:tc>
          <w:tcPr>
            <w:tcW w:w="999" w:type="dxa"/>
            <w:tcMar>
              <w:top w:w="0" w:type="dxa"/>
              <w:left w:w="0" w:type="dxa"/>
              <w:bottom w:w="0" w:type="dxa"/>
              <w:right w:w="0" w:type="dxa"/>
            </w:tcMar>
          </w:tcPr>
          <w:p w14:paraId="2F3F50C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.03</w:t>
            </w:r>
          </w:p>
        </w:tc>
        <w:tc>
          <w:tcPr>
            <w:tcW w:w="3695" w:type="dxa"/>
            <w:tcMar>
              <w:top w:w="0" w:type="dxa"/>
              <w:left w:w="0" w:type="dxa"/>
              <w:bottom w:w="0" w:type="dxa"/>
              <w:right w:w="0" w:type="dxa"/>
            </w:tcMar>
          </w:tcPr>
          <w:p w14:paraId="2B0B384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Application</w:t>
            </w:r>
            <w:r w:rsidRPr="00C76F70">
              <w:rPr>
                <w:rFonts w:ascii="Arial" w:eastAsia="Arial" w:hAnsi="Arial" w:cs="Arial"/>
                <w:spacing w:val="-7"/>
                <w:sz w:val="16"/>
              </w:rPr>
              <w:t xml:space="preserve"> </w:t>
            </w:r>
            <w:r w:rsidRPr="00C76F70">
              <w:rPr>
                <w:rFonts w:ascii="Arial" w:eastAsia="Arial" w:hAnsi="Arial" w:cs="Arial"/>
                <w:sz w:val="16"/>
              </w:rPr>
              <w:t>for</w:t>
            </w:r>
            <w:r w:rsidRPr="00C76F70">
              <w:rPr>
                <w:rFonts w:ascii="Arial" w:eastAsia="Arial" w:hAnsi="Arial" w:cs="Arial"/>
                <w:spacing w:val="-7"/>
                <w:sz w:val="16"/>
              </w:rPr>
              <w:t xml:space="preserve"> </w:t>
            </w:r>
            <w:r w:rsidRPr="00C76F70">
              <w:rPr>
                <w:rFonts w:ascii="Arial" w:eastAsia="Arial" w:hAnsi="Arial" w:cs="Arial"/>
                <w:sz w:val="16"/>
              </w:rPr>
              <w:t>Pharmacist</w:t>
            </w:r>
            <w:r w:rsidRPr="00C76F70">
              <w:rPr>
                <w:rFonts w:ascii="Arial" w:eastAsia="Arial" w:hAnsi="Arial" w:cs="Arial"/>
                <w:spacing w:val="-3"/>
                <w:sz w:val="16"/>
              </w:rPr>
              <w:t xml:space="preserve"> </w:t>
            </w:r>
            <w:r w:rsidRPr="00C76F70">
              <w:rPr>
                <w:rFonts w:ascii="Arial" w:eastAsia="Arial" w:hAnsi="Arial" w:cs="Arial"/>
                <w:spacing w:val="-2"/>
                <w:sz w:val="16"/>
              </w:rPr>
              <w:t>License</w:t>
            </w:r>
          </w:p>
        </w:tc>
        <w:tc>
          <w:tcPr>
            <w:tcW w:w="1344" w:type="dxa"/>
            <w:tcMar>
              <w:top w:w="0" w:type="dxa"/>
              <w:left w:w="0" w:type="dxa"/>
              <w:bottom w:w="0" w:type="dxa"/>
              <w:right w:w="0" w:type="dxa"/>
            </w:tcMar>
          </w:tcPr>
          <w:p w14:paraId="687B3FB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.12</w:t>
            </w:r>
          </w:p>
        </w:tc>
        <w:tc>
          <w:tcPr>
            <w:tcW w:w="3187" w:type="dxa"/>
            <w:tcMar>
              <w:top w:w="0" w:type="dxa"/>
              <w:left w:w="0" w:type="dxa"/>
              <w:bottom w:w="0" w:type="dxa"/>
              <w:right w:w="0" w:type="dxa"/>
            </w:tcMar>
          </w:tcPr>
          <w:p w14:paraId="5B48C26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8"/>
              <w:jc w:val="both"/>
              <w:rPr>
                <w:rFonts w:ascii="Arial" w:eastAsia="Cambria" w:hAnsi="Arial" w:cs="Times New Roman"/>
                <w:sz w:val="20"/>
              </w:rPr>
            </w:pPr>
            <w:r w:rsidRPr="00C76F70">
              <w:rPr>
                <w:rFonts w:ascii="Arial" w:eastAsia="Arial" w:hAnsi="Arial" w:cs="Arial"/>
                <w:sz w:val="16"/>
              </w:rPr>
              <w:t>Sterile</w:t>
            </w:r>
            <w:r w:rsidRPr="00C76F70">
              <w:rPr>
                <w:rFonts w:ascii="Arial" w:eastAsia="Arial" w:hAnsi="Arial" w:cs="Arial"/>
                <w:spacing w:val="-6"/>
                <w:sz w:val="16"/>
              </w:rPr>
              <w:t xml:space="preserve"> </w:t>
            </w:r>
            <w:r w:rsidRPr="00C76F70">
              <w:rPr>
                <w:rFonts w:ascii="Arial" w:eastAsia="Arial" w:hAnsi="Arial" w:cs="Arial"/>
                <w:sz w:val="16"/>
              </w:rPr>
              <w:t>Product</w:t>
            </w:r>
            <w:r w:rsidRPr="00C76F70">
              <w:rPr>
                <w:rFonts w:ascii="Arial" w:eastAsia="Arial" w:hAnsi="Arial" w:cs="Arial"/>
                <w:spacing w:val="-5"/>
                <w:sz w:val="16"/>
              </w:rPr>
              <w:t xml:space="preserve"> </w:t>
            </w:r>
            <w:r w:rsidRPr="00C76F70">
              <w:rPr>
                <w:rFonts w:ascii="Arial" w:eastAsia="Arial" w:hAnsi="Arial" w:cs="Arial"/>
                <w:spacing w:val="-2"/>
                <w:sz w:val="16"/>
              </w:rPr>
              <w:t>Registration</w:t>
            </w:r>
          </w:p>
        </w:tc>
      </w:tr>
      <w:tr w:rsidR="00C76F70" w:rsidRPr="00C76F70" w14:paraId="45A52CCF" w14:textId="77777777" w:rsidTr="000F49F3">
        <w:trPr>
          <w:trHeight w:val="184"/>
        </w:trPr>
        <w:tc>
          <w:tcPr>
            <w:tcW w:w="999" w:type="dxa"/>
            <w:tcMar>
              <w:top w:w="0" w:type="dxa"/>
              <w:left w:w="0" w:type="dxa"/>
              <w:bottom w:w="0" w:type="dxa"/>
              <w:right w:w="0" w:type="dxa"/>
            </w:tcMar>
          </w:tcPr>
          <w:p w14:paraId="421B96E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.04</w:t>
            </w:r>
          </w:p>
        </w:tc>
        <w:tc>
          <w:tcPr>
            <w:tcW w:w="3695" w:type="dxa"/>
            <w:tcMar>
              <w:top w:w="0" w:type="dxa"/>
              <w:left w:w="0" w:type="dxa"/>
              <w:bottom w:w="0" w:type="dxa"/>
              <w:right w:w="0" w:type="dxa"/>
            </w:tcMar>
          </w:tcPr>
          <w:p w14:paraId="3778287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left="87"/>
              <w:jc w:val="both"/>
              <w:rPr>
                <w:rFonts w:ascii="Arial" w:eastAsia="Cambria" w:hAnsi="Arial" w:cs="Times New Roman"/>
                <w:sz w:val="20"/>
              </w:rPr>
            </w:pPr>
            <w:r w:rsidRPr="00C76F70">
              <w:rPr>
                <w:rFonts w:ascii="Arial" w:eastAsia="Arial" w:hAnsi="Arial" w:cs="Arial"/>
                <w:sz w:val="16"/>
              </w:rPr>
              <w:t>Pharmacy</w:t>
            </w:r>
            <w:r w:rsidRPr="00C76F70">
              <w:rPr>
                <w:rFonts w:ascii="Arial" w:eastAsia="Arial" w:hAnsi="Arial" w:cs="Arial"/>
                <w:spacing w:val="-6"/>
                <w:sz w:val="16"/>
              </w:rPr>
              <w:t xml:space="preserve"> </w:t>
            </w:r>
            <w:r w:rsidRPr="00C76F70">
              <w:rPr>
                <w:rFonts w:ascii="Arial" w:eastAsia="Arial" w:hAnsi="Arial" w:cs="Arial"/>
                <w:spacing w:val="-2"/>
                <w:sz w:val="16"/>
              </w:rPr>
              <w:t>Internship</w:t>
            </w:r>
          </w:p>
        </w:tc>
        <w:tc>
          <w:tcPr>
            <w:tcW w:w="1344" w:type="dxa"/>
            <w:tcMar>
              <w:top w:w="0" w:type="dxa"/>
              <w:left w:w="0" w:type="dxa"/>
              <w:bottom w:w="0" w:type="dxa"/>
              <w:right w:w="0" w:type="dxa"/>
            </w:tcMar>
          </w:tcPr>
          <w:p w14:paraId="17B4C78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.13</w:t>
            </w:r>
          </w:p>
        </w:tc>
        <w:tc>
          <w:tcPr>
            <w:tcW w:w="3187" w:type="dxa"/>
            <w:tcMar>
              <w:top w:w="0" w:type="dxa"/>
              <w:left w:w="0" w:type="dxa"/>
              <w:bottom w:w="0" w:type="dxa"/>
              <w:right w:w="0" w:type="dxa"/>
            </w:tcMar>
          </w:tcPr>
          <w:p w14:paraId="0D565FC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left="88"/>
              <w:jc w:val="both"/>
              <w:rPr>
                <w:rFonts w:ascii="Arial" w:eastAsia="Cambria" w:hAnsi="Arial" w:cs="Times New Roman"/>
                <w:sz w:val="20"/>
              </w:rPr>
            </w:pPr>
            <w:r w:rsidRPr="00C76F70">
              <w:rPr>
                <w:rFonts w:ascii="Arial" w:eastAsia="Arial" w:hAnsi="Arial" w:cs="Arial"/>
                <w:sz w:val="16"/>
              </w:rPr>
              <w:t>Standards</w:t>
            </w:r>
            <w:r w:rsidRPr="00C76F70">
              <w:rPr>
                <w:rFonts w:ascii="Arial" w:eastAsia="Arial" w:hAnsi="Arial" w:cs="Arial"/>
                <w:spacing w:val="-4"/>
                <w:sz w:val="16"/>
              </w:rPr>
              <w:t xml:space="preserve"> </w:t>
            </w:r>
            <w:r w:rsidRPr="00C76F70">
              <w:rPr>
                <w:rFonts w:ascii="Arial" w:eastAsia="Arial" w:hAnsi="Arial" w:cs="Arial"/>
                <w:sz w:val="16"/>
              </w:rPr>
              <w:t>for</w:t>
            </w:r>
            <w:r w:rsidRPr="00C76F70">
              <w:rPr>
                <w:rFonts w:ascii="Arial" w:eastAsia="Arial" w:hAnsi="Arial" w:cs="Arial"/>
                <w:spacing w:val="-7"/>
                <w:sz w:val="16"/>
              </w:rPr>
              <w:t xml:space="preserve"> </w:t>
            </w:r>
            <w:r w:rsidRPr="00C76F70">
              <w:rPr>
                <w:rFonts w:ascii="Arial" w:eastAsia="Arial" w:hAnsi="Arial" w:cs="Arial"/>
                <w:sz w:val="16"/>
              </w:rPr>
              <w:t>Pharmacies</w:t>
            </w:r>
            <w:r w:rsidRPr="00C76F70">
              <w:rPr>
                <w:rFonts w:ascii="Arial" w:eastAsia="Arial" w:hAnsi="Arial" w:cs="Arial"/>
                <w:spacing w:val="-4"/>
                <w:sz w:val="16"/>
              </w:rPr>
              <w:t xml:space="preserve"> </w:t>
            </w:r>
            <w:r w:rsidRPr="00C76F70">
              <w:rPr>
                <w:rFonts w:ascii="Arial" w:eastAsia="Arial" w:hAnsi="Arial" w:cs="Arial"/>
                <w:sz w:val="16"/>
              </w:rPr>
              <w:t>and</w:t>
            </w:r>
            <w:r w:rsidRPr="00C76F70">
              <w:rPr>
                <w:rFonts w:ascii="Arial" w:eastAsia="Arial" w:hAnsi="Arial" w:cs="Arial"/>
                <w:spacing w:val="-7"/>
                <w:sz w:val="16"/>
              </w:rPr>
              <w:t xml:space="preserve"> </w:t>
            </w:r>
            <w:r w:rsidRPr="00C76F70">
              <w:rPr>
                <w:rFonts w:ascii="Arial" w:eastAsia="Arial" w:hAnsi="Arial" w:cs="Arial"/>
                <w:spacing w:val="-2"/>
                <w:sz w:val="16"/>
              </w:rPr>
              <w:t>Prescription</w:t>
            </w:r>
          </w:p>
        </w:tc>
      </w:tr>
      <w:tr w:rsidR="00C76F70" w:rsidRPr="00C76F70" w14:paraId="692F2908" w14:textId="77777777" w:rsidTr="000F49F3">
        <w:trPr>
          <w:trHeight w:val="183"/>
        </w:trPr>
        <w:tc>
          <w:tcPr>
            <w:tcW w:w="999" w:type="dxa"/>
            <w:tcMar>
              <w:top w:w="0" w:type="dxa"/>
              <w:left w:w="0" w:type="dxa"/>
              <w:bottom w:w="0" w:type="dxa"/>
              <w:right w:w="0" w:type="dxa"/>
            </w:tcMar>
          </w:tcPr>
          <w:p w14:paraId="6CB4E10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.05</w:t>
            </w:r>
          </w:p>
        </w:tc>
        <w:tc>
          <w:tcPr>
            <w:tcW w:w="3695" w:type="dxa"/>
            <w:tcMar>
              <w:top w:w="0" w:type="dxa"/>
              <w:left w:w="0" w:type="dxa"/>
              <w:bottom w:w="0" w:type="dxa"/>
              <w:right w:w="0" w:type="dxa"/>
            </w:tcMar>
          </w:tcPr>
          <w:p w14:paraId="7229D5F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Licensing</w:t>
            </w:r>
            <w:r w:rsidRPr="00C76F70">
              <w:rPr>
                <w:rFonts w:ascii="Arial" w:eastAsia="Arial" w:hAnsi="Arial" w:cs="Arial"/>
                <w:spacing w:val="-7"/>
                <w:sz w:val="16"/>
              </w:rPr>
              <w:t xml:space="preserve"> </w:t>
            </w:r>
            <w:r w:rsidRPr="00C76F70">
              <w:rPr>
                <w:rFonts w:ascii="Arial" w:eastAsia="Arial" w:hAnsi="Arial" w:cs="Arial"/>
                <w:spacing w:val="-2"/>
                <w:sz w:val="16"/>
              </w:rPr>
              <w:t>Examinations</w:t>
            </w:r>
          </w:p>
        </w:tc>
        <w:tc>
          <w:tcPr>
            <w:tcW w:w="1344" w:type="dxa"/>
            <w:tcMar>
              <w:top w:w="0" w:type="dxa"/>
              <w:left w:w="0" w:type="dxa"/>
              <w:bottom w:w="0" w:type="dxa"/>
              <w:right w:w="0" w:type="dxa"/>
            </w:tcMar>
          </w:tcPr>
          <w:p w14:paraId="4A020121" w14:textId="77777777" w:rsidR="00C76F70" w:rsidRPr="00C76F70" w:rsidRDefault="00C76F70" w:rsidP="00C76F70">
            <w:pPr>
              <w:pBdr>
                <w:top w:val="none" w:sz="4" w:space="0" w:color="000000"/>
                <w:left w:val="none" w:sz="4" w:space="0" w:color="000000"/>
                <w:bottom w:val="none" w:sz="4" w:space="0" w:color="000000"/>
                <w:right w:val="none" w:sz="4" w:space="0" w:color="000000"/>
              </w:pBdr>
              <w:jc w:val="both"/>
              <w:rPr>
                <w:rFonts w:ascii="Arial" w:eastAsia="Cambria" w:hAnsi="Arial" w:cs="Times New Roman"/>
                <w:sz w:val="20"/>
              </w:rPr>
            </w:pPr>
            <w:r w:rsidRPr="00C76F70">
              <w:rPr>
                <w:rFonts w:ascii="Times New Roman" w:eastAsia="Times New Roman" w:hAnsi="Times New Roman" w:cs="Times New Roman"/>
                <w:sz w:val="12"/>
              </w:rPr>
              <w:t> </w:t>
            </w:r>
          </w:p>
        </w:tc>
        <w:tc>
          <w:tcPr>
            <w:tcW w:w="3187" w:type="dxa"/>
            <w:tcMar>
              <w:top w:w="0" w:type="dxa"/>
              <w:left w:w="0" w:type="dxa"/>
              <w:bottom w:w="0" w:type="dxa"/>
              <w:right w:w="0" w:type="dxa"/>
            </w:tcMar>
          </w:tcPr>
          <w:p w14:paraId="49F222D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8"/>
              <w:jc w:val="both"/>
              <w:rPr>
                <w:rFonts w:ascii="Arial" w:eastAsia="Cambria" w:hAnsi="Arial" w:cs="Times New Roman"/>
                <w:sz w:val="20"/>
              </w:rPr>
            </w:pPr>
            <w:r w:rsidRPr="00C76F70">
              <w:rPr>
                <w:rFonts w:ascii="Arial" w:eastAsia="Arial" w:hAnsi="Arial" w:cs="Arial"/>
                <w:sz w:val="16"/>
              </w:rPr>
              <w:t>Department</w:t>
            </w:r>
            <w:r w:rsidRPr="00C76F70">
              <w:rPr>
                <w:rFonts w:ascii="Arial" w:eastAsia="Arial" w:hAnsi="Arial" w:cs="Arial"/>
                <w:spacing w:val="-8"/>
                <w:sz w:val="16"/>
              </w:rPr>
              <w:t xml:space="preserve"> </w:t>
            </w:r>
            <w:r w:rsidRPr="00C76F70">
              <w:rPr>
                <w:rFonts w:ascii="Arial" w:eastAsia="Arial" w:hAnsi="Arial" w:cs="Arial"/>
                <w:spacing w:val="-2"/>
                <w:sz w:val="16"/>
              </w:rPr>
              <w:t>Security</w:t>
            </w:r>
          </w:p>
        </w:tc>
      </w:tr>
      <w:tr w:rsidR="00C76F70" w:rsidRPr="00C76F70" w14:paraId="554D3897" w14:textId="77777777" w:rsidTr="000F49F3">
        <w:trPr>
          <w:trHeight w:val="183"/>
        </w:trPr>
        <w:tc>
          <w:tcPr>
            <w:tcW w:w="999" w:type="dxa"/>
            <w:tcMar>
              <w:top w:w="0" w:type="dxa"/>
              <w:left w:w="0" w:type="dxa"/>
              <w:bottom w:w="0" w:type="dxa"/>
              <w:right w:w="0" w:type="dxa"/>
            </w:tcMar>
          </w:tcPr>
          <w:p w14:paraId="5146081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.06</w:t>
            </w:r>
          </w:p>
        </w:tc>
        <w:tc>
          <w:tcPr>
            <w:tcW w:w="3695" w:type="dxa"/>
            <w:tcMar>
              <w:top w:w="0" w:type="dxa"/>
              <w:left w:w="0" w:type="dxa"/>
              <w:bottom w:w="0" w:type="dxa"/>
              <w:right w:w="0" w:type="dxa"/>
            </w:tcMar>
          </w:tcPr>
          <w:p w14:paraId="06B0978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Summary</w:t>
            </w:r>
            <w:r w:rsidRPr="00C76F70">
              <w:rPr>
                <w:rFonts w:ascii="Arial" w:eastAsia="Arial" w:hAnsi="Arial" w:cs="Arial"/>
                <w:spacing w:val="-5"/>
                <w:sz w:val="16"/>
              </w:rPr>
              <w:t xml:space="preserve"> </w:t>
            </w:r>
            <w:r w:rsidRPr="00C76F70">
              <w:rPr>
                <w:rFonts w:ascii="Arial" w:eastAsia="Arial" w:hAnsi="Arial" w:cs="Arial"/>
                <w:sz w:val="16"/>
              </w:rPr>
              <w:t>Suspension</w:t>
            </w:r>
            <w:r w:rsidRPr="00C76F70">
              <w:rPr>
                <w:rFonts w:ascii="Arial" w:eastAsia="Arial" w:hAnsi="Arial" w:cs="Arial"/>
                <w:spacing w:val="-5"/>
                <w:sz w:val="16"/>
              </w:rPr>
              <w:t xml:space="preserve"> </w:t>
            </w:r>
            <w:r w:rsidRPr="00C76F70">
              <w:rPr>
                <w:rFonts w:ascii="Arial" w:eastAsia="Arial" w:hAnsi="Arial" w:cs="Arial"/>
                <w:sz w:val="16"/>
              </w:rPr>
              <w:t>of</w:t>
            </w:r>
            <w:r w:rsidRPr="00C76F70">
              <w:rPr>
                <w:rFonts w:ascii="Arial" w:eastAsia="Arial" w:hAnsi="Arial" w:cs="Arial"/>
                <w:spacing w:val="-5"/>
                <w:sz w:val="16"/>
              </w:rPr>
              <w:t xml:space="preserve"> </w:t>
            </w:r>
            <w:r w:rsidRPr="00C76F70">
              <w:rPr>
                <w:rFonts w:ascii="Arial" w:eastAsia="Arial" w:hAnsi="Arial" w:cs="Arial"/>
                <w:spacing w:val="-2"/>
                <w:sz w:val="16"/>
              </w:rPr>
              <w:t>License</w:t>
            </w:r>
          </w:p>
        </w:tc>
        <w:tc>
          <w:tcPr>
            <w:tcW w:w="1344" w:type="dxa"/>
            <w:tcMar>
              <w:top w:w="0" w:type="dxa"/>
              <w:left w:w="0" w:type="dxa"/>
              <w:bottom w:w="0" w:type="dxa"/>
              <w:right w:w="0" w:type="dxa"/>
            </w:tcMar>
          </w:tcPr>
          <w:p w14:paraId="3FB1A24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.14</w:t>
            </w:r>
          </w:p>
        </w:tc>
        <w:tc>
          <w:tcPr>
            <w:tcW w:w="3187" w:type="dxa"/>
            <w:tcMar>
              <w:top w:w="0" w:type="dxa"/>
              <w:left w:w="0" w:type="dxa"/>
              <w:bottom w:w="0" w:type="dxa"/>
              <w:right w:w="0" w:type="dxa"/>
            </w:tcMar>
          </w:tcPr>
          <w:p w14:paraId="1CAA88C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9"/>
              <w:jc w:val="both"/>
              <w:rPr>
                <w:rFonts w:ascii="Arial" w:eastAsia="Cambria" w:hAnsi="Arial" w:cs="Times New Roman"/>
                <w:sz w:val="20"/>
              </w:rPr>
            </w:pPr>
            <w:r w:rsidRPr="00C76F70">
              <w:rPr>
                <w:rFonts w:ascii="Arial" w:eastAsia="Arial" w:hAnsi="Arial" w:cs="Arial"/>
                <w:sz w:val="16"/>
              </w:rPr>
              <w:t>Standards</w:t>
            </w:r>
            <w:r w:rsidRPr="00C76F70">
              <w:rPr>
                <w:rFonts w:ascii="Arial" w:eastAsia="Arial" w:hAnsi="Arial" w:cs="Arial"/>
                <w:spacing w:val="-6"/>
                <w:sz w:val="16"/>
              </w:rPr>
              <w:t xml:space="preserve"> </w:t>
            </w:r>
            <w:r w:rsidRPr="00C76F70">
              <w:rPr>
                <w:rFonts w:ascii="Arial" w:eastAsia="Arial" w:hAnsi="Arial" w:cs="Arial"/>
                <w:sz w:val="16"/>
              </w:rPr>
              <w:t>for</w:t>
            </w:r>
            <w:r w:rsidRPr="00C76F70">
              <w:rPr>
                <w:rFonts w:ascii="Arial" w:eastAsia="Arial" w:hAnsi="Arial" w:cs="Arial"/>
                <w:spacing w:val="-9"/>
                <w:sz w:val="16"/>
              </w:rPr>
              <w:t xml:space="preserve"> </w:t>
            </w:r>
            <w:r w:rsidRPr="00C76F70">
              <w:rPr>
                <w:rFonts w:ascii="Arial" w:eastAsia="Arial" w:hAnsi="Arial" w:cs="Arial"/>
                <w:sz w:val="16"/>
              </w:rPr>
              <w:t>Manufacturers,</w:t>
            </w:r>
            <w:r w:rsidRPr="00C76F70">
              <w:rPr>
                <w:rFonts w:ascii="Arial" w:eastAsia="Arial" w:hAnsi="Arial" w:cs="Arial"/>
                <w:spacing w:val="-8"/>
                <w:sz w:val="16"/>
              </w:rPr>
              <w:t xml:space="preserve"> </w:t>
            </w:r>
            <w:r w:rsidRPr="00C76F70">
              <w:rPr>
                <w:rFonts w:ascii="Arial" w:eastAsia="Arial" w:hAnsi="Arial" w:cs="Arial"/>
                <w:spacing w:val="-2"/>
                <w:sz w:val="16"/>
              </w:rPr>
              <w:t>Outsourcing</w:t>
            </w:r>
          </w:p>
        </w:tc>
      </w:tr>
      <w:tr w:rsidR="00C76F70" w:rsidRPr="00C76F70" w14:paraId="5C1FE39D" w14:textId="77777777" w:rsidTr="000F49F3">
        <w:trPr>
          <w:trHeight w:val="184"/>
        </w:trPr>
        <w:tc>
          <w:tcPr>
            <w:tcW w:w="999" w:type="dxa"/>
            <w:tcMar>
              <w:top w:w="0" w:type="dxa"/>
              <w:left w:w="0" w:type="dxa"/>
              <w:bottom w:w="0" w:type="dxa"/>
              <w:right w:w="0" w:type="dxa"/>
            </w:tcMar>
          </w:tcPr>
          <w:p w14:paraId="0E80E8F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.07</w:t>
            </w:r>
          </w:p>
        </w:tc>
        <w:tc>
          <w:tcPr>
            <w:tcW w:w="3695" w:type="dxa"/>
            <w:tcMar>
              <w:top w:w="0" w:type="dxa"/>
              <w:left w:w="0" w:type="dxa"/>
              <w:bottom w:w="0" w:type="dxa"/>
              <w:right w:w="0" w:type="dxa"/>
            </w:tcMar>
          </w:tcPr>
          <w:p w14:paraId="027581E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left="87"/>
              <w:jc w:val="both"/>
              <w:rPr>
                <w:rFonts w:ascii="Arial" w:eastAsia="Cambria" w:hAnsi="Arial" w:cs="Times New Roman"/>
                <w:sz w:val="20"/>
              </w:rPr>
            </w:pPr>
            <w:r w:rsidRPr="00C76F70">
              <w:rPr>
                <w:rFonts w:ascii="Arial" w:eastAsia="Arial" w:hAnsi="Arial" w:cs="Arial"/>
                <w:sz w:val="16"/>
              </w:rPr>
              <w:t>Inactive</w:t>
            </w:r>
            <w:r w:rsidRPr="00C76F70">
              <w:rPr>
                <w:rFonts w:ascii="Arial" w:eastAsia="Arial" w:hAnsi="Arial" w:cs="Arial"/>
                <w:spacing w:val="-5"/>
                <w:sz w:val="16"/>
              </w:rPr>
              <w:t xml:space="preserve"> </w:t>
            </w:r>
            <w:r w:rsidRPr="00C76F70">
              <w:rPr>
                <w:rFonts w:ascii="Arial" w:eastAsia="Arial" w:hAnsi="Arial" w:cs="Arial"/>
                <w:sz w:val="16"/>
              </w:rPr>
              <w:t>Licenses</w:t>
            </w:r>
            <w:r w:rsidRPr="00C76F70">
              <w:rPr>
                <w:rFonts w:ascii="Arial" w:eastAsia="Arial" w:hAnsi="Arial" w:cs="Arial"/>
                <w:spacing w:val="-5"/>
                <w:sz w:val="16"/>
              </w:rPr>
              <w:t xml:space="preserve"> </w:t>
            </w:r>
            <w:r w:rsidRPr="00C76F70">
              <w:rPr>
                <w:rFonts w:ascii="Arial" w:eastAsia="Arial" w:hAnsi="Arial" w:cs="Arial"/>
                <w:sz w:val="16"/>
              </w:rPr>
              <w:t>and</w:t>
            </w:r>
            <w:r w:rsidRPr="00C76F70">
              <w:rPr>
                <w:rFonts w:ascii="Arial" w:eastAsia="Arial" w:hAnsi="Arial" w:cs="Arial"/>
                <w:spacing w:val="-5"/>
                <w:sz w:val="16"/>
              </w:rPr>
              <w:t xml:space="preserve"> </w:t>
            </w:r>
            <w:r w:rsidRPr="00C76F70">
              <w:rPr>
                <w:rFonts w:ascii="Arial" w:eastAsia="Arial" w:hAnsi="Arial" w:cs="Arial"/>
                <w:sz w:val="16"/>
              </w:rPr>
              <w:t>License</w:t>
            </w:r>
            <w:r w:rsidRPr="00C76F70">
              <w:rPr>
                <w:rFonts w:ascii="Arial" w:eastAsia="Arial" w:hAnsi="Arial" w:cs="Arial"/>
                <w:spacing w:val="-5"/>
                <w:sz w:val="16"/>
              </w:rPr>
              <w:t xml:space="preserve"> </w:t>
            </w:r>
            <w:r w:rsidRPr="00C76F70">
              <w:rPr>
                <w:rFonts w:ascii="Arial" w:eastAsia="Arial" w:hAnsi="Arial" w:cs="Arial"/>
                <w:spacing w:val="-2"/>
                <w:sz w:val="16"/>
              </w:rPr>
              <w:t>Reinstatement</w:t>
            </w:r>
          </w:p>
        </w:tc>
        <w:tc>
          <w:tcPr>
            <w:tcW w:w="1344" w:type="dxa"/>
            <w:tcMar>
              <w:top w:w="0" w:type="dxa"/>
              <w:left w:w="0" w:type="dxa"/>
              <w:bottom w:w="0" w:type="dxa"/>
              <w:right w:w="0" w:type="dxa"/>
            </w:tcMar>
          </w:tcPr>
          <w:p w14:paraId="71063E28" w14:textId="77777777" w:rsidR="00C76F70" w:rsidRPr="00C76F70" w:rsidRDefault="00C76F70" w:rsidP="00C76F70">
            <w:pPr>
              <w:pBdr>
                <w:top w:val="none" w:sz="4" w:space="0" w:color="000000"/>
                <w:left w:val="none" w:sz="4" w:space="0" w:color="000000"/>
                <w:bottom w:val="none" w:sz="4" w:space="0" w:color="000000"/>
                <w:right w:val="none" w:sz="4" w:space="0" w:color="000000"/>
              </w:pBdr>
              <w:jc w:val="both"/>
              <w:rPr>
                <w:rFonts w:ascii="Arial" w:eastAsia="Cambria" w:hAnsi="Arial" w:cs="Times New Roman"/>
                <w:sz w:val="20"/>
              </w:rPr>
            </w:pPr>
            <w:r w:rsidRPr="00C76F70">
              <w:rPr>
                <w:rFonts w:ascii="Times New Roman" w:eastAsia="Times New Roman" w:hAnsi="Times New Roman" w:cs="Times New Roman"/>
                <w:sz w:val="12"/>
              </w:rPr>
              <w:t> </w:t>
            </w:r>
          </w:p>
        </w:tc>
        <w:tc>
          <w:tcPr>
            <w:tcW w:w="3187" w:type="dxa"/>
            <w:tcMar>
              <w:top w:w="0" w:type="dxa"/>
              <w:left w:w="0" w:type="dxa"/>
              <w:bottom w:w="0" w:type="dxa"/>
              <w:right w:w="0" w:type="dxa"/>
            </w:tcMar>
          </w:tcPr>
          <w:p w14:paraId="178B754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5" w:lineRule="atLeast"/>
              <w:ind w:left="89"/>
              <w:jc w:val="both"/>
              <w:rPr>
                <w:rFonts w:ascii="Arial" w:eastAsia="Cambria" w:hAnsi="Arial" w:cs="Times New Roman"/>
                <w:sz w:val="20"/>
              </w:rPr>
            </w:pPr>
            <w:r w:rsidRPr="00C76F70">
              <w:rPr>
                <w:rFonts w:ascii="Arial" w:eastAsia="Arial" w:hAnsi="Arial" w:cs="Arial"/>
                <w:sz w:val="16"/>
              </w:rPr>
              <w:t>Facilities,</w:t>
            </w:r>
            <w:r w:rsidRPr="00C76F70">
              <w:rPr>
                <w:rFonts w:ascii="Arial" w:eastAsia="Arial" w:hAnsi="Arial" w:cs="Arial"/>
                <w:spacing w:val="-8"/>
                <w:sz w:val="16"/>
              </w:rPr>
              <w:t xml:space="preserve"> </w:t>
            </w:r>
            <w:r w:rsidRPr="00C76F70">
              <w:rPr>
                <w:rFonts w:ascii="Arial" w:eastAsia="Arial" w:hAnsi="Arial" w:cs="Arial"/>
                <w:sz w:val="16"/>
              </w:rPr>
              <w:t>Oxygen</w:t>
            </w:r>
            <w:r w:rsidRPr="00C76F70">
              <w:rPr>
                <w:rFonts w:ascii="Arial" w:eastAsia="Arial" w:hAnsi="Arial" w:cs="Arial"/>
                <w:spacing w:val="-7"/>
                <w:sz w:val="16"/>
              </w:rPr>
              <w:t xml:space="preserve"> </w:t>
            </w:r>
            <w:r w:rsidRPr="00C76F70">
              <w:rPr>
                <w:rFonts w:ascii="Arial" w:eastAsia="Arial" w:hAnsi="Arial" w:cs="Arial"/>
                <w:sz w:val="16"/>
              </w:rPr>
              <w:t>Suppliers</w:t>
            </w:r>
            <w:r w:rsidRPr="00C76F70">
              <w:rPr>
                <w:rFonts w:ascii="Arial" w:eastAsia="Arial" w:hAnsi="Arial" w:cs="Arial"/>
                <w:spacing w:val="-5"/>
                <w:sz w:val="16"/>
              </w:rPr>
              <w:t xml:space="preserve"> and</w:t>
            </w:r>
          </w:p>
        </w:tc>
      </w:tr>
      <w:tr w:rsidR="00C76F70" w:rsidRPr="00C76F70" w14:paraId="61E75B10" w14:textId="77777777" w:rsidTr="000F49F3">
        <w:trPr>
          <w:trHeight w:val="183"/>
        </w:trPr>
        <w:tc>
          <w:tcPr>
            <w:tcW w:w="999" w:type="dxa"/>
            <w:tcMar>
              <w:top w:w="0" w:type="dxa"/>
              <w:left w:w="0" w:type="dxa"/>
              <w:bottom w:w="0" w:type="dxa"/>
              <w:right w:w="0" w:type="dxa"/>
            </w:tcMar>
          </w:tcPr>
          <w:p w14:paraId="4E6BD34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.08</w:t>
            </w:r>
          </w:p>
        </w:tc>
        <w:tc>
          <w:tcPr>
            <w:tcW w:w="3695" w:type="dxa"/>
            <w:tcMar>
              <w:top w:w="0" w:type="dxa"/>
              <w:left w:w="0" w:type="dxa"/>
              <w:bottom w:w="0" w:type="dxa"/>
              <w:right w:w="0" w:type="dxa"/>
            </w:tcMar>
          </w:tcPr>
          <w:p w14:paraId="199625F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Application</w:t>
            </w:r>
            <w:r w:rsidRPr="00C76F70">
              <w:rPr>
                <w:rFonts w:ascii="Arial" w:eastAsia="Arial" w:hAnsi="Arial" w:cs="Arial"/>
                <w:spacing w:val="-7"/>
                <w:sz w:val="16"/>
              </w:rPr>
              <w:t xml:space="preserve"> </w:t>
            </w:r>
            <w:r w:rsidRPr="00C76F70">
              <w:rPr>
                <w:rFonts w:ascii="Arial" w:eastAsia="Arial" w:hAnsi="Arial" w:cs="Arial"/>
                <w:sz w:val="16"/>
              </w:rPr>
              <w:t>for</w:t>
            </w:r>
            <w:r w:rsidRPr="00C76F70">
              <w:rPr>
                <w:rFonts w:ascii="Arial" w:eastAsia="Arial" w:hAnsi="Arial" w:cs="Arial"/>
                <w:spacing w:val="-7"/>
                <w:sz w:val="16"/>
              </w:rPr>
              <w:t xml:space="preserve"> </w:t>
            </w:r>
            <w:r w:rsidRPr="00C76F70">
              <w:rPr>
                <w:rFonts w:ascii="Arial" w:eastAsia="Arial" w:hAnsi="Arial" w:cs="Arial"/>
                <w:sz w:val="16"/>
              </w:rPr>
              <w:t>Pharmacy</w:t>
            </w:r>
            <w:r w:rsidRPr="00C76F70">
              <w:rPr>
                <w:rFonts w:ascii="Arial" w:eastAsia="Arial" w:hAnsi="Arial" w:cs="Arial"/>
                <w:spacing w:val="-6"/>
                <w:sz w:val="16"/>
              </w:rPr>
              <w:t xml:space="preserve"> </w:t>
            </w:r>
            <w:r w:rsidRPr="00C76F70">
              <w:rPr>
                <w:rFonts w:ascii="Arial" w:eastAsia="Arial" w:hAnsi="Arial" w:cs="Arial"/>
                <w:sz w:val="16"/>
              </w:rPr>
              <w:t>Practice</w:t>
            </w:r>
            <w:r w:rsidRPr="00C76F70">
              <w:rPr>
                <w:rFonts w:ascii="Arial" w:eastAsia="Arial" w:hAnsi="Arial" w:cs="Arial"/>
                <w:spacing w:val="-6"/>
                <w:sz w:val="16"/>
              </w:rPr>
              <w:t xml:space="preserve"> </w:t>
            </w:r>
            <w:r w:rsidRPr="00C76F70">
              <w:rPr>
                <w:rFonts w:ascii="Arial" w:eastAsia="Arial" w:hAnsi="Arial" w:cs="Arial"/>
                <w:spacing w:val="-4"/>
                <w:sz w:val="16"/>
              </w:rPr>
              <w:t>Site,</w:t>
            </w:r>
          </w:p>
        </w:tc>
        <w:tc>
          <w:tcPr>
            <w:tcW w:w="1344" w:type="dxa"/>
            <w:tcMar>
              <w:top w:w="0" w:type="dxa"/>
              <w:left w:w="0" w:type="dxa"/>
              <w:bottom w:w="0" w:type="dxa"/>
              <w:right w:w="0" w:type="dxa"/>
            </w:tcMar>
          </w:tcPr>
          <w:p w14:paraId="303A306B" w14:textId="77777777" w:rsidR="00C76F70" w:rsidRPr="00C76F70" w:rsidRDefault="00C76F70" w:rsidP="00C76F70">
            <w:pPr>
              <w:pBdr>
                <w:top w:val="none" w:sz="4" w:space="0" w:color="000000"/>
                <w:left w:val="none" w:sz="4" w:space="0" w:color="000000"/>
                <w:bottom w:val="none" w:sz="4" w:space="0" w:color="000000"/>
                <w:right w:val="none" w:sz="4" w:space="0" w:color="000000"/>
              </w:pBdr>
              <w:jc w:val="both"/>
              <w:rPr>
                <w:rFonts w:ascii="Arial" w:eastAsia="Cambria" w:hAnsi="Arial" w:cs="Times New Roman"/>
                <w:sz w:val="20"/>
              </w:rPr>
            </w:pPr>
            <w:r w:rsidRPr="00C76F70">
              <w:rPr>
                <w:rFonts w:ascii="Times New Roman" w:eastAsia="Times New Roman" w:hAnsi="Times New Roman" w:cs="Times New Roman"/>
                <w:sz w:val="12"/>
              </w:rPr>
              <w:t> </w:t>
            </w:r>
          </w:p>
        </w:tc>
        <w:tc>
          <w:tcPr>
            <w:tcW w:w="3187" w:type="dxa"/>
            <w:tcMar>
              <w:top w:w="0" w:type="dxa"/>
              <w:left w:w="0" w:type="dxa"/>
              <w:bottom w:w="0" w:type="dxa"/>
              <w:right w:w="0" w:type="dxa"/>
            </w:tcMar>
          </w:tcPr>
          <w:p w14:paraId="4360569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9"/>
              <w:jc w:val="both"/>
              <w:rPr>
                <w:rFonts w:ascii="Arial" w:eastAsia="Cambria" w:hAnsi="Arial" w:cs="Times New Roman"/>
                <w:sz w:val="20"/>
              </w:rPr>
            </w:pPr>
            <w:r w:rsidRPr="00C76F70">
              <w:rPr>
                <w:rFonts w:ascii="Arial" w:eastAsia="Arial" w:hAnsi="Arial" w:cs="Arial"/>
                <w:spacing w:val="-2"/>
                <w:sz w:val="16"/>
              </w:rPr>
              <w:t>Wholesalers/Distributors</w:t>
            </w:r>
          </w:p>
        </w:tc>
      </w:tr>
      <w:tr w:rsidR="00C76F70" w:rsidRPr="00C76F70" w14:paraId="04340434" w14:textId="77777777" w:rsidTr="000F49F3">
        <w:trPr>
          <w:trHeight w:val="183"/>
        </w:trPr>
        <w:tc>
          <w:tcPr>
            <w:tcW w:w="999" w:type="dxa"/>
            <w:tcMar>
              <w:top w:w="0" w:type="dxa"/>
              <w:left w:w="0" w:type="dxa"/>
              <w:bottom w:w="0" w:type="dxa"/>
              <w:right w:w="0" w:type="dxa"/>
            </w:tcMar>
          </w:tcPr>
          <w:p w14:paraId="039D5E17" w14:textId="77777777" w:rsidR="00C76F70" w:rsidRPr="00C76F70" w:rsidRDefault="00C76F70" w:rsidP="00C76F70">
            <w:pPr>
              <w:pBdr>
                <w:top w:val="none" w:sz="4" w:space="0" w:color="000000"/>
                <w:left w:val="none" w:sz="4" w:space="0" w:color="000000"/>
                <w:bottom w:val="none" w:sz="4" w:space="0" w:color="000000"/>
                <w:right w:val="none" w:sz="4" w:space="0" w:color="000000"/>
              </w:pBdr>
              <w:jc w:val="both"/>
              <w:rPr>
                <w:rFonts w:ascii="Arial" w:eastAsia="Cambria" w:hAnsi="Arial" w:cs="Times New Roman"/>
                <w:sz w:val="20"/>
              </w:rPr>
            </w:pPr>
            <w:r w:rsidRPr="00C76F70">
              <w:rPr>
                <w:rFonts w:ascii="Times New Roman" w:eastAsia="Times New Roman" w:hAnsi="Times New Roman" w:cs="Times New Roman"/>
                <w:sz w:val="12"/>
              </w:rPr>
              <w:t> </w:t>
            </w:r>
          </w:p>
        </w:tc>
        <w:tc>
          <w:tcPr>
            <w:tcW w:w="3695" w:type="dxa"/>
            <w:tcMar>
              <w:top w:w="0" w:type="dxa"/>
              <w:left w:w="0" w:type="dxa"/>
              <w:bottom w:w="0" w:type="dxa"/>
              <w:right w:w="0" w:type="dxa"/>
            </w:tcMar>
          </w:tcPr>
          <w:p w14:paraId="472F53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7"/>
              <w:jc w:val="both"/>
              <w:rPr>
                <w:rFonts w:ascii="Arial" w:eastAsia="Cambria" w:hAnsi="Arial" w:cs="Times New Roman"/>
                <w:sz w:val="20"/>
              </w:rPr>
            </w:pPr>
            <w:r w:rsidRPr="00C76F70">
              <w:rPr>
                <w:rFonts w:ascii="Arial" w:eastAsia="Arial" w:hAnsi="Arial" w:cs="Arial"/>
                <w:sz w:val="16"/>
              </w:rPr>
              <w:t>Manufacturer,</w:t>
            </w:r>
            <w:r w:rsidRPr="00C76F70">
              <w:rPr>
                <w:rFonts w:ascii="Arial" w:eastAsia="Arial" w:hAnsi="Arial" w:cs="Arial"/>
                <w:spacing w:val="-9"/>
                <w:sz w:val="16"/>
              </w:rPr>
              <w:t xml:space="preserve"> </w:t>
            </w:r>
            <w:r w:rsidRPr="00C76F70">
              <w:rPr>
                <w:rFonts w:ascii="Arial" w:eastAsia="Arial" w:hAnsi="Arial" w:cs="Arial"/>
                <w:sz w:val="16"/>
              </w:rPr>
              <w:t>Outsourcing</w:t>
            </w:r>
            <w:r w:rsidRPr="00C76F70">
              <w:rPr>
                <w:rFonts w:ascii="Arial" w:eastAsia="Arial" w:hAnsi="Arial" w:cs="Arial"/>
                <w:spacing w:val="-10"/>
                <w:sz w:val="16"/>
              </w:rPr>
              <w:t xml:space="preserve"> </w:t>
            </w:r>
            <w:r w:rsidRPr="00C76F70">
              <w:rPr>
                <w:rFonts w:ascii="Arial" w:eastAsia="Arial" w:hAnsi="Arial" w:cs="Arial"/>
                <w:sz w:val="16"/>
              </w:rPr>
              <w:t>Facility,</w:t>
            </w:r>
            <w:r w:rsidRPr="00C76F70">
              <w:rPr>
                <w:rFonts w:ascii="Arial" w:eastAsia="Arial" w:hAnsi="Arial" w:cs="Arial"/>
                <w:spacing w:val="-8"/>
                <w:sz w:val="16"/>
              </w:rPr>
              <w:t xml:space="preserve"> </w:t>
            </w:r>
            <w:r w:rsidRPr="00C76F70">
              <w:rPr>
                <w:rFonts w:ascii="Arial" w:eastAsia="Arial" w:hAnsi="Arial" w:cs="Arial"/>
                <w:spacing w:val="-2"/>
                <w:sz w:val="16"/>
              </w:rPr>
              <w:t>Oxygen</w:t>
            </w:r>
          </w:p>
        </w:tc>
        <w:tc>
          <w:tcPr>
            <w:tcW w:w="1344" w:type="dxa"/>
            <w:tcMar>
              <w:top w:w="0" w:type="dxa"/>
              <w:left w:w="0" w:type="dxa"/>
              <w:bottom w:w="0" w:type="dxa"/>
              <w:right w:w="0" w:type="dxa"/>
            </w:tcMar>
          </w:tcPr>
          <w:p w14:paraId="7DAACE7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right="84"/>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.15</w:t>
            </w:r>
          </w:p>
        </w:tc>
        <w:tc>
          <w:tcPr>
            <w:tcW w:w="3187" w:type="dxa"/>
            <w:tcMar>
              <w:top w:w="0" w:type="dxa"/>
              <w:left w:w="0" w:type="dxa"/>
              <w:bottom w:w="0" w:type="dxa"/>
              <w:right w:w="0" w:type="dxa"/>
            </w:tcMar>
          </w:tcPr>
          <w:p w14:paraId="1CBFC6A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63" w:lineRule="atLeast"/>
              <w:ind w:left="89"/>
              <w:jc w:val="both"/>
              <w:rPr>
                <w:rFonts w:ascii="Arial" w:eastAsia="Cambria" w:hAnsi="Arial" w:cs="Times New Roman"/>
                <w:sz w:val="20"/>
              </w:rPr>
            </w:pPr>
            <w:r w:rsidRPr="00C76F70">
              <w:rPr>
                <w:rFonts w:ascii="Arial" w:eastAsia="Arial" w:hAnsi="Arial" w:cs="Arial"/>
                <w:spacing w:val="-2"/>
                <w:sz w:val="16"/>
              </w:rPr>
              <w:t>Repealed</w:t>
            </w:r>
          </w:p>
        </w:tc>
      </w:tr>
      <w:tr w:rsidR="00C76F70" w:rsidRPr="00C76F70" w14:paraId="51B8F3F7" w14:textId="77777777" w:rsidTr="000F49F3">
        <w:trPr>
          <w:trHeight w:val="367"/>
        </w:trPr>
        <w:tc>
          <w:tcPr>
            <w:tcW w:w="999" w:type="dxa"/>
            <w:tcMar>
              <w:top w:w="0" w:type="dxa"/>
              <w:left w:w="0" w:type="dxa"/>
              <w:bottom w:w="0" w:type="dxa"/>
              <w:right w:w="0" w:type="dxa"/>
            </w:tcMar>
          </w:tcPr>
          <w:p w14:paraId="5A92001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83" w:line="163" w:lineRule="atLeast"/>
              <w:ind w:right="35"/>
              <w:jc w:val="center"/>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.09</w:t>
            </w:r>
          </w:p>
        </w:tc>
        <w:tc>
          <w:tcPr>
            <w:tcW w:w="3695" w:type="dxa"/>
            <w:tcMar>
              <w:top w:w="0" w:type="dxa"/>
              <w:left w:w="0" w:type="dxa"/>
              <w:bottom w:w="0" w:type="dxa"/>
              <w:right w:w="0" w:type="dxa"/>
            </w:tcMar>
          </w:tcPr>
          <w:p w14:paraId="2E19DA2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84" w:lineRule="atLeast"/>
              <w:ind w:left="87"/>
              <w:jc w:val="both"/>
              <w:rPr>
                <w:rFonts w:ascii="Arial" w:eastAsia="Cambria" w:hAnsi="Arial" w:cs="Times New Roman"/>
                <w:sz w:val="20"/>
              </w:rPr>
            </w:pPr>
            <w:r w:rsidRPr="00C76F70">
              <w:rPr>
                <w:rFonts w:ascii="Arial" w:eastAsia="Arial" w:hAnsi="Arial" w:cs="Arial"/>
                <w:sz w:val="16"/>
              </w:rPr>
              <w:t>Supplier</w:t>
            </w:r>
            <w:r w:rsidRPr="00C76F70">
              <w:rPr>
                <w:rFonts w:ascii="Arial" w:eastAsia="Arial" w:hAnsi="Arial" w:cs="Arial"/>
                <w:spacing w:val="-12"/>
                <w:sz w:val="16"/>
              </w:rPr>
              <w:t xml:space="preserve"> </w:t>
            </w:r>
            <w:r w:rsidRPr="00C76F70">
              <w:rPr>
                <w:rFonts w:ascii="Arial" w:eastAsia="Arial" w:hAnsi="Arial" w:cs="Arial"/>
                <w:sz w:val="16"/>
              </w:rPr>
              <w:t>and</w:t>
            </w:r>
            <w:r w:rsidRPr="00C76F70">
              <w:rPr>
                <w:rFonts w:ascii="Arial" w:eastAsia="Arial" w:hAnsi="Arial" w:cs="Arial"/>
                <w:spacing w:val="-11"/>
                <w:sz w:val="16"/>
              </w:rPr>
              <w:t xml:space="preserve"> </w:t>
            </w:r>
            <w:r w:rsidRPr="00C76F70">
              <w:rPr>
                <w:rFonts w:ascii="Arial" w:eastAsia="Arial" w:hAnsi="Arial" w:cs="Arial"/>
                <w:sz w:val="16"/>
              </w:rPr>
              <w:t>Wholesaler/Distributor</w:t>
            </w:r>
            <w:r w:rsidRPr="00C76F70">
              <w:rPr>
                <w:rFonts w:ascii="Arial" w:eastAsia="Arial" w:hAnsi="Arial" w:cs="Arial"/>
                <w:spacing w:val="-11"/>
                <w:sz w:val="16"/>
              </w:rPr>
              <w:t xml:space="preserve"> </w:t>
            </w:r>
            <w:r w:rsidRPr="00C76F70">
              <w:rPr>
                <w:rFonts w:ascii="Arial" w:eastAsia="Arial" w:hAnsi="Arial" w:cs="Arial"/>
                <w:sz w:val="16"/>
              </w:rPr>
              <w:t>Licenses Renewal of Licenses</w:t>
            </w:r>
          </w:p>
        </w:tc>
        <w:tc>
          <w:tcPr>
            <w:tcW w:w="1344" w:type="dxa"/>
            <w:tcMar>
              <w:top w:w="0" w:type="dxa"/>
              <w:left w:w="0" w:type="dxa"/>
              <w:bottom w:w="0" w:type="dxa"/>
              <w:right w:w="0" w:type="dxa"/>
            </w:tcMar>
          </w:tcPr>
          <w:p w14:paraId="30D2F0A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82" w:lineRule="atLeast"/>
              <w:ind w:right="83"/>
              <w:jc w:val="right"/>
              <w:rPr>
                <w:rFonts w:ascii="Arial" w:eastAsia="Cambria" w:hAnsi="Arial" w:cs="Times New Roman"/>
                <w:sz w:val="20"/>
              </w:rPr>
            </w:pPr>
            <w:r w:rsidRPr="00C76F70">
              <w:rPr>
                <w:rFonts w:ascii="Arial" w:eastAsia="Arial" w:hAnsi="Arial" w:cs="Arial"/>
                <w:spacing w:val="-2"/>
                <w:sz w:val="16"/>
              </w:rPr>
              <w:t>1140-01-</w:t>
            </w:r>
            <w:r w:rsidRPr="00C76F70">
              <w:rPr>
                <w:rFonts w:ascii="Arial" w:eastAsia="Arial" w:hAnsi="Arial" w:cs="Arial"/>
                <w:spacing w:val="-5"/>
                <w:sz w:val="16"/>
              </w:rPr>
              <w:t>.16</w:t>
            </w:r>
          </w:p>
        </w:tc>
        <w:tc>
          <w:tcPr>
            <w:tcW w:w="3187" w:type="dxa"/>
            <w:tcMar>
              <w:top w:w="0" w:type="dxa"/>
              <w:left w:w="0" w:type="dxa"/>
              <w:bottom w:w="0" w:type="dxa"/>
              <w:right w:w="0" w:type="dxa"/>
            </w:tcMar>
          </w:tcPr>
          <w:p w14:paraId="2767BC8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line="182" w:lineRule="atLeast"/>
              <w:ind w:left="89"/>
              <w:jc w:val="both"/>
              <w:rPr>
                <w:rFonts w:ascii="Arial" w:eastAsia="Cambria" w:hAnsi="Arial" w:cs="Times New Roman"/>
                <w:sz w:val="20"/>
              </w:rPr>
            </w:pPr>
            <w:r w:rsidRPr="00C76F70">
              <w:rPr>
                <w:rFonts w:ascii="Arial" w:eastAsia="Arial" w:hAnsi="Arial" w:cs="Arial"/>
                <w:sz w:val="16"/>
              </w:rPr>
              <w:t>Pilot</w:t>
            </w:r>
            <w:r w:rsidRPr="00C76F70">
              <w:rPr>
                <w:rFonts w:ascii="Arial" w:eastAsia="Arial" w:hAnsi="Arial" w:cs="Arial"/>
                <w:spacing w:val="-5"/>
                <w:sz w:val="16"/>
              </w:rPr>
              <w:t xml:space="preserve"> </w:t>
            </w:r>
            <w:r w:rsidRPr="00C76F70">
              <w:rPr>
                <w:rFonts w:ascii="Arial" w:eastAsia="Arial" w:hAnsi="Arial" w:cs="Arial"/>
                <w:spacing w:val="-2"/>
                <w:sz w:val="16"/>
              </w:rPr>
              <w:t>Programs</w:t>
            </w:r>
          </w:p>
        </w:tc>
      </w:tr>
    </w:tbl>
    <w:p w14:paraId="3F7431E8"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p>
    <w:p w14:paraId="67AB6FB0"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commentRangeStart w:id="0"/>
      <w:commentRangeStart w:id="1"/>
      <w:r w:rsidRPr="00C76F70">
        <w:rPr>
          <w:rFonts w:ascii="Arial" w:eastAsia="Cambria" w:hAnsi="Arial" w:cs="Times New Roman"/>
          <w:b/>
          <w:kern w:val="0"/>
          <w:sz w:val="20"/>
          <w:szCs w:val="20"/>
          <w14:ligatures w14:val="none"/>
        </w:rPr>
        <w:t>1140-01-.10 FEES.</w:t>
      </w:r>
      <w:commentRangeEnd w:id="0"/>
      <w:r w:rsidRPr="00C76F70">
        <w:rPr>
          <w:rStyle w:val="CommentReference"/>
          <w:rFonts w:ascii="Arial" w:eastAsia="Cambria" w:hAnsi="Arial" w:cs="Times New Roman"/>
          <w:b/>
          <w:kern w:val="0"/>
          <w:sz w:val="20"/>
          <w:szCs w:val="20"/>
          <w14:ligatures w14:val="none"/>
        </w:rPr>
        <w:commentReference w:id="0"/>
      </w:r>
      <w:commentRangeEnd w:id="1"/>
      <w:r w:rsidRPr="00C76F70">
        <w:rPr>
          <w:rStyle w:val="CommentReference"/>
          <w:rFonts w:ascii="Arial" w:eastAsia="Cambria" w:hAnsi="Arial" w:cs="Times New Roman"/>
          <w:b/>
          <w:kern w:val="0"/>
          <w:sz w:val="20"/>
          <w:szCs w:val="20"/>
          <w14:ligatures w14:val="none"/>
        </w:rPr>
        <w:commentReference w:id="1"/>
      </w:r>
    </w:p>
    <w:p w14:paraId="36E8AE0C"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An applicant for examination for a license as a pharmacist shall pay a fee of fifty dollars ($50.00) plus cost of the examination and materials.</w:t>
      </w:r>
    </w:p>
    <w:p w14:paraId="1769C68C"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An applicant for a reciprocal license or NAPLEX score transfer shall pay a fee of three hundred dollars ($300.00).</w:t>
      </w:r>
    </w:p>
    <w:p w14:paraId="4FF2A793"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 xml:space="preserve">Each person becoming licensed as a pharmacist shall pay a registration fee of one-hundred twenty-five dollars ($125.00). Each person licensed as a pharmacist who desires to continue in the practice of pharmacy shall biennially, on or before the last day of the month that the person's license shall expire, pay a renewal fee of one-hundred twenty-five dollars ($125.00). Each person licensed as a pharmacist and who wishes to obtain an inactive license shall </w:t>
      </w:r>
      <w:r w:rsidRPr="00C76F70">
        <w:rPr>
          <w:rFonts w:ascii="Arial" w:eastAsia="Cambria" w:hAnsi="Arial" w:cs="Times New Roman"/>
          <w:kern w:val="0"/>
          <w:sz w:val="20"/>
          <w14:ligatures w14:val="none"/>
        </w:rPr>
        <w:lastRenderedPageBreak/>
        <w:t>biennially, on or before the last day of the month that the person's license shall expire, pay a renewal fee of sixty-three dollars ($63.00).</w:t>
      </w:r>
    </w:p>
    <w:p w14:paraId="2B138D84"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(4)</w:t>
      </w:r>
      <w:r w:rsidRPr="00C76F70">
        <w:rPr>
          <w:rFonts w:ascii="Arial" w:eastAsia="Cambria" w:hAnsi="Arial" w:cs="Times New Roman"/>
          <w:kern w:val="0"/>
          <w:sz w:val="20"/>
          <w14:ligatures w14:val="none"/>
        </w:rPr>
        <w:tab/>
        <w:t>Each person becoming registered as a pharmacy technician shall pay a registration fee of fifty-five dollars ($55.00). Each person who desires to continue to practice as a pharmacy technician shall biennially, on or before the last day of the month that the person's registration shall expire, pay a renewal fee of seventy-five dollars ($75.00).</w:t>
      </w:r>
    </w:p>
    <w:p w14:paraId="2828D600"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(5)</w:t>
      </w:r>
      <w:r w:rsidRPr="00C76F70">
        <w:rPr>
          <w:rFonts w:ascii="Arial" w:eastAsia="Cambria" w:hAnsi="Arial" w:cs="Times New Roman"/>
          <w:kern w:val="0"/>
          <w:sz w:val="20"/>
          <w14:ligatures w14:val="none"/>
        </w:rPr>
        <w:tab/>
        <w:t>Any person, partnership, firm, corporation or agency owning or operating a pharmacy practice site or any establishment or institution where prescription drugs and devices and related materials are kept for the purpose of the compounding and dispensing of medical and prescription orders shall pay a registration fee of three-hundred dollars ($300.00) biennially. Any new pharmacy practice site to be opened or established, or any change in location, name or ownership of any existing pharmacy practice site, shall before active operation obtain a license from the Board of Pharmacy and shall pay a fee of three-hundred dollars ($300.00)</w:t>
      </w:r>
    </w:p>
    <w:p w14:paraId="41A677B2"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(6)</w:t>
      </w:r>
      <w:r w:rsidRPr="00C76F70">
        <w:rPr>
          <w:rFonts w:ascii="Arial" w:eastAsia="Cambria" w:hAnsi="Arial" w:cs="Times New Roman"/>
          <w:kern w:val="0"/>
          <w:sz w:val="20"/>
          <w14:ligatures w14:val="none"/>
        </w:rPr>
        <w:tab/>
        <w:t>All manufacturers, outsourcing facilities, oxygen suppliers, wholesalers/distributors, and 3PLs of prescription drugs and/or devices and related materials doing business in the state of Tennessee must be licensed by the Board of Pharmacy by paying a registration fee of five-hundred twenty-five dollars ($525.00), and thereafter a biennial renewal fee of five-hundred twenty-five dollars ($525.00).</w:t>
      </w:r>
    </w:p>
    <w:p w14:paraId="2A4ABC42"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(7)</w:t>
      </w:r>
      <w:r w:rsidRPr="00C76F70">
        <w:rPr>
          <w:rFonts w:ascii="Arial" w:eastAsia="Cambria" w:hAnsi="Arial" w:cs="Times New Roman"/>
          <w:kern w:val="0"/>
          <w:sz w:val="20"/>
          <w14:ligatures w14:val="none"/>
        </w:rPr>
        <w:tab/>
        <w:t>The fee for the Board of Pharmacy's publication of Pharmacy Drug Laws, Rules and Regulations shall be an amount which covers the cost of publication and shipping, as determined by the Board of Pharmacy. The Board may also publish Pharmacy Drug Laws, Rules and Regulations electronically, and may make an electronic publication freely available on the Board's website.</w:t>
      </w:r>
    </w:p>
    <w:p w14:paraId="10250C97"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(8)</w:t>
      </w:r>
      <w:r w:rsidRPr="00C76F70">
        <w:rPr>
          <w:rFonts w:ascii="Arial" w:eastAsia="Cambria" w:hAnsi="Arial" w:cs="Times New Roman"/>
          <w:kern w:val="0"/>
          <w:sz w:val="20"/>
          <w14:ligatures w14:val="none"/>
        </w:rPr>
        <w:tab/>
        <w:t>The charge for a roster of Tennessee pharmacies, pharmacists and printing of mailing labels of Tennessee pharmacies and pharmacists shall be determined by the administration of the Department of Health.</w:t>
      </w:r>
    </w:p>
    <w:p w14:paraId="7860C3CF"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(9)</w:t>
      </w:r>
      <w:r w:rsidRPr="00C76F70">
        <w:rPr>
          <w:rFonts w:ascii="Arial" w:eastAsia="Cambria" w:hAnsi="Arial" w:cs="Times New Roman"/>
          <w:kern w:val="0"/>
          <w:sz w:val="20"/>
          <w14:ligatures w14:val="none"/>
        </w:rPr>
        <w:tab/>
        <w:t>The fee for certification of license examination grades shall be twenty five dollars ($25.00).</w:t>
      </w:r>
    </w:p>
    <w:p w14:paraId="3344DCED"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(10)</w:t>
      </w:r>
      <w:r w:rsidRPr="00C76F70">
        <w:rPr>
          <w:rFonts w:ascii="Arial" w:eastAsia="Cambria" w:hAnsi="Arial" w:cs="Times New Roman"/>
          <w:kern w:val="0"/>
          <w:sz w:val="20"/>
          <w14:ligatures w14:val="none"/>
        </w:rPr>
        <w:tab/>
        <w:t>The fee for any duplicate or revised license, registration, modifier or license wall certificate shall be twenty five dollars ($25.00).</w:t>
      </w:r>
    </w:p>
    <w:p w14:paraId="73DC4C55"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(11)</w:t>
      </w:r>
      <w:r w:rsidRPr="00C76F70">
        <w:rPr>
          <w:rFonts w:ascii="Arial" w:eastAsia="Cambria" w:hAnsi="Arial" w:cs="Times New Roman"/>
          <w:kern w:val="0"/>
          <w:sz w:val="20"/>
          <w14:ligatures w14:val="none"/>
        </w:rPr>
        <w:tab/>
        <w:t>If any person fails to renew a license, such license may be reinstated upon complying with rule 1140-01-.07 and upon the payment of the appropriate renewal fee plus a penalty fee of ten dollars ($10.00) for each month or fraction thereof that payment for renewal is delinquent. In the event such renewal is not procured within six (6) months from the date on which the last renewal became delinquent, the board may refuse to issue the renewal.</w:t>
      </w:r>
    </w:p>
    <w:p w14:paraId="656949B8"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(12)</w:t>
      </w:r>
      <w:r w:rsidRPr="00C76F70">
        <w:rPr>
          <w:rFonts w:ascii="Arial" w:eastAsia="Cambria" w:hAnsi="Arial" w:cs="Times New Roman"/>
          <w:kern w:val="0"/>
          <w:sz w:val="20"/>
          <w14:ligatures w14:val="none"/>
        </w:rPr>
        <w:tab/>
        <w:t>If any person fails to renew a license or registration certificate, such license or registration certificate may be reinstated upon complying with rule 1140-01-.07 and upon the payment of the appropriate renewal fee plus a penalty fee of ten dollars ($10.00) for each month or fraction thereof that payment for renewal is delinquent. In the event such renewal is not procured within six (6) months from the date on which the last renewal became delinquent, the board may refuse to issue the renewal.</w:t>
      </w:r>
    </w:p>
    <w:p w14:paraId="133E06F7"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lastRenderedPageBreak/>
        <w:t>(13)</w:t>
      </w:r>
      <w:r w:rsidRPr="00C76F70">
        <w:rPr>
          <w:rFonts w:ascii="Arial" w:eastAsia="Cambria" w:hAnsi="Arial" w:cs="Times New Roman"/>
          <w:kern w:val="0"/>
          <w:sz w:val="20"/>
          <w14:ligatures w14:val="none"/>
        </w:rPr>
        <w:tab/>
        <w:t>A penalty of fifty dollars ($50.00) may, in the discretion of the board, attach to each failure of a licensee or registration certificate holder to provide any required notice to the director as may be required by the rules of the board.</w:t>
      </w:r>
    </w:p>
    <w:p w14:paraId="4D9DF384"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(14)</w:t>
      </w:r>
      <w:r w:rsidRPr="00C76F70">
        <w:rPr>
          <w:rFonts w:ascii="Arial" w:eastAsia="Cambria" w:hAnsi="Arial" w:cs="Times New Roman"/>
          <w:kern w:val="0"/>
          <w:sz w:val="20"/>
          <w14:ligatures w14:val="none"/>
        </w:rPr>
        <w:tab/>
        <w:t>Any licensee who wishes to modify the terms or conditions of a license to manufacture, obtain, possess, administer or dispense a prescription drug or device or controlled substance for the purpose of scientific research, chemical analysis, instruction or training of detection animals shall file those modifications with a non-refundable fee of five dollars ($5.00).</w:t>
      </w:r>
    </w:p>
    <w:p w14:paraId="3F93FB3A"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(15)</w:t>
      </w:r>
      <w:r w:rsidRPr="00C76F70">
        <w:rPr>
          <w:rFonts w:ascii="Arial" w:eastAsia="Cambria" w:hAnsi="Arial" w:cs="Times New Roman"/>
          <w:kern w:val="0"/>
          <w:sz w:val="20"/>
          <w14:ligatures w14:val="none"/>
        </w:rPr>
        <w:tab/>
        <w:t>Any person who holds a license to manufacture, obtain, possess, administer or dispense a prescription drug or device or controlled substance for the purpose of scientific research, chemical analysis, instruction or training of detection animals shall pay a renewal fee of one-hundred dollars ($100.00) biennially from the date of issuance.</w:t>
      </w:r>
    </w:p>
    <w:p w14:paraId="2B19A59B"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(16)</w:t>
      </w:r>
      <w:r w:rsidRPr="00C76F70">
        <w:rPr>
          <w:rFonts w:ascii="Arial" w:eastAsia="Cambria" w:hAnsi="Arial" w:cs="Times New Roman"/>
          <w:kern w:val="0"/>
          <w:sz w:val="20"/>
          <w14:ligatures w14:val="none"/>
        </w:rPr>
        <w:tab/>
        <w:t>Any person, partnership, firm, corporation or agency owning or operating a pharmacy practice site or any other establishment licensed pursuant to this chapter, where sterile products are compounded, manufactured, prepared, propagated, repackaged, processed, stored, or distributed shall pay a registration fee of two-hundred and fifty dollars ($250.00), and thereafter a biennial renewal fee of two-hundred and fifty dollars ($250.00).</w:t>
      </w:r>
    </w:p>
    <w:p w14:paraId="11F2F45E"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(17)</w:t>
      </w:r>
      <w:r w:rsidRPr="00C76F70">
        <w:rPr>
          <w:rFonts w:ascii="Arial" w:eastAsia="Cambria" w:hAnsi="Arial" w:cs="Times New Roman"/>
          <w:kern w:val="0"/>
          <w:sz w:val="20"/>
          <w14:ligatures w14:val="none"/>
        </w:rPr>
        <w:tab/>
        <w:t>Each automated dispensing system becoming registered with the Board shall pay a registration fee of three-hundred dollars ($300.00), and thereafter a biennial renewal fee of three-hundred dollars ($300.00).</w:t>
      </w:r>
    </w:p>
    <w:p w14:paraId="30957172"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(18)</w:t>
      </w:r>
      <w:r w:rsidRPr="00C76F70">
        <w:rPr>
          <w:rFonts w:ascii="Arial" w:eastAsia="Cambria" w:hAnsi="Arial" w:cs="Times New Roman"/>
          <w:kern w:val="0"/>
          <w:sz w:val="20"/>
          <w14:ligatures w14:val="none"/>
        </w:rPr>
        <w:tab/>
        <w:t>Each licensed practitioner, including pharmacy technicians, shall pay a fee of ten dollars ($10.00) in addition to any initial licensure or renewal fee. All fees collected pursuant to this paragraph shall be for the purpose of funding a peer assistance program.</w:t>
      </w:r>
    </w:p>
    <w:p w14:paraId="702DFE33" w14:textId="77777777" w:rsidR="00C76F70" w:rsidRPr="00C76F70" w:rsidRDefault="00C76F70" w:rsidP="00C76F70">
      <w:pPr>
        <w:spacing w:after="0" w:line="240" w:lineRule="auto"/>
        <w:ind w:left="1080" w:hanging="540"/>
        <w:jc w:val="both"/>
        <w:rPr>
          <w:rFonts w:ascii="Arial" w:eastAsia="Cambria" w:hAnsi="Arial" w:cs="Arial"/>
          <w:kern w:val="0"/>
          <w:sz w:val="20"/>
          <w:szCs w:val="20"/>
          <w14:ligatures w14:val="none"/>
        </w:rPr>
      </w:pPr>
      <w:r w:rsidRPr="00C76F70">
        <w:rPr>
          <w:rFonts w:ascii="Arial" w:eastAsia="Cambria" w:hAnsi="Arial" w:cs="Times New Roman"/>
          <w:kern w:val="0"/>
          <w:sz w:val="20"/>
          <w14:ligatures w14:val="none"/>
        </w:rPr>
        <w:t>(19)</w:t>
      </w:r>
      <w:r w:rsidRPr="00C76F70">
        <w:rPr>
          <w:rFonts w:ascii="Arial" w:eastAsia="Cambria" w:hAnsi="Arial" w:cs="Times New Roman"/>
          <w:kern w:val="0"/>
          <w:sz w:val="20"/>
          <w14:ligatures w14:val="none"/>
        </w:rPr>
        <w:tab/>
      </w:r>
      <w:r w:rsidRPr="00C76F70">
        <w:rPr>
          <w:rFonts w:ascii="Arial" w:eastAsia="Arial" w:hAnsi="Arial" w:cs="Arial"/>
          <w:kern w:val="0"/>
          <w:sz w:val="20"/>
          <w:szCs w:val="20"/>
          <w14:ligatures w14:val="none"/>
        </w:rPr>
        <w:t>Any new ASTC pharmacy to be opened or established, or any change in location, name or ownership of any existing ASTC pharmacy practice site, shall before active operation, obtain a license from the Board of Pharmacy and shall pay a fee of one thousand dollars ($1,000.00) and thereafter a biennial renewal fee of one thousand dollars ($1,000.00).</w:t>
      </w:r>
    </w:p>
    <w:p w14:paraId="2F7DD7ED" w14:textId="77777777" w:rsidR="00C76F70" w:rsidRPr="00C76F70" w:rsidRDefault="00C76F70" w:rsidP="00C76F70">
      <w:pPr>
        <w:spacing w:after="0" w:line="240" w:lineRule="auto"/>
        <w:ind w:left="1080" w:hanging="540"/>
        <w:jc w:val="both"/>
        <w:rPr>
          <w:rFonts w:ascii="Arial" w:eastAsia="Cambria" w:hAnsi="Arial" w:cs="Times New Roman"/>
          <w:kern w:val="0"/>
          <w:sz w:val="20"/>
          <w14:ligatures w14:val="none"/>
        </w:rPr>
      </w:pPr>
    </w:p>
    <w:p w14:paraId="09D15A12"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(20)</w:t>
      </w:r>
      <w:r w:rsidRPr="00C76F70">
        <w:rPr>
          <w:rFonts w:ascii="Arial" w:eastAsia="Cambria" w:hAnsi="Arial" w:cs="Times New Roman"/>
          <w:kern w:val="0"/>
          <w:sz w:val="20"/>
          <w14:ligatures w14:val="none"/>
        </w:rPr>
        <w:tab/>
        <w:t>Upon request, the Board may waive selected portions of these requirements so long as any waiver granted is consistent with the Board's authority under Tenn. Code Ann. Title 63, Chapters 1 and 10, and Tenn. Code Ann. Title 4, Chapter 5.</w:t>
      </w:r>
    </w:p>
    <w:p w14:paraId="3F791624"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63-10-308, 63-10-310 and 63-10-312.</w:t>
      </w:r>
    </w:p>
    <w:p w14:paraId="2353465C"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p>
    <w:p w14:paraId="4CBF04B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7" w:hanging="4597"/>
        <w:jc w:val="center"/>
        <w:rPr>
          <w:rFonts w:ascii="Arial" w:eastAsia="Arial" w:hAnsi="Arial" w:cs="Arial"/>
          <w:b/>
          <w:bCs/>
          <w:spacing w:val="-6"/>
          <w:kern w:val="0"/>
          <w:sz w:val="20"/>
          <w:szCs w:val="20"/>
          <w14:ligatures w14:val="none"/>
        </w:rPr>
      </w:pPr>
      <w:r w:rsidRPr="00C76F70">
        <w:rPr>
          <w:rFonts w:ascii="Arial" w:eastAsia="Arial" w:hAnsi="Arial" w:cs="Arial"/>
          <w:b/>
          <w:spacing w:val="-4"/>
          <w:kern w:val="0"/>
          <w:sz w:val="20"/>
          <w14:ligatures w14:val="none"/>
        </w:rPr>
        <w:t xml:space="preserve">RULES </w:t>
      </w:r>
    </w:p>
    <w:p w14:paraId="5725FE9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7" w:hanging="4597"/>
        <w:jc w:val="center"/>
        <w:rPr>
          <w:rFonts w:ascii="Arial" w:eastAsia="Cambria" w:hAnsi="Arial" w:cs="Times New Roman"/>
          <w:kern w:val="0"/>
          <w:sz w:val="20"/>
          <w14:ligatures w14:val="none"/>
        </w:rPr>
      </w:pPr>
      <w:r w:rsidRPr="00C76F70">
        <w:rPr>
          <w:rFonts w:ascii="Arial" w:eastAsia="Arial" w:hAnsi="Arial" w:cs="Arial"/>
          <w:b/>
          <w:spacing w:val="-6"/>
          <w:kern w:val="0"/>
          <w:sz w:val="20"/>
          <w14:ligatures w14:val="none"/>
        </w:rPr>
        <w:t>OF</w:t>
      </w:r>
    </w:p>
    <w:p w14:paraId="67A57DB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29" w:lineRule="atLeast"/>
        <w:ind w:left="4597" w:hanging="4597"/>
        <w:jc w:val="center"/>
        <w:rPr>
          <w:rFonts w:ascii="Arial" w:eastAsia="Cambria" w:hAnsi="Arial" w:cs="Times New Roman"/>
          <w:kern w:val="0"/>
          <w:sz w:val="20"/>
          <w14:ligatures w14:val="none"/>
        </w:rPr>
      </w:pPr>
      <w:r w:rsidRPr="00C76F70">
        <w:rPr>
          <w:rFonts w:ascii="Arial" w:eastAsia="Arial" w:hAnsi="Arial" w:cs="Arial"/>
          <w:b/>
          <w:kern w:val="0"/>
          <w:sz w:val="20"/>
          <w14:ligatures w14:val="none"/>
        </w:rPr>
        <w:t>THE</w:t>
      </w:r>
      <w:r w:rsidRPr="00C76F70">
        <w:rPr>
          <w:rFonts w:ascii="Arial" w:eastAsia="Arial" w:hAnsi="Arial" w:cs="Arial"/>
          <w:b/>
          <w:spacing w:val="-8"/>
          <w:kern w:val="0"/>
          <w:sz w:val="20"/>
          <w14:ligatures w14:val="none"/>
        </w:rPr>
        <w:t xml:space="preserve"> </w:t>
      </w:r>
      <w:r w:rsidRPr="00C76F70">
        <w:rPr>
          <w:rFonts w:ascii="Arial" w:eastAsia="Arial" w:hAnsi="Arial" w:cs="Arial"/>
          <w:b/>
          <w:kern w:val="0"/>
          <w:sz w:val="20"/>
          <w14:ligatures w14:val="none"/>
        </w:rPr>
        <w:t>TENNESSEE</w:t>
      </w:r>
      <w:r w:rsidRPr="00C76F70">
        <w:rPr>
          <w:rFonts w:ascii="Arial" w:eastAsia="Arial" w:hAnsi="Arial" w:cs="Arial"/>
          <w:b/>
          <w:spacing w:val="-7"/>
          <w:kern w:val="0"/>
          <w:sz w:val="20"/>
          <w14:ligatures w14:val="none"/>
        </w:rPr>
        <w:t xml:space="preserve"> </w:t>
      </w:r>
      <w:r w:rsidRPr="00C76F70">
        <w:rPr>
          <w:rFonts w:ascii="Arial" w:eastAsia="Arial" w:hAnsi="Arial" w:cs="Arial"/>
          <w:b/>
          <w:kern w:val="0"/>
          <w:sz w:val="20"/>
          <w14:ligatures w14:val="none"/>
        </w:rPr>
        <w:t>BOARD</w:t>
      </w:r>
      <w:r w:rsidRPr="00C76F70">
        <w:rPr>
          <w:rFonts w:ascii="Arial" w:eastAsia="Arial" w:hAnsi="Arial" w:cs="Arial"/>
          <w:b/>
          <w:spacing w:val="-3"/>
          <w:kern w:val="0"/>
          <w:sz w:val="20"/>
          <w14:ligatures w14:val="none"/>
        </w:rPr>
        <w:t xml:space="preserve"> </w:t>
      </w:r>
      <w:r w:rsidRPr="00C76F70">
        <w:rPr>
          <w:rFonts w:ascii="Arial" w:eastAsia="Arial" w:hAnsi="Arial" w:cs="Arial"/>
          <w:b/>
          <w:kern w:val="0"/>
          <w:sz w:val="20"/>
          <w14:ligatures w14:val="none"/>
        </w:rPr>
        <w:t>OF</w:t>
      </w:r>
      <w:r w:rsidRPr="00C76F70">
        <w:rPr>
          <w:rFonts w:ascii="Arial" w:eastAsia="Arial" w:hAnsi="Arial" w:cs="Arial"/>
          <w:b/>
          <w:spacing w:val="-6"/>
          <w:kern w:val="0"/>
          <w:sz w:val="20"/>
          <w14:ligatures w14:val="none"/>
        </w:rPr>
        <w:t xml:space="preserve"> </w:t>
      </w:r>
      <w:r w:rsidRPr="00C76F70">
        <w:rPr>
          <w:rFonts w:ascii="Arial" w:eastAsia="Arial" w:hAnsi="Arial" w:cs="Arial"/>
          <w:b/>
          <w:spacing w:val="-2"/>
          <w:kern w:val="0"/>
          <w:sz w:val="20"/>
          <w14:ligatures w14:val="none"/>
        </w:rPr>
        <w:t>PHARMACY</w:t>
      </w:r>
    </w:p>
    <w:p w14:paraId="52D5980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 w:after="0" w:line="240" w:lineRule="auto"/>
        <w:ind w:left="4597" w:hanging="4597"/>
        <w:jc w:val="both"/>
        <w:rPr>
          <w:rFonts w:ascii="Arial" w:eastAsia="Cambria" w:hAnsi="Arial" w:cs="Times New Roman"/>
          <w:kern w:val="0"/>
          <w:sz w:val="20"/>
          <w14:ligatures w14:val="none"/>
        </w:rPr>
      </w:pPr>
      <w:r w:rsidRPr="00C76F70">
        <w:rPr>
          <w:rFonts w:ascii="Arial" w:eastAsia="Arial" w:hAnsi="Arial" w:cs="Arial"/>
          <w:b/>
          <w:kern w:val="0"/>
          <w:sz w:val="20"/>
          <w14:ligatures w14:val="none"/>
        </w:rPr>
        <w:t> </w:t>
      </w:r>
    </w:p>
    <w:p w14:paraId="6736DCC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4597" w:hanging="4597"/>
        <w:jc w:val="center"/>
        <w:rPr>
          <w:rFonts w:ascii="Arial" w:eastAsia="Cambria" w:hAnsi="Arial" w:cs="Times New Roman"/>
          <w:kern w:val="0"/>
          <w:sz w:val="20"/>
          <w14:ligatures w14:val="none"/>
        </w:rPr>
      </w:pPr>
      <w:r w:rsidRPr="00C76F70">
        <w:rPr>
          <w:rFonts w:ascii="Arial" w:eastAsia="Arial" w:hAnsi="Arial" w:cs="Arial"/>
          <w:b/>
          <w:spacing w:val="-2"/>
          <w:kern w:val="0"/>
          <w:sz w:val="20"/>
          <w14:ligatures w14:val="none"/>
        </w:rPr>
        <w:t>CHAPTER</w:t>
      </w:r>
      <w:r w:rsidRPr="00C76F70">
        <w:rPr>
          <w:rFonts w:ascii="Arial" w:eastAsia="Arial" w:hAnsi="Arial" w:cs="Arial"/>
          <w:b/>
          <w:spacing w:val="8"/>
          <w:kern w:val="0"/>
          <w:sz w:val="20"/>
          <w14:ligatures w14:val="none"/>
        </w:rPr>
        <w:t xml:space="preserve"> </w:t>
      </w:r>
      <w:r w:rsidRPr="00C76F70">
        <w:rPr>
          <w:rFonts w:ascii="Arial" w:eastAsia="Arial" w:hAnsi="Arial" w:cs="Arial"/>
          <w:b/>
          <w:spacing w:val="-2"/>
          <w:kern w:val="0"/>
          <w:sz w:val="20"/>
          <w14:ligatures w14:val="none"/>
        </w:rPr>
        <w:t>1140-</w:t>
      </w:r>
      <w:r w:rsidRPr="00C76F70">
        <w:rPr>
          <w:rFonts w:ascii="Arial" w:eastAsia="Arial" w:hAnsi="Arial" w:cs="Arial"/>
          <w:b/>
          <w:spacing w:val="-5"/>
          <w:kern w:val="0"/>
          <w:sz w:val="20"/>
          <w14:ligatures w14:val="none"/>
        </w:rPr>
        <w:t>07</w:t>
      </w:r>
    </w:p>
    <w:p w14:paraId="3EC07EA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 w:after="5" w:line="480" w:lineRule="auto"/>
        <w:ind w:left="4597" w:hanging="4597"/>
        <w:jc w:val="center"/>
        <w:rPr>
          <w:rFonts w:ascii="Arial" w:eastAsia="Arial" w:hAnsi="Arial" w:cs="Arial"/>
          <w:b/>
          <w:bCs/>
          <w:kern w:val="0"/>
          <w:sz w:val="20"/>
          <w:szCs w:val="20"/>
          <w14:ligatures w14:val="none"/>
        </w:rPr>
      </w:pPr>
      <w:r w:rsidRPr="00C76F70">
        <w:rPr>
          <w:rFonts w:ascii="Arial" w:eastAsia="Arial" w:hAnsi="Arial" w:cs="Arial"/>
          <w:b/>
          <w:kern w:val="0"/>
          <w:sz w:val="20"/>
          <w14:ligatures w14:val="none"/>
        </w:rPr>
        <w:t>COMPOUNDED DRUG</w:t>
      </w:r>
      <w:r w:rsidRPr="00C76F70">
        <w:rPr>
          <w:rFonts w:ascii="Arial" w:eastAsia="Arial" w:hAnsi="Arial" w:cs="Arial"/>
          <w:b/>
          <w:spacing w:val="-7"/>
          <w:kern w:val="0"/>
          <w:sz w:val="20"/>
          <w14:ligatures w14:val="none"/>
        </w:rPr>
        <w:t xml:space="preserve"> </w:t>
      </w:r>
      <w:r w:rsidRPr="00C76F70">
        <w:rPr>
          <w:rFonts w:ascii="Arial" w:eastAsia="Arial" w:hAnsi="Arial" w:cs="Arial"/>
          <w:b/>
          <w:kern w:val="0"/>
          <w:sz w:val="20"/>
          <w14:ligatures w14:val="none"/>
        </w:rPr>
        <w:t>PRODUCT</w:t>
      </w:r>
      <w:r w:rsidRPr="00C76F70">
        <w:rPr>
          <w:rFonts w:ascii="Arial" w:eastAsia="Arial" w:hAnsi="Arial" w:cs="Arial"/>
          <w:b/>
          <w:spacing w:val="-6"/>
          <w:kern w:val="0"/>
          <w:sz w:val="20"/>
          <w14:ligatures w14:val="none"/>
        </w:rPr>
        <w:t xml:space="preserve"> </w:t>
      </w:r>
      <w:r w:rsidRPr="00C76F70">
        <w:rPr>
          <w:rFonts w:ascii="Arial" w:eastAsia="Arial" w:hAnsi="Arial" w:cs="Arial"/>
          <w:b/>
          <w:kern w:val="0"/>
          <w:sz w:val="20"/>
          <w14:ligatures w14:val="none"/>
        </w:rPr>
        <w:t>PREPARATION</w:t>
      </w:r>
      <w:r w:rsidRPr="00C76F70">
        <w:rPr>
          <w:rFonts w:ascii="Arial" w:eastAsia="Arial" w:hAnsi="Arial" w:cs="Arial"/>
          <w:b/>
          <w:spacing w:val="-6"/>
          <w:kern w:val="0"/>
          <w:sz w:val="20"/>
          <w14:ligatures w14:val="none"/>
        </w:rPr>
        <w:t xml:space="preserve"> </w:t>
      </w:r>
      <w:r w:rsidRPr="00C76F70">
        <w:rPr>
          <w:rFonts w:ascii="Arial" w:eastAsia="Arial" w:hAnsi="Arial" w:cs="Arial"/>
          <w:b/>
          <w:kern w:val="0"/>
          <w:sz w:val="20"/>
          <w14:ligatures w14:val="none"/>
        </w:rPr>
        <w:t>IN</w:t>
      </w:r>
      <w:r w:rsidRPr="00C76F70">
        <w:rPr>
          <w:rFonts w:ascii="Arial" w:eastAsia="Arial" w:hAnsi="Arial" w:cs="Arial"/>
          <w:b/>
          <w:spacing w:val="-9"/>
          <w:kern w:val="0"/>
          <w:sz w:val="20"/>
          <w14:ligatures w14:val="none"/>
        </w:rPr>
        <w:t xml:space="preserve"> </w:t>
      </w:r>
      <w:r w:rsidRPr="00C76F70">
        <w:rPr>
          <w:rFonts w:ascii="Arial" w:eastAsia="Arial" w:hAnsi="Arial" w:cs="Arial"/>
          <w:b/>
          <w:kern w:val="0"/>
          <w:sz w:val="20"/>
          <w14:ligatures w14:val="none"/>
        </w:rPr>
        <w:t>PHARMACY</w:t>
      </w:r>
      <w:r w:rsidRPr="00C76F70">
        <w:rPr>
          <w:rFonts w:ascii="Arial" w:eastAsia="Arial" w:hAnsi="Arial" w:cs="Arial"/>
          <w:b/>
          <w:spacing w:val="-10"/>
          <w:kern w:val="0"/>
          <w:sz w:val="20"/>
          <w14:ligatures w14:val="none"/>
        </w:rPr>
        <w:t xml:space="preserve"> </w:t>
      </w:r>
      <w:r w:rsidRPr="00C76F70">
        <w:rPr>
          <w:rFonts w:ascii="Arial" w:eastAsia="Arial" w:hAnsi="Arial" w:cs="Arial"/>
          <w:b/>
          <w:kern w:val="0"/>
          <w:sz w:val="20"/>
          <w14:ligatures w14:val="none"/>
        </w:rPr>
        <w:t xml:space="preserve">PRACTICE </w:t>
      </w:r>
    </w:p>
    <w:p w14:paraId="79C7CDF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 w:after="5" w:line="480" w:lineRule="auto"/>
        <w:ind w:left="4597" w:hanging="4597"/>
        <w:jc w:val="center"/>
        <w:rPr>
          <w:rFonts w:ascii="Arial" w:eastAsia="Cambria" w:hAnsi="Arial" w:cs="Times New Roman"/>
          <w:kern w:val="0"/>
          <w:sz w:val="20"/>
          <w14:ligatures w14:val="none"/>
        </w:rPr>
      </w:pPr>
      <w:r w:rsidRPr="00C76F70">
        <w:rPr>
          <w:rFonts w:ascii="Arial" w:eastAsia="Arial" w:hAnsi="Arial" w:cs="Arial"/>
          <w:b/>
          <w:kern w:val="0"/>
          <w:sz w:val="20"/>
          <w14:ligatures w14:val="none"/>
        </w:rPr>
        <w:t>TABLE OF CONTENTS</w:t>
      </w:r>
    </w:p>
    <w:tbl>
      <w:tblPr>
        <w:tblStyle w:val="TableGrid1"/>
        <w:tblW w:w="0" w:type="auto"/>
        <w:tblInd w:w="31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CellMar>
          <w:left w:w="0" w:type="dxa"/>
          <w:right w:w="0" w:type="dxa"/>
        </w:tblCellMar>
        <w:tblLook w:val="04A0" w:firstRow="1" w:lastRow="0" w:firstColumn="1" w:lastColumn="0" w:noHBand="0" w:noVBand="1"/>
      </w:tblPr>
      <w:tblGrid>
        <w:gridCol w:w="4210"/>
        <w:gridCol w:w="4663"/>
      </w:tblGrid>
      <w:tr w:rsidR="00C76F70" w:rsidRPr="00C76F70" w14:paraId="506B06DE" w14:textId="77777777" w:rsidTr="000F49F3">
        <w:trPr>
          <w:trHeight w:val="182"/>
        </w:trPr>
        <w:tc>
          <w:tcPr>
            <w:tcW w:w="4210" w:type="dxa"/>
            <w:tcMar>
              <w:top w:w="0" w:type="dxa"/>
              <w:left w:w="0" w:type="dxa"/>
              <w:bottom w:w="0" w:type="dxa"/>
              <w:right w:w="0" w:type="dxa"/>
            </w:tcMar>
          </w:tcPr>
          <w:p w14:paraId="013676BF"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2" w:lineRule="atLeast"/>
              <w:ind w:left="50"/>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.01</w:t>
            </w:r>
            <w:r w:rsidRPr="00C76F70">
              <w:rPr>
                <w:rFonts w:ascii="Arial" w:eastAsia="Arial" w:hAnsi="Arial" w:cs="Arial"/>
                <w:sz w:val="16"/>
              </w:rPr>
              <w:tab/>
            </w:r>
            <w:r w:rsidRPr="00C76F70">
              <w:rPr>
                <w:rFonts w:ascii="Arial" w:eastAsia="Arial" w:hAnsi="Arial" w:cs="Arial"/>
                <w:spacing w:val="-2"/>
                <w:sz w:val="16"/>
              </w:rPr>
              <w:t>Applicability</w:t>
            </w:r>
          </w:p>
        </w:tc>
        <w:tc>
          <w:tcPr>
            <w:tcW w:w="4663" w:type="dxa"/>
            <w:tcMar>
              <w:top w:w="0" w:type="dxa"/>
              <w:left w:w="0" w:type="dxa"/>
              <w:bottom w:w="0" w:type="dxa"/>
              <w:right w:w="0" w:type="dxa"/>
            </w:tcMar>
          </w:tcPr>
          <w:p w14:paraId="21763F67"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2" w:lineRule="atLeast"/>
              <w:ind w:left="627"/>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.06</w:t>
            </w:r>
            <w:r w:rsidRPr="00C76F70">
              <w:rPr>
                <w:rFonts w:ascii="Arial" w:eastAsia="Arial" w:hAnsi="Arial" w:cs="Arial"/>
                <w:sz w:val="16"/>
              </w:rPr>
              <w:tab/>
            </w:r>
            <w:r w:rsidRPr="00C76F70">
              <w:rPr>
                <w:rFonts w:ascii="Arial" w:eastAsia="Arial" w:hAnsi="Arial" w:cs="Arial"/>
                <w:spacing w:val="-2"/>
                <w:sz w:val="16"/>
              </w:rPr>
              <w:t>Labeling</w:t>
            </w:r>
          </w:p>
        </w:tc>
      </w:tr>
      <w:tr w:rsidR="00C76F70" w:rsidRPr="00C76F70" w14:paraId="66B841DC" w14:textId="77777777" w:rsidTr="000F49F3">
        <w:trPr>
          <w:trHeight w:val="183"/>
        </w:trPr>
        <w:tc>
          <w:tcPr>
            <w:tcW w:w="4210" w:type="dxa"/>
            <w:tcMar>
              <w:top w:w="0" w:type="dxa"/>
              <w:left w:w="0" w:type="dxa"/>
              <w:bottom w:w="0" w:type="dxa"/>
              <w:right w:w="0" w:type="dxa"/>
            </w:tcMar>
          </w:tcPr>
          <w:p w14:paraId="34F35DAF"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4" w:lineRule="atLeast"/>
              <w:ind w:left="50"/>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.02</w:t>
            </w:r>
            <w:r w:rsidRPr="00C76F70">
              <w:rPr>
                <w:rFonts w:ascii="Arial" w:eastAsia="Arial" w:hAnsi="Arial" w:cs="Arial"/>
                <w:sz w:val="16"/>
              </w:rPr>
              <w:tab/>
            </w:r>
            <w:r w:rsidRPr="00C76F70">
              <w:rPr>
                <w:rFonts w:ascii="Arial" w:eastAsia="Arial" w:hAnsi="Arial" w:cs="Arial"/>
                <w:spacing w:val="-2"/>
                <w:sz w:val="16"/>
              </w:rPr>
              <w:t>Standards</w:t>
            </w:r>
          </w:p>
        </w:tc>
        <w:tc>
          <w:tcPr>
            <w:tcW w:w="4663" w:type="dxa"/>
            <w:tcMar>
              <w:top w:w="0" w:type="dxa"/>
              <w:left w:w="0" w:type="dxa"/>
              <w:bottom w:w="0" w:type="dxa"/>
              <w:right w:w="0" w:type="dxa"/>
            </w:tcMar>
          </w:tcPr>
          <w:p w14:paraId="775DDB70"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4" w:lineRule="atLeast"/>
              <w:ind w:left="627"/>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.07</w:t>
            </w:r>
            <w:r w:rsidRPr="00C76F70">
              <w:rPr>
                <w:rFonts w:ascii="Arial" w:eastAsia="Arial" w:hAnsi="Arial" w:cs="Arial"/>
                <w:sz w:val="16"/>
              </w:rPr>
              <w:tab/>
              <w:t>Hazardous</w:t>
            </w:r>
            <w:r w:rsidRPr="00C76F70">
              <w:rPr>
                <w:rFonts w:ascii="Arial" w:eastAsia="Arial" w:hAnsi="Arial" w:cs="Arial"/>
                <w:spacing w:val="-6"/>
                <w:sz w:val="16"/>
              </w:rPr>
              <w:t xml:space="preserve"> </w:t>
            </w:r>
            <w:r w:rsidRPr="00C76F70">
              <w:rPr>
                <w:rFonts w:ascii="Arial" w:eastAsia="Arial" w:hAnsi="Arial" w:cs="Arial"/>
                <w:spacing w:val="-2"/>
                <w:sz w:val="16"/>
              </w:rPr>
              <w:t>Products</w:t>
            </w:r>
          </w:p>
        </w:tc>
      </w:tr>
      <w:tr w:rsidR="00C76F70" w:rsidRPr="00C76F70" w14:paraId="21FF6155" w14:textId="77777777" w:rsidTr="000F49F3">
        <w:trPr>
          <w:trHeight w:val="183"/>
        </w:trPr>
        <w:tc>
          <w:tcPr>
            <w:tcW w:w="4210" w:type="dxa"/>
            <w:tcMar>
              <w:top w:w="0" w:type="dxa"/>
              <w:left w:w="0" w:type="dxa"/>
              <w:bottom w:w="0" w:type="dxa"/>
              <w:right w:w="0" w:type="dxa"/>
            </w:tcMar>
          </w:tcPr>
          <w:p w14:paraId="45C37D99"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4" w:lineRule="atLeast"/>
              <w:ind w:left="50"/>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.03</w:t>
            </w:r>
            <w:r w:rsidRPr="00C76F70">
              <w:rPr>
                <w:rFonts w:ascii="Arial" w:eastAsia="Arial" w:hAnsi="Arial" w:cs="Arial"/>
                <w:sz w:val="16"/>
              </w:rPr>
              <w:tab/>
            </w:r>
            <w:r w:rsidRPr="00C76F70">
              <w:rPr>
                <w:rFonts w:ascii="Arial" w:eastAsia="Arial" w:hAnsi="Arial" w:cs="Arial"/>
                <w:spacing w:val="-2"/>
                <w:sz w:val="16"/>
              </w:rPr>
              <w:t>Personnel</w:t>
            </w:r>
          </w:p>
        </w:tc>
        <w:tc>
          <w:tcPr>
            <w:tcW w:w="4663" w:type="dxa"/>
            <w:tcMar>
              <w:top w:w="0" w:type="dxa"/>
              <w:left w:w="0" w:type="dxa"/>
              <w:bottom w:w="0" w:type="dxa"/>
              <w:right w:w="0" w:type="dxa"/>
            </w:tcMar>
          </w:tcPr>
          <w:p w14:paraId="77B626E7"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4" w:lineRule="atLeast"/>
              <w:ind w:left="627"/>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.08</w:t>
            </w:r>
            <w:r w:rsidRPr="00C76F70">
              <w:rPr>
                <w:rFonts w:ascii="Arial" w:eastAsia="Arial" w:hAnsi="Arial" w:cs="Arial"/>
                <w:sz w:val="16"/>
              </w:rPr>
              <w:tab/>
            </w:r>
            <w:r w:rsidRPr="00C76F70">
              <w:rPr>
                <w:rFonts w:ascii="Arial" w:eastAsia="Arial" w:hAnsi="Arial" w:cs="Arial"/>
                <w:spacing w:val="-2"/>
                <w:sz w:val="16"/>
              </w:rPr>
              <w:t>Quality Assurance</w:t>
            </w:r>
          </w:p>
        </w:tc>
      </w:tr>
      <w:tr w:rsidR="00C76F70" w:rsidRPr="00C76F70" w14:paraId="3188DCE6" w14:textId="77777777" w:rsidTr="000F49F3">
        <w:trPr>
          <w:trHeight w:val="184"/>
        </w:trPr>
        <w:tc>
          <w:tcPr>
            <w:tcW w:w="4210" w:type="dxa"/>
            <w:tcMar>
              <w:top w:w="0" w:type="dxa"/>
              <w:left w:w="0" w:type="dxa"/>
              <w:bottom w:w="0" w:type="dxa"/>
              <w:right w:w="0" w:type="dxa"/>
            </w:tcMar>
          </w:tcPr>
          <w:p w14:paraId="5D45C5A1"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5" w:lineRule="atLeast"/>
              <w:ind w:left="50"/>
              <w:jc w:val="both"/>
              <w:rPr>
                <w:rFonts w:ascii="Arial" w:eastAsia="Cambria" w:hAnsi="Arial" w:cs="Times New Roman"/>
                <w:sz w:val="20"/>
              </w:rPr>
            </w:pPr>
            <w:r w:rsidRPr="00C76F70">
              <w:rPr>
                <w:rFonts w:ascii="Arial" w:eastAsia="Arial" w:hAnsi="Arial" w:cs="Arial"/>
                <w:spacing w:val="-2"/>
                <w:sz w:val="16"/>
              </w:rPr>
              <w:lastRenderedPageBreak/>
              <w:t>1140-07-</w:t>
            </w:r>
            <w:r w:rsidRPr="00C76F70">
              <w:rPr>
                <w:rFonts w:ascii="Arial" w:eastAsia="Arial" w:hAnsi="Arial" w:cs="Arial"/>
                <w:spacing w:val="-5"/>
                <w:sz w:val="16"/>
              </w:rPr>
              <w:t>.04</w:t>
            </w:r>
            <w:r w:rsidRPr="00C76F70">
              <w:rPr>
                <w:rFonts w:ascii="Arial" w:eastAsia="Arial" w:hAnsi="Arial" w:cs="Arial"/>
                <w:sz w:val="16"/>
              </w:rPr>
              <w:tab/>
              <w:t>Physical</w:t>
            </w:r>
            <w:r w:rsidRPr="00C76F70">
              <w:rPr>
                <w:rFonts w:ascii="Arial" w:eastAsia="Arial" w:hAnsi="Arial" w:cs="Arial"/>
                <w:spacing w:val="-4"/>
                <w:sz w:val="16"/>
              </w:rPr>
              <w:t xml:space="preserve"> </w:t>
            </w:r>
            <w:r w:rsidRPr="00C76F70">
              <w:rPr>
                <w:rFonts w:ascii="Arial" w:eastAsia="Arial" w:hAnsi="Arial" w:cs="Arial"/>
                <w:spacing w:val="-2"/>
                <w:sz w:val="16"/>
              </w:rPr>
              <w:t>Requirements</w:t>
            </w:r>
          </w:p>
        </w:tc>
        <w:tc>
          <w:tcPr>
            <w:tcW w:w="4663" w:type="dxa"/>
            <w:tcMar>
              <w:top w:w="0" w:type="dxa"/>
              <w:left w:w="0" w:type="dxa"/>
              <w:bottom w:w="0" w:type="dxa"/>
              <w:right w:w="0" w:type="dxa"/>
            </w:tcMar>
          </w:tcPr>
          <w:p w14:paraId="58BBA3D4"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5" w:lineRule="atLeast"/>
              <w:ind w:left="2070" w:hanging="1443"/>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.09</w:t>
            </w:r>
            <w:r w:rsidRPr="00C76F70">
              <w:rPr>
                <w:rFonts w:ascii="Arial" w:eastAsia="Arial" w:hAnsi="Arial" w:cs="Arial"/>
                <w:sz w:val="16"/>
              </w:rPr>
              <w:tab/>
              <w:t>Nonsterile Simple Compounding Preparations</w:t>
            </w:r>
          </w:p>
        </w:tc>
      </w:tr>
      <w:tr w:rsidR="00C76F70" w:rsidRPr="00C76F70" w14:paraId="7272F3EF" w14:textId="77777777" w:rsidTr="000F49F3">
        <w:trPr>
          <w:trHeight w:val="182"/>
        </w:trPr>
        <w:tc>
          <w:tcPr>
            <w:tcW w:w="4210" w:type="dxa"/>
            <w:tcMar>
              <w:top w:w="0" w:type="dxa"/>
              <w:left w:w="0" w:type="dxa"/>
              <w:bottom w:w="0" w:type="dxa"/>
              <w:right w:w="0" w:type="dxa"/>
            </w:tcMar>
          </w:tcPr>
          <w:p w14:paraId="6A8F3812"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2" w:lineRule="atLeast"/>
              <w:ind w:left="50"/>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.05</w:t>
            </w:r>
            <w:r w:rsidRPr="00C76F70">
              <w:rPr>
                <w:rFonts w:ascii="Arial" w:eastAsia="Arial" w:hAnsi="Arial" w:cs="Arial"/>
                <w:sz w:val="16"/>
              </w:rPr>
              <w:tab/>
              <w:t>Policy</w:t>
            </w:r>
            <w:r w:rsidRPr="00C76F70">
              <w:rPr>
                <w:rFonts w:ascii="Arial" w:eastAsia="Arial" w:hAnsi="Arial" w:cs="Arial"/>
                <w:spacing w:val="-5"/>
                <w:sz w:val="16"/>
              </w:rPr>
              <w:t xml:space="preserve"> </w:t>
            </w:r>
            <w:r w:rsidRPr="00C76F70">
              <w:rPr>
                <w:rFonts w:ascii="Arial" w:eastAsia="Arial" w:hAnsi="Arial" w:cs="Arial"/>
                <w:sz w:val="16"/>
              </w:rPr>
              <w:t>and</w:t>
            </w:r>
            <w:r w:rsidRPr="00C76F70">
              <w:rPr>
                <w:rFonts w:ascii="Arial" w:eastAsia="Arial" w:hAnsi="Arial" w:cs="Arial"/>
                <w:spacing w:val="-4"/>
                <w:sz w:val="16"/>
              </w:rPr>
              <w:t xml:space="preserve"> </w:t>
            </w:r>
            <w:r w:rsidRPr="00C76F70">
              <w:rPr>
                <w:rFonts w:ascii="Arial" w:eastAsia="Arial" w:hAnsi="Arial" w:cs="Arial"/>
                <w:sz w:val="16"/>
              </w:rPr>
              <w:t>Procedure</w:t>
            </w:r>
            <w:r w:rsidRPr="00C76F70">
              <w:rPr>
                <w:rFonts w:ascii="Arial" w:eastAsia="Arial" w:hAnsi="Arial" w:cs="Arial"/>
                <w:spacing w:val="-4"/>
                <w:sz w:val="16"/>
              </w:rPr>
              <w:t xml:space="preserve"> </w:t>
            </w:r>
            <w:r w:rsidRPr="00C76F70">
              <w:rPr>
                <w:rFonts w:ascii="Arial" w:eastAsia="Arial" w:hAnsi="Arial" w:cs="Arial"/>
                <w:spacing w:val="-2"/>
                <w:sz w:val="16"/>
              </w:rPr>
              <w:t>Manual</w:t>
            </w:r>
          </w:p>
        </w:tc>
        <w:tc>
          <w:tcPr>
            <w:tcW w:w="4663" w:type="dxa"/>
            <w:tcMar>
              <w:top w:w="0" w:type="dxa"/>
              <w:left w:w="0" w:type="dxa"/>
              <w:bottom w:w="0" w:type="dxa"/>
              <w:right w:w="0" w:type="dxa"/>
            </w:tcMar>
          </w:tcPr>
          <w:p w14:paraId="1367068C"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2" w:lineRule="atLeast"/>
              <w:ind w:left="627"/>
              <w:jc w:val="both"/>
              <w:rPr>
                <w:rFonts w:ascii="Arial" w:eastAsia="Cambria" w:hAnsi="Arial" w:cs="Times New Roman"/>
                <w:sz w:val="20"/>
              </w:rPr>
            </w:pPr>
            <w:r w:rsidRPr="00C76F70">
              <w:rPr>
                <w:rFonts w:ascii="Arial" w:eastAsia="Arial" w:hAnsi="Arial" w:cs="Arial"/>
                <w:spacing w:val="-2"/>
                <w:sz w:val="16"/>
              </w:rPr>
              <w:t>1140-07-</w:t>
            </w:r>
            <w:r w:rsidRPr="00C76F70">
              <w:rPr>
                <w:rFonts w:ascii="Arial" w:eastAsia="Arial" w:hAnsi="Arial" w:cs="Arial"/>
                <w:spacing w:val="-5"/>
                <w:sz w:val="16"/>
              </w:rPr>
              <w:t>.10</w:t>
            </w:r>
            <w:r w:rsidRPr="00C76F70">
              <w:rPr>
                <w:rFonts w:ascii="Arial" w:eastAsia="Arial" w:hAnsi="Arial" w:cs="Arial"/>
                <w:sz w:val="16"/>
              </w:rPr>
              <w:tab/>
            </w:r>
            <w:r w:rsidRPr="00C76F70">
              <w:rPr>
                <w:rFonts w:ascii="Arial" w:eastAsia="Arial" w:hAnsi="Arial" w:cs="Arial"/>
                <w:spacing w:val="-2"/>
                <w:sz w:val="16"/>
              </w:rPr>
              <w:t>Reserved</w:t>
            </w:r>
          </w:p>
        </w:tc>
      </w:tr>
    </w:tbl>
    <w:p w14:paraId="3F05182D"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p>
    <w:p w14:paraId="417D5608"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1140-07-.01 APPLICABILITY.</w:t>
      </w:r>
      <w:r w:rsidRPr="00C76F70">
        <w:rPr>
          <w:rFonts w:ascii="Arial" w:eastAsia="Cambria" w:hAnsi="Arial" w:cs="Times New Roman"/>
          <w:kern w:val="0"/>
          <w:sz w:val="20"/>
          <w:szCs w:val="20"/>
          <w14:ligatures w14:val="none"/>
        </w:rPr>
        <w:t xml:space="preserve"> The provisions of this Chapter shall apply to all pharmacy practice sites and pharmacists, pharmacy interns, pharmacy technicians and supportive personnel involved in the compounding and dispensing of compounded drug products.</w:t>
      </w:r>
    </w:p>
    <w:p w14:paraId="005A4907"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22B03609"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5D15BC5A"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1140-07-.02 STANDARDS.</w:t>
      </w:r>
    </w:p>
    <w:p w14:paraId="25E7C30E"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The preparation, labeling, and dispensing of all compounded drug products shall comply with the standards established by United States Pharmacopeia (USP) chapters 795, 797, 800, and/or 825, pursuant to the compounding pharmacy's site practice,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w:t>
      </w:r>
    </w:p>
    <w:p w14:paraId="4732BB50"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The Board of Pharmacy, upon a showing of good cause and in the best interest of the public health, safety and welfare, may waive the requirements of any applicable portion of USP standards.</w:t>
      </w:r>
    </w:p>
    <w:p w14:paraId="0048D3F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All waiver requests submitted pursuant to this part shall be submitted in writing.</w:t>
      </w:r>
    </w:p>
    <w:p w14:paraId="04F9684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The Board of Pharmacy may authorize the Executive Director to exercise some, or all, of its waiver authority under this part.</w:t>
      </w:r>
    </w:p>
    <w:p w14:paraId="6F223DB0"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Noncompliance by a licensee with applicable standards and guidelines, or any other violation of the provisions of this rule shall be considered unprofessional conduct within the meaning of T.C.A. § 63-10-309(5) and a violation of a duly promulgated rule of the Board of Pharmacy.</w:t>
      </w:r>
    </w:p>
    <w:p w14:paraId="0FA5859B"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(4)</w:t>
      </w:r>
      <w:r w:rsidRPr="00C76F70">
        <w:rPr>
          <w:rFonts w:ascii="Arial" w:eastAsia="Cambria" w:hAnsi="Arial" w:cs="Times New Roman"/>
          <w:kern w:val="0"/>
          <w:sz w:val="20"/>
          <w14:ligatures w14:val="none"/>
        </w:rPr>
        <w:tab/>
        <w:t>Any licensed pharmacy which compounds and dispenses compounded drug products shall provide at a minimum upon request of the Board of Pharmacy the following information for any compounded drug product compounded, dispensed, traded, sold, or otherwise distributed within the past two (2) years:</w:t>
      </w:r>
    </w:p>
    <w:p w14:paraId="5C0357F5"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Name, strength, and dosage form;</w:t>
      </w:r>
    </w:p>
    <w:p w14:paraId="07524B3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Quantity compounded, dispensed, traded, sold, or otherwise distributed during the preceding period;</w:t>
      </w:r>
    </w:p>
    <w:p w14:paraId="7B1D38F3"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The source, lot number, expiration date and an accurate statement of the weight or measure of each component;</w:t>
      </w:r>
    </w:p>
    <w:p w14:paraId="2B1EC1A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The Beyond-Use Date which is the date, or hour and date, after which a compounded drug product must not be used, stored, or transported</w:t>
      </w:r>
      <w:r w:rsidRPr="00C76F70">
        <w:rPr>
          <w:rFonts w:ascii="Arial" w:eastAsia="Arial" w:hAnsi="Arial" w:cs="Arial"/>
          <w:kern w:val="0"/>
          <w:sz w:val="20"/>
          <w:szCs w:val="20"/>
          <w14:ligatures w14:val="none"/>
        </w:rPr>
        <w:t>, as outlined in USP &lt;795&gt; and &lt;797&gt;</w:t>
      </w:r>
      <w:r w:rsidRPr="00C76F70">
        <w:rPr>
          <w:rFonts w:ascii="Arial" w:eastAsia="Cambria" w:hAnsi="Arial" w:cs="Times New Roman"/>
          <w:kern w:val="0"/>
          <w:sz w:val="20"/>
          <w:szCs w:val="20"/>
          <w14:ligatures w14:val="none"/>
        </w:rPr>
        <w:t>. The date is determined from the date or time the preparation is compounded (BUD);</w:t>
      </w:r>
    </w:p>
    <w:p w14:paraId="55F81BC7"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lastRenderedPageBreak/>
        <w:t>(e)</w:t>
      </w:r>
      <w:r w:rsidRPr="00C76F70">
        <w:rPr>
          <w:rFonts w:ascii="Arial" w:eastAsia="Cambria" w:hAnsi="Arial" w:cs="Times New Roman"/>
          <w:kern w:val="0"/>
          <w:sz w:val="20"/>
          <w:szCs w:val="20"/>
          <w14:ligatures w14:val="none"/>
        </w:rPr>
        <w:tab/>
        <w:t>Storage requirements;</w:t>
      </w:r>
    </w:p>
    <w:p w14:paraId="2A4E81A7"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(f)</w:t>
      </w:r>
      <w:r w:rsidRPr="00C76F70">
        <w:rPr>
          <w:rFonts w:ascii="Arial" w:eastAsia="Cambria" w:hAnsi="Arial" w:cs="Times New Roman"/>
          <w:kern w:val="0"/>
          <w:sz w:val="20"/>
          <w:szCs w:val="20"/>
          <w14:ligatures w14:val="none"/>
        </w:rPr>
        <w:tab/>
        <w:t>Labels and labeling with appropriate BUD and instructions for storage and use;</w:t>
      </w:r>
    </w:p>
    <w:p w14:paraId="20D0ADC6"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(g)</w:t>
      </w:r>
      <w:r w:rsidRPr="00C76F70">
        <w:rPr>
          <w:rFonts w:ascii="Arial" w:eastAsia="Cambria" w:hAnsi="Arial" w:cs="Times New Roman"/>
          <w:kern w:val="0"/>
          <w:sz w:val="20"/>
          <w:szCs w:val="20"/>
          <w14:ligatures w14:val="none"/>
        </w:rPr>
        <w:tab/>
        <w:t>The names of all personnel who prepared the compounded drug product;</w:t>
      </w:r>
    </w:p>
    <w:p w14:paraId="00A75110"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(h)</w:t>
      </w:r>
      <w:r w:rsidRPr="00C76F70">
        <w:rPr>
          <w:rFonts w:ascii="Arial" w:eastAsia="Cambria" w:hAnsi="Arial" w:cs="Times New Roman"/>
          <w:kern w:val="0"/>
          <w:sz w:val="20"/>
          <w:szCs w:val="20"/>
          <w14:ligatures w14:val="none"/>
        </w:rPr>
        <w:tab/>
        <w:t>The name of the pharmacist who approved the compounded drug product;</w:t>
      </w:r>
    </w:p>
    <w:p w14:paraId="2DDD74E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(i)</w:t>
      </w:r>
      <w:r w:rsidRPr="00C76F70">
        <w:rPr>
          <w:rFonts w:ascii="Arial" w:eastAsia="Cambria" w:hAnsi="Arial" w:cs="Times New Roman"/>
          <w:kern w:val="0"/>
          <w:sz w:val="20"/>
          <w:szCs w:val="20"/>
          <w14:ligatures w14:val="none"/>
        </w:rPr>
        <w:tab/>
        <w:t>The name of the patient, practitioner or healthcare entity who received the compounded drug product; and</w:t>
      </w:r>
    </w:p>
    <w:p w14:paraId="23DAB490"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(j)</w:t>
      </w:r>
      <w:r w:rsidRPr="00C76F70">
        <w:rPr>
          <w:rFonts w:ascii="Arial" w:eastAsia="Cambria" w:hAnsi="Arial" w:cs="Times New Roman"/>
          <w:kern w:val="0"/>
          <w:sz w:val="20"/>
          <w:szCs w:val="20"/>
          <w14:ligatures w14:val="none"/>
        </w:rPr>
        <w:tab/>
        <w:t>The results of any sampling, testing or other quantitative evaluation conducted for the purposes of quality control for any compounded drug products, compounded over the past two (2) years.</w:t>
      </w:r>
    </w:p>
    <w:p w14:paraId="184DB3D9"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(5)</w:t>
      </w:r>
      <w:r w:rsidRPr="00C76F70">
        <w:rPr>
          <w:rFonts w:ascii="Arial" w:eastAsia="Cambria" w:hAnsi="Arial" w:cs="Times New Roman"/>
          <w:kern w:val="0"/>
          <w:sz w:val="20"/>
          <w14:ligatures w14:val="none"/>
        </w:rPr>
        <w:tab/>
        <w:t>Upon request, the Board may waive selected portions of these requirements so long as any waiver granted is consistent with the Board's authority under T.C.A. Title 63, Chapters 1 and 10, and T.C.A. Title 4, Chapter 5.</w:t>
      </w:r>
    </w:p>
    <w:p w14:paraId="77F93826"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2EEC07B9"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2FF11475"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1140-07-.03 PERSONNEL.</w:t>
      </w:r>
    </w:p>
    <w:p w14:paraId="4EAA9496"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The pharmacist in charge or the person(s) designated by the pharmacist in charge shall be responsible for, at a minimum, the following:</w:t>
      </w:r>
    </w:p>
    <w:p w14:paraId="01130E4C"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Procurement, storage, compounding, labeling, repackaging, dispensing, and distribution of all drugs and devices and related materials necessary in compounding and dispensing compounded drug products;</w:t>
      </w:r>
    </w:p>
    <w:p w14:paraId="531817E1"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Establishment of policies and procedures for the compounding and dispensing of compounded drug products;</w:t>
      </w:r>
    </w:p>
    <w:p w14:paraId="5E58FB43"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Documentation of competency in proper techniques of all pharmacists, pharmacy interns and pharmacy technicians. The proper technique of each person compounding and dispensing compounded drug products shall be observed and evaluated as satisfactory during orientation and training pursuant to standards established by USP chapters 795, 797, 800, and/or 825, pursuant to the compounding pharmacy's site practice,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 or whenever unacceptable techniques are observed or detected;</w:t>
      </w:r>
    </w:p>
    <w:p w14:paraId="16AC2D8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Establishment of a quality assurance program.</w:t>
      </w:r>
    </w:p>
    <w:p w14:paraId="665C6FDC"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All pharmacists, pharmacy interns and pharmacy technicians as defined in Tenn. Comp. R. &amp; Regs. 1140-02 responsible for compounding or dispensing compounded drug products shall:</w:t>
      </w:r>
    </w:p>
    <w:p w14:paraId="033C2B8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Obtain practical and/or academic training in the compounding and dispensing of compounded drug products;</w:t>
      </w:r>
    </w:p>
    <w:p w14:paraId="365DD2E0"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lastRenderedPageBreak/>
        <w:t>(b)</w:t>
      </w:r>
      <w:r w:rsidRPr="00C76F70">
        <w:rPr>
          <w:rFonts w:ascii="Arial" w:eastAsia="Cambria" w:hAnsi="Arial" w:cs="Times New Roman"/>
          <w:kern w:val="0"/>
          <w:sz w:val="20"/>
          <w:szCs w:val="20"/>
          <w14:ligatures w14:val="none"/>
        </w:rPr>
        <w:tab/>
        <w:t>Complete education pursuant to the standards established by USP chapters 795, 797, 800, and/or 825, pursuant to the compounding pharmacy's site practice,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 and</w:t>
      </w:r>
    </w:p>
    <w:p w14:paraId="486F9B24"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Maintain, in the pharmacy practice site, documentation of completion of the required initial and subsequent training and competency evaluations for (2) years. A documented record of initial and subsequent training and competency evaluations shall be maintained in the pharmacy practice site. These records shall contain the following information:</w:t>
      </w:r>
    </w:p>
    <w:p w14:paraId="7C9F94A8"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2174" w:hanging="554"/>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1.</w:t>
      </w:r>
      <w:r w:rsidRPr="00C76F70">
        <w:rPr>
          <w:rFonts w:ascii="Arial" w:eastAsia="Cambria" w:hAnsi="Arial" w:cs="Times New Roman"/>
          <w:kern w:val="0"/>
          <w:sz w:val="20"/>
          <w:szCs w:val="20"/>
          <w14:ligatures w14:val="none"/>
        </w:rPr>
        <w:tab/>
        <w:t>Name of the person receiving the training or evaluation;</w:t>
      </w:r>
    </w:p>
    <w:p w14:paraId="1116F668"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2174" w:hanging="554"/>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2.</w:t>
      </w:r>
      <w:r w:rsidRPr="00C76F70">
        <w:rPr>
          <w:rFonts w:ascii="Arial" w:eastAsia="Cambria" w:hAnsi="Arial" w:cs="Times New Roman"/>
          <w:kern w:val="0"/>
          <w:sz w:val="20"/>
          <w:szCs w:val="20"/>
          <w14:ligatures w14:val="none"/>
        </w:rPr>
        <w:tab/>
        <w:t>Date(s) of the training or evaluation;</w:t>
      </w:r>
    </w:p>
    <w:p w14:paraId="38F7B38C" w14:textId="77777777" w:rsidR="00C76F70" w:rsidRPr="00C76F70" w:rsidRDefault="00C76F70" w:rsidP="00C76F70">
      <w:pPr>
        <w:spacing w:after="240" w:line="240" w:lineRule="auto"/>
        <w:ind w:left="1620"/>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3.</w:t>
      </w:r>
      <w:r w:rsidRPr="00C76F70">
        <w:rPr>
          <w:rFonts w:ascii="Arial" w:eastAsia="Cambria" w:hAnsi="Arial" w:cs="Times New Roman"/>
          <w:kern w:val="0"/>
          <w:sz w:val="20"/>
          <w:szCs w:val="20"/>
          <w14:ligatures w14:val="none"/>
        </w:rPr>
        <w:tab/>
        <w:t>General description of the topics covered; and</w:t>
      </w:r>
    </w:p>
    <w:p w14:paraId="11AFCB71" w14:textId="77777777" w:rsidR="00C76F70" w:rsidRPr="00C76F70" w:rsidRDefault="00C76F70" w:rsidP="00C76F70">
      <w:pPr>
        <w:spacing w:after="240" w:line="240" w:lineRule="auto"/>
        <w:ind w:left="2160" w:hanging="540"/>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4.</w:t>
      </w:r>
      <w:r w:rsidRPr="00C76F70">
        <w:rPr>
          <w:rFonts w:ascii="Arial" w:eastAsia="Cambria" w:hAnsi="Arial" w:cs="Times New Roman"/>
          <w:kern w:val="0"/>
          <w:sz w:val="20"/>
          <w:szCs w:val="20"/>
          <w14:ligatures w14:val="none"/>
        </w:rPr>
        <w:tab/>
        <w:t>Authorization of the person receiving the training or evaluation and the pharmacist in charge or the person(s) designated by the pharmacist in charge. The person receiving the training may not self-evaluate.</w:t>
      </w:r>
    </w:p>
    <w:p w14:paraId="201C6FC4"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Use proper technique in all drug product compounding as defined by the pharmacy practice site's policies and procedures and in compliance with standards established by USP chapters 795, 797, 800, and/or 825, pursuant to the compounding pharmacy's site practice,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w:t>
      </w:r>
    </w:p>
    <w:p w14:paraId="7DF87124"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The pharmacist in charge shall be assisted by such additional pharmacists, pharmacy interns, pharmacy technicians as defined by Tenn. Comp. R. &amp; Regs. 1140-02 and supportive personnel necessary to operate the pharmacy practice site competently and safely and to provide services in a timely and appropriate manner.</w:t>
      </w:r>
    </w:p>
    <w:p w14:paraId="3F196219"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(4)</w:t>
      </w:r>
      <w:r w:rsidRPr="00C76F70">
        <w:rPr>
          <w:rFonts w:ascii="Arial" w:eastAsia="Cambria" w:hAnsi="Arial" w:cs="Times New Roman"/>
          <w:kern w:val="0"/>
          <w:sz w:val="20"/>
          <w14:ligatures w14:val="none"/>
        </w:rPr>
        <w:tab/>
        <w:t>All pharmacists, pharmacy interns and pharmacy technicians must be qualified at least annually through an appropriate combination of specific training and experience to operate or manipulate any item of equipment, apparatus, or device to which such pharmacists, interns and technicians will be assigned to use to compound and dispense compounded drug products.</w:t>
      </w:r>
    </w:p>
    <w:p w14:paraId="4BD521D6"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(5)</w:t>
      </w:r>
      <w:r w:rsidRPr="00C76F70">
        <w:rPr>
          <w:rFonts w:ascii="Arial" w:eastAsia="Cambria" w:hAnsi="Arial" w:cs="Times New Roman"/>
          <w:kern w:val="0"/>
          <w:sz w:val="20"/>
          <w14:ligatures w14:val="none"/>
        </w:rPr>
        <w:tab/>
        <w:t>Upon request, the Board may waive selected portions of these requirements so long as any waiver granted is consistent with the Board's authority under T.C.A. Title 63, Chapters 1 and 10, and T.C.A. Title 4, Chapter 5.</w:t>
      </w:r>
    </w:p>
    <w:p w14:paraId="4A7FF6E4"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2A2F751A"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79AC2BFA"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1140-07-.04 PHYSICAL REQUIREMENTS.</w:t>
      </w:r>
    </w:p>
    <w:p w14:paraId="5D20053D"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 xml:space="preserve">Any facility that compounds drug products shall comply with standards established by USP chapters 795, 797, 800, and/or 825, pursuant to the compounding pharmacy's site practice, </w:t>
      </w:r>
      <w:r w:rsidRPr="00C76F70">
        <w:rPr>
          <w:rFonts w:ascii="Arial" w:eastAsia="Cambria" w:hAnsi="Arial" w:cs="Times New Roman"/>
          <w:kern w:val="0"/>
          <w:sz w:val="20"/>
          <w14:ligatures w14:val="none"/>
        </w:rPr>
        <w:lastRenderedPageBreak/>
        <w:t>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w:t>
      </w:r>
    </w:p>
    <w:p w14:paraId="3075D2E6"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33287DF3"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33749630"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1140-07-.05 POLICY AND PROCEDURE MANUAL.</w:t>
      </w:r>
    </w:p>
    <w:p w14:paraId="1AB29126"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A policy and procedure manual related to compounded drug products shall be available for inspection at the pharmacy practice site. The manual shall include policies and procedures for compounding pursuant to USP standards, and shall, at a minimum, include:</w:t>
      </w:r>
    </w:p>
    <w:p w14:paraId="4F770CE3"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Security;</w:t>
      </w:r>
    </w:p>
    <w:p w14:paraId="25362F24"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Equipment;</w:t>
      </w:r>
    </w:p>
    <w:p w14:paraId="2ABB4747"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Sanitation;</w:t>
      </w:r>
    </w:p>
    <w:p w14:paraId="6DAA486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Reference materials;</w:t>
      </w:r>
    </w:p>
    <w:p w14:paraId="38A8A0EA"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(e)</w:t>
      </w:r>
      <w:r w:rsidRPr="00C76F70">
        <w:rPr>
          <w:rFonts w:ascii="Arial" w:eastAsia="Cambria" w:hAnsi="Arial" w:cs="Times New Roman"/>
          <w:kern w:val="0"/>
          <w:sz w:val="20"/>
          <w:szCs w:val="20"/>
          <w14:ligatures w14:val="none"/>
        </w:rPr>
        <w:tab/>
        <w:t>Prescription drug and device and related material storage;</w:t>
      </w:r>
    </w:p>
    <w:p w14:paraId="3831F079"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(f)</w:t>
      </w:r>
      <w:r w:rsidRPr="00C76F70">
        <w:rPr>
          <w:rFonts w:ascii="Arial" w:eastAsia="Cambria" w:hAnsi="Arial" w:cs="Times New Roman"/>
          <w:kern w:val="0"/>
          <w:sz w:val="20"/>
          <w:szCs w:val="20"/>
          <w14:ligatures w14:val="none"/>
        </w:rPr>
        <w:tab/>
        <w:t>Prescription drug and device and related material compounding and dispensing;</w:t>
      </w:r>
    </w:p>
    <w:p w14:paraId="6EE32606"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(g)</w:t>
      </w:r>
      <w:r w:rsidRPr="00C76F70">
        <w:rPr>
          <w:rFonts w:ascii="Arial" w:eastAsia="Cambria" w:hAnsi="Arial" w:cs="Times New Roman"/>
          <w:kern w:val="0"/>
          <w:sz w:val="20"/>
          <w:szCs w:val="20"/>
          <w14:ligatures w14:val="none"/>
        </w:rPr>
        <w:tab/>
        <w:t>Prescription drug and device and related material labeling and relabeling;</w:t>
      </w:r>
    </w:p>
    <w:p w14:paraId="1B36ACB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(h)</w:t>
      </w:r>
      <w:r w:rsidRPr="00C76F70">
        <w:rPr>
          <w:rFonts w:ascii="Arial" w:eastAsia="Cambria" w:hAnsi="Arial" w:cs="Times New Roman"/>
          <w:kern w:val="0"/>
          <w:sz w:val="20"/>
          <w:szCs w:val="20"/>
          <w14:ligatures w14:val="none"/>
        </w:rPr>
        <w:tab/>
        <w:t>Prescription drug and device and related material destruction and returns;</w:t>
      </w:r>
    </w:p>
    <w:p w14:paraId="1B8DB28B"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(i)</w:t>
      </w:r>
      <w:r w:rsidRPr="00C76F70">
        <w:rPr>
          <w:rFonts w:ascii="Arial" w:eastAsia="Cambria" w:hAnsi="Arial" w:cs="Times New Roman"/>
          <w:kern w:val="0"/>
          <w:sz w:val="20"/>
          <w:szCs w:val="20"/>
          <w14:ligatures w14:val="none"/>
        </w:rPr>
        <w:tab/>
        <w:t>Dispensing of compounded drug products;</w:t>
      </w:r>
    </w:p>
    <w:p w14:paraId="260736D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(j)</w:t>
      </w:r>
      <w:r w:rsidRPr="00C76F70">
        <w:rPr>
          <w:rFonts w:ascii="Arial" w:eastAsia="Cambria" w:hAnsi="Arial" w:cs="Times New Roman"/>
          <w:kern w:val="0"/>
          <w:sz w:val="20"/>
          <w:szCs w:val="20"/>
          <w14:ligatures w14:val="none"/>
        </w:rPr>
        <w:tab/>
        <w:t>Record keeping;</w:t>
      </w:r>
    </w:p>
    <w:p w14:paraId="7DCFC6B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(k)</w:t>
      </w:r>
      <w:r w:rsidRPr="00C76F70">
        <w:rPr>
          <w:rFonts w:ascii="Arial" w:eastAsia="Cambria" w:hAnsi="Arial" w:cs="Times New Roman"/>
          <w:kern w:val="0"/>
          <w:sz w:val="20"/>
          <w:szCs w:val="20"/>
          <w14:ligatures w14:val="none"/>
        </w:rPr>
        <w:tab/>
        <w:t>Quality assurance;</w:t>
      </w:r>
    </w:p>
    <w:p w14:paraId="27078146"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(l)</w:t>
      </w:r>
      <w:r w:rsidRPr="00C76F70">
        <w:rPr>
          <w:rFonts w:ascii="Arial" w:eastAsia="Cambria" w:hAnsi="Arial" w:cs="Times New Roman"/>
          <w:kern w:val="0"/>
          <w:sz w:val="20"/>
          <w:szCs w:val="20"/>
          <w14:ligatures w14:val="none"/>
        </w:rPr>
        <w:tab/>
        <w:t>Quality control;</w:t>
      </w:r>
    </w:p>
    <w:p w14:paraId="65F71ACB"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(m)</w:t>
      </w:r>
      <w:r w:rsidRPr="00C76F70">
        <w:rPr>
          <w:rFonts w:ascii="Arial" w:eastAsia="Cambria" w:hAnsi="Arial" w:cs="Times New Roman"/>
          <w:kern w:val="0"/>
          <w:sz w:val="20"/>
          <w:szCs w:val="20"/>
          <w14:ligatures w14:val="none"/>
        </w:rPr>
        <w:tab/>
        <w:t>Duties for pharmacist(s), pharmacy intern(s), pharmacy technician(s) and supportive personnel;</w:t>
      </w:r>
    </w:p>
    <w:p w14:paraId="53CBB8B5"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(n)</w:t>
      </w:r>
      <w:r w:rsidRPr="00C76F70">
        <w:rPr>
          <w:rFonts w:ascii="Arial" w:eastAsia="Cambria" w:hAnsi="Arial" w:cs="Times New Roman"/>
          <w:kern w:val="0"/>
          <w:sz w:val="20"/>
          <w:szCs w:val="20"/>
          <w14:ligatures w14:val="none"/>
        </w:rPr>
        <w:tab/>
        <w:t>Public safety relative to harmful compounded drug products, including the active notification of patients if they may be affected by a product found to have a defect or an out-of-specification result including any recall policy and procedures;</w:t>
      </w:r>
    </w:p>
    <w:p w14:paraId="4979E539"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(o)</w:t>
      </w:r>
      <w:r w:rsidRPr="00C76F70">
        <w:rPr>
          <w:rFonts w:ascii="Arial" w:eastAsia="Cambria" w:hAnsi="Arial" w:cs="Times New Roman"/>
          <w:kern w:val="0"/>
          <w:sz w:val="20"/>
          <w:szCs w:val="20"/>
          <w14:ligatures w14:val="none"/>
        </w:rPr>
        <w:tab/>
        <w:t>Attire;</w:t>
      </w:r>
    </w:p>
    <w:p w14:paraId="645BA401"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(p)</w:t>
      </w:r>
      <w:r w:rsidRPr="00C76F70">
        <w:rPr>
          <w:rFonts w:ascii="Arial" w:eastAsia="Cambria" w:hAnsi="Arial" w:cs="Times New Roman"/>
          <w:kern w:val="0"/>
          <w:sz w:val="20"/>
          <w:szCs w:val="20"/>
          <w14:ligatures w14:val="none"/>
        </w:rPr>
        <w:tab/>
        <w:t>Pharmacist, pharmacy intern, and pharmacy technician training;</w:t>
      </w:r>
    </w:p>
    <w:p w14:paraId="2AAFB493"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(q)</w:t>
      </w:r>
      <w:r w:rsidRPr="00C76F70">
        <w:rPr>
          <w:rFonts w:ascii="Arial" w:eastAsia="Cambria" w:hAnsi="Arial" w:cs="Times New Roman"/>
          <w:kern w:val="0"/>
          <w:sz w:val="20"/>
          <w:szCs w:val="20"/>
          <w14:ligatures w14:val="none"/>
        </w:rPr>
        <w:tab/>
        <w:t xml:space="preserve">Compliance with the standards established by chapters 795, 797, 800, and/or 825, pursuant to the compounding pharmacy's site practice, including all USP chapters and standards incorporated into chapters by reference and including all subsequent </w:t>
      </w:r>
      <w:r w:rsidRPr="00C76F70">
        <w:rPr>
          <w:rFonts w:ascii="Arial" w:eastAsia="Cambria" w:hAnsi="Arial" w:cs="Times New Roman"/>
          <w:kern w:val="0"/>
          <w:sz w:val="20"/>
          <w:szCs w:val="20"/>
          <w14:ligatures w14:val="none"/>
        </w:rPr>
        <w:lastRenderedPageBreak/>
        <w:t>amendments and editions of the same, governing both the compounded drug products and the physical and environmental conditions under which compounded drug products are prepared, labeled, and dispensed; and</w:t>
      </w:r>
    </w:p>
    <w:p w14:paraId="31AF28B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(r)</w:t>
      </w:r>
      <w:r w:rsidRPr="00C76F70">
        <w:rPr>
          <w:rFonts w:ascii="Arial" w:eastAsia="Cambria" w:hAnsi="Arial" w:cs="Times New Roman"/>
          <w:kern w:val="0"/>
          <w:sz w:val="20"/>
          <w:szCs w:val="20"/>
          <w14:ligatures w14:val="none"/>
        </w:rPr>
        <w:tab/>
        <w:t>Response to adverse events, outbreaks, and other public health threats associated with products compounded, dispensed, manufactured, propagated, distributed, or otherwise processed at the facility, including procedures for the rapid compilation and dissemination of records to appropriate authorities.</w:t>
      </w:r>
    </w:p>
    <w:p w14:paraId="27B8FE78"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Any licensed facility which engages in drug product compounding shall conduct an annual review of its policy and procedure manual, and shall update its policy and procedure manual as necessary.</w:t>
      </w:r>
    </w:p>
    <w:p w14:paraId="7F071835"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Failure by any licensee or registrant to comply with its policy and procedure manual, or any part of this rule shall be considered a violation of a duly promulgated rule of the Board of Pharmacy and may be considered dishonorable, immoral, unethical or unprofessional conduct within the meaning of T.C.A. § 63-10-309(5).</w:t>
      </w:r>
    </w:p>
    <w:p w14:paraId="4E38A88E"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6EA740CD"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216DE3EC"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1140-07-.06 LABELING.</w:t>
      </w:r>
    </w:p>
    <w:p w14:paraId="0FCD9A7F"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At the time of labeling the final compounded drug product, the dispensing container must bear a label which contains the following information:</w:t>
      </w:r>
    </w:p>
    <w:p w14:paraId="5DACB1BB"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Patient's name or healthcare entity name;</w:t>
      </w:r>
    </w:p>
    <w:p w14:paraId="452B4A9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Prescriber(s) name (if for outpatient use);</w:t>
      </w:r>
    </w:p>
    <w:p w14:paraId="28D9862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Pharmacy practice site name, address, and phone number (if for outpatient use);</w:t>
      </w:r>
    </w:p>
    <w:p w14:paraId="3BFB82D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p>
    <w:p w14:paraId="3AD67C2B"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Identification of the pharmacist performing the final product verification;</w:t>
      </w:r>
    </w:p>
    <w:p w14:paraId="51665B35"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(e)</w:t>
      </w:r>
      <w:r w:rsidRPr="00C76F70">
        <w:rPr>
          <w:rFonts w:ascii="Arial" w:eastAsia="Cambria" w:hAnsi="Arial" w:cs="Times New Roman"/>
          <w:kern w:val="0"/>
          <w:sz w:val="20"/>
          <w:szCs w:val="20"/>
          <w14:ligatures w14:val="none"/>
        </w:rPr>
        <w:tab/>
        <w:t>Name and amount of drug added. Additional labels or other written/typed documentation may be given to the patient separately if there is not enough space on the label to accommodate all active ingredient(s), their amount(s), activity(ies), or concentration(s) as applicable;</w:t>
      </w:r>
    </w:p>
    <w:p w14:paraId="5EC5D51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(f)</w:t>
      </w:r>
      <w:r w:rsidRPr="00C76F70">
        <w:rPr>
          <w:rFonts w:ascii="Arial" w:eastAsia="Cambria" w:hAnsi="Arial" w:cs="Times New Roman"/>
          <w:kern w:val="0"/>
          <w:sz w:val="20"/>
          <w:szCs w:val="20"/>
          <w14:ligatures w14:val="none"/>
        </w:rPr>
        <w:tab/>
        <w:t>The date, or hour and date, after which a compounded drug product must not be used, stored, or transported. The date is determined from the date or time the preparation is compounded (BUD);</w:t>
      </w:r>
    </w:p>
    <w:p w14:paraId="668C050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(g)</w:t>
      </w:r>
      <w:r w:rsidRPr="00C76F70">
        <w:rPr>
          <w:rFonts w:ascii="Arial" w:eastAsia="Cambria" w:hAnsi="Arial" w:cs="Times New Roman"/>
          <w:kern w:val="0"/>
          <w:sz w:val="20"/>
          <w:szCs w:val="20"/>
          <w14:ligatures w14:val="none"/>
        </w:rPr>
        <w:tab/>
        <w:t>Date of compounding;</w:t>
      </w:r>
    </w:p>
    <w:p w14:paraId="24AACB0C"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(h)</w:t>
      </w:r>
      <w:r w:rsidRPr="00C76F70">
        <w:rPr>
          <w:rFonts w:ascii="Arial" w:eastAsia="Cambria" w:hAnsi="Arial" w:cs="Times New Roman"/>
          <w:kern w:val="0"/>
          <w:sz w:val="20"/>
          <w:szCs w:val="20"/>
          <w14:ligatures w14:val="none"/>
        </w:rPr>
        <w:tab/>
        <w:t>Date of dispensing;</w:t>
      </w:r>
    </w:p>
    <w:p w14:paraId="473C407C"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(i)</w:t>
      </w:r>
      <w:r w:rsidRPr="00C76F70">
        <w:rPr>
          <w:rFonts w:ascii="Arial" w:eastAsia="Cambria" w:hAnsi="Arial" w:cs="Times New Roman"/>
          <w:kern w:val="0"/>
          <w:sz w:val="20"/>
          <w:szCs w:val="20"/>
          <w14:ligatures w14:val="none"/>
        </w:rPr>
        <w:tab/>
        <w:t>Appropriate auxiliary label(s);</w:t>
      </w:r>
    </w:p>
    <w:p w14:paraId="6D82A691"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(j)</w:t>
      </w:r>
      <w:r w:rsidRPr="00C76F70">
        <w:rPr>
          <w:rFonts w:ascii="Arial" w:eastAsia="Cambria" w:hAnsi="Arial" w:cs="Times New Roman"/>
          <w:kern w:val="0"/>
          <w:sz w:val="20"/>
          <w:szCs w:val="20"/>
          <w14:ligatures w14:val="none"/>
        </w:rPr>
        <w:tab/>
        <w:t>Assigned internal identification number; and</w:t>
      </w:r>
    </w:p>
    <w:p w14:paraId="483CFA7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lastRenderedPageBreak/>
        <w:t>(k)</w:t>
      </w:r>
      <w:r w:rsidRPr="00C76F70">
        <w:rPr>
          <w:rFonts w:ascii="Arial" w:eastAsia="Cambria" w:hAnsi="Arial" w:cs="Times New Roman"/>
          <w:kern w:val="0"/>
          <w:sz w:val="20"/>
          <w:szCs w:val="20"/>
          <w14:ligatures w14:val="none"/>
        </w:rPr>
        <w:tab/>
        <w:t>Directions for use (if for outpatient), if applicable.</w:t>
      </w:r>
    </w:p>
    <w:p w14:paraId="66628A50"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At the time of labeling the anticipatory drug product, the container must bear a label which contains the following information:</w:t>
      </w:r>
    </w:p>
    <w:p w14:paraId="6D611765"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 xml:space="preserve">Identification of the pharmacist performing the final product verification; </w:t>
      </w:r>
    </w:p>
    <w:p w14:paraId="40CB72F4"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Name and amount of drug added;</w:t>
      </w:r>
    </w:p>
    <w:p w14:paraId="5805DED2"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The date, or hour and date, after which a compounded drug product must not be used, stored, or transported. The date is determined from the date or time the preparation is compounded. (BUD);</w:t>
      </w:r>
    </w:p>
    <w:p w14:paraId="7441F281"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(d)</w:t>
      </w:r>
      <w:r w:rsidRPr="00C76F70">
        <w:rPr>
          <w:rFonts w:ascii="Arial" w:eastAsia="Cambria" w:hAnsi="Arial" w:cs="Times New Roman"/>
          <w:kern w:val="0"/>
          <w:sz w:val="20"/>
          <w:szCs w:val="20"/>
          <w14:ligatures w14:val="none"/>
        </w:rPr>
        <w:tab/>
        <w:t>Date of compounding;</w:t>
      </w:r>
    </w:p>
    <w:p w14:paraId="2101455D"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(e)</w:t>
      </w:r>
      <w:r w:rsidRPr="00C76F70">
        <w:rPr>
          <w:rFonts w:ascii="Arial" w:eastAsia="Cambria" w:hAnsi="Arial" w:cs="Times New Roman"/>
          <w:kern w:val="0"/>
          <w:sz w:val="20"/>
          <w:szCs w:val="20"/>
          <w14:ligatures w14:val="none"/>
        </w:rPr>
        <w:tab/>
        <w:t>Appropriate auxiliary label(s);</w:t>
      </w:r>
    </w:p>
    <w:p w14:paraId="48CEB60F"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(f)</w:t>
      </w:r>
      <w:r w:rsidRPr="00C76F70">
        <w:rPr>
          <w:rFonts w:ascii="Arial" w:eastAsia="Cambria" w:hAnsi="Arial" w:cs="Times New Roman"/>
          <w:kern w:val="0"/>
          <w:sz w:val="20"/>
          <w:szCs w:val="20"/>
          <w14:ligatures w14:val="none"/>
        </w:rPr>
        <w:tab/>
        <w:t xml:space="preserve">Assigned lot and batch; and </w:t>
      </w:r>
    </w:p>
    <w:p w14:paraId="3D2B3CE9"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(g)</w:t>
      </w:r>
      <w:r w:rsidRPr="00C76F70">
        <w:rPr>
          <w:rFonts w:ascii="Arial" w:eastAsia="Cambria" w:hAnsi="Arial" w:cs="Times New Roman"/>
          <w:kern w:val="0"/>
          <w:sz w:val="20"/>
          <w:szCs w:val="20"/>
          <w14:ligatures w14:val="none"/>
        </w:rPr>
        <w:tab/>
        <w:t>Storage requirements, if applicable.</w:t>
      </w:r>
    </w:p>
    <w:p w14:paraId="3ECC79DB"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Original medical or prescription orders for sterile products shall comply with applicable state and federal laws and regulations.</w:t>
      </w:r>
    </w:p>
    <w:p w14:paraId="456B9DC6"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4C909F41"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633A50C9"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1140-07-.07 HAZARDOUS PRODUCTS.</w:t>
      </w:r>
    </w:p>
    <w:p w14:paraId="4F3A167F"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Physical Requirements.</w:t>
      </w:r>
    </w:p>
    <w:p w14:paraId="027DDA0F"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If the pharmacy practice site is engaged in the compounding of hazardous drug products, a suitable facility to prepare such products and minimize the risk associated with such products shall be provided.</w:t>
      </w:r>
    </w:p>
    <w:p w14:paraId="312335B6"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Such pharmacy practice site shall be designed and equipped for storage and have a procedure for disposal of materials containing hazardous residues in accordance with state and federal laws</w:t>
      </w:r>
      <w:r w:rsidRPr="00C76F70">
        <w:rPr>
          <w:rFonts w:ascii="Arial" w:eastAsia="Arial" w:hAnsi="Arial" w:cs="Arial"/>
          <w:kern w:val="0"/>
          <w:sz w:val="20"/>
          <w:szCs w:val="20"/>
          <w14:ligatures w14:val="none"/>
        </w:rPr>
        <w:t>, as outlined in USP &lt;800&gt;</w:t>
      </w:r>
      <w:r w:rsidRPr="00C76F70">
        <w:rPr>
          <w:rFonts w:ascii="Arial" w:eastAsia="Cambria" w:hAnsi="Arial" w:cs="Times New Roman"/>
          <w:kern w:val="0"/>
          <w:sz w:val="20"/>
          <w:szCs w:val="20"/>
          <w14:ligatures w14:val="none"/>
        </w:rPr>
        <w:t xml:space="preserve">. </w:t>
      </w:r>
    </w:p>
    <w:p w14:paraId="2ED04CCE" w14:textId="77777777" w:rsidR="00C76F70" w:rsidRPr="00C76F70" w:rsidRDefault="00C76F70" w:rsidP="00C76F70">
      <w:pPr>
        <w:spacing w:after="240" w:line="240" w:lineRule="auto"/>
        <w:ind w:left="2160" w:hanging="540"/>
        <w:jc w:val="both"/>
        <w:rPr>
          <w:rFonts w:ascii="Arial" w:eastAsia="Cambria" w:hAnsi="Arial" w:cs="Times New Roman"/>
          <w:kern w:val="0"/>
          <w:sz w:val="20"/>
          <w14:ligatures w14:val="none"/>
        </w:rPr>
      </w:pPr>
    </w:p>
    <w:p w14:paraId="081F4279" w14:textId="77777777" w:rsidR="00C76F70" w:rsidRPr="00C76F70" w:rsidRDefault="00C76F70" w:rsidP="00C76F70">
      <w:pPr>
        <w:spacing w:after="0" w:line="240" w:lineRule="auto"/>
        <w:ind w:left="1620" w:hanging="540"/>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(c)</w:t>
      </w:r>
      <w:r w:rsidRPr="00C76F70">
        <w:rPr>
          <w:rFonts w:ascii="Arial" w:eastAsia="Cambria" w:hAnsi="Arial" w:cs="Times New Roman"/>
          <w:kern w:val="0"/>
          <w:sz w:val="20"/>
          <w14:ligatures w14:val="none"/>
        </w:rPr>
        <w:tab/>
        <w:t>A device must be used to continuously monitor pressure differentials in all hazardous drug compounding areas and all hazardous drug storage areas that require negative pressure. The quantitative results from the pressure monitoring device must be reviewed and documented at least daily on the days when compounding is occurring.</w:t>
      </w:r>
    </w:p>
    <w:p w14:paraId="3245C1F2" w14:textId="77777777" w:rsidR="00C76F70" w:rsidRPr="00C76F70" w:rsidRDefault="00C76F70" w:rsidP="00C76F70">
      <w:pPr>
        <w:spacing w:after="240" w:line="240" w:lineRule="auto"/>
        <w:ind w:left="1080" w:hanging="540"/>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Compounding hazardous drug products shall comply with USP Chapter 800 including all USP chapters and standards incorporated into chapters by reference and including all subsequent amendments and editions of the same.</w:t>
      </w:r>
    </w:p>
    <w:p w14:paraId="392E3E47"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3E17E9B5"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366D9C45"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lastRenderedPageBreak/>
        <w:t>1140-07-.08 QUALITY ASSURANCE.</w:t>
      </w:r>
    </w:p>
    <w:p w14:paraId="2610E2E7"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There shall be a documented, ongoing quality assurance program that monitors process validation; pharmacist(s), pharmacy intern(s), and pharmacy technician(s) performance; equipment; and environment.</w:t>
      </w:r>
    </w:p>
    <w:p w14:paraId="70DD779B"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The program shall be designed to assure that the pharmacy practice site is capable of consistently compounding quality compounded drug products.</w:t>
      </w:r>
    </w:p>
    <w:p w14:paraId="7B425E48"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All quality assurance programs shall comply with the standards established by USP chapters 795, 797, 800, and/or 825, pursuant to the compounding pharmacy's site practice,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w:t>
      </w:r>
    </w:p>
    <w:p w14:paraId="3C27DC6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94" w:hanging="547"/>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(4)</w:t>
      </w:r>
      <w:r w:rsidRPr="00C76F70">
        <w:rPr>
          <w:rFonts w:ascii="Arial" w:eastAsia="Cambria" w:hAnsi="Arial" w:cs="Times New Roman"/>
          <w:kern w:val="0"/>
          <w:sz w:val="20"/>
          <w14:ligatures w14:val="none"/>
        </w:rPr>
        <w:tab/>
      </w:r>
      <w:r w:rsidRPr="00C76F70">
        <w:rPr>
          <w:rFonts w:ascii="Arial" w:eastAsia="Arial" w:hAnsi="Arial" w:cs="Arial"/>
          <w:kern w:val="0"/>
          <w:sz w:val="20"/>
          <w14:ligatures w14:val="none"/>
        </w:rPr>
        <w:t>The following events shall be reported to the Board of Pharmacy within three (3) calendar days upon discovery:</w:t>
      </w:r>
    </w:p>
    <w:p w14:paraId="60402D9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94" w:hanging="547"/>
        <w:jc w:val="both"/>
        <w:rPr>
          <w:rFonts w:ascii="Arial" w:eastAsia="Arial" w:hAnsi="Arial" w:cs="Arial"/>
          <w:kern w:val="0"/>
          <w:sz w:val="20"/>
          <w:szCs w:val="20"/>
          <w14:ligatures w14:val="none"/>
        </w:rPr>
      </w:pPr>
    </w:p>
    <w:p w14:paraId="19210A1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r w:rsidRPr="00C76F70">
        <w:rPr>
          <w:rFonts w:ascii="Arial" w:eastAsia="Arial" w:hAnsi="Arial" w:cs="Arial"/>
          <w:kern w:val="0"/>
          <w:sz w:val="20"/>
          <w14:ligatures w14:val="none"/>
        </w:rPr>
        <w:t>(a)</w:t>
      </w:r>
      <w:r w:rsidRPr="00C76F70">
        <w:rPr>
          <w:rFonts w:ascii="Arial" w:eastAsia="Arial" w:hAnsi="Arial" w:cs="Arial"/>
          <w:kern w:val="0"/>
          <w:sz w:val="20"/>
          <w14:ligatures w14:val="none"/>
        </w:rPr>
        <w:tab/>
        <w:t>Compounded drug product recalls;</w:t>
      </w:r>
    </w:p>
    <w:p w14:paraId="238BE15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p>
    <w:p w14:paraId="485115D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r w:rsidRPr="00C76F70">
        <w:rPr>
          <w:rFonts w:ascii="Arial" w:eastAsia="Arial" w:hAnsi="Arial" w:cs="Arial"/>
          <w:kern w:val="0"/>
          <w:sz w:val="20"/>
          <w14:ligatures w14:val="none"/>
        </w:rPr>
        <w:t>(b)</w:t>
      </w:r>
      <w:r w:rsidRPr="00C76F70">
        <w:rPr>
          <w:rFonts w:ascii="Arial" w:eastAsia="Arial" w:hAnsi="Arial" w:cs="Arial"/>
          <w:kern w:val="0"/>
          <w:sz w:val="20"/>
          <w14:ligatures w14:val="none"/>
        </w:rPr>
        <w:tab/>
        <w:t>Confirmed sterility failures that are dispensed or distributed for patients;</w:t>
      </w:r>
    </w:p>
    <w:p w14:paraId="69C05C6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p>
    <w:p w14:paraId="13A6DB0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r w:rsidRPr="00C76F70">
        <w:rPr>
          <w:rFonts w:ascii="Arial" w:eastAsia="Arial" w:hAnsi="Arial" w:cs="Arial"/>
          <w:kern w:val="0"/>
          <w:sz w:val="20"/>
          <w14:ligatures w14:val="none"/>
        </w:rPr>
        <w:t>(c)</w:t>
      </w:r>
      <w:r w:rsidRPr="00C76F70">
        <w:rPr>
          <w:rFonts w:ascii="Arial" w:eastAsia="Arial" w:hAnsi="Arial" w:cs="Arial"/>
          <w:kern w:val="0"/>
          <w:sz w:val="20"/>
          <w14:ligatures w14:val="none"/>
        </w:rPr>
        <w:tab/>
        <w:t>Confirmed out-of-specification results impacting dispensed or distributed products; or</w:t>
      </w:r>
    </w:p>
    <w:p w14:paraId="032E5B9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p>
    <w:p w14:paraId="247B74F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r w:rsidRPr="00C76F70">
        <w:rPr>
          <w:rFonts w:ascii="Arial" w:eastAsia="Arial" w:hAnsi="Arial" w:cs="Arial"/>
          <w:kern w:val="0"/>
          <w:sz w:val="20"/>
          <w14:ligatures w14:val="none"/>
        </w:rPr>
        <w:t>(d)</w:t>
      </w:r>
      <w:r w:rsidRPr="00C76F70">
        <w:rPr>
          <w:rFonts w:ascii="Arial" w:eastAsia="Arial" w:hAnsi="Arial" w:cs="Arial"/>
          <w:kern w:val="0"/>
          <w:sz w:val="20"/>
          <w14:ligatures w14:val="none"/>
        </w:rPr>
        <w:tab/>
        <w:t>Events that lead to serious personal injury or death or significant risk to public health.</w:t>
      </w:r>
    </w:p>
    <w:p w14:paraId="2F43C0F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620" w:hanging="540"/>
        <w:jc w:val="both"/>
        <w:rPr>
          <w:rFonts w:ascii="Arial" w:eastAsia="Arial" w:hAnsi="Arial" w:cs="Arial"/>
          <w:kern w:val="0"/>
          <w:sz w:val="20"/>
          <w:szCs w:val="20"/>
          <w14:ligatures w14:val="none"/>
        </w:rPr>
      </w:pPr>
    </w:p>
    <w:p w14:paraId="554D9C6A"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(5)</w:t>
      </w:r>
      <w:r w:rsidRPr="00C76F70">
        <w:rPr>
          <w:rFonts w:ascii="Arial" w:eastAsia="Cambria" w:hAnsi="Arial" w:cs="Times New Roman"/>
          <w:kern w:val="0"/>
          <w:sz w:val="20"/>
          <w14:ligatures w14:val="none"/>
        </w:rPr>
        <w:tab/>
        <w:t>Failure by any licensee or registrant to comply with its quality assurance program shall be considered a violation of a duly promulgated rule of the Board of Pharmacy and may be considered dishonorable, immoral, unethical or unprofessional conduct within the meaning of T.C.A. § 63-10-309(5).</w:t>
      </w:r>
    </w:p>
    <w:p w14:paraId="1D76778F"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63-10-308, and 63-10-310.</w:t>
      </w:r>
    </w:p>
    <w:p w14:paraId="64D575C0" w14:textId="77777777" w:rsidR="00C76F70" w:rsidRPr="00C76F70" w:rsidRDefault="00C76F70" w:rsidP="00C76F70">
      <w:pPr>
        <w:spacing w:before="120" w:after="0" w:line="240" w:lineRule="auto"/>
        <w:outlineLvl w:val="3"/>
        <w:rPr>
          <w:rFonts w:ascii="Arial" w:eastAsia="Arial" w:hAnsi="Arial" w:cs="Times New Roman"/>
          <w:bCs/>
          <w:kern w:val="0"/>
          <w:sz w:val="20"/>
          <w14:ligatures w14:val="none"/>
        </w:rPr>
      </w:pPr>
    </w:p>
    <w:p w14:paraId="6C13278E" w14:textId="77777777" w:rsidR="00C76F70" w:rsidRPr="00C76F70" w:rsidRDefault="00C76F70" w:rsidP="00C76F70">
      <w:pPr>
        <w:spacing w:after="240" w:line="240" w:lineRule="auto"/>
        <w:jc w:val="both"/>
        <w:rPr>
          <w:rFonts w:ascii="Arial" w:eastAsia="Cambria" w:hAnsi="Arial" w:cs="Times New Roman"/>
          <w:b/>
          <w:kern w:val="0"/>
          <w:sz w:val="20"/>
          <w:szCs w:val="20"/>
          <w14:ligatures w14:val="none"/>
        </w:rPr>
      </w:pPr>
      <w:r w:rsidRPr="00C76F70">
        <w:rPr>
          <w:rFonts w:ascii="Arial" w:eastAsia="Cambria" w:hAnsi="Arial" w:cs="Times New Roman"/>
          <w:b/>
          <w:kern w:val="0"/>
          <w:sz w:val="20"/>
          <w:szCs w:val="20"/>
          <w14:ligatures w14:val="none"/>
        </w:rPr>
        <w:t>1140-07-.09 NONSTERILE SIMPLE COMPOUNDING PREPARATIONS.</w:t>
      </w:r>
    </w:p>
    <w:p w14:paraId="35E16680"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(1)</w:t>
      </w:r>
      <w:r w:rsidRPr="00C76F70">
        <w:rPr>
          <w:rFonts w:ascii="Arial" w:eastAsia="Cambria" w:hAnsi="Arial" w:cs="Times New Roman"/>
          <w:kern w:val="0"/>
          <w:sz w:val="20"/>
          <w14:ligatures w14:val="none"/>
        </w:rPr>
        <w:tab/>
        <w:t>The combining of commercially manufactured ready-to-use products shall be exempt from the ‘Compounding Facilities’ requirements in the USP 795 compounding standards if all of the following conditions are met:</w:t>
      </w:r>
    </w:p>
    <w:p w14:paraId="23261657"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w:t>
      </w:r>
      <w:r w:rsidRPr="00C76F70">
        <w:rPr>
          <w:rFonts w:ascii="Arial" w:eastAsia="Cambria" w:hAnsi="Arial" w:cs="Times New Roman"/>
          <w:kern w:val="0"/>
          <w:sz w:val="20"/>
          <w:szCs w:val="20"/>
          <w14:ligatures w14:val="none"/>
        </w:rPr>
        <w:tab/>
        <w:t xml:space="preserve">Only commercially manufactured ready-to-use products (that have not been manipulated) are used. Manipulation occurs when a change of a commercially available drug product occurs for patient-specific needs beyond United States Food and Drug Administration approved labeling. Crushing, using a surfactant, diluting or using a dosage form that exists as a granule or powder is manipulating for the purpose of this section. </w:t>
      </w:r>
    </w:p>
    <w:p w14:paraId="0733D948"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(b)</w:t>
      </w:r>
      <w:r w:rsidRPr="00C76F70">
        <w:rPr>
          <w:rFonts w:ascii="Arial" w:eastAsia="Cambria" w:hAnsi="Arial" w:cs="Times New Roman"/>
          <w:kern w:val="0"/>
          <w:sz w:val="20"/>
          <w:szCs w:val="20"/>
          <w14:ligatures w14:val="none"/>
        </w:rPr>
        <w:tab/>
        <w:t>Compounding is not prepared in anticipation of medication orders.</w:t>
      </w:r>
    </w:p>
    <w:p w14:paraId="6B23522E"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(c)</w:t>
      </w:r>
      <w:r w:rsidRPr="00C76F70">
        <w:rPr>
          <w:rFonts w:ascii="Arial" w:eastAsia="Cambria" w:hAnsi="Arial" w:cs="Times New Roman"/>
          <w:kern w:val="0"/>
          <w:sz w:val="20"/>
          <w:szCs w:val="20"/>
          <w14:ligatures w14:val="none"/>
        </w:rPr>
        <w:tab/>
        <w:t>Beyond Use Dates are assigned in accordance with the current standards of USP 795.</w:t>
      </w:r>
    </w:p>
    <w:p w14:paraId="4514A34D" w14:textId="77777777" w:rsidR="00C76F70" w:rsidRPr="00C76F70" w:rsidRDefault="00C76F70" w:rsidP="00C76F70">
      <w:pPr>
        <w:tabs>
          <w:tab w:val="left" w:pos="547"/>
          <w:tab w:val="left" w:pos="1080"/>
          <w:tab w:val="left" w:pos="1627"/>
          <w:tab w:val="left" w:pos="2707"/>
          <w:tab w:val="left" w:pos="3240"/>
          <w:tab w:val="left" w:pos="3787"/>
          <w:tab w:val="left" w:pos="4320"/>
        </w:tabs>
        <w:spacing w:after="240" w:line="240" w:lineRule="auto"/>
        <w:ind w:left="1627" w:hanging="547"/>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lastRenderedPageBreak/>
        <w:t>(d)</w:t>
      </w:r>
      <w:r w:rsidRPr="00C76F70">
        <w:rPr>
          <w:rFonts w:ascii="Arial" w:eastAsia="Cambria" w:hAnsi="Arial" w:cs="Times New Roman"/>
          <w:kern w:val="0"/>
          <w:sz w:val="20"/>
          <w:szCs w:val="20"/>
          <w14:ligatures w14:val="none"/>
        </w:rPr>
        <w:tab/>
        <w:t xml:space="preserve">The label complies with the labeling requirements as set forth in Tenn. Comp. R. and Regs. 1140-07-.06. </w:t>
      </w:r>
    </w:p>
    <w:p w14:paraId="43C98CBA" w14:textId="77777777" w:rsidR="00C76F70" w:rsidRPr="00C76F70" w:rsidRDefault="00C76F70" w:rsidP="00C76F70">
      <w:pPr>
        <w:spacing w:after="0" w:line="240" w:lineRule="auto"/>
        <w:ind w:left="1620" w:hanging="540"/>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(e)</w:t>
      </w:r>
      <w:r w:rsidRPr="00C76F70">
        <w:rPr>
          <w:rFonts w:ascii="Arial" w:eastAsia="Cambria" w:hAnsi="Arial" w:cs="Times New Roman"/>
          <w:kern w:val="0"/>
          <w:sz w:val="20"/>
          <w14:ligatures w14:val="none"/>
        </w:rPr>
        <w:tab/>
        <w:t>The compounding record complies with the requirements set forth in Tenn. Comp. R. and Regs. 1140-07-.02.</w:t>
      </w:r>
    </w:p>
    <w:p w14:paraId="2628878D" w14:textId="77777777" w:rsidR="00C76F70" w:rsidRPr="00C76F70" w:rsidRDefault="00C76F70" w:rsidP="00C76F70">
      <w:pPr>
        <w:spacing w:after="0" w:line="240" w:lineRule="auto"/>
        <w:ind w:left="1620" w:hanging="540"/>
        <w:jc w:val="both"/>
        <w:rPr>
          <w:rFonts w:ascii="Arial" w:eastAsia="Cambria" w:hAnsi="Arial" w:cs="Times New Roman"/>
          <w:kern w:val="0"/>
          <w:sz w:val="20"/>
          <w14:ligatures w14:val="none"/>
        </w:rPr>
      </w:pPr>
    </w:p>
    <w:p w14:paraId="7BE4E6BD"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(2)</w:t>
      </w:r>
      <w:r w:rsidRPr="00C76F70">
        <w:rPr>
          <w:rFonts w:ascii="Arial" w:eastAsia="Cambria" w:hAnsi="Arial" w:cs="Times New Roman"/>
          <w:kern w:val="0"/>
          <w:sz w:val="20"/>
          <w14:ligatures w14:val="none"/>
        </w:rPr>
        <w:tab/>
        <w:t>Solely adding flavoring to medications is not considered compounding.</w:t>
      </w:r>
    </w:p>
    <w:p w14:paraId="1774DB8C" w14:textId="77777777" w:rsidR="00C76F70" w:rsidRPr="00C76F70" w:rsidRDefault="00C76F70" w:rsidP="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rPr>
          <w:rFonts w:ascii="Arial" w:eastAsia="Cambria" w:hAnsi="Arial" w:cs="Times New Roman"/>
          <w:kern w:val="0"/>
          <w:sz w:val="20"/>
          <w14:ligatures w14:val="none"/>
        </w:rPr>
      </w:pPr>
      <w:r w:rsidRPr="00C76F70">
        <w:rPr>
          <w:rFonts w:ascii="Arial" w:eastAsia="Cambria" w:hAnsi="Arial" w:cs="Times New Roman"/>
          <w:kern w:val="0"/>
          <w:sz w:val="20"/>
          <w14:ligatures w14:val="none"/>
        </w:rPr>
        <w:t>(3)</w:t>
      </w:r>
      <w:r w:rsidRPr="00C76F70">
        <w:rPr>
          <w:rFonts w:ascii="Arial" w:eastAsia="Cambria" w:hAnsi="Arial" w:cs="Times New Roman"/>
          <w:kern w:val="0"/>
          <w:sz w:val="20"/>
          <w14:ligatures w14:val="none"/>
        </w:rPr>
        <w:tab/>
        <w:t>Upon request, the Board may waive selected portions of these requirements so long as any waiver granted is consistent with the Board’s authority under T.C.A. Title 63, Chapters 1 and 10, and T.C.A. Title 4, Chapter 5.</w:t>
      </w:r>
    </w:p>
    <w:p w14:paraId="79173923" w14:textId="77777777" w:rsidR="00C76F70" w:rsidRPr="00C76F70" w:rsidRDefault="00C76F70" w:rsidP="00C76F70">
      <w:pPr>
        <w:spacing w:after="240" w:line="240" w:lineRule="auto"/>
        <w:jc w:val="both"/>
        <w:rPr>
          <w:rFonts w:ascii="Arial" w:eastAsia="Cambria" w:hAnsi="Arial" w:cs="Times New Roman"/>
          <w:kern w:val="0"/>
          <w:sz w:val="20"/>
          <w:szCs w:val="20"/>
          <w14:ligatures w14:val="none"/>
        </w:rPr>
      </w:pPr>
      <w:r w:rsidRPr="00C76F70">
        <w:rPr>
          <w:rFonts w:ascii="Arial" w:eastAsia="Cambria" w:hAnsi="Arial" w:cs="Times New Roman"/>
          <w:kern w:val="0"/>
          <w:sz w:val="20"/>
          <w:szCs w:val="20"/>
          <w14:ligatures w14:val="none"/>
        </w:rPr>
        <w:t>Authority: T.C.A. §§ 63-10-216 and 63-10-308,.</w:t>
      </w:r>
    </w:p>
    <w:p w14:paraId="0AF7E529" w14:textId="77777777" w:rsidR="00C76F70" w:rsidRPr="00C76F70" w:rsidRDefault="00C76F70" w:rsidP="00C76F70">
      <w:pPr>
        <w:spacing w:after="0" w:line="240" w:lineRule="auto"/>
        <w:jc w:val="center"/>
        <w:rPr>
          <w:rFonts w:ascii="Arial" w:eastAsia="Cambria" w:hAnsi="Arial" w:cs="Times New Roman"/>
          <w:kern w:val="0"/>
          <w:sz w:val="20"/>
          <w:szCs w:val="20"/>
          <w14:ligatures w14:val="none"/>
        </w:rPr>
      </w:pPr>
      <w:commentRangeStart w:id="2"/>
      <w:commentRangeStart w:id="3"/>
      <w:commentRangeStart w:id="4"/>
      <w:r w:rsidRPr="00C76F70">
        <w:rPr>
          <w:rFonts w:ascii="Arial" w:eastAsia="Cambria" w:hAnsi="Arial" w:cs="Times New Roman"/>
          <w:kern w:val="0"/>
          <w:sz w:val="20"/>
          <w:szCs w:val="20"/>
          <w14:ligatures w14:val="none"/>
        </w:rPr>
        <w:t>Chapter 1140-12</w:t>
      </w:r>
    </w:p>
    <w:p w14:paraId="631F09AB" w14:textId="77777777" w:rsidR="00C76F70" w:rsidRPr="00C76F70" w:rsidRDefault="00C76F70" w:rsidP="00C76F70">
      <w:pPr>
        <w:spacing w:after="0" w:line="240" w:lineRule="auto"/>
        <w:jc w:val="center"/>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Ambulatory Surgery Treatment Center Pharmacy</w:t>
      </w:r>
      <w:commentRangeEnd w:id="2"/>
      <w:r w:rsidRPr="00C76F70">
        <w:rPr>
          <w:rStyle w:val="CommentReference"/>
          <w:rFonts w:ascii="Arial" w:eastAsia="Arial" w:hAnsi="Arial" w:cs="Arial"/>
          <w:kern w:val="0"/>
          <w:sz w:val="20"/>
          <w:szCs w:val="20"/>
          <w14:ligatures w14:val="none"/>
        </w:rPr>
        <w:commentReference w:id="2"/>
      </w:r>
      <w:commentRangeEnd w:id="3"/>
      <w:r w:rsidRPr="00C76F70">
        <w:rPr>
          <w:rStyle w:val="CommentReference"/>
          <w:rFonts w:ascii="Arial" w:eastAsia="Arial" w:hAnsi="Arial" w:cs="Arial"/>
          <w:kern w:val="0"/>
          <w:sz w:val="20"/>
          <w:szCs w:val="20"/>
          <w14:ligatures w14:val="none"/>
        </w:rPr>
        <w:commentReference w:id="3"/>
      </w:r>
      <w:commentRangeEnd w:id="4"/>
      <w:r w:rsidRPr="00C76F70">
        <w:rPr>
          <w:rStyle w:val="CommentReference"/>
          <w:rFonts w:ascii="Arial" w:eastAsia="Arial" w:hAnsi="Arial" w:cs="Arial"/>
          <w:kern w:val="0"/>
          <w:sz w:val="20"/>
          <w:szCs w:val="20"/>
          <w14:ligatures w14:val="none"/>
        </w:rPr>
        <w:commentReference w:id="4"/>
      </w:r>
    </w:p>
    <w:p w14:paraId="38C2D2AB" w14:textId="77777777" w:rsidR="00C76F70" w:rsidRPr="00C76F70" w:rsidRDefault="00C76F70" w:rsidP="00C76F70">
      <w:pPr>
        <w:spacing w:after="0" w:line="240" w:lineRule="auto"/>
        <w:jc w:val="center"/>
        <w:rPr>
          <w:rFonts w:ascii="Arial" w:eastAsia="Cambria" w:hAnsi="Arial" w:cs="Times New Roman"/>
          <w:kern w:val="0"/>
          <w:sz w:val="20"/>
          <w:szCs w:val="20"/>
          <w14:ligatures w14:val="none"/>
        </w:rPr>
      </w:pPr>
    </w:p>
    <w:p w14:paraId="2518B307" w14:textId="77777777" w:rsidR="00C76F70" w:rsidRPr="00C76F70" w:rsidRDefault="00C76F70" w:rsidP="00C76F70">
      <w:pPr>
        <w:spacing w:after="0" w:line="240" w:lineRule="auto"/>
        <w:jc w:val="center"/>
        <w:rPr>
          <w:rFonts w:ascii="Arial" w:eastAsia="Arial" w:hAnsi="Arial" w:cs="Arial"/>
          <w:kern w:val="0"/>
          <w:sz w:val="20"/>
          <w:szCs w:val="20"/>
          <w14:ligatures w14:val="none"/>
        </w:rPr>
      </w:pPr>
      <w:commentRangeStart w:id="5"/>
      <w:r w:rsidRPr="00C76F70">
        <w:rPr>
          <w:rFonts w:ascii="Arial" w:eastAsia="Arial" w:hAnsi="Arial" w:cs="Arial"/>
          <w:kern w:val="0"/>
          <w:sz w:val="20"/>
          <w:szCs w:val="20"/>
          <w14:ligatures w14:val="none"/>
        </w:rPr>
        <w:t>New</w:t>
      </w:r>
      <w:commentRangeEnd w:id="5"/>
      <w:r w:rsidRPr="00C76F70">
        <w:rPr>
          <w:rStyle w:val="CommentReference"/>
          <w:rFonts w:ascii="Arial" w:eastAsia="Arial" w:hAnsi="Arial" w:cs="Arial"/>
          <w:kern w:val="0"/>
          <w:sz w:val="20"/>
          <w:szCs w:val="20"/>
          <w14:ligatures w14:val="none"/>
        </w:rPr>
        <w:commentReference w:id="5"/>
      </w:r>
    </w:p>
    <w:p w14:paraId="3F98E344" w14:textId="77777777" w:rsidR="00C76F70" w:rsidRPr="00C76F70" w:rsidRDefault="00C76F70" w:rsidP="00C76F70">
      <w:pPr>
        <w:spacing w:after="0" w:line="240" w:lineRule="auto"/>
        <w:jc w:val="center"/>
        <w:rPr>
          <w:rFonts w:ascii="Arial" w:eastAsia="Arial" w:hAnsi="Arial" w:cs="Arial"/>
          <w:kern w:val="0"/>
          <w:sz w:val="20"/>
          <w:szCs w:val="20"/>
          <w14:ligatures w14:val="none"/>
        </w:rPr>
      </w:pPr>
    </w:p>
    <w:p w14:paraId="67538BB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before="1" w:after="5" w:line="480" w:lineRule="auto"/>
        <w:ind w:left="4597" w:hanging="4597"/>
        <w:jc w:val="center"/>
        <w:rPr>
          <w:rFonts w:ascii="Arial" w:eastAsia="Cambria" w:hAnsi="Arial" w:cs="Times New Roman"/>
          <w:kern w:val="0"/>
          <w:sz w:val="20"/>
          <w14:ligatures w14:val="none"/>
        </w:rPr>
      </w:pPr>
      <w:r w:rsidRPr="00C76F70">
        <w:rPr>
          <w:rFonts w:ascii="Arial" w:eastAsia="Arial" w:hAnsi="Arial" w:cs="Arial"/>
          <w:b/>
          <w:kern w:val="0"/>
          <w:sz w:val="20"/>
          <w14:ligatures w14:val="none"/>
        </w:rPr>
        <w:t>TABLE OF CONTENTS</w:t>
      </w:r>
    </w:p>
    <w:tbl>
      <w:tblPr>
        <w:tblStyle w:val="TableGrid1"/>
        <w:tblW w:w="0" w:type="auto"/>
        <w:tblInd w:w="31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CellMar>
          <w:left w:w="0" w:type="dxa"/>
          <w:right w:w="0" w:type="dxa"/>
        </w:tblCellMar>
        <w:tblLook w:val="04A0" w:firstRow="1" w:lastRow="0" w:firstColumn="1" w:lastColumn="0" w:noHBand="0" w:noVBand="1"/>
      </w:tblPr>
      <w:tblGrid>
        <w:gridCol w:w="4337"/>
        <w:gridCol w:w="4819"/>
      </w:tblGrid>
      <w:tr w:rsidR="00C76F70" w:rsidRPr="00C76F70" w14:paraId="221EF6E5" w14:textId="77777777" w:rsidTr="000F49F3">
        <w:trPr>
          <w:trHeight w:val="182"/>
        </w:trPr>
        <w:tc>
          <w:tcPr>
            <w:tcW w:w="4337" w:type="dxa"/>
            <w:tcMar>
              <w:top w:w="0" w:type="dxa"/>
              <w:left w:w="0" w:type="dxa"/>
              <w:bottom w:w="0" w:type="dxa"/>
              <w:right w:w="0" w:type="dxa"/>
            </w:tcMar>
          </w:tcPr>
          <w:p w14:paraId="0B247195"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2" w:lineRule="atLeast"/>
              <w:ind w:left="50"/>
              <w:jc w:val="both"/>
              <w:rPr>
                <w:rFonts w:ascii="Arial" w:eastAsia="Cambria" w:hAnsi="Arial" w:cs="Times New Roman"/>
                <w:sz w:val="20"/>
              </w:rPr>
            </w:pPr>
            <w:r w:rsidRPr="00C76F70">
              <w:rPr>
                <w:rFonts w:ascii="Arial" w:eastAsia="Arial" w:hAnsi="Arial" w:cs="Arial"/>
                <w:spacing w:val="-2"/>
                <w:sz w:val="16"/>
              </w:rPr>
              <w:t>1140-</w:t>
            </w:r>
            <w:r w:rsidRPr="00C76F70">
              <w:rPr>
                <w:rFonts w:ascii="Arial" w:eastAsia="Arial" w:hAnsi="Arial" w:cs="Arial"/>
                <w:spacing w:val="-5"/>
                <w:sz w:val="16"/>
              </w:rPr>
              <w:t>12-.01</w:t>
            </w:r>
            <w:r w:rsidRPr="00C76F70">
              <w:rPr>
                <w:rFonts w:ascii="Arial" w:eastAsia="Arial" w:hAnsi="Arial" w:cs="Arial"/>
                <w:sz w:val="16"/>
              </w:rPr>
              <w:tab/>
            </w:r>
            <w:r w:rsidRPr="00C76F70">
              <w:rPr>
                <w:rFonts w:ascii="Arial" w:eastAsia="Arial" w:hAnsi="Arial" w:cs="Arial"/>
                <w:spacing w:val="-2"/>
                <w:sz w:val="16"/>
              </w:rPr>
              <w:t>Definitions</w:t>
            </w:r>
          </w:p>
        </w:tc>
        <w:tc>
          <w:tcPr>
            <w:tcW w:w="4819" w:type="dxa"/>
            <w:tcMar>
              <w:top w:w="0" w:type="dxa"/>
              <w:left w:w="0" w:type="dxa"/>
              <w:bottom w:w="0" w:type="dxa"/>
              <w:right w:w="0" w:type="dxa"/>
            </w:tcMar>
          </w:tcPr>
          <w:p w14:paraId="10262325"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2" w:lineRule="atLeast"/>
              <w:ind w:left="627"/>
              <w:jc w:val="both"/>
              <w:rPr>
                <w:rFonts w:ascii="Arial" w:eastAsia="Cambria" w:hAnsi="Arial" w:cs="Times New Roman"/>
                <w:sz w:val="20"/>
              </w:rPr>
            </w:pPr>
            <w:r w:rsidRPr="00C76F70">
              <w:rPr>
                <w:rFonts w:ascii="Arial" w:eastAsia="Arial" w:hAnsi="Arial" w:cs="Arial"/>
                <w:spacing w:val="-2"/>
                <w:sz w:val="16"/>
              </w:rPr>
              <w:t>1140-</w:t>
            </w:r>
            <w:r w:rsidRPr="00C76F70">
              <w:rPr>
                <w:rFonts w:ascii="Arial" w:eastAsia="Arial" w:hAnsi="Arial" w:cs="Arial"/>
                <w:spacing w:val="-5"/>
                <w:sz w:val="16"/>
              </w:rPr>
              <w:t>12-.04</w:t>
            </w:r>
            <w:r w:rsidRPr="00C76F70">
              <w:rPr>
                <w:rFonts w:ascii="Arial" w:eastAsia="Arial" w:hAnsi="Arial" w:cs="Arial"/>
                <w:sz w:val="16"/>
              </w:rPr>
              <w:tab/>
            </w:r>
            <w:r w:rsidRPr="00C76F70">
              <w:rPr>
                <w:rFonts w:ascii="Arial" w:eastAsia="Arial" w:hAnsi="Arial" w:cs="Arial"/>
                <w:spacing w:val="-2"/>
                <w:sz w:val="16"/>
              </w:rPr>
              <w:t>ASTC Pharmacy Records</w:t>
            </w:r>
          </w:p>
        </w:tc>
      </w:tr>
      <w:tr w:rsidR="00C76F70" w:rsidRPr="00C76F70" w14:paraId="1078B3D4" w14:textId="77777777" w:rsidTr="000F49F3">
        <w:trPr>
          <w:trHeight w:val="183"/>
        </w:trPr>
        <w:tc>
          <w:tcPr>
            <w:tcW w:w="4337" w:type="dxa"/>
            <w:tcMar>
              <w:top w:w="0" w:type="dxa"/>
              <w:left w:w="0" w:type="dxa"/>
              <w:bottom w:w="0" w:type="dxa"/>
              <w:right w:w="0" w:type="dxa"/>
            </w:tcMar>
          </w:tcPr>
          <w:p w14:paraId="18F2685D"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4" w:lineRule="atLeast"/>
              <w:ind w:left="50"/>
              <w:jc w:val="both"/>
              <w:rPr>
                <w:rFonts w:ascii="Arial" w:eastAsia="Cambria" w:hAnsi="Arial" w:cs="Times New Roman"/>
                <w:sz w:val="20"/>
              </w:rPr>
            </w:pPr>
            <w:r w:rsidRPr="00C76F70">
              <w:rPr>
                <w:rFonts w:ascii="Arial" w:eastAsia="Arial" w:hAnsi="Arial" w:cs="Arial"/>
                <w:spacing w:val="-2"/>
                <w:sz w:val="16"/>
              </w:rPr>
              <w:t>1140-</w:t>
            </w:r>
            <w:r w:rsidRPr="00C76F70">
              <w:rPr>
                <w:rFonts w:ascii="Arial" w:eastAsia="Arial" w:hAnsi="Arial" w:cs="Arial"/>
                <w:spacing w:val="-5"/>
                <w:sz w:val="16"/>
              </w:rPr>
              <w:t>12-.02</w:t>
            </w:r>
            <w:r w:rsidRPr="00C76F70">
              <w:rPr>
                <w:rFonts w:ascii="Arial" w:eastAsia="Arial" w:hAnsi="Arial" w:cs="Arial"/>
                <w:sz w:val="16"/>
              </w:rPr>
              <w:tab/>
            </w:r>
            <w:r w:rsidRPr="00C76F70">
              <w:rPr>
                <w:rFonts w:ascii="Arial" w:eastAsia="Arial" w:hAnsi="Arial" w:cs="Arial"/>
                <w:spacing w:val="-2"/>
                <w:sz w:val="16"/>
              </w:rPr>
              <w:t>ASTC Pharmacy Licensing</w:t>
            </w:r>
          </w:p>
        </w:tc>
        <w:tc>
          <w:tcPr>
            <w:tcW w:w="4819" w:type="dxa"/>
            <w:tcMar>
              <w:top w:w="0" w:type="dxa"/>
              <w:left w:w="0" w:type="dxa"/>
              <w:bottom w:w="0" w:type="dxa"/>
              <w:right w:w="0" w:type="dxa"/>
            </w:tcMar>
          </w:tcPr>
          <w:p w14:paraId="269A81F7"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4" w:lineRule="atLeast"/>
              <w:ind w:left="627"/>
              <w:jc w:val="both"/>
              <w:rPr>
                <w:rFonts w:ascii="Arial" w:eastAsia="Cambria" w:hAnsi="Arial" w:cs="Times New Roman"/>
                <w:sz w:val="20"/>
              </w:rPr>
            </w:pPr>
            <w:r w:rsidRPr="00C76F70">
              <w:rPr>
                <w:rFonts w:ascii="Arial" w:eastAsia="Arial" w:hAnsi="Arial" w:cs="Arial"/>
                <w:spacing w:val="-2"/>
                <w:sz w:val="16"/>
              </w:rPr>
              <w:t>1140-</w:t>
            </w:r>
            <w:r w:rsidRPr="00C76F70">
              <w:rPr>
                <w:rFonts w:ascii="Arial" w:eastAsia="Arial" w:hAnsi="Arial" w:cs="Arial"/>
                <w:spacing w:val="-5"/>
                <w:sz w:val="16"/>
              </w:rPr>
              <w:t>12-.05</w:t>
            </w:r>
            <w:r w:rsidRPr="00C76F70">
              <w:rPr>
                <w:rFonts w:ascii="Arial" w:eastAsia="Arial" w:hAnsi="Arial" w:cs="Arial"/>
                <w:sz w:val="16"/>
              </w:rPr>
              <w:tab/>
            </w:r>
            <w:r w:rsidRPr="00C76F70">
              <w:rPr>
                <w:rFonts w:ascii="Arial" w:eastAsia="Arial" w:hAnsi="Arial" w:cs="Arial"/>
                <w:spacing w:val="-2"/>
                <w:sz w:val="16"/>
              </w:rPr>
              <w:t>ASTC Pharmacy Compounding</w:t>
            </w:r>
          </w:p>
        </w:tc>
      </w:tr>
      <w:tr w:rsidR="00C76F70" w:rsidRPr="00C76F70" w14:paraId="6FCCBE34" w14:textId="77777777" w:rsidTr="000F49F3">
        <w:trPr>
          <w:trHeight w:val="183"/>
        </w:trPr>
        <w:tc>
          <w:tcPr>
            <w:tcW w:w="4337" w:type="dxa"/>
            <w:tcMar>
              <w:top w:w="0" w:type="dxa"/>
              <w:left w:w="0" w:type="dxa"/>
              <w:bottom w:w="0" w:type="dxa"/>
              <w:right w:w="0" w:type="dxa"/>
            </w:tcMar>
          </w:tcPr>
          <w:p w14:paraId="0197905B"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1489"/>
              </w:tabs>
              <w:spacing w:line="164" w:lineRule="atLeast"/>
              <w:ind w:left="50"/>
              <w:jc w:val="both"/>
              <w:rPr>
                <w:rFonts w:ascii="Arial" w:eastAsia="Cambria" w:hAnsi="Arial" w:cs="Times New Roman"/>
                <w:sz w:val="20"/>
              </w:rPr>
            </w:pPr>
            <w:r w:rsidRPr="00C76F70">
              <w:rPr>
                <w:rFonts w:ascii="Arial" w:eastAsia="Arial" w:hAnsi="Arial" w:cs="Arial"/>
                <w:spacing w:val="-2"/>
                <w:sz w:val="16"/>
              </w:rPr>
              <w:t>1140-12-</w:t>
            </w:r>
            <w:r w:rsidRPr="00C76F70">
              <w:rPr>
                <w:rFonts w:ascii="Arial" w:eastAsia="Arial" w:hAnsi="Arial" w:cs="Arial"/>
                <w:spacing w:val="-5"/>
                <w:sz w:val="16"/>
              </w:rPr>
              <w:t>.03</w:t>
            </w:r>
            <w:r w:rsidRPr="00C76F70">
              <w:rPr>
                <w:rFonts w:ascii="Arial" w:eastAsia="Arial" w:hAnsi="Arial" w:cs="Arial"/>
                <w:sz w:val="16"/>
              </w:rPr>
              <w:tab/>
            </w:r>
            <w:r w:rsidRPr="00C76F70">
              <w:rPr>
                <w:rFonts w:ascii="Arial" w:eastAsia="Arial" w:hAnsi="Arial" w:cs="Arial"/>
                <w:spacing w:val="-2"/>
                <w:sz w:val="16"/>
              </w:rPr>
              <w:t>ASTC Pharmacy Operational Standards</w:t>
            </w:r>
          </w:p>
        </w:tc>
        <w:tc>
          <w:tcPr>
            <w:tcW w:w="4819" w:type="dxa"/>
            <w:tcMar>
              <w:top w:w="0" w:type="dxa"/>
              <w:left w:w="0" w:type="dxa"/>
              <w:bottom w:w="0" w:type="dxa"/>
              <w:right w:w="0" w:type="dxa"/>
            </w:tcMar>
          </w:tcPr>
          <w:p w14:paraId="2E899959" w14:textId="77777777" w:rsidR="00C76F70" w:rsidRPr="00C76F70" w:rsidRDefault="00C76F70" w:rsidP="00C76F70">
            <w:pPr>
              <w:pBdr>
                <w:top w:val="none" w:sz="4" w:space="0" w:color="000000"/>
                <w:left w:val="none" w:sz="4" w:space="0" w:color="000000"/>
                <w:bottom w:val="none" w:sz="4" w:space="0" w:color="000000"/>
                <w:right w:val="none" w:sz="4" w:space="0" w:color="000000"/>
              </w:pBdr>
              <w:tabs>
                <w:tab w:val="left" w:pos="2067"/>
              </w:tabs>
              <w:spacing w:line="164" w:lineRule="atLeast"/>
              <w:ind w:left="627"/>
              <w:jc w:val="both"/>
              <w:rPr>
                <w:rFonts w:ascii="Arial" w:eastAsia="Cambria" w:hAnsi="Arial" w:cs="Times New Roman"/>
                <w:sz w:val="20"/>
              </w:rPr>
            </w:pPr>
            <w:r w:rsidRPr="00C76F70">
              <w:rPr>
                <w:rFonts w:ascii="Arial" w:eastAsia="Arial" w:hAnsi="Arial" w:cs="Arial"/>
                <w:spacing w:val="-2"/>
                <w:sz w:val="16"/>
              </w:rPr>
              <w:t>1140-</w:t>
            </w:r>
            <w:r w:rsidRPr="00C76F70">
              <w:rPr>
                <w:rFonts w:ascii="Arial" w:eastAsia="Arial" w:hAnsi="Arial" w:cs="Arial"/>
                <w:spacing w:val="-5"/>
                <w:sz w:val="16"/>
              </w:rPr>
              <w:t>12-.06</w:t>
            </w:r>
            <w:r w:rsidRPr="00C76F70">
              <w:rPr>
                <w:rFonts w:ascii="Arial" w:eastAsia="Arial" w:hAnsi="Arial" w:cs="Arial"/>
                <w:sz w:val="16"/>
              </w:rPr>
              <w:tab/>
            </w:r>
          </w:p>
        </w:tc>
      </w:tr>
    </w:tbl>
    <w:p w14:paraId="1CA9B230" w14:textId="77777777" w:rsidR="00C76F70" w:rsidRPr="00C76F70" w:rsidRDefault="00C76F70" w:rsidP="00C76F70">
      <w:pPr>
        <w:spacing w:after="0" w:line="240" w:lineRule="auto"/>
        <w:jc w:val="center"/>
        <w:rPr>
          <w:rFonts w:ascii="Arial" w:eastAsia="Arial" w:hAnsi="Arial" w:cs="Arial"/>
          <w:kern w:val="0"/>
          <w:sz w:val="20"/>
          <w:szCs w:val="20"/>
          <w14:ligatures w14:val="none"/>
        </w:rPr>
      </w:pPr>
    </w:p>
    <w:p w14:paraId="35259CDA" w14:textId="77777777" w:rsidR="00C76F70" w:rsidRPr="00C76F70" w:rsidRDefault="00C76F70" w:rsidP="00C76F70">
      <w:pPr>
        <w:spacing w:after="0" w:line="240" w:lineRule="auto"/>
        <w:jc w:val="center"/>
        <w:rPr>
          <w:rFonts w:ascii="Arial" w:eastAsia="Cambria" w:hAnsi="Arial" w:cs="Times New Roman"/>
          <w:kern w:val="0"/>
          <w:sz w:val="20"/>
          <w:szCs w:val="20"/>
          <w14:ligatures w14:val="none"/>
        </w:rPr>
      </w:pPr>
    </w:p>
    <w:p w14:paraId="7EFF209F" w14:textId="77777777" w:rsidR="00C76F70" w:rsidRPr="00C76F70" w:rsidRDefault="00C76F70" w:rsidP="00C76F70">
      <w:pPr>
        <w:spacing w:after="0" w:line="240" w:lineRule="auto"/>
        <w:rPr>
          <w:rFonts w:ascii="Arial" w:eastAsia="Cambria" w:hAnsi="Arial" w:cs="Arial"/>
          <w:b/>
          <w:bCs/>
          <w:kern w:val="0"/>
          <w:sz w:val="20"/>
          <w:szCs w:val="20"/>
          <w14:ligatures w14:val="none"/>
        </w:rPr>
      </w:pPr>
      <w:r w:rsidRPr="00C76F70">
        <w:rPr>
          <w:rFonts w:ascii="Arial" w:eastAsia="Arial" w:hAnsi="Arial" w:cs="Arial"/>
          <w:b/>
          <w:bCs/>
          <w:kern w:val="0"/>
          <w:sz w:val="20"/>
          <w:szCs w:val="20"/>
          <w14:ligatures w14:val="none"/>
        </w:rPr>
        <w:t>1140-12-.01 DEFINITIONS.</w:t>
      </w:r>
    </w:p>
    <w:p w14:paraId="1C937444" w14:textId="77777777" w:rsidR="00C76F70" w:rsidRPr="00C76F70" w:rsidRDefault="00C76F70" w:rsidP="00C76F70">
      <w:pPr>
        <w:spacing w:after="0" w:line="240" w:lineRule="auto"/>
        <w:rPr>
          <w:rFonts w:ascii="Arial" w:eastAsia="Cambria" w:hAnsi="Arial" w:cs="Arial"/>
          <w:b/>
          <w:bCs/>
          <w:kern w:val="0"/>
          <w:sz w:val="20"/>
          <w:szCs w:val="20"/>
          <w14:ligatures w14:val="none"/>
        </w:rPr>
      </w:pPr>
    </w:p>
    <w:p w14:paraId="5FE01BF5" w14:textId="77777777" w:rsidR="00C76F70" w:rsidRPr="00C76F70" w:rsidRDefault="00C76F70" w:rsidP="00C76F70">
      <w:pPr>
        <w:spacing w:after="0" w:line="240" w:lineRule="auto"/>
        <w:ind w:left="720" w:hanging="720"/>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Ambulatory surgical treatment center (“ASTC”) – the same as defined in Tenn. Comp. R. and Regs. 0720-20-.01(7).</w:t>
      </w:r>
    </w:p>
    <w:p w14:paraId="339D7C3E" w14:textId="77777777" w:rsidR="00C76F70" w:rsidRPr="00C76F70" w:rsidRDefault="00C76F70" w:rsidP="00C76F70">
      <w:pPr>
        <w:spacing w:after="0" w:line="240" w:lineRule="auto"/>
        <w:rPr>
          <w:rFonts w:ascii="Arial" w:eastAsia="Cambria" w:hAnsi="Arial" w:cs="Arial"/>
          <w:kern w:val="0"/>
          <w:sz w:val="20"/>
          <w:szCs w:val="20"/>
          <w14:ligatures w14:val="none"/>
        </w:rPr>
      </w:pPr>
    </w:p>
    <w:p w14:paraId="3BB4222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commentRangeStart w:id="6"/>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ASTC pharmacy – a designated space, including, but not limited to a physical structure, located inside an ASTC where prescription drug products and/or prescription devices are stored or dispensed and where the practice of pharmacy occurs in accordance with this rule chapter.</w:t>
      </w:r>
    </w:p>
    <w:p w14:paraId="088E0A0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4C2397A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w:t>
      </w:r>
    </w:p>
    <w:p w14:paraId="0C7E4EE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64A55D8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37015EE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b/>
          <w:bCs/>
          <w:kern w:val="0"/>
          <w:sz w:val="20"/>
          <w:szCs w:val="20"/>
          <w14:ligatures w14:val="none"/>
        </w:rPr>
      </w:pPr>
      <w:r w:rsidRPr="00C76F70">
        <w:rPr>
          <w:rFonts w:ascii="Arial" w:eastAsia="Arial" w:hAnsi="Arial" w:cs="Arial"/>
          <w:b/>
          <w:bCs/>
          <w:kern w:val="0"/>
          <w:sz w:val="20"/>
          <w:szCs w:val="20"/>
          <w14:ligatures w14:val="none"/>
        </w:rPr>
        <w:t>1140-12-.02 ASTC PHARMACY LICENSING.</w:t>
      </w:r>
      <w:commentRangeEnd w:id="6"/>
      <w:r w:rsidRPr="00C76F70">
        <w:rPr>
          <w:rStyle w:val="CommentReference"/>
          <w:rFonts w:ascii="Arial" w:eastAsia="Cambria" w:hAnsi="Arial" w:cs="Arial"/>
          <w:b/>
          <w:bCs/>
          <w:kern w:val="0"/>
          <w:sz w:val="20"/>
          <w:szCs w:val="20"/>
          <w14:ligatures w14:val="none"/>
        </w:rPr>
        <w:commentReference w:id="6"/>
      </w:r>
    </w:p>
    <w:p w14:paraId="4AA1B3F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388280A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 xml:space="preserve">An ASTC is not required to operate an ASTC pharmacy inside the ASTC. </w:t>
      </w:r>
      <w:r w:rsidRPr="00C76F70">
        <w:rPr>
          <w:rFonts w:ascii="Arial" w:eastAsia="Arial" w:hAnsi="Arial" w:cs="Arial"/>
          <w:kern w:val="0"/>
          <w:sz w:val="20"/>
          <w:szCs w:val="20"/>
          <w:highlight w:val="white"/>
          <w14:ligatures w14:val="none"/>
        </w:rPr>
        <w:t>An ASTC pharmacy license is not required for an ASTC to store or dispense prescription drug products and/or prescription devices.</w:t>
      </w:r>
      <w:r w:rsidRPr="00C76F70">
        <w:rPr>
          <w:rFonts w:ascii="Arial" w:eastAsia="Arial" w:hAnsi="Arial" w:cs="Arial"/>
          <w:kern w:val="0"/>
          <w:sz w:val="20"/>
          <w:szCs w:val="20"/>
          <w14:ligatures w14:val="none"/>
        </w:rPr>
        <w:t xml:space="preserve"> Furthermore, an ASTC is not required to obtain a license from the Board.</w:t>
      </w:r>
      <w:r w:rsidRPr="00C76F70">
        <w:rPr>
          <w:rFonts w:ascii="Arial" w:eastAsia="Cambria" w:hAnsi="Arial" w:cs="Arial"/>
          <w:kern w:val="0"/>
          <w:sz w:val="20"/>
          <w:szCs w:val="20"/>
          <w14:ligatures w14:val="none"/>
        </w:rPr>
        <w:t xml:space="preserve"> </w:t>
      </w:r>
    </w:p>
    <w:p w14:paraId="018E195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36E67C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 xml:space="preserve">Each ASTC pharmacy which voluntarily applies to the Board for an ASTC pharmacy license shall be subject to this rule chapter. </w:t>
      </w:r>
    </w:p>
    <w:p w14:paraId="7D8F58D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F4F18F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An ASTC pharmacy licensed by the Board shall make prescription drug products and medical devices available only to patients who have been admitted to the ASTC. An ASTC pharmacy may also dispense prescription drug products or medical devices for patients admitted to a Post Anesthesia Care Unit or for patients who are in recovery at the ASTC as part of post-operative care. An ASTC pharmacy licensed by the Board shall not dispense prescription drug products and medical devices to a patient upon discharge from the ASTC.</w:t>
      </w:r>
    </w:p>
    <w:p w14:paraId="187DFA9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lastRenderedPageBreak/>
        <w:t> </w:t>
      </w:r>
    </w:p>
    <w:p w14:paraId="3402A57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An ASTC pharmacy shall list its ownership structure in its initial application. Any changes to ownership structure shall be communicated in writing to the Board’s administrative office at least thirty (30) calendar days prior to the change.</w:t>
      </w:r>
    </w:p>
    <w:p w14:paraId="64923AF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8EDF2A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To obtain a license to operate as an ASTC pharmacy, to change location of an ASTC pharmacy, or change the name of an ASTC pharmacy, the applicant ASTC pharmacy shall make application on a form prescribed by the Board and submit the required fee to the Board’s administrative office. An application for an ASTC pharmacy to operate, change location, or change names within this State shall be submitted to the office of the Board at least thirty (30) calendar days prior to the scheduled opening date of the ASTC pharmacy, change in location, or change in name. No ASTC pharmacy may open, change location, or change names within this State until a license has been obtained.  An ASTC pharmacy license shall not be issued, or a change in location approved, until a satisfactory inspection has been conducted by an authorized representative of the Board and the Board issues a license to the applicant.</w:t>
      </w:r>
      <w:r w:rsidRPr="00C76F70">
        <w:rPr>
          <w:rFonts w:ascii="Arial" w:eastAsia="Cambria" w:hAnsi="Arial" w:cs="Arial"/>
          <w:kern w:val="0"/>
          <w:sz w:val="20"/>
          <w:szCs w:val="20"/>
          <w14:ligatures w14:val="none"/>
        </w:rPr>
        <w:t xml:space="preserve"> </w:t>
      </w:r>
    </w:p>
    <w:p w14:paraId="3B83868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FCBCA6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 xml:space="preserve">Each ASTC pharmacy license shall be valid for two (2) years and shall be renewed every two (2) years by completing the renewal form and submitting the required fee. </w:t>
      </w:r>
    </w:p>
    <w:p w14:paraId="0821569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0204CCE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(7)</w:t>
      </w:r>
      <w:r w:rsidRPr="00C76F70">
        <w:rPr>
          <w:rFonts w:ascii="Arial" w:eastAsia="Arial" w:hAnsi="Arial" w:cs="Arial"/>
          <w:kern w:val="0"/>
          <w:sz w:val="20"/>
          <w:szCs w:val="20"/>
          <w14:ligatures w14:val="none"/>
        </w:rPr>
        <w:tab/>
        <w:t>Each applicant ASTC pharmacy shall designate in writing to the Board’s administrative office either a pharmacist-in-charge, as defined under T.C.A. § 63-10-204, or a medical director who is licensed as a physician under Title 63, Chapter 6 or Chapter 9 of the Tennessee Code, as the person who has the authority and responsibility for compliance with laws and rules pertaining to the practice of pharmacy in accordance with this rule chapter at the ASTC pharmacy.</w:t>
      </w:r>
    </w:p>
    <w:p w14:paraId="0D34B9A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AC2A39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There remains a continuing obligation to designate a pharmacist-in-charge or medical director on file with the Board’s administrative office.</w:t>
      </w:r>
    </w:p>
    <w:p w14:paraId="580BC97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p>
    <w:p w14:paraId="573CCC6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Any changes to the pharmacist-in-charge or medical director from the person listed in the application or any subsequent notice shall be submitted in writing to the Board’s administrative office within five (5) calendar days of the change. Failure to submit changes to the pharmacist-in-charge or medical director within five (5) calendar days may result in formal disciplinary action taken against the ASTC pharmacy and/or the pharmacist-in-charge or medical director.</w:t>
      </w:r>
    </w:p>
    <w:p w14:paraId="527B1E2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5841A77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(c)</w:t>
      </w:r>
      <w:r w:rsidRPr="00C76F70">
        <w:rPr>
          <w:rFonts w:ascii="Arial" w:eastAsia="Arial" w:hAnsi="Arial" w:cs="Arial"/>
          <w:kern w:val="0"/>
          <w:sz w:val="20"/>
          <w:szCs w:val="20"/>
          <w14:ligatures w14:val="none"/>
        </w:rPr>
        <w:tab/>
        <w:t>In the event of death or incapacity of the designated pharmacist-in-charge or medical director, the ASTC pharmacy shall notify the Board’s administrative office in writing within thirty (30) calendar days of the death or the initiation of the incapacity and submit the name of the successor pharmacist-in-charge or medical director.</w:t>
      </w:r>
    </w:p>
    <w:p w14:paraId="69C2A1D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p>
    <w:p w14:paraId="6AC7FA5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(d)</w:t>
      </w:r>
      <w:r w:rsidRPr="00C76F70">
        <w:rPr>
          <w:rFonts w:ascii="Arial" w:eastAsia="Arial" w:hAnsi="Arial" w:cs="Arial"/>
          <w:kern w:val="0"/>
          <w:sz w:val="20"/>
          <w:szCs w:val="20"/>
          <w14:ligatures w14:val="none"/>
        </w:rPr>
        <w:tab/>
        <w:t>A controlled substance inventory in accordance with Tenn. Comp. R. and Regs. 1140-03-.14 shall occur every time there is a change to the designated pharmacist-in-charge or medical director.</w:t>
      </w:r>
    </w:p>
    <w:p w14:paraId="14DAD24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29C1304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(e)</w:t>
      </w:r>
      <w:r w:rsidRPr="00C76F70">
        <w:rPr>
          <w:rFonts w:ascii="Arial" w:eastAsia="Arial" w:hAnsi="Arial" w:cs="Arial"/>
          <w:kern w:val="0"/>
          <w:sz w:val="20"/>
          <w:szCs w:val="20"/>
          <w14:ligatures w14:val="none"/>
        </w:rPr>
        <w:tab/>
        <w:t>An ASTC pharmacy shall notify the Board in writing ten (10) calendar days prior to the closing of, following the procedures in Tenn. Comp. R. and Regs. 1140-03-.14</w:t>
      </w:r>
    </w:p>
    <w:p w14:paraId="7365E8C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279F59E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(8)</w:t>
      </w:r>
      <w:r w:rsidRPr="00C76F70">
        <w:rPr>
          <w:rFonts w:ascii="Arial" w:eastAsia="Arial" w:hAnsi="Arial" w:cs="Arial"/>
          <w:kern w:val="0"/>
          <w:sz w:val="20"/>
          <w:szCs w:val="20"/>
          <w14:ligatures w14:val="none"/>
        </w:rPr>
        <w:tab/>
        <w:t>No ASTC pharmacy may obtain, possess, administer, dispense, or distribute any controlled substance in this State without obtaining a controlled substance registration from the Board. Application for such registration shall be submitted on a form prescribed by the Board and shall be accompanied by the fees listed in Tenn. Comp. R. and Regs. 1140-01-.11.</w:t>
      </w:r>
    </w:p>
    <w:p w14:paraId="2749D84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(9)</w:t>
      </w:r>
      <w:r w:rsidRPr="00C76F70">
        <w:rPr>
          <w:rFonts w:ascii="Arial" w:eastAsia="Arial" w:hAnsi="Arial" w:cs="Arial"/>
          <w:kern w:val="0"/>
          <w:sz w:val="20"/>
          <w:szCs w:val="20"/>
          <w14:ligatures w14:val="none"/>
        </w:rPr>
        <w:tab/>
        <w:t>The Board retains the right, through an authorized representative of the Board, to inspect any ASTC pharmacy at any time in accordance with federal and state law.</w:t>
      </w:r>
    </w:p>
    <w:p w14:paraId="56F9F27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lastRenderedPageBreak/>
        <w:t> </w:t>
      </w:r>
    </w:p>
    <w:p w14:paraId="4DD738D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 and 63-10-310.</w:t>
      </w:r>
    </w:p>
    <w:p w14:paraId="54AD3F4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1560EA6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420D049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b/>
          <w:bCs/>
          <w:kern w:val="0"/>
          <w:sz w:val="20"/>
          <w:szCs w:val="20"/>
          <w14:ligatures w14:val="none"/>
        </w:rPr>
      </w:pPr>
      <w:r w:rsidRPr="00C76F70">
        <w:rPr>
          <w:rFonts w:ascii="Arial" w:eastAsia="Arial" w:hAnsi="Arial" w:cs="Arial"/>
          <w:b/>
          <w:bCs/>
          <w:kern w:val="0"/>
          <w:sz w:val="20"/>
          <w:szCs w:val="20"/>
          <w14:ligatures w14:val="none"/>
        </w:rPr>
        <w:t>1140-12-.03 ASTC PHARMACY OPERATIONAL STANDARDS.</w:t>
      </w:r>
    </w:p>
    <w:p w14:paraId="08764E9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3DB24EC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 xml:space="preserve">Environment </w:t>
      </w:r>
    </w:p>
    <w:p w14:paraId="7C85D4A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53CF89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General Requirements</w:t>
      </w:r>
    </w:p>
    <w:p w14:paraId="7F1AA45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C1F300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Each ASTC pharmacy shall have a designated work area separate from patient areas which shall have space adequate for the size and scope of pharmaceutical services and shall have adequate space and security for the storage of drugs.</w:t>
      </w:r>
    </w:p>
    <w:p w14:paraId="1382BD7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9AC0D5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The ASTC pharmacy shall be arranged in an orderly fashion and shall be kept clean. All required equipment shall be clean and in good operating condition.</w:t>
      </w:r>
    </w:p>
    <w:p w14:paraId="7887E35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02A928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The ASTC pharmacy shall store and maintain all prescription drug products in such a manner that maintains the integrity of the product.</w:t>
      </w:r>
    </w:p>
    <w:p w14:paraId="4C43DE7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2B984F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All containers from which drugs are administered must be properly labeled.</w:t>
      </w:r>
    </w:p>
    <w:p w14:paraId="022FEC5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38AF7A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Prescription drug products and prescription devices and related materials which are adulterated, misbranded, out of date, expired, defective, or deteriorated shall be disposed of in accordance with Tenn. Comp. R. and Regs. 1140-03-.11.</w:t>
      </w:r>
    </w:p>
    <w:p w14:paraId="054AF1E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72DD7B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The ASTC pharmacy shall have locked storage for Schedule II controlled substances, scheduled under either state or federal law, and other controlled drugs designated by the pharmacist-in-charge or medical director requiring additional security.</w:t>
      </w:r>
    </w:p>
    <w:p w14:paraId="24B843C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C0DB94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Security.</w:t>
      </w:r>
    </w:p>
    <w:p w14:paraId="4589E6A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 </w:t>
      </w:r>
    </w:p>
    <w:p w14:paraId="5661A8C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The pharmacy practice site for the ASTC pharmacy and storage areas for prescription drug products and/or prescription devices shall be enclosed and capable of being locked by key, combination, or other mechanical or electronic means, so as to prohibit access by unauthorized individuals. Only individuals authorized by the pharmacist-in-charge or medical director may enter the ASTC pharmacy or have access to storage areas for prescription drug products and/or devices. An ASTC pharmacy shall maintain a key accountability log in paper or electronic form and made available upon request by an authorized representative of the Board.</w:t>
      </w:r>
    </w:p>
    <w:p w14:paraId="7B94783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9D3B57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The pharmacist-in-charge or medical director shall consult with ASTC personnel with respect to security of the drug storage areas, including provisions for adequate safeguards against theft or diversion of prescription drug products and controlled substances, and to security of records for such drugs. The designated pharmacist-in-charge or medical director retains ultimate responsibility for drug storage and security.</w:t>
      </w:r>
    </w:p>
    <w:p w14:paraId="19E62D3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E606DC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Drugs</w:t>
      </w:r>
    </w:p>
    <w:p w14:paraId="4460D90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2733BB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Prepackaging and loading drugs into automated dispensing machine (ADM) by the ASTC pharmacy.</w:t>
      </w:r>
    </w:p>
    <w:p w14:paraId="29C772B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6389958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Prepackaging of drugs.</w:t>
      </w:r>
    </w:p>
    <w:p w14:paraId="303A1FD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0E4D6C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w:t>
      </w:r>
      <w:r w:rsidRPr="00C76F70">
        <w:rPr>
          <w:rFonts w:ascii="Arial" w:eastAsia="Arial" w:hAnsi="Arial" w:cs="Arial"/>
          <w:kern w:val="0"/>
          <w:sz w:val="20"/>
          <w:szCs w:val="20"/>
          <w14:ligatures w14:val="none"/>
        </w:rPr>
        <w:tab/>
        <w:t>Drugs may be prepackaged in quantities suitable for distribution to other pharmacies under common ownership or for internal distribution only by a pharmacist or by pharmacy technicians under the direction and direct supervision of a pharmacist, a physician, or a registered or advanced practice nurse acting under the supervision a physician. Any repackaging of prescription drugs and devices and related materials must be supervised and controlled by a pharmacist with in-process and end-process verification and documentation.</w:t>
      </w:r>
    </w:p>
    <w:p w14:paraId="2611197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90ABD6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w:t>
      </w:r>
      <w:r w:rsidRPr="00C76F70">
        <w:rPr>
          <w:rFonts w:ascii="Arial" w:eastAsia="Arial" w:hAnsi="Arial" w:cs="Arial"/>
          <w:kern w:val="0"/>
          <w:sz w:val="20"/>
          <w:szCs w:val="20"/>
          <w14:ligatures w14:val="none"/>
        </w:rPr>
        <w:tab/>
        <w:t>A batch number assigned by the pharmacy practice site may be placed on the label in lieu of the manufacturer’s name and lot number, provided that the pharmacy practice site maintains a readily retrievable record which identifies, by batch number, the manufacturer and lot number of the prescription drug or device or related material.</w:t>
      </w:r>
    </w:p>
    <w:p w14:paraId="2C10E3B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EFCF8D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(iii)</w:t>
      </w:r>
      <w:r w:rsidRPr="00C76F70">
        <w:rPr>
          <w:rFonts w:ascii="Arial" w:eastAsia="Arial" w:hAnsi="Arial" w:cs="Arial"/>
          <w:kern w:val="0"/>
          <w:sz w:val="20"/>
          <w:szCs w:val="20"/>
          <w14:ligatures w14:val="none"/>
        </w:rPr>
        <w:tab/>
        <w:t>The label of a prepackaged unit shall indicate:</w:t>
      </w:r>
    </w:p>
    <w:p w14:paraId="69E21DC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29D297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w:t>
      </w:r>
      <w:r w:rsidRPr="00C76F70">
        <w:rPr>
          <w:rFonts w:ascii="Arial" w:eastAsia="Arial" w:hAnsi="Arial" w:cs="Arial"/>
          <w:kern w:val="0"/>
          <w:sz w:val="20"/>
          <w:szCs w:val="20"/>
          <w14:ligatures w14:val="none"/>
        </w:rPr>
        <w:tab/>
        <w:t>brand name and strength of the drug; or if no brand name, then the generic name, strength, and name of the manufacturer or distributor;</w:t>
      </w:r>
    </w:p>
    <w:p w14:paraId="024BBF3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2EF2D7A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w:t>
      </w:r>
      <w:r w:rsidRPr="00C76F70">
        <w:rPr>
          <w:rFonts w:ascii="Arial" w:eastAsia="Arial" w:hAnsi="Arial" w:cs="Arial"/>
          <w:kern w:val="0"/>
          <w:sz w:val="20"/>
          <w:szCs w:val="20"/>
          <w14:ligatures w14:val="none"/>
        </w:rPr>
        <w:tab/>
        <w:t>manufacturer’s lot number or batch number;</w:t>
      </w:r>
    </w:p>
    <w:p w14:paraId="3546F5A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7E4A36E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(III)</w:t>
      </w:r>
      <w:r w:rsidRPr="00C76F70">
        <w:rPr>
          <w:rFonts w:ascii="Arial" w:eastAsia="Arial" w:hAnsi="Arial" w:cs="Arial"/>
          <w:kern w:val="0"/>
          <w:sz w:val="20"/>
          <w:szCs w:val="20"/>
          <w14:ligatures w14:val="none"/>
        </w:rPr>
        <w:tab/>
        <w:t>expiration date;</w:t>
      </w:r>
    </w:p>
    <w:p w14:paraId="0028D06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38CEBCF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Cambria" w:hAnsi="Arial" w:cs="Arial"/>
          <w:kern w:val="0"/>
          <w:sz w:val="20"/>
          <w:szCs w:val="20"/>
          <w14:ligatures w14:val="none"/>
        </w:rPr>
        <w:t>(IV)</w:t>
      </w:r>
      <w:r w:rsidRPr="00C76F70">
        <w:rPr>
          <w:rFonts w:ascii="Arial" w:eastAsia="Cambria" w:hAnsi="Arial" w:cs="Arial"/>
          <w:kern w:val="0"/>
          <w:sz w:val="20"/>
          <w:szCs w:val="20"/>
          <w14:ligatures w14:val="none"/>
        </w:rPr>
        <w:tab/>
        <w:t>cautionary notations if applicable;</w:t>
      </w:r>
    </w:p>
    <w:p w14:paraId="6E34B54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771C94E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w:t>
      </w:r>
      <w:r w:rsidRPr="00C76F70">
        <w:rPr>
          <w:rFonts w:ascii="Arial" w:eastAsia="Arial" w:hAnsi="Arial" w:cs="Arial"/>
          <w:kern w:val="0"/>
          <w:sz w:val="20"/>
          <w:szCs w:val="20"/>
          <w14:ligatures w14:val="none"/>
        </w:rPr>
        <w:tab/>
        <w:t>quantity of the drug, if quantity is greater than one; and</w:t>
      </w:r>
    </w:p>
    <w:p w14:paraId="1E894FD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14C8B09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w:t>
      </w:r>
      <w:r w:rsidRPr="00C76F70">
        <w:rPr>
          <w:rFonts w:ascii="Arial" w:eastAsia="Arial" w:hAnsi="Arial" w:cs="Arial"/>
          <w:kern w:val="0"/>
          <w:sz w:val="20"/>
          <w:szCs w:val="20"/>
          <w14:ligatures w14:val="none"/>
        </w:rPr>
        <w:tab/>
        <w:t>if the drug is distributed to another pharmacy, name of the facility responsible for prepackaging the drug.</w:t>
      </w:r>
    </w:p>
    <w:p w14:paraId="722A6CC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80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609B569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(iv)</w:t>
      </w:r>
      <w:r w:rsidRPr="00C76F70">
        <w:rPr>
          <w:rFonts w:ascii="Arial" w:eastAsia="Arial" w:hAnsi="Arial" w:cs="Arial"/>
          <w:kern w:val="0"/>
          <w:sz w:val="20"/>
          <w:szCs w:val="20"/>
          <w14:ligatures w14:val="none"/>
        </w:rPr>
        <w:tab/>
        <w:t>Records of prepackaging shall be maintained to show:</w:t>
      </w:r>
    </w:p>
    <w:p w14:paraId="4256ED4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BD881C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w:t>
      </w:r>
      <w:r w:rsidRPr="00C76F70">
        <w:rPr>
          <w:rFonts w:ascii="Arial" w:eastAsia="Arial" w:hAnsi="Arial" w:cs="Arial"/>
          <w:kern w:val="0"/>
          <w:sz w:val="20"/>
          <w:szCs w:val="20"/>
          <w14:ligatures w14:val="none"/>
        </w:rPr>
        <w:tab/>
        <w:t>the name of the drug, strength, and dosage form;</w:t>
      </w:r>
    </w:p>
    <w:p w14:paraId="5BF7546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3A6D0A1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w:t>
      </w:r>
      <w:r w:rsidRPr="00C76F70">
        <w:rPr>
          <w:rFonts w:ascii="Arial" w:eastAsia="Arial" w:hAnsi="Arial" w:cs="Arial"/>
          <w:kern w:val="0"/>
          <w:sz w:val="20"/>
          <w:szCs w:val="20"/>
          <w14:ligatures w14:val="none"/>
        </w:rPr>
        <w:tab/>
        <w:t>manufacturer's lot number or batch number;</w:t>
      </w:r>
    </w:p>
    <w:p w14:paraId="04281F8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124EEA8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(III)</w:t>
      </w:r>
      <w:r w:rsidRPr="00C76F70">
        <w:rPr>
          <w:rFonts w:ascii="Arial" w:eastAsia="Arial" w:hAnsi="Arial" w:cs="Arial"/>
          <w:kern w:val="0"/>
          <w:sz w:val="20"/>
          <w:szCs w:val="20"/>
          <w14:ligatures w14:val="none"/>
        </w:rPr>
        <w:tab/>
        <w:t>manufacturer or distributor;</w:t>
      </w:r>
    </w:p>
    <w:p w14:paraId="7887ADA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081EE35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(IV)</w:t>
      </w:r>
      <w:r w:rsidRPr="00C76F70">
        <w:rPr>
          <w:rFonts w:ascii="Arial" w:eastAsia="Arial" w:hAnsi="Arial" w:cs="Arial"/>
          <w:kern w:val="0"/>
          <w:sz w:val="20"/>
          <w:szCs w:val="20"/>
          <w14:ligatures w14:val="none"/>
        </w:rPr>
        <w:tab/>
        <w:t>manufacturer's lot number;</w:t>
      </w:r>
    </w:p>
    <w:p w14:paraId="24049FF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607A211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w:t>
      </w:r>
      <w:r w:rsidRPr="00C76F70">
        <w:rPr>
          <w:rFonts w:ascii="Arial" w:eastAsia="Arial" w:hAnsi="Arial" w:cs="Arial"/>
          <w:kern w:val="0"/>
          <w:sz w:val="20"/>
          <w:szCs w:val="20"/>
          <w14:ligatures w14:val="none"/>
        </w:rPr>
        <w:tab/>
        <w:t>expiration date;</w:t>
      </w:r>
    </w:p>
    <w:p w14:paraId="485394E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4984CBF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w:t>
      </w:r>
      <w:r w:rsidRPr="00C76F70">
        <w:rPr>
          <w:rFonts w:ascii="Arial" w:eastAsia="Arial" w:hAnsi="Arial" w:cs="Arial"/>
          <w:kern w:val="0"/>
          <w:sz w:val="20"/>
          <w:szCs w:val="20"/>
          <w14:ligatures w14:val="none"/>
        </w:rPr>
        <w:tab/>
        <w:t>quantity per prepackaged unit;</w:t>
      </w:r>
    </w:p>
    <w:p w14:paraId="0692BA3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45FDF1B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(VII)</w:t>
      </w:r>
      <w:r w:rsidRPr="00C76F70">
        <w:rPr>
          <w:rFonts w:ascii="Arial" w:eastAsia="Arial" w:hAnsi="Arial" w:cs="Arial"/>
          <w:kern w:val="0"/>
          <w:sz w:val="20"/>
          <w:szCs w:val="20"/>
          <w14:ligatures w14:val="none"/>
        </w:rPr>
        <w:tab/>
        <w:t>number of prepackaged units;</w:t>
      </w:r>
    </w:p>
    <w:p w14:paraId="3A2F0CB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3A079F6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(VIII)</w:t>
      </w:r>
      <w:r w:rsidRPr="00C76F70">
        <w:rPr>
          <w:rFonts w:ascii="Arial" w:eastAsia="Arial" w:hAnsi="Arial" w:cs="Arial"/>
          <w:kern w:val="0"/>
          <w:sz w:val="20"/>
          <w:szCs w:val="20"/>
          <w14:ligatures w14:val="none"/>
        </w:rPr>
        <w:tab/>
        <w:t>date packaged;</w:t>
      </w:r>
    </w:p>
    <w:p w14:paraId="517ADA8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711D678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(IX)</w:t>
      </w:r>
      <w:r w:rsidRPr="00C76F70">
        <w:rPr>
          <w:rFonts w:ascii="Arial" w:eastAsia="Arial" w:hAnsi="Arial" w:cs="Arial"/>
          <w:kern w:val="0"/>
          <w:sz w:val="20"/>
          <w:szCs w:val="20"/>
          <w14:ligatures w14:val="none"/>
        </w:rPr>
        <w:tab/>
        <w:t>name, initials, or electronic signature of the prepacker;</w:t>
      </w:r>
    </w:p>
    <w:p w14:paraId="10193F4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339E025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(X)</w:t>
      </w:r>
      <w:r w:rsidRPr="00C76F70">
        <w:rPr>
          <w:rFonts w:ascii="Arial" w:eastAsia="Arial" w:hAnsi="Arial" w:cs="Arial"/>
          <w:kern w:val="0"/>
          <w:sz w:val="20"/>
          <w:szCs w:val="20"/>
          <w14:ligatures w14:val="none"/>
        </w:rPr>
        <w:tab/>
        <w:t>signature or electronic signature of the responsible pharmacist; and</w:t>
      </w:r>
    </w:p>
    <w:p w14:paraId="4FCC217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p>
    <w:p w14:paraId="652BA61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(XI)</w:t>
      </w:r>
      <w:r w:rsidRPr="00C76F70">
        <w:rPr>
          <w:rFonts w:ascii="Arial" w:eastAsia="Arial" w:hAnsi="Arial" w:cs="Arial"/>
          <w:kern w:val="0"/>
          <w:sz w:val="20"/>
          <w:szCs w:val="20"/>
          <w14:ligatures w14:val="none"/>
        </w:rPr>
        <w:tab/>
        <w:t>if the drug is distributed to another pharmacy, name of the facility receiving the prepackaged drug.</w:t>
      </w:r>
    </w:p>
    <w:p w14:paraId="5690C45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80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0AC8DF4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w:t>
      </w:r>
      <w:r w:rsidRPr="00C76F70">
        <w:rPr>
          <w:rFonts w:ascii="Arial" w:eastAsia="Arial" w:hAnsi="Arial" w:cs="Arial"/>
          <w:kern w:val="0"/>
          <w:sz w:val="20"/>
          <w:szCs w:val="20"/>
          <w14:ligatures w14:val="none"/>
        </w:rPr>
        <w:tab/>
        <w:t>Stock packages, repackaged units, and control records shall be quarantined together until checked/released by the pharmacist.</w:t>
      </w:r>
    </w:p>
    <w:p w14:paraId="5729631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p>
    <w:p w14:paraId="69CAE56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w:t>
      </w:r>
      <w:r w:rsidRPr="00C76F70">
        <w:rPr>
          <w:rFonts w:ascii="Arial" w:eastAsia="Arial" w:hAnsi="Arial" w:cs="Arial"/>
          <w:kern w:val="0"/>
          <w:sz w:val="20"/>
          <w:szCs w:val="20"/>
          <w14:ligatures w14:val="none"/>
        </w:rPr>
        <w:tab/>
        <w:t>The ASTC pharmacy who repackages shall have proper facilities, qualified personnel, effectual operational practices, suitable packaging material, and adequate control procedures to assure that the purity, integrity, safety, and effectiveness of the prescription drug product or device or related material are not affected by such repackaging. All repackaging must be performed by a pharmacist or by a pharmacy intern or pharmacy technician under the direct supervision of a pharmacist.</w:t>
      </w:r>
    </w:p>
    <w:p w14:paraId="27CEC8C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2F85A0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ADMs may be loaded with bulk unit of use drugs only by a pharmacist, by pharmacy technicians under direct supervision of a pharmacist, or by a licensed nurse who is authorized by the pharmacist-in-charge or medical director to perform the loading of the ADM. For the purpose of this clause, direct supervision may be accomplished by physically present supervision or electronic monitoring in a live, real-time capacity by a pharmacist or medical director. In order for the pharmacist or medical director to electronically monitor, the medication supply system must allow for bar code scanning to verify the loading of drugs, and a record of the loading must be maintained by the system and accessible for electronic review by the pharmacist or medical director.</w:t>
      </w:r>
    </w:p>
    <w:p w14:paraId="4CA25DB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BF1FE8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Cambria" w:hAnsi="Arial" w:cs="Arial"/>
          <w:kern w:val="0"/>
          <w:sz w:val="20"/>
          <w:szCs w:val="20"/>
          <w14:ligatures w14:val="none"/>
        </w:rPr>
        <w:t>(c)</w:t>
      </w:r>
      <w:r w:rsidRPr="00C76F70">
        <w:rPr>
          <w:rFonts w:ascii="Arial" w:eastAsia="Cambria" w:hAnsi="Arial" w:cs="Arial"/>
          <w:kern w:val="0"/>
          <w:sz w:val="20"/>
          <w:szCs w:val="20"/>
          <w14:ligatures w14:val="none"/>
        </w:rPr>
        <w:tab/>
        <w:t>All persons authorized to have access to these automated devices shall have documentation that they have successfully completed a training program that teaches them to perform the functions they perform with the automated device.</w:t>
      </w:r>
    </w:p>
    <w:p w14:paraId="5DBEAB6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6C376B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(d)</w:t>
      </w:r>
      <w:r w:rsidRPr="00C76F70">
        <w:rPr>
          <w:rFonts w:ascii="Arial" w:eastAsia="Arial" w:hAnsi="Arial" w:cs="Arial"/>
          <w:kern w:val="0"/>
          <w:sz w:val="20"/>
          <w:szCs w:val="20"/>
          <w14:ligatures w14:val="none"/>
        </w:rPr>
        <w:tab/>
        <w:t xml:space="preserve">Any loss of any scheduled prescription drug products, scheduled under either state or federal law, shall be reported to the Board’s administrative office in accordance the provisions of the Code of Federal Regulations. </w:t>
      </w:r>
    </w:p>
    <w:p w14:paraId="43AF6AC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p>
    <w:p w14:paraId="3BA05BF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Medication Orders</w:t>
      </w:r>
    </w:p>
    <w:p w14:paraId="11F5D0E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E5B04A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When a practitioner orders a drug for administration to a bona fide patient of the facility when the pharmacy is closed and the ASTC pharmacy employs or contracts with a full-time pharmacist, the following are applicable:</w:t>
      </w:r>
    </w:p>
    <w:p w14:paraId="24CE6E5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E6C844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prescription drug products and prescription devices only in sufficient quantities for immediate therapeutic needs of a patient may be removed from the ASTC pharmacy;</w:t>
      </w:r>
    </w:p>
    <w:p w14:paraId="441B953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138881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only a designated licensed nurse or other healthcare practitioner may remove such drugs and devices;</w:t>
      </w:r>
    </w:p>
    <w:p w14:paraId="20C9D92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A9BD41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a record shall be made at the time of withdrawal by the authorized person removing the drugs and devices. The record shall contain the following information:</w:t>
      </w:r>
    </w:p>
    <w:p w14:paraId="4723DE3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61144B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w:t>
      </w:r>
      <w:r w:rsidRPr="00C76F70">
        <w:rPr>
          <w:rFonts w:ascii="Arial" w:eastAsia="Arial" w:hAnsi="Arial" w:cs="Arial"/>
          <w:kern w:val="0"/>
          <w:sz w:val="20"/>
          <w:szCs w:val="20"/>
          <w14:ligatures w14:val="none"/>
        </w:rPr>
        <w:tab/>
        <w:t>name of the patient;</w:t>
      </w:r>
    </w:p>
    <w:p w14:paraId="1F850A2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p>
    <w:p w14:paraId="4DE42BF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w:t>
      </w:r>
      <w:r w:rsidRPr="00C76F70">
        <w:rPr>
          <w:rFonts w:ascii="Arial" w:eastAsia="Arial" w:hAnsi="Arial" w:cs="Arial"/>
          <w:kern w:val="0"/>
          <w:sz w:val="20"/>
          <w:szCs w:val="20"/>
          <w14:ligatures w14:val="none"/>
        </w:rPr>
        <w:tab/>
        <w:t>name of device or drug, strength, and dosage form;</w:t>
      </w:r>
    </w:p>
    <w:p w14:paraId="4576EDA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p>
    <w:p w14:paraId="7E89155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(iii)</w:t>
      </w:r>
      <w:r w:rsidRPr="00C76F70">
        <w:rPr>
          <w:rFonts w:ascii="Arial" w:eastAsia="Arial" w:hAnsi="Arial" w:cs="Arial"/>
          <w:kern w:val="0"/>
          <w:sz w:val="20"/>
          <w:szCs w:val="20"/>
          <w14:ligatures w14:val="none"/>
        </w:rPr>
        <w:tab/>
        <w:t>dose prescribed;</w:t>
      </w:r>
    </w:p>
    <w:p w14:paraId="6C04580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p>
    <w:p w14:paraId="7DB147E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(iv)</w:t>
      </w:r>
      <w:r w:rsidRPr="00C76F70">
        <w:rPr>
          <w:rFonts w:ascii="Arial" w:eastAsia="Arial" w:hAnsi="Arial" w:cs="Arial"/>
          <w:kern w:val="0"/>
          <w:sz w:val="20"/>
          <w:szCs w:val="20"/>
          <w14:ligatures w14:val="none"/>
        </w:rPr>
        <w:tab/>
        <w:t>quantity withdrawn;</w:t>
      </w:r>
    </w:p>
    <w:p w14:paraId="15212B0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p>
    <w:p w14:paraId="347CCD5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w:t>
      </w:r>
      <w:r w:rsidRPr="00C76F70">
        <w:rPr>
          <w:rFonts w:ascii="Arial" w:eastAsia="Arial" w:hAnsi="Arial" w:cs="Arial"/>
          <w:kern w:val="0"/>
          <w:sz w:val="20"/>
          <w:szCs w:val="20"/>
          <w14:ligatures w14:val="none"/>
        </w:rPr>
        <w:tab/>
        <w:t>time and date; and</w:t>
      </w:r>
    </w:p>
    <w:p w14:paraId="32DD561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p>
    <w:p w14:paraId="703DB7D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88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(vi)</w:t>
      </w:r>
      <w:r w:rsidRPr="00C76F70">
        <w:rPr>
          <w:rFonts w:ascii="Arial" w:eastAsia="Arial" w:hAnsi="Arial" w:cs="Arial"/>
          <w:kern w:val="0"/>
          <w:sz w:val="20"/>
          <w:szCs w:val="20"/>
          <w14:ligatures w14:val="none"/>
        </w:rPr>
        <w:tab/>
        <w:t>signature or electronic signature of the person making the withdrawal;</w:t>
      </w:r>
    </w:p>
    <w:p w14:paraId="0AC3292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C0F43F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the medication order in the patient's chart may substitute for such record, provided the medication order meets all the requirements of part 3. of this subparagraph;</w:t>
      </w:r>
    </w:p>
    <w:p w14:paraId="70AE4EE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A16433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 xml:space="preserve">the pharmacist shall verify the withdrawal of a controlled substance as soon as practical, but in no event more than seventy-two (72) hours from the time of such withdrawal; </w:t>
      </w:r>
    </w:p>
    <w:p w14:paraId="731E927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6E4C89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 xml:space="preserve">the pharmacist shall verify the withdrawal of a prescription drug product at a reasonable interval, but such verification must occur at least once in every calendar week, and </w:t>
      </w:r>
    </w:p>
    <w:p w14:paraId="41F1785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7A38AA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7.</w:t>
      </w:r>
      <w:r w:rsidRPr="00C76F70">
        <w:rPr>
          <w:rFonts w:ascii="Arial" w:eastAsia="Arial" w:hAnsi="Arial" w:cs="Arial"/>
          <w:kern w:val="0"/>
          <w:sz w:val="20"/>
          <w:szCs w:val="20"/>
          <w14:ligatures w14:val="none"/>
        </w:rPr>
        <w:tab/>
        <w:t>the signature of a witness.</w:t>
      </w:r>
    </w:p>
    <w:p w14:paraId="080C41E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949FF9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Policies and Procedures</w:t>
      </w:r>
    </w:p>
    <w:p w14:paraId="06DED2D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D4B688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Written policies and procedures for a drug distribution system, appropriate for the ASTC, shall be developed and implemented by the pharmacist-in-charge or medical director with the advice of the appropriate committee. The written policies and procedures for the drug distribution system shall include, but not be limited to, procedures regarding the following:</w:t>
      </w:r>
    </w:p>
    <w:p w14:paraId="40F60ED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AA4E58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controlled substances;</w:t>
      </w:r>
    </w:p>
    <w:p w14:paraId="6305B96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DA6134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investigational drugs;</w:t>
      </w:r>
    </w:p>
    <w:p w14:paraId="173DB45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353BBCF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prepackaging and manufacturing;</w:t>
      </w:r>
    </w:p>
    <w:p w14:paraId="4FCDA11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EA9697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medication errors;</w:t>
      </w:r>
    </w:p>
    <w:p w14:paraId="643EBA1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5576CED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orders of physician or other practitioner;</w:t>
      </w:r>
    </w:p>
    <w:p w14:paraId="49EAD67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513184F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floor stocks;</w:t>
      </w:r>
    </w:p>
    <w:p w14:paraId="73C5EDD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B4308B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7.</w:t>
      </w:r>
      <w:r w:rsidRPr="00C76F70">
        <w:rPr>
          <w:rFonts w:ascii="Arial" w:eastAsia="Arial" w:hAnsi="Arial" w:cs="Arial"/>
          <w:kern w:val="0"/>
          <w:sz w:val="20"/>
          <w:szCs w:val="20"/>
          <w14:ligatures w14:val="none"/>
        </w:rPr>
        <w:tab/>
        <w:t>adverse drug reactions;</w:t>
      </w:r>
    </w:p>
    <w:p w14:paraId="25B2D8D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59362B1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8.</w:t>
      </w:r>
      <w:r w:rsidRPr="00C76F70">
        <w:rPr>
          <w:rFonts w:ascii="Arial" w:eastAsia="Arial" w:hAnsi="Arial" w:cs="Arial"/>
          <w:kern w:val="0"/>
          <w:sz w:val="20"/>
          <w:szCs w:val="20"/>
          <w14:ligatures w14:val="none"/>
        </w:rPr>
        <w:tab/>
        <w:t>drugs brought into the facility by the patient;</w:t>
      </w:r>
    </w:p>
    <w:p w14:paraId="0E20E46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EE740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9.</w:t>
      </w:r>
      <w:r w:rsidRPr="00C76F70">
        <w:rPr>
          <w:rFonts w:ascii="Arial" w:eastAsia="Arial" w:hAnsi="Arial" w:cs="Arial"/>
          <w:kern w:val="0"/>
          <w:sz w:val="20"/>
          <w:szCs w:val="20"/>
          <w14:ligatures w14:val="none"/>
        </w:rPr>
        <w:tab/>
        <w:t>self-administration;</w:t>
      </w:r>
    </w:p>
    <w:p w14:paraId="28A9E17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83BE5F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10.</w:t>
      </w:r>
      <w:r w:rsidRPr="00C76F70">
        <w:rPr>
          <w:rFonts w:ascii="Arial" w:eastAsia="Arial" w:hAnsi="Arial" w:cs="Arial"/>
          <w:kern w:val="0"/>
          <w:sz w:val="20"/>
          <w:szCs w:val="20"/>
          <w14:ligatures w14:val="none"/>
        </w:rPr>
        <w:tab/>
        <w:t>emergency drug tray;</w:t>
      </w:r>
    </w:p>
    <w:p w14:paraId="4CF28DC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036AD1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11.</w:t>
      </w:r>
      <w:r w:rsidRPr="00C76F70">
        <w:rPr>
          <w:rFonts w:ascii="Arial" w:eastAsia="Arial" w:hAnsi="Arial" w:cs="Arial"/>
          <w:kern w:val="0"/>
          <w:sz w:val="20"/>
          <w:szCs w:val="20"/>
          <w14:ligatures w14:val="none"/>
        </w:rPr>
        <w:tab/>
        <w:t>formulary;</w:t>
      </w:r>
    </w:p>
    <w:p w14:paraId="1C9C21D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2CCB8CC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12.</w:t>
      </w:r>
      <w:r w:rsidRPr="00C76F70">
        <w:rPr>
          <w:rFonts w:ascii="Arial" w:eastAsia="Arial" w:hAnsi="Arial" w:cs="Arial"/>
          <w:kern w:val="0"/>
          <w:sz w:val="20"/>
          <w:szCs w:val="20"/>
          <w14:ligatures w14:val="none"/>
        </w:rPr>
        <w:tab/>
        <w:t>drug storage areas;</w:t>
      </w:r>
    </w:p>
    <w:p w14:paraId="17E3727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BAA714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13.</w:t>
      </w:r>
      <w:r w:rsidRPr="00C76F70">
        <w:rPr>
          <w:rFonts w:ascii="Arial" w:eastAsia="Arial" w:hAnsi="Arial" w:cs="Arial"/>
          <w:kern w:val="0"/>
          <w:sz w:val="20"/>
          <w:szCs w:val="20"/>
          <w14:ligatures w14:val="none"/>
        </w:rPr>
        <w:tab/>
        <w:t>drug samples;</w:t>
      </w:r>
    </w:p>
    <w:p w14:paraId="24C99AC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54364C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14.</w:t>
      </w:r>
      <w:r w:rsidRPr="00C76F70">
        <w:rPr>
          <w:rFonts w:ascii="Arial" w:eastAsia="Arial" w:hAnsi="Arial" w:cs="Arial"/>
          <w:kern w:val="0"/>
          <w:sz w:val="20"/>
          <w:szCs w:val="20"/>
          <w14:ligatures w14:val="none"/>
        </w:rPr>
        <w:tab/>
        <w:t>drug product defect reports;</w:t>
      </w:r>
    </w:p>
    <w:p w14:paraId="657F52F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09E613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15.</w:t>
      </w:r>
      <w:r w:rsidRPr="00C76F70">
        <w:rPr>
          <w:rFonts w:ascii="Arial" w:eastAsia="Arial" w:hAnsi="Arial" w:cs="Arial"/>
          <w:kern w:val="0"/>
          <w:sz w:val="20"/>
          <w:szCs w:val="20"/>
          <w14:ligatures w14:val="none"/>
        </w:rPr>
        <w:tab/>
        <w:t>drug recalls;</w:t>
      </w:r>
    </w:p>
    <w:p w14:paraId="3704372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37C4812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16.</w:t>
      </w:r>
      <w:r w:rsidRPr="00C76F70">
        <w:rPr>
          <w:rFonts w:ascii="Arial" w:eastAsia="Arial" w:hAnsi="Arial" w:cs="Arial"/>
          <w:kern w:val="0"/>
          <w:sz w:val="20"/>
          <w:szCs w:val="20"/>
          <w14:ligatures w14:val="none"/>
        </w:rPr>
        <w:tab/>
        <w:t>outdated drugs;</w:t>
      </w:r>
    </w:p>
    <w:p w14:paraId="089C630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290E36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17.</w:t>
      </w:r>
      <w:r w:rsidRPr="00C76F70">
        <w:rPr>
          <w:rFonts w:ascii="Arial" w:eastAsia="Arial" w:hAnsi="Arial" w:cs="Arial"/>
          <w:kern w:val="0"/>
          <w:sz w:val="20"/>
          <w:szCs w:val="20"/>
          <w14:ligatures w14:val="none"/>
        </w:rPr>
        <w:tab/>
        <w:t>preparation and distribution of IV admixtures;</w:t>
      </w:r>
    </w:p>
    <w:p w14:paraId="3B70E60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535348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18.</w:t>
      </w:r>
      <w:r w:rsidRPr="00C76F70">
        <w:rPr>
          <w:rFonts w:ascii="Arial" w:eastAsia="Arial" w:hAnsi="Arial" w:cs="Arial"/>
          <w:kern w:val="0"/>
          <w:sz w:val="20"/>
          <w:szCs w:val="20"/>
          <w14:ligatures w14:val="none"/>
        </w:rPr>
        <w:tab/>
        <w:t>procedures for supplying drugs for postoperative use;</w:t>
      </w:r>
    </w:p>
    <w:p w14:paraId="152D937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07EDD2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19.</w:t>
      </w:r>
      <w:r w:rsidRPr="00C76F70">
        <w:rPr>
          <w:rFonts w:ascii="Arial" w:eastAsia="Arial" w:hAnsi="Arial" w:cs="Arial"/>
          <w:kern w:val="0"/>
          <w:sz w:val="20"/>
          <w:szCs w:val="20"/>
          <w14:ligatures w14:val="none"/>
        </w:rPr>
        <w:tab/>
        <w:t>use of automated medication supply systems;</w:t>
      </w:r>
    </w:p>
    <w:p w14:paraId="6DF5E47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D4BCE1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20.</w:t>
      </w:r>
      <w:r w:rsidRPr="00C76F70">
        <w:rPr>
          <w:rFonts w:ascii="Arial" w:eastAsia="Arial" w:hAnsi="Arial" w:cs="Arial"/>
          <w:kern w:val="0"/>
          <w:sz w:val="20"/>
          <w:szCs w:val="20"/>
          <w14:ligatures w14:val="none"/>
        </w:rPr>
        <w:tab/>
        <w:t>use of data processing systems</w:t>
      </w:r>
    </w:p>
    <w:p w14:paraId="302E9FE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p>
    <w:p w14:paraId="07BA10D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21.</w:t>
      </w:r>
      <w:r w:rsidRPr="00C76F70">
        <w:rPr>
          <w:rFonts w:ascii="Arial" w:eastAsia="Arial" w:hAnsi="Arial" w:cs="Arial"/>
          <w:kern w:val="0"/>
          <w:sz w:val="20"/>
          <w:szCs w:val="20"/>
          <w14:ligatures w14:val="none"/>
        </w:rPr>
        <w:tab/>
        <w:t>periods of computer system interruption; and</w:t>
      </w:r>
    </w:p>
    <w:p w14:paraId="082464A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736AAD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22.</w:t>
      </w:r>
      <w:r w:rsidRPr="00C76F70">
        <w:rPr>
          <w:rFonts w:ascii="Arial" w:eastAsia="Arial" w:hAnsi="Arial" w:cs="Arial"/>
          <w:kern w:val="0"/>
          <w:sz w:val="20"/>
          <w:szCs w:val="20"/>
          <w14:ligatures w14:val="none"/>
        </w:rPr>
        <w:tab/>
        <w:t>drug regimen review.</w:t>
      </w:r>
    </w:p>
    <w:p w14:paraId="074404B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774E26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 xml:space="preserve">All training documentation for any person employed by or contracted with the ASTC pharmacy to perform the practice of pharmacy shall be kept at the ASTC pharmacy for a period of two (2) years and made available to the Board or an authorized agent of the Board upon request. </w:t>
      </w:r>
    </w:p>
    <w:p w14:paraId="3A1D622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44C485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The designated pharmacist-in-charge or medical director shall perform documented monthly visits to the ASTC pharmacy for purposes of performing audits for prescription records, inventory records, prescription drug product and medical device storage and security.</w:t>
      </w:r>
    </w:p>
    <w:p w14:paraId="4D8106D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69EFD43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(7)</w:t>
      </w:r>
      <w:r w:rsidRPr="00C76F70">
        <w:rPr>
          <w:rFonts w:ascii="Arial" w:eastAsia="Arial" w:hAnsi="Arial" w:cs="Arial"/>
          <w:kern w:val="0"/>
          <w:sz w:val="20"/>
          <w:szCs w:val="20"/>
          <w14:ligatures w14:val="none"/>
        </w:rPr>
        <w:tab/>
        <w:t>The designated pharmacist-in-charge or medical director may serve up to ten (10) separate ASTC pharmacies but not more than one hundred (100) patient beds as a cumulative total across the ten (10) separate ASTC pharmacies. The Board shall approve any additional ASTC pharmacies for the designated pharmacist-in-charge or medical director to serve beyond ten (10) or one hundred (100) patient beds.</w:t>
      </w:r>
    </w:p>
    <w:p w14:paraId="30AC728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Arial" w:hAnsi="Arial" w:cs="Arial"/>
          <w:kern w:val="0"/>
          <w:sz w:val="20"/>
          <w:szCs w:val="20"/>
          <w14:ligatures w14:val="none"/>
        </w:rPr>
      </w:pPr>
    </w:p>
    <w:p w14:paraId="62B39D1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(8)</w:t>
      </w:r>
      <w:r w:rsidRPr="00C76F70">
        <w:rPr>
          <w:rFonts w:ascii="Arial" w:eastAsia="Arial" w:hAnsi="Arial" w:cs="Arial"/>
          <w:kern w:val="0"/>
          <w:sz w:val="20"/>
          <w:szCs w:val="20"/>
          <w14:ligatures w14:val="none"/>
        </w:rPr>
        <w:tab/>
        <w:t xml:space="preserve">The designated pharmacist-in-charge or medical director shall report to the Board any situation in which a medical or prescription order has caused serious personal injury or death. </w:t>
      </w:r>
    </w:p>
    <w:p w14:paraId="1F9F07C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p>
    <w:p w14:paraId="32F91CA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 and 63-10-310.</w:t>
      </w:r>
    </w:p>
    <w:p w14:paraId="19CD0C9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6A6888C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b/>
          <w:bCs/>
          <w:kern w:val="0"/>
          <w:sz w:val="20"/>
          <w:szCs w:val="20"/>
          <w14:ligatures w14:val="none"/>
        </w:rPr>
      </w:pPr>
      <w:r w:rsidRPr="00C76F70">
        <w:rPr>
          <w:rFonts w:ascii="Arial" w:eastAsia="Arial" w:hAnsi="Arial" w:cs="Arial"/>
          <w:b/>
          <w:bCs/>
          <w:kern w:val="0"/>
          <w:sz w:val="20"/>
          <w:szCs w:val="20"/>
          <w14:ligatures w14:val="none"/>
        </w:rPr>
        <w:t>1140-12-.04 ASTC PHARMACY RECORDS.</w:t>
      </w:r>
    </w:p>
    <w:p w14:paraId="4753C2D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73665A5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Maintenance of ASTC Pharmacy</w:t>
      </w:r>
      <w:r w:rsidRPr="00C76F70">
        <w:rPr>
          <w:rFonts w:ascii="Arial" w:eastAsia="Arial" w:hAnsi="Arial" w:cs="Arial"/>
          <w:b/>
          <w:bCs/>
          <w:kern w:val="0"/>
          <w:sz w:val="20"/>
          <w:szCs w:val="20"/>
          <w14:ligatures w14:val="none"/>
        </w:rPr>
        <w:t xml:space="preserve"> </w:t>
      </w:r>
      <w:r w:rsidRPr="00C76F70">
        <w:rPr>
          <w:rFonts w:ascii="Arial" w:eastAsia="Arial" w:hAnsi="Arial" w:cs="Arial"/>
          <w:kern w:val="0"/>
          <w:sz w:val="20"/>
          <w:szCs w:val="20"/>
          <w14:ligatures w14:val="none"/>
        </w:rPr>
        <w:t>Records</w:t>
      </w:r>
    </w:p>
    <w:p w14:paraId="38A4AA3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022444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Every inventory or other record required to be kept under the provisions of this section, including invoices, shall be:</w:t>
      </w:r>
    </w:p>
    <w:p w14:paraId="5DA1A11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CADFEF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 xml:space="preserve">kept by the ASTC pharmacy, at the ASTC Pharmacy or other Board- or DEA-approved location, and be available, for at least two (2) years from the date of such inventory or record, for inspecting and copying by the Board or its representative, and other authorized local, state, or federal law enforcement agencies; </w:t>
      </w:r>
    </w:p>
    <w:p w14:paraId="5A1C37F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79C6CA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supplied by the ASTC pharmacy immediately upon request by an authorized agent of the Board but not later than twenty-four (24) hours after the request is made. If the pharmacy maintains the records in an electronic format, the requested records must be provided in a mutually agreeable electronic format if specifically requested by the Board or its representative. Failure to provide the records set out in this subsection, either on site or immediately upon request but not later than twenty-four (24) hours after the request is made, constitutes prima facie evidence of failure to keep and maintain records in violation of the Act;</w:t>
      </w:r>
    </w:p>
    <w:p w14:paraId="17002B2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C84B97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complete and accurate including records of acquisition and disposition; and</w:t>
      </w:r>
    </w:p>
    <w:p w14:paraId="0ACB971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3F713D0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made and kept in accordance with the United States Code and the Code of Federal Regulations.</w:t>
      </w:r>
    </w:p>
    <w:p w14:paraId="763F1B4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6E06FFB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Records of controlled substances listed in Schedule II, under either state or federal law, shall be maintained separately from all other records of the ASTC pharmacy.</w:t>
      </w:r>
    </w:p>
    <w:p w14:paraId="1D8CBF8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3B9BC8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(c)</w:t>
      </w:r>
      <w:r w:rsidRPr="00C76F70">
        <w:rPr>
          <w:rFonts w:ascii="Arial" w:eastAsia="Arial" w:hAnsi="Arial" w:cs="Arial"/>
          <w:kern w:val="0"/>
          <w:sz w:val="20"/>
          <w:szCs w:val="20"/>
          <w14:ligatures w14:val="none"/>
        </w:rPr>
        <w:tab/>
        <w:t xml:space="preserve">Records of controlled substances listed in Schedules III – V, scheduled under either state or federal law, shall be maintained separately from all other records of the ASTC pharmacy. </w:t>
      </w:r>
    </w:p>
    <w:p w14:paraId="626F592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64BB72F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(d)</w:t>
      </w:r>
      <w:r w:rsidRPr="00C76F70">
        <w:rPr>
          <w:rFonts w:ascii="Arial" w:eastAsia="Arial" w:hAnsi="Arial" w:cs="Arial"/>
          <w:kern w:val="0"/>
          <w:sz w:val="20"/>
          <w:szCs w:val="20"/>
          <w14:ligatures w14:val="none"/>
        </w:rPr>
        <w:tab/>
        <w:t>Records, except when specifically required to be maintained in original or hard copy form, may be maintained in an alternative data retention system, provided:</w:t>
      </w:r>
    </w:p>
    <w:p w14:paraId="0635A8F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39F2F7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the records in the alternative data retention system contain all of the information required on the manual record; and</w:t>
      </w:r>
    </w:p>
    <w:p w14:paraId="1CEDDDF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C69743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the alternative data retention system is capable of producing a hard copy of the record upon the request of the Board, its representative, or other authorized local, state, or federal law enforcement or regulatory agencies.</w:t>
      </w:r>
    </w:p>
    <w:p w14:paraId="249B7AB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BC0266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(e)</w:t>
      </w:r>
      <w:r w:rsidRPr="00C76F70">
        <w:rPr>
          <w:rFonts w:ascii="Arial" w:eastAsia="Arial" w:hAnsi="Arial" w:cs="Arial"/>
          <w:kern w:val="0"/>
          <w:sz w:val="20"/>
          <w:szCs w:val="20"/>
          <w14:ligatures w14:val="none"/>
        </w:rPr>
        <w:tab/>
        <w:t>Controlled substance records shall be maintained to establish acquisition and disposition of all controlled substances.</w:t>
      </w:r>
    </w:p>
    <w:p w14:paraId="158D5E4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p>
    <w:p w14:paraId="6B65F01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(f)</w:t>
      </w:r>
      <w:r w:rsidRPr="00C76F70">
        <w:rPr>
          <w:rFonts w:ascii="Arial" w:eastAsia="Arial" w:hAnsi="Arial" w:cs="Arial"/>
          <w:kern w:val="0"/>
          <w:sz w:val="20"/>
          <w:szCs w:val="20"/>
          <w14:ligatures w14:val="none"/>
        </w:rPr>
        <w:tab/>
        <w:t>An ASTC pharmacy shall maintain a perpetual inventory of controlled substances listed in Schedules II – V, scheduled under either state or federal law, which shall be verified by a pharmacist for completeness and reconciled at least once in every calendar week that the ASTC pharmacy is open.</w:t>
      </w:r>
    </w:p>
    <w:p w14:paraId="40B9056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15108F3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(g)</w:t>
      </w:r>
      <w:r w:rsidRPr="00C76F70">
        <w:rPr>
          <w:rFonts w:ascii="Arial" w:eastAsia="Arial" w:hAnsi="Arial" w:cs="Arial"/>
          <w:kern w:val="0"/>
          <w:sz w:val="20"/>
          <w:szCs w:val="20"/>
          <w14:ligatures w14:val="none"/>
        </w:rPr>
        <w:tab/>
        <w:t>Distribution records for controlled substances, listed in Schedules II - V under either state or federal law, shall include the following information:</w:t>
      </w:r>
    </w:p>
    <w:p w14:paraId="375217A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63632F9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patient's name;</w:t>
      </w:r>
    </w:p>
    <w:p w14:paraId="6F26D68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4001DFB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name of drug, dosage form, and strength;</w:t>
      </w:r>
    </w:p>
    <w:p w14:paraId="22F0A9D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5AFF9E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name of person who removed the controlled substance;</w:t>
      </w:r>
    </w:p>
    <w:p w14:paraId="4B126B6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CB03F5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 xml:space="preserve">total quantity of the removed controlled substance; </w:t>
      </w:r>
    </w:p>
    <w:p w14:paraId="307BBBE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15E4AD6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signature or electronic signature of individual administering or wasting the controlled substance;</w:t>
      </w:r>
    </w:p>
    <w:p w14:paraId="00DD983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5024841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returns to the pharmacy; and</w:t>
      </w:r>
    </w:p>
    <w:p w14:paraId="23EC3C9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38DDA18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7.</w:t>
      </w:r>
      <w:r w:rsidRPr="00C76F70">
        <w:rPr>
          <w:rFonts w:ascii="Arial" w:eastAsia="Arial" w:hAnsi="Arial" w:cs="Arial"/>
          <w:kern w:val="0"/>
          <w:sz w:val="20"/>
          <w:szCs w:val="20"/>
          <w14:ligatures w14:val="none"/>
        </w:rPr>
        <w:tab/>
        <w:t>waste or significant loss (waste is required to be witnessed and cosigned, manually or electronically, by another individual).</w:t>
      </w:r>
    </w:p>
    <w:p w14:paraId="2989CF9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26EDCC1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(h)</w:t>
      </w:r>
      <w:r w:rsidRPr="00C76F70">
        <w:rPr>
          <w:rFonts w:ascii="Arial" w:eastAsia="Arial" w:hAnsi="Arial" w:cs="Arial"/>
          <w:kern w:val="0"/>
          <w:sz w:val="20"/>
          <w:szCs w:val="20"/>
          <w14:ligatures w14:val="none"/>
        </w:rPr>
        <w:tab/>
        <w:t>The record required by subparagraph (g) of this paragraph shall be maintained separately from patient records.</w:t>
      </w:r>
    </w:p>
    <w:p w14:paraId="0BBC62D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5528473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(i)</w:t>
      </w:r>
      <w:r w:rsidRPr="00C76F70">
        <w:rPr>
          <w:rFonts w:ascii="Arial" w:eastAsia="Arial" w:hAnsi="Arial" w:cs="Arial"/>
          <w:kern w:val="0"/>
          <w:sz w:val="20"/>
          <w:szCs w:val="20"/>
          <w14:ligatures w14:val="none"/>
        </w:rPr>
        <w:tab/>
        <w:t>A pharmacist shall conduct an audit by randomly comparing the distribution records required by subparagraph (g) with the medication orders in the patient record on a periodic basis to verify proper administration of drugs not to exceed one (1) calendar month between such reviews.</w:t>
      </w:r>
    </w:p>
    <w:p w14:paraId="0541E26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B974AD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Patient records.</w:t>
      </w:r>
    </w:p>
    <w:p w14:paraId="061E96D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E8C5D5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Each medication order or set of orders issued together shall bear the following information:</w:t>
      </w:r>
    </w:p>
    <w:p w14:paraId="49E599C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0849A34B"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patient name;</w:t>
      </w:r>
    </w:p>
    <w:p w14:paraId="0C0A1D9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7B1EA75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drug name, strength, and dosage form;</w:t>
      </w:r>
    </w:p>
    <w:p w14:paraId="62067AE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2DA53EF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directions for use;</w:t>
      </w:r>
    </w:p>
    <w:p w14:paraId="376E58A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F4C22B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firstLine="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practitioner's name who ordered the drug;</w:t>
      </w:r>
    </w:p>
    <w:p w14:paraId="46DB84D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6E8504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time and date of administration to patient and quantity administered;</w:t>
      </w:r>
    </w:p>
    <w:p w14:paraId="00122EE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549D3E4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signature or electronic signature of the practitioner or that of his or her authorized agent.</w:t>
      </w:r>
    </w:p>
    <w:p w14:paraId="2F6B5A7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47AC74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Medication orders shall be maintained with the medication administration record in the medical records of the patient.</w:t>
      </w:r>
    </w:p>
    <w:p w14:paraId="353B90D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92F40D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An ASTC pharmacy may distribute controlled substances to a practitioner, another pharmacy, or other registrant, pursuant to Tenn. Comp. R. and Regs. 1140-09-.01(3)(i).</w:t>
      </w:r>
    </w:p>
    <w:p w14:paraId="34D8858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71874F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(4)</w:t>
      </w:r>
      <w:r w:rsidRPr="00C76F70">
        <w:rPr>
          <w:rFonts w:ascii="Arial" w:eastAsia="Arial" w:hAnsi="Arial" w:cs="Arial"/>
          <w:kern w:val="0"/>
          <w:sz w:val="20"/>
          <w:szCs w:val="20"/>
          <w14:ligatures w14:val="none"/>
        </w:rPr>
        <w:tab/>
        <w:t>Other Records. Other records to be maintained by the ASTC pharmacy include:</w:t>
      </w:r>
    </w:p>
    <w:p w14:paraId="6F09870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B8EF5D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(a)</w:t>
      </w:r>
      <w:r w:rsidRPr="00C76F70">
        <w:rPr>
          <w:rFonts w:ascii="Arial" w:eastAsia="Arial" w:hAnsi="Arial" w:cs="Arial"/>
          <w:kern w:val="0"/>
          <w:sz w:val="20"/>
          <w:szCs w:val="20"/>
          <w14:ligatures w14:val="none"/>
        </w:rPr>
        <w:tab/>
        <w:t>suppliers' invoices of prescription drug products and controlled substances dated and initialed or signed by the person receiving the drugs;</w:t>
      </w:r>
    </w:p>
    <w:p w14:paraId="1679CCD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9B318A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(b)</w:t>
      </w:r>
      <w:r w:rsidRPr="00C76F70">
        <w:rPr>
          <w:rFonts w:ascii="Arial" w:eastAsia="Arial" w:hAnsi="Arial" w:cs="Arial"/>
          <w:kern w:val="0"/>
          <w:sz w:val="20"/>
          <w:szCs w:val="20"/>
          <w14:ligatures w14:val="none"/>
        </w:rPr>
        <w:tab/>
        <w:t>supplier's credit memos for controlled substances and prescription drug products;</w:t>
      </w:r>
    </w:p>
    <w:p w14:paraId="46C4ED3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0BCD6C8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(c)</w:t>
      </w:r>
      <w:r w:rsidRPr="00C76F70">
        <w:rPr>
          <w:rFonts w:ascii="Arial" w:eastAsia="Arial" w:hAnsi="Arial" w:cs="Arial"/>
          <w:kern w:val="0"/>
          <w:sz w:val="20"/>
          <w:szCs w:val="20"/>
          <w14:ligatures w14:val="none"/>
        </w:rPr>
        <w:tab/>
        <w:t>a copy of inventories under federal law except that a perpetual or biennial inventory of controlled substances listed in Schedule II, scheduled under either state or federal law, may be kept in a data processing system if the data processing system is capable of producing a copy of the perpetual inventory on-site;</w:t>
      </w:r>
    </w:p>
    <w:p w14:paraId="62C9B2E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6EE0969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(d)</w:t>
      </w:r>
      <w:r w:rsidRPr="00C76F70">
        <w:rPr>
          <w:rFonts w:ascii="Arial" w:eastAsia="Arial" w:hAnsi="Arial" w:cs="Arial"/>
          <w:kern w:val="0"/>
          <w:sz w:val="20"/>
          <w:szCs w:val="20"/>
          <w14:ligatures w14:val="none"/>
        </w:rPr>
        <w:tab/>
        <w:t>reports of surrender or destruction of controlled substances and/or prescription drug products to an appropriate state or federal agency or reverse distributor;</w:t>
      </w:r>
    </w:p>
    <w:p w14:paraId="38FEF14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277C294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(e)</w:t>
      </w:r>
      <w:r w:rsidRPr="00C76F70">
        <w:rPr>
          <w:rFonts w:ascii="Arial" w:eastAsia="Arial" w:hAnsi="Arial" w:cs="Arial"/>
          <w:kern w:val="0"/>
          <w:sz w:val="20"/>
          <w:szCs w:val="20"/>
          <w14:ligatures w14:val="none"/>
        </w:rPr>
        <w:tab/>
        <w:t>records of distribution of controlled substances and/or prescription drug products to other pharmacies, practitioners, or registrants; and</w:t>
      </w:r>
    </w:p>
    <w:p w14:paraId="61498BB9"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p>
    <w:p w14:paraId="5D8211B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(f)</w:t>
      </w:r>
      <w:r w:rsidRPr="00C76F70">
        <w:rPr>
          <w:rFonts w:ascii="Arial" w:eastAsia="Arial" w:hAnsi="Arial" w:cs="Arial"/>
          <w:kern w:val="0"/>
          <w:sz w:val="20"/>
          <w:szCs w:val="20"/>
          <w14:ligatures w14:val="none"/>
        </w:rPr>
        <w:tab/>
        <w:t>a copy of any notification required by the Pharmacy Practice Act or these rules, including, but not limited to, the following:</w:t>
      </w:r>
    </w:p>
    <w:p w14:paraId="61EFA88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221ECB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1.</w:t>
      </w:r>
      <w:r w:rsidRPr="00C76F70">
        <w:rPr>
          <w:rFonts w:ascii="Arial" w:eastAsia="Arial" w:hAnsi="Arial" w:cs="Arial"/>
          <w:kern w:val="0"/>
          <w:sz w:val="20"/>
          <w:szCs w:val="20"/>
          <w14:ligatures w14:val="none"/>
        </w:rPr>
        <w:tab/>
        <w:t>reports of theft or significant loss of controlled substances to United States Drug Enforcement Administration (DEA) and the Board;</w:t>
      </w:r>
    </w:p>
    <w:p w14:paraId="2A83B50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19C4810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2.</w:t>
      </w:r>
      <w:r w:rsidRPr="00C76F70">
        <w:rPr>
          <w:rFonts w:ascii="Arial" w:eastAsia="Arial" w:hAnsi="Arial" w:cs="Arial"/>
          <w:kern w:val="0"/>
          <w:sz w:val="20"/>
          <w:szCs w:val="20"/>
          <w14:ligatures w14:val="none"/>
        </w:rPr>
        <w:tab/>
        <w:t>notification of a change in pharmacist-in-charge or medical director; and</w:t>
      </w:r>
    </w:p>
    <w:p w14:paraId="22966E7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p>
    <w:p w14:paraId="00198ACE"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216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3.</w:t>
      </w:r>
      <w:r w:rsidRPr="00C76F70">
        <w:rPr>
          <w:rFonts w:ascii="Arial" w:eastAsia="Arial" w:hAnsi="Arial" w:cs="Arial"/>
          <w:kern w:val="0"/>
          <w:sz w:val="20"/>
          <w:szCs w:val="20"/>
          <w14:ligatures w14:val="none"/>
        </w:rPr>
        <w:tab/>
        <w:t>reports of a fire or other event which may affect the strength, purity, or labeling of drugs, medications, devices, or other materials used in the diagnosis or treatment of injury, illness, and disease.</w:t>
      </w:r>
    </w:p>
    <w:p w14:paraId="6EEEA8B2"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360"/>
        <w:jc w:val="both"/>
        <w:rPr>
          <w:rFonts w:ascii="Arial" w:eastAsia="Cambria" w:hAnsi="Arial" w:cs="Arial"/>
          <w:kern w:val="0"/>
          <w:sz w:val="20"/>
          <w:szCs w:val="20"/>
          <w14:ligatures w14:val="none"/>
        </w:rPr>
      </w:pPr>
    </w:p>
    <w:p w14:paraId="54CAA6C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44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(g)</w:t>
      </w:r>
      <w:r w:rsidRPr="00C76F70">
        <w:rPr>
          <w:rFonts w:ascii="Arial" w:eastAsia="Arial" w:hAnsi="Arial" w:cs="Arial"/>
          <w:kern w:val="0"/>
          <w:sz w:val="20"/>
          <w:szCs w:val="20"/>
          <w14:ligatures w14:val="none"/>
        </w:rPr>
        <w:tab/>
        <w:t>Records shall be kept in accordance with federal Drug Supply Chain Security Act for tracking and tracing.</w:t>
      </w:r>
    </w:p>
    <w:p w14:paraId="7D6D2058"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5E7EBA11"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(5)</w:t>
      </w:r>
      <w:r w:rsidRPr="00C76F70">
        <w:rPr>
          <w:rFonts w:ascii="Arial" w:eastAsia="Arial" w:hAnsi="Arial" w:cs="Arial"/>
          <w:kern w:val="0"/>
          <w:sz w:val="20"/>
          <w:szCs w:val="20"/>
          <w14:ligatures w14:val="none"/>
        </w:rPr>
        <w:tab/>
        <w:t>Any ASTC pharmacy that uses a centralized record keeping system for invoices shall comply with state and federal law including 21 C.F.R. 1304.04.</w:t>
      </w:r>
      <w:r w:rsidRPr="00C76F70">
        <w:rPr>
          <w:rFonts w:ascii="Arial" w:eastAsia="Cambria" w:hAnsi="Arial" w:cs="Arial"/>
          <w:kern w:val="0"/>
          <w:sz w:val="20"/>
          <w:szCs w:val="20"/>
          <w14:ligatures w14:val="none"/>
        </w:rPr>
        <w:t xml:space="preserve"> </w:t>
      </w:r>
      <w:r w:rsidRPr="00C76F70">
        <w:rPr>
          <w:rFonts w:ascii="Arial" w:eastAsia="Arial" w:hAnsi="Arial" w:cs="Arial"/>
          <w:kern w:val="0"/>
          <w:sz w:val="20"/>
          <w:szCs w:val="20"/>
          <w14:ligatures w14:val="none"/>
        </w:rPr>
        <w:t>The ASTC pharmacy shall provide records immediately upon request by an authorized agent of the Board but not later than twenty-four (24) hours after the request is made.</w:t>
      </w:r>
    </w:p>
    <w:p w14:paraId="3EB4FFCF"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1080"/>
        <w:jc w:val="both"/>
        <w:rPr>
          <w:rFonts w:ascii="Arial" w:eastAsia="Cambria" w:hAnsi="Arial" w:cs="Arial"/>
          <w:kern w:val="0"/>
          <w:sz w:val="20"/>
          <w:szCs w:val="20"/>
          <w14:ligatures w14:val="none"/>
        </w:rPr>
      </w:pPr>
      <w:r w:rsidRPr="00C76F70">
        <w:rPr>
          <w:rFonts w:ascii="Arial" w:eastAsia="Arial" w:hAnsi="Arial" w:cs="Arial"/>
          <w:kern w:val="0"/>
          <w:sz w:val="20"/>
          <w:szCs w:val="20"/>
          <w14:ligatures w14:val="none"/>
        </w:rPr>
        <w:t> </w:t>
      </w:r>
    </w:p>
    <w:p w14:paraId="40C675AD"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Arial" w:hAnsi="Arial" w:cs="Arial"/>
          <w:kern w:val="0"/>
          <w:sz w:val="20"/>
          <w:szCs w:val="20"/>
          <w14:ligatures w14:val="none"/>
        </w:rPr>
      </w:pPr>
      <w:r w:rsidRPr="00C76F70">
        <w:rPr>
          <w:rFonts w:ascii="Arial" w:eastAsia="Arial" w:hAnsi="Arial" w:cs="Arial"/>
          <w:kern w:val="0"/>
          <w:sz w:val="20"/>
          <w:szCs w:val="20"/>
          <w14:ligatures w14:val="none"/>
        </w:rPr>
        <w:t>(6)</w:t>
      </w:r>
      <w:r w:rsidRPr="00C76F70">
        <w:rPr>
          <w:rFonts w:ascii="Arial" w:eastAsia="Arial" w:hAnsi="Arial" w:cs="Arial"/>
          <w:kern w:val="0"/>
          <w:sz w:val="20"/>
          <w:szCs w:val="20"/>
          <w14:ligatures w14:val="none"/>
        </w:rPr>
        <w:tab/>
        <w:t>Records under this section shall be made available to any pharmacist or medical director employed by or contracted to perform the practice of pharmacy at the ASTC pharmacy.</w:t>
      </w:r>
    </w:p>
    <w:p w14:paraId="189D40A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p>
    <w:p w14:paraId="63C5C8C4"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w:t>
      </w:r>
    </w:p>
    <w:p w14:paraId="35B3E457"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514BAEF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5F8490B3"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b/>
          <w:bCs/>
          <w:kern w:val="0"/>
          <w:sz w:val="20"/>
          <w:szCs w:val="20"/>
          <w14:ligatures w14:val="none"/>
        </w:rPr>
      </w:pPr>
      <w:r w:rsidRPr="00C76F70">
        <w:rPr>
          <w:rFonts w:ascii="Arial" w:eastAsia="Arial" w:hAnsi="Arial" w:cs="Arial"/>
          <w:b/>
          <w:bCs/>
          <w:kern w:val="0"/>
          <w:sz w:val="20"/>
          <w:szCs w:val="20"/>
          <w14:ligatures w14:val="none"/>
        </w:rPr>
        <w:t>1140-12-.05 ASTC PHARMACY COMPOUNDING.</w:t>
      </w:r>
      <w:r w:rsidRPr="00C76F70">
        <w:rPr>
          <w:rFonts w:ascii="Arial" w:eastAsia="Cambria" w:hAnsi="Arial" w:cs="Arial"/>
          <w:b/>
          <w:bCs/>
          <w:kern w:val="0"/>
          <w:sz w:val="20"/>
          <w:szCs w:val="20"/>
          <w14:ligatures w14:val="none"/>
        </w:rPr>
        <w:t xml:space="preserve"> </w:t>
      </w:r>
      <w:r w:rsidRPr="00C76F70">
        <w:rPr>
          <w:rFonts w:ascii="Arial" w:eastAsia="Arial" w:hAnsi="Arial" w:cs="Arial"/>
          <w:kern w:val="0"/>
          <w:sz w:val="20"/>
          <w:szCs w:val="20"/>
          <w14:ligatures w14:val="none"/>
        </w:rPr>
        <w:t>The preparation, labeling, and dispensing of all compounded drug products shall comply with the standards established by United States Pharmacopeia (USP) chapters 795, 797, 800, and 825, including all USP chapters and standards incorporated into chapters by reference and including all subsequent amendments and editions of the same, governing both the compounded drug products and the physical and environmental conditions under which compounded drug products are prepared, labeled, and dispensed.</w:t>
      </w:r>
    </w:p>
    <w:p w14:paraId="7BB001B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ind w:left="720" w:hanging="720"/>
        <w:jc w:val="both"/>
        <w:rPr>
          <w:rFonts w:ascii="Arial" w:eastAsia="Cambria" w:hAnsi="Arial" w:cs="Arial"/>
          <w:kern w:val="0"/>
          <w:sz w:val="20"/>
          <w:szCs w:val="20"/>
          <w14:ligatures w14:val="none"/>
        </w:rPr>
      </w:pPr>
    </w:p>
    <w:p w14:paraId="2A3F79EA"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 and 63-10-310.</w:t>
      </w:r>
    </w:p>
    <w:p w14:paraId="6034E02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6787D8FC"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p>
    <w:p w14:paraId="619C2AD0"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Cambria" w:hAnsi="Arial" w:cs="Arial"/>
          <w:kern w:val="0"/>
          <w:sz w:val="20"/>
          <w:szCs w:val="20"/>
          <w14:ligatures w14:val="none"/>
        </w:rPr>
      </w:pPr>
      <w:r w:rsidRPr="00C76F70">
        <w:rPr>
          <w:rFonts w:ascii="Arial" w:eastAsia="Arial" w:hAnsi="Arial" w:cs="Arial"/>
          <w:b/>
          <w:bCs/>
          <w:kern w:val="0"/>
          <w:sz w:val="20"/>
          <w:szCs w:val="20"/>
          <w14:ligatures w14:val="none"/>
        </w:rPr>
        <w:t>1140-12-.06 WAIVER</w:t>
      </w:r>
      <w:r w:rsidRPr="00C76F70">
        <w:rPr>
          <w:rFonts w:ascii="Arial" w:eastAsia="Arial" w:hAnsi="Arial" w:cs="Arial"/>
          <w:kern w:val="0"/>
          <w:sz w:val="20"/>
          <w:szCs w:val="20"/>
          <w14:ligatures w14:val="none"/>
        </w:rPr>
        <w:t>.</w:t>
      </w:r>
      <w:r w:rsidRPr="00C76F70">
        <w:rPr>
          <w:rFonts w:ascii="Arial" w:eastAsia="Cambria" w:hAnsi="Arial" w:cs="Arial"/>
          <w:kern w:val="0"/>
          <w:sz w:val="20"/>
          <w:szCs w:val="20"/>
          <w14:ligatures w14:val="none"/>
        </w:rPr>
        <w:t xml:space="preserve"> </w:t>
      </w:r>
      <w:r w:rsidRPr="00C76F70">
        <w:rPr>
          <w:rFonts w:ascii="Arial" w:eastAsia="Arial" w:hAnsi="Arial" w:cs="Arial"/>
          <w:kern w:val="0"/>
          <w:sz w:val="20"/>
          <w:szCs w:val="20"/>
          <w14:ligatures w14:val="none"/>
        </w:rPr>
        <w:t>Upon request, the Board may waive selected portions of these requirements so long as any waiver granted is consistent with the Board’s authority under T.C.A. Title 63, Chapters 1 and 10, and T.C.A. Title 4, Chapter 5.</w:t>
      </w:r>
    </w:p>
    <w:p w14:paraId="3F2363A6"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kern w:val="0"/>
          <w14:ligatures w14:val="none"/>
        </w:rPr>
      </w:pPr>
    </w:p>
    <w:p w14:paraId="4BB2BB55" w14:textId="77777777" w:rsidR="00C76F70" w:rsidRPr="00C76F70" w:rsidRDefault="00C76F70" w:rsidP="00C76F70">
      <w:pPr>
        <w:pBdr>
          <w:top w:val="none" w:sz="4" w:space="0" w:color="000000"/>
          <w:left w:val="none" w:sz="4" w:space="0" w:color="000000"/>
          <w:bottom w:val="none" w:sz="4" w:space="0" w:color="000000"/>
          <w:right w:val="none" w:sz="4" w:space="0" w:color="000000"/>
        </w:pBdr>
        <w:spacing w:after="0" w:line="240" w:lineRule="auto"/>
        <w:jc w:val="both"/>
        <w:rPr>
          <w:rFonts w:ascii="Arial" w:eastAsia="Arial" w:hAnsi="Arial" w:cs="Arial"/>
          <w:kern w:val="0"/>
          <w:sz w:val="20"/>
          <w:szCs w:val="20"/>
          <w14:ligatures w14:val="none"/>
        </w:rPr>
      </w:pPr>
      <w:r w:rsidRPr="00C76F70">
        <w:rPr>
          <w:rFonts w:ascii="Arial" w:eastAsia="Cambria" w:hAnsi="Arial" w:cs="Times New Roman"/>
          <w:kern w:val="0"/>
          <w:sz w:val="20"/>
          <w14:ligatures w14:val="none"/>
        </w:rPr>
        <w:t>Authority: T.C.A. §</w:t>
      </w:r>
      <w:r w:rsidRPr="00C76F70">
        <w:rPr>
          <w:rFonts w:ascii="Arial" w:eastAsia="Arial" w:hAnsi="Arial" w:cs="Arial"/>
          <w:kern w:val="0"/>
          <w:sz w:val="20"/>
          <w:szCs w:val="20"/>
          <w14:ligatures w14:val="none"/>
        </w:rPr>
        <w:t xml:space="preserve"> 63-10-308.</w:t>
      </w:r>
    </w:p>
    <w:p w14:paraId="41E1DE00" w14:textId="77777777" w:rsidR="00C76F70" w:rsidRPr="00C76F70" w:rsidRDefault="00C76F70" w:rsidP="00050150">
      <w:pPr>
        <w:spacing w:after="0"/>
        <w:rPr>
          <w:sz w:val="22"/>
          <w:szCs w:val="22"/>
        </w:rPr>
      </w:pPr>
    </w:p>
    <w:p w14:paraId="35E7F369" w14:textId="77777777" w:rsidR="001732C9" w:rsidRPr="00C76F70" w:rsidRDefault="001732C9" w:rsidP="00050150">
      <w:pPr>
        <w:spacing w:after="0"/>
        <w:rPr>
          <w:sz w:val="22"/>
          <w:szCs w:val="22"/>
        </w:rPr>
      </w:pPr>
    </w:p>
    <w:p w14:paraId="11AA7C0D" w14:textId="77777777" w:rsidR="001732C9" w:rsidRPr="00C76F70" w:rsidRDefault="001732C9" w:rsidP="00050150">
      <w:pPr>
        <w:spacing w:after="0"/>
        <w:rPr>
          <w:sz w:val="22"/>
          <w:szCs w:val="22"/>
        </w:rPr>
      </w:pPr>
    </w:p>
    <w:p w14:paraId="5AABF4A2" w14:textId="77777777" w:rsidR="001732C9" w:rsidRPr="00C76F70" w:rsidRDefault="001732C9" w:rsidP="00050150">
      <w:pPr>
        <w:spacing w:after="0"/>
        <w:rPr>
          <w:sz w:val="22"/>
          <w:szCs w:val="22"/>
        </w:rPr>
      </w:pPr>
    </w:p>
    <w:p w14:paraId="72C355DA" w14:textId="0ADB45F6" w:rsidR="00362A0B" w:rsidRPr="00173C9D" w:rsidRDefault="00173C9D" w:rsidP="00050150">
      <w:pPr>
        <w:spacing w:after="0"/>
        <w:rPr>
          <w:b/>
          <w:bCs/>
          <w:sz w:val="22"/>
          <w:szCs w:val="22"/>
        </w:rPr>
      </w:pPr>
      <w:r w:rsidRPr="00173C9D">
        <w:rPr>
          <w:b/>
          <w:bCs/>
          <w:sz w:val="22"/>
          <w:szCs w:val="22"/>
        </w:rPr>
        <w:t xml:space="preserve">Appearances and </w:t>
      </w:r>
      <w:r w:rsidR="00362A0B" w:rsidRPr="00173C9D">
        <w:rPr>
          <w:b/>
          <w:bCs/>
          <w:sz w:val="22"/>
          <w:szCs w:val="22"/>
        </w:rPr>
        <w:t>Waivers</w:t>
      </w:r>
    </w:p>
    <w:p w14:paraId="5E26A358" w14:textId="34AEF95E" w:rsidR="00362A0B" w:rsidRPr="00173C9D" w:rsidRDefault="00362A0B" w:rsidP="00050150">
      <w:pPr>
        <w:spacing w:after="0"/>
        <w:rPr>
          <w:b/>
          <w:bCs/>
          <w:sz w:val="22"/>
          <w:szCs w:val="22"/>
        </w:rPr>
      </w:pPr>
      <w:r w:rsidRPr="00173C9D">
        <w:rPr>
          <w:b/>
          <w:bCs/>
          <w:sz w:val="22"/>
          <w:szCs w:val="22"/>
        </w:rPr>
        <w:t xml:space="preserve">Board rule 1140-01-.05 (3) </w:t>
      </w:r>
    </w:p>
    <w:p w14:paraId="450B16D3" w14:textId="77777777" w:rsidR="00362A0B" w:rsidRDefault="00362A0B" w:rsidP="00050150">
      <w:pPr>
        <w:spacing w:after="0"/>
        <w:rPr>
          <w:sz w:val="22"/>
          <w:szCs w:val="22"/>
        </w:rPr>
      </w:pPr>
    </w:p>
    <w:p w14:paraId="630F512F" w14:textId="1E15DF5A" w:rsidR="00362A0B" w:rsidRDefault="00362A0B" w:rsidP="00050150">
      <w:pPr>
        <w:spacing w:after="0"/>
        <w:rPr>
          <w:sz w:val="22"/>
          <w:szCs w:val="22"/>
        </w:rPr>
      </w:pPr>
      <w:r>
        <w:rPr>
          <w:sz w:val="22"/>
          <w:szCs w:val="22"/>
        </w:rPr>
        <w:t>Dr. Phillips made the motion to deny Samya Ebrahim, Pharm.D. request to waive the FPGEC certificat</w:t>
      </w:r>
      <w:r w:rsidR="00B921FE">
        <w:rPr>
          <w:sz w:val="22"/>
          <w:szCs w:val="22"/>
        </w:rPr>
        <w:t>ion</w:t>
      </w:r>
      <w:r>
        <w:rPr>
          <w:sz w:val="22"/>
          <w:szCs w:val="22"/>
        </w:rPr>
        <w:t xml:space="preserve"> needed for licensure as a foreign graduate.  Dr. Leinart seconded the motion. The motion carried. </w:t>
      </w:r>
    </w:p>
    <w:p w14:paraId="1F48A3ED" w14:textId="77777777" w:rsidR="00362A0B" w:rsidRDefault="00362A0B" w:rsidP="00050150">
      <w:pPr>
        <w:spacing w:after="0"/>
        <w:rPr>
          <w:sz w:val="22"/>
          <w:szCs w:val="22"/>
        </w:rPr>
      </w:pPr>
    </w:p>
    <w:p w14:paraId="7451CAFD" w14:textId="0F28BB6C" w:rsidR="00362A0B" w:rsidRDefault="00362A0B" w:rsidP="00050150">
      <w:pPr>
        <w:spacing w:after="0"/>
        <w:rPr>
          <w:b/>
          <w:bCs/>
          <w:sz w:val="22"/>
          <w:szCs w:val="22"/>
        </w:rPr>
      </w:pPr>
      <w:r w:rsidRPr="00173C9D">
        <w:rPr>
          <w:b/>
          <w:bCs/>
          <w:sz w:val="22"/>
          <w:szCs w:val="22"/>
        </w:rPr>
        <w:t>Lisa Funk, RT</w:t>
      </w:r>
    </w:p>
    <w:p w14:paraId="39C2B77D" w14:textId="77777777" w:rsidR="00173C9D" w:rsidRPr="00173C9D" w:rsidRDefault="00173C9D" w:rsidP="00050150">
      <w:pPr>
        <w:spacing w:after="0"/>
        <w:rPr>
          <w:b/>
          <w:bCs/>
          <w:sz w:val="22"/>
          <w:szCs w:val="22"/>
        </w:rPr>
      </w:pPr>
    </w:p>
    <w:p w14:paraId="5786DBB2" w14:textId="46DED840" w:rsidR="00050150" w:rsidRDefault="00F43B1D" w:rsidP="00050150">
      <w:pPr>
        <w:spacing w:after="0"/>
        <w:rPr>
          <w:sz w:val="22"/>
          <w:szCs w:val="22"/>
        </w:rPr>
      </w:pPr>
      <w:r>
        <w:rPr>
          <w:sz w:val="22"/>
          <w:szCs w:val="22"/>
        </w:rPr>
        <w:t xml:space="preserve">Ms. Funk appeared bore the board to answer question pertaining to her pharmacy technician application Ms. Funk </w:t>
      </w:r>
      <w:r w:rsidR="00362A0B" w:rsidRPr="005E5A41">
        <w:rPr>
          <w:sz w:val="22"/>
          <w:szCs w:val="22"/>
        </w:rPr>
        <w:t xml:space="preserve">answered “yes” to the question that asked “Have you ever been convicted (including nolo contendere plea or guilty plea) of a felony or misdemeanor (other than a minor traffic offense) </w:t>
      </w:r>
      <w:r w:rsidR="00173C9D">
        <w:rPr>
          <w:sz w:val="22"/>
          <w:szCs w:val="22"/>
        </w:rPr>
        <w:t>w</w:t>
      </w:r>
      <w:r w:rsidR="00362A0B" w:rsidRPr="005E5A41">
        <w:rPr>
          <w:sz w:val="22"/>
          <w:szCs w:val="22"/>
        </w:rPr>
        <w:t>e</w:t>
      </w:r>
      <w:r w:rsidR="00464542">
        <w:rPr>
          <w:sz w:val="22"/>
          <w:szCs w:val="22"/>
        </w:rPr>
        <w:t>a</w:t>
      </w:r>
      <w:r w:rsidR="00362A0B" w:rsidRPr="005E5A41">
        <w:rPr>
          <w:sz w:val="22"/>
          <w:szCs w:val="22"/>
        </w:rPr>
        <w:t xml:space="preserve">ther or not sentenced was imposed or suspended.  Documentation submitted indicates the Ms. </w:t>
      </w:r>
      <w:r w:rsidR="00DC14B8">
        <w:rPr>
          <w:sz w:val="22"/>
          <w:szCs w:val="22"/>
        </w:rPr>
        <w:t>Funk</w:t>
      </w:r>
      <w:r w:rsidR="00362A0B" w:rsidRPr="005E5A41">
        <w:rPr>
          <w:sz w:val="22"/>
          <w:szCs w:val="22"/>
        </w:rPr>
        <w:t xml:space="preserve"> pled guilty </w:t>
      </w:r>
      <w:r w:rsidR="00DC14B8">
        <w:rPr>
          <w:sz w:val="22"/>
          <w:szCs w:val="22"/>
        </w:rPr>
        <w:t>8</w:t>
      </w:r>
      <w:r w:rsidR="00362A0B" w:rsidRPr="005E5A41">
        <w:rPr>
          <w:sz w:val="22"/>
          <w:szCs w:val="22"/>
        </w:rPr>
        <w:t>/</w:t>
      </w:r>
      <w:r w:rsidR="00DC14B8">
        <w:rPr>
          <w:sz w:val="22"/>
          <w:szCs w:val="22"/>
        </w:rPr>
        <w:t>19/</w:t>
      </w:r>
      <w:r w:rsidR="00362A0B" w:rsidRPr="005E5A41">
        <w:rPr>
          <w:sz w:val="22"/>
          <w:szCs w:val="22"/>
        </w:rPr>
        <w:t>20</w:t>
      </w:r>
      <w:r w:rsidR="00DC14B8">
        <w:rPr>
          <w:sz w:val="22"/>
          <w:szCs w:val="22"/>
        </w:rPr>
        <w:t>19</w:t>
      </w:r>
      <w:r w:rsidR="00362A0B" w:rsidRPr="005E5A41">
        <w:rPr>
          <w:sz w:val="22"/>
          <w:szCs w:val="22"/>
        </w:rPr>
        <w:t xml:space="preserve"> for DUI 1</w:t>
      </w:r>
      <w:r w:rsidR="00362A0B" w:rsidRPr="005E5A41">
        <w:rPr>
          <w:sz w:val="22"/>
          <w:szCs w:val="22"/>
          <w:vertAlign w:val="superscript"/>
        </w:rPr>
        <w:t>st</w:t>
      </w:r>
      <w:r w:rsidR="00362A0B" w:rsidRPr="005E5A41">
        <w:rPr>
          <w:sz w:val="22"/>
          <w:szCs w:val="22"/>
        </w:rPr>
        <w:t xml:space="preserve"> offense</w:t>
      </w:r>
      <w:r w:rsidR="00DC14B8">
        <w:rPr>
          <w:sz w:val="22"/>
          <w:szCs w:val="22"/>
        </w:rPr>
        <w:t xml:space="preserve"> and DUI 2</w:t>
      </w:r>
      <w:r w:rsidR="00DC14B8" w:rsidRPr="00DC14B8">
        <w:rPr>
          <w:sz w:val="22"/>
          <w:szCs w:val="22"/>
          <w:vertAlign w:val="superscript"/>
        </w:rPr>
        <w:t>nd</w:t>
      </w:r>
      <w:r w:rsidR="00DC14B8">
        <w:rPr>
          <w:sz w:val="22"/>
          <w:szCs w:val="22"/>
        </w:rPr>
        <w:t xml:space="preserve"> offense 9/16/2023. Ms. Funk was sentenced to 11 months and 29 days suspended with 45 days in jail, DUI school and 2</w:t>
      </w:r>
      <w:r>
        <w:rPr>
          <w:sz w:val="22"/>
          <w:szCs w:val="22"/>
        </w:rPr>
        <w:t>-</w:t>
      </w:r>
      <w:r w:rsidR="00DC14B8">
        <w:rPr>
          <w:sz w:val="22"/>
          <w:szCs w:val="22"/>
        </w:rPr>
        <w:t xml:space="preserve"> year loss of license plus fine and cost. </w:t>
      </w:r>
      <w:r w:rsidR="00362A0B">
        <w:rPr>
          <w:sz w:val="22"/>
          <w:szCs w:val="22"/>
        </w:rPr>
        <w:t xml:space="preserve">After discussion, </w:t>
      </w:r>
      <w:r w:rsidR="00DC14B8">
        <w:rPr>
          <w:sz w:val="22"/>
          <w:szCs w:val="22"/>
        </w:rPr>
        <w:t>Ms. Foster</w:t>
      </w:r>
      <w:r w:rsidR="00362A0B">
        <w:rPr>
          <w:sz w:val="22"/>
          <w:szCs w:val="22"/>
        </w:rPr>
        <w:t xml:space="preserve"> made the motion to approve Ms. </w:t>
      </w:r>
      <w:r w:rsidR="00DC14B8">
        <w:rPr>
          <w:sz w:val="22"/>
          <w:szCs w:val="22"/>
        </w:rPr>
        <w:t>Funk</w:t>
      </w:r>
      <w:r w:rsidR="00362A0B">
        <w:rPr>
          <w:sz w:val="22"/>
          <w:szCs w:val="22"/>
        </w:rPr>
        <w:t>’s application for registration as a pharmacy technician. Dr. B</w:t>
      </w:r>
      <w:r w:rsidR="00DC14B8">
        <w:rPr>
          <w:sz w:val="22"/>
          <w:szCs w:val="22"/>
        </w:rPr>
        <w:t>oruff</w:t>
      </w:r>
      <w:r w:rsidR="00362A0B">
        <w:rPr>
          <w:sz w:val="22"/>
          <w:szCs w:val="22"/>
        </w:rPr>
        <w:t xml:space="preserve"> seconded the motion. The motion carried</w:t>
      </w:r>
      <w:r w:rsidR="00DC14B8">
        <w:rPr>
          <w:sz w:val="22"/>
          <w:szCs w:val="22"/>
        </w:rPr>
        <w:t xml:space="preserve">. Dr. Phillips voted no. </w:t>
      </w:r>
    </w:p>
    <w:p w14:paraId="51AB8061" w14:textId="77777777" w:rsidR="00DC14B8" w:rsidRDefault="00DC14B8" w:rsidP="00050150">
      <w:pPr>
        <w:spacing w:after="0"/>
        <w:rPr>
          <w:sz w:val="22"/>
          <w:szCs w:val="22"/>
        </w:rPr>
      </w:pPr>
    </w:p>
    <w:p w14:paraId="425DB081" w14:textId="4A9E8317" w:rsidR="00DC14B8" w:rsidRPr="00173C9D" w:rsidRDefault="00DC14B8" w:rsidP="00050150">
      <w:pPr>
        <w:spacing w:after="0"/>
        <w:rPr>
          <w:b/>
          <w:bCs/>
          <w:sz w:val="22"/>
          <w:szCs w:val="22"/>
        </w:rPr>
      </w:pPr>
      <w:r w:rsidRPr="00173C9D">
        <w:rPr>
          <w:b/>
          <w:bCs/>
          <w:sz w:val="22"/>
          <w:szCs w:val="22"/>
        </w:rPr>
        <w:t>Tenn. Code Ann. §63-32-105 (g)</w:t>
      </w:r>
    </w:p>
    <w:p w14:paraId="60EBC38C" w14:textId="6D430D00" w:rsidR="00173C9D" w:rsidRDefault="00173C9D" w:rsidP="00050150">
      <w:pPr>
        <w:spacing w:after="0"/>
        <w:rPr>
          <w:b/>
          <w:bCs/>
          <w:sz w:val="22"/>
          <w:szCs w:val="22"/>
        </w:rPr>
      </w:pPr>
      <w:r w:rsidRPr="00173C9D">
        <w:rPr>
          <w:b/>
          <w:bCs/>
          <w:sz w:val="22"/>
          <w:szCs w:val="22"/>
        </w:rPr>
        <w:t xml:space="preserve">Kevin Hartman, D.Ph. </w:t>
      </w:r>
    </w:p>
    <w:p w14:paraId="3681FAAE" w14:textId="3F76DDAD" w:rsidR="00DC14B8" w:rsidRDefault="00DC14B8" w:rsidP="00050150">
      <w:pPr>
        <w:spacing w:after="0"/>
        <w:rPr>
          <w:sz w:val="22"/>
          <w:szCs w:val="22"/>
        </w:rPr>
      </w:pPr>
      <w:r>
        <w:rPr>
          <w:sz w:val="22"/>
          <w:szCs w:val="22"/>
        </w:rPr>
        <w:t>Mr. Matthew Gibbs, Attorney, represent</w:t>
      </w:r>
      <w:r w:rsidR="00173C9D">
        <w:rPr>
          <w:sz w:val="22"/>
          <w:szCs w:val="22"/>
        </w:rPr>
        <w:t xml:space="preserve">ing Dr. Hartman, is requesting the removal of disciplinary documents on the license verification site under Dr. Hartman’s licensure information. After discussion, Dr. Leinart made the motion to grant the removal of disciplinary documents from the license verification page under Dr. Hartman’s licensure information.  Dr. Mills seconded the motion. The motion carried. Ms. Foster abstained. </w:t>
      </w:r>
    </w:p>
    <w:p w14:paraId="115D4A23" w14:textId="77777777" w:rsidR="00173C9D" w:rsidRDefault="00173C9D" w:rsidP="00050150">
      <w:pPr>
        <w:spacing w:after="0"/>
        <w:rPr>
          <w:sz w:val="22"/>
          <w:szCs w:val="22"/>
        </w:rPr>
      </w:pPr>
    </w:p>
    <w:p w14:paraId="5212D139" w14:textId="50074C46" w:rsidR="00173C9D" w:rsidRPr="00044C61" w:rsidRDefault="00173C9D" w:rsidP="00050150">
      <w:pPr>
        <w:spacing w:after="0"/>
        <w:rPr>
          <w:b/>
          <w:bCs/>
          <w:sz w:val="22"/>
          <w:szCs w:val="22"/>
        </w:rPr>
      </w:pPr>
      <w:r w:rsidRPr="00044C61">
        <w:rPr>
          <w:b/>
          <w:bCs/>
          <w:sz w:val="22"/>
          <w:szCs w:val="22"/>
        </w:rPr>
        <w:t>Board rule 1140-03-.14</w:t>
      </w:r>
    </w:p>
    <w:p w14:paraId="581B7B2D" w14:textId="4CF00418" w:rsidR="00173C9D" w:rsidRDefault="00173C9D" w:rsidP="00050150">
      <w:pPr>
        <w:spacing w:after="0"/>
        <w:rPr>
          <w:sz w:val="22"/>
          <w:szCs w:val="22"/>
        </w:rPr>
      </w:pPr>
      <w:r>
        <w:rPr>
          <w:sz w:val="22"/>
          <w:szCs w:val="22"/>
        </w:rPr>
        <w:t xml:space="preserve">Dr. Phillips made the motion to grant </w:t>
      </w:r>
      <w:r w:rsidRPr="0039241B">
        <w:rPr>
          <w:b/>
          <w:bCs/>
          <w:sz w:val="22"/>
          <w:szCs w:val="22"/>
        </w:rPr>
        <w:t>Kelly Bobo, PharmD</w:t>
      </w:r>
      <w:r>
        <w:rPr>
          <w:sz w:val="22"/>
          <w:szCs w:val="22"/>
        </w:rPr>
        <w:t>., request to be the pharmacist in charge at Le Bonheur Children’s Hospital, Memphis, TN and Le Bonheur Children’s Hospital, Jackson, TN. Ms. Foster seconded the motion. The motion carried. After discussion, Dr. Phillips amended the motion to require Dr. Bobo to attend the Le Bonheur Children’s Hospital, Jackson, TN at least once a month. Ms. Foster seconded the motion. The amended motion carried.</w:t>
      </w:r>
    </w:p>
    <w:p w14:paraId="20A5F323" w14:textId="77777777" w:rsidR="00044C61" w:rsidRDefault="00044C61" w:rsidP="00050150">
      <w:pPr>
        <w:spacing w:after="0"/>
        <w:rPr>
          <w:sz w:val="22"/>
          <w:szCs w:val="22"/>
        </w:rPr>
      </w:pPr>
    </w:p>
    <w:p w14:paraId="11B2F662" w14:textId="0E4E8730" w:rsidR="00044C61" w:rsidRDefault="00044C61" w:rsidP="00050150">
      <w:pPr>
        <w:spacing w:after="0"/>
        <w:rPr>
          <w:sz w:val="22"/>
          <w:szCs w:val="22"/>
        </w:rPr>
      </w:pPr>
      <w:r>
        <w:rPr>
          <w:sz w:val="22"/>
          <w:szCs w:val="22"/>
        </w:rPr>
        <w:t xml:space="preserve">Dr. Leinhart made the motion to grant </w:t>
      </w:r>
      <w:r w:rsidRPr="0039241B">
        <w:rPr>
          <w:b/>
          <w:bCs/>
          <w:sz w:val="22"/>
          <w:szCs w:val="22"/>
        </w:rPr>
        <w:t xml:space="preserve">Jeff Lewis, </w:t>
      </w:r>
      <w:r w:rsidR="0039241B" w:rsidRPr="0039241B">
        <w:rPr>
          <w:b/>
          <w:bCs/>
          <w:sz w:val="22"/>
          <w:szCs w:val="22"/>
        </w:rPr>
        <w:t>PharmD</w:t>
      </w:r>
      <w:r w:rsidR="0039241B">
        <w:rPr>
          <w:sz w:val="22"/>
          <w:szCs w:val="22"/>
        </w:rPr>
        <w:t xml:space="preserve">. </w:t>
      </w:r>
      <w:r>
        <w:rPr>
          <w:sz w:val="22"/>
          <w:szCs w:val="22"/>
        </w:rPr>
        <w:t>request to be the pharmacist in charge at UT Medical Center, Jamestown</w:t>
      </w:r>
      <w:r w:rsidR="009C233A">
        <w:rPr>
          <w:sz w:val="22"/>
          <w:szCs w:val="22"/>
        </w:rPr>
        <w:t>, TN</w:t>
      </w:r>
      <w:r>
        <w:rPr>
          <w:sz w:val="22"/>
          <w:szCs w:val="22"/>
        </w:rPr>
        <w:t xml:space="preserve"> until September 2026. Dr. Lewis was granted the request</w:t>
      </w:r>
      <w:r w:rsidR="0092592F">
        <w:rPr>
          <w:sz w:val="22"/>
          <w:szCs w:val="22"/>
        </w:rPr>
        <w:t xml:space="preserve"> for six months. Dr. Lewis has hired a pharmacist for the position in Jamestown, but they are unable to start until September 2026. Dr. Mills seconded the motion. The motion carried. </w:t>
      </w:r>
    </w:p>
    <w:p w14:paraId="0CB6FFF0" w14:textId="77777777" w:rsidR="0092592F" w:rsidRDefault="0092592F" w:rsidP="00050150">
      <w:pPr>
        <w:spacing w:after="0"/>
        <w:rPr>
          <w:sz w:val="22"/>
          <w:szCs w:val="22"/>
        </w:rPr>
      </w:pPr>
    </w:p>
    <w:p w14:paraId="7DF020BE" w14:textId="51BD1D39" w:rsidR="0039241B" w:rsidRPr="0039241B" w:rsidRDefault="0039241B" w:rsidP="00050150">
      <w:pPr>
        <w:spacing w:after="0"/>
        <w:rPr>
          <w:b/>
          <w:bCs/>
          <w:sz w:val="22"/>
          <w:szCs w:val="22"/>
        </w:rPr>
      </w:pPr>
      <w:r w:rsidRPr="0039241B">
        <w:rPr>
          <w:b/>
          <w:bCs/>
          <w:sz w:val="22"/>
          <w:szCs w:val="22"/>
        </w:rPr>
        <w:t>Controlled Substance Rulemaking</w:t>
      </w:r>
    </w:p>
    <w:p w14:paraId="0E99468F" w14:textId="6D4BE4E0" w:rsidR="0092592F" w:rsidRDefault="0092592F" w:rsidP="00050150">
      <w:pPr>
        <w:spacing w:after="0"/>
        <w:rPr>
          <w:sz w:val="22"/>
          <w:szCs w:val="22"/>
        </w:rPr>
      </w:pPr>
      <w:r>
        <w:rPr>
          <w:sz w:val="22"/>
          <w:szCs w:val="22"/>
        </w:rPr>
        <w:t>Dr. Wesl</w:t>
      </w:r>
      <w:r w:rsidR="006E663C">
        <w:rPr>
          <w:sz w:val="22"/>
          <w:szCs w:val="22"/>
        </w:rPr>
        <w:t>e</w:t>
      </w:r>
      <w:r>
        <w:rPr>
          <w:sz w:val="22"/>
          <w:szCs w:val="22"/>
        </w:rPr>
        <w:t xml:space="preserve">y Geminn, Chief Pharmacist for the Dept of Mental Health and Substance Abuse, presented the controlled substance rule update. </w:t>
      </w:r>
    </w:p>
    <w:p w14:paraId="4BB0CC5F" w14:textId="77777777" w:rsidR="00B16AB2" w:rsidRDefault="00B16AB2" w:rsidP="00050150">
      <w:pPr>
        <w:spacing w:after="0"/>
        <w:rPr>
          <w:sz w:val="22"/>
          <w:szCs w:val="22"/>
        </w:rPr>
      </w:pPr>
    </w:p>
    <w:p w14:paraId="21DAF5C8" w14:textId="77777777" w:rsidR="00B16AB2" w:rsidRDefault="00B16AB2" w:rsidP="00050150">
      <w:pPr>
        <w:spacing w:after="0"/>
        <w:rPr>
          <w:sz w:val="22"/>
          <w:szCs w:val="22"/>
        </w:rPr>
      </w:pPr>
    </w:p>
    <w:p w14:paraId="5AB9CB69" w14:textId="360A6E43" w:rsidR="00B16AB2" w:rsidRPr="00B16AB2" w:rsidRDefault="00B16AB2" w:rsidP="00B16AB2">
      <w:pPr>
        <w:spacing w:after="0"/>
        <w:jc w:val="center"/>
        <w:rPr>
          <w:b/>
          <w:bCs/>
          <w:sz w:val="22"/>
          <w:szCs w:val="22"/>
        </w:rPr>
      </w:pPr>
      <w:r w:rsidRPr="00B16AB2">
        <w:rPr>
          <w:b/>
          <w:bCs/>
          <w:sz w:val="22"/>
          <w:szCs w:val="22"/>
        </w:rPr>
        <w:t>April 2, 2026</w:t>
      </w:r>
    </w:p>
    <w:p w14:paraId="5E9BF7E7" w14:textId="77777777" w:rsidR="00B16AB2" w:rsidRDefault="00B16AB2" w:rsidP="00B16AB2">
      <w:pPr>
        <w:spacing w:after="0"/>
        <w:jc w:val="center"/>
        <w:rPr>
          <w:sz w:val="22"/>
          <w:szCs w:val="22"/>
        </w:rPr>
      </w:pPr>
    </w:p>
    <w:p w14:paraId="45270265" w14:textId="47BD29B0" w:rsidR="00B16AB2" w:rsidRDefault="00B16AB2" w:rsidP="00B16AB2">
      <w:pPr>
        <w:spacing w:after="0"/>
        <w:rPr>
          <w:rFonts w:cs="Times New Roman"/>
          <w:sz w:val="22"/>
          <w:szCs w:val="22"/>
        </w:rPr>
      </w:pPr>
      <w:r w:rsidRPr="006171D8">
        <w:rPr>
          <w:rFonts w:cs="Times New Roman"/>
          <w:sz w:val="22"/>
          <w:szCs w:val="22"/>
        </w:rPr>
        <w:t xml:space="preserve">The Tennessee Board of Pharmacy reconvened on </w:t>
      </w:r>
      <w:r>
        <w:rPr>
          <w:rFonts w:cs="Times New Roman"/>
          <w:sz w:val="22"/>
          <w:szCs w:val="22"/>
        </w:rPr>
        <w:t>Thursday April 2, 2026</w:t>
      </w:r>
      <w:r w:rsidRPr="006171D8">
        <w:rPr>
          <w:rFonts w:cs="Times New Roman"/>
          <w:sz w:val="22"/>
          <w:szCs w:val="22"/>
        </w:rPr>
        <w:t>, in the Iris Room, 665 Mainstream Drive, Nashville, TN. A quorum of the members was present, the meeting was called to order at 9:</w:t>
      </w:r>
      <w:r>
        <w:rPr>
          <w:rFonts w:cs="Times New Roman"/>
          <w:sz w:val="22"/>
          <w:szCs w:val="22"/>
        </w:rPr>
        <w:t>07</w:t>
      </w:r>
      <w:r w:rsidRPr="006171D8">
        <w:rPr>
          <w:rFonts w:cs="Times New Roman"/>
          <w:sz w:val="22"/>
          <w:szCs w:val="22"/>
        </w:rPr>
        <w:t xml:space="preserve"> a.m., by Dr. </w:t>
      </w:r>
      <w:r>
        <w:rPr>
          <w:rFonts w:cs="Times New Roman"/>
          <w:sz w:val="22"/>
          <w:szCs w:val="22"/>
        </w:rPr>
        <w:t xml:space="preserve">Blane. Dr. Brown was absent. </w:t>
      </w:r>
    </w:p>
    <w:p w14:paraId="5A04287C" w14:textId="77777777" w:rsidR="00B16AB2" w:rsidRDefault="00B16AB2" w:rsidP="00B16AB2">
      <w:pPr>
        <w:spacing w:after="0"/>
        <w:rPr>
          <w:rFonts w:cs="Times New Roman"/>
          <w:sz w:val="22"/>
          <w:szCs w:val="22"/>
        </w:rPr>
      </w:pPr>
    </w:p>
    <w:p w14:paraId="38AD5DA2" w14:textId="48265424" w:rsidR="00B16AB2" w:rsidRPr="00460C4F" w:rsidRDefault="00B16AB2" w:rsidP="00B16AB2">
      <w:pPr>
        <w:spacing w:after="0"/>
        <w:rPr>
          <w:rFonts w:cs="Times New Roman"/>
          <w:b/>
          <w:bCs/>
          <w:sz w:val="22"/>
          <w:szCs w:val="22"/>
        </w:rPr>
      </w:pPr>
      <w:r w:rsidRPr="00460C4F">
        <w:rPr>
          <w:rFonts w:cs="Times New Roman"/>
          <w:b/>
          <w:bCs/>
          <w:sz w:val="22"/>
          <w:szCs w:val="22"/>
        </w:rPr>
        <w:t>Contested Case</w:t>
      </w:r>
    </w:p>
    <w:p w14:paraId="496281AD" w14:textId="47E8A336" w:rsidR="00B16AB2" w:rsidRPr="00460C4F" w:rsidRDefault="00B16AB2" w:rsidP="00B16AB2">
      <w:pPr>
        <w:spacing w:after="0"/>
        <w:rPr>
          <w:rFonts w:cs="Times New Roman"/>
          <w:b/>
          <w:bCs/>
          <w:sz w:val="22"/>
          <w:szCs w:val="22"/>
        </w:rPr>
      </w:pPr>
      <w:r w:rsidRPr="00460C4F">
        <w:rPr>
          <w:rFonts w:cs="Times New Roman"/>
          <w:b/>
          <w:bCs/>
          <w:sz w:val="22"/>
          <w:szCs w:val="22"/>
        </w:rPr>
        <w:t>The Pharmacy Hub</w:t>
      </w:r>
    </w:p>
    <w:p w14:paraId="6C381EEB" w14:textId="59ED3947" w:rsidR="00B16AB2" w:rsidRDefault="00B16AB2" w:rsidP="00B16AB2">
      <w:pPr>
        <w:spacing w:after="0"/>
        <w:rPr>
          <w:rFonts w:cs="Times New Roman"/>
          <w:sz w:val="22"/>
          <w:szCs w:val="22"/>
        </w:rPr>
      </w:pPr>
      <w:r>
        <w:rPr>
          <w:rFonts w:cs="Times New Roman"/>
          <w:sz w:val="22"/>
          <w:szCs w:val="22"/>
        </w:rPr>
        <w:t>The Pharmacy Hub was represented by Mark Bina, Attorney</w:t>
      </w:r>
      <w:r w:rsidR="00460C4F">
        <w:rPr>
          <w:rFonts w:cs="Times New Roman"/>
          <w:sz w:val="22"/>
          <w:szCs w:val="22"/>
        </w:rPr>
        <w:t xml:space="preserve">. Ellen Grose, Attorney represented the Sate. Elizabeth Cameron was the Administrative Law Judge. The Pharmacy Hub is charged with violating T.C.A.§ 63-10-309 (7). After discussion, Ms. Foster made the motion to assess The Pharmacy Hub with a $500.00 civil penalty and case cost. Dr. Philips seconded the motion. A roll call vote was taken. The motion carried. Dr. Boruff voted no. Dr. Phillips made the motion that the action taken was to protect, promote and improve the health and prosperity of people in Tennessee. Ms. Foster seconded the motion. A roll call vote was taken. The motion passed. Dr. Boruff voted no. </w:t>
      </w:r>
    </w:p>
    <w:p w14:paraId="15E9C2F6" w14:textId="77777777" w:rsidR="00B07C00" w:rsidRDefault="00B07C00" w:rsidP="00B16AB2">
      <w:pPr>
        <w:spacing w:after="0"/>
        <w:rPr>
          <w:rFonts w:cs="Times New Roman"/>
          <w:sz w:val="22"/>
          <w:szCs w:val="22"/>
        </w:rPr>
      </w:pPr>
    </w:p>
    <w:p w14:paraId="61866637" w14:textId="73E4813E" w:rsidR="00B07C00" w:rsidRPr="00282E48" w:rsidRDefault="00B07C00" w:rsidP="00B16AB2">
      <w:pPr>
        <w:spacing w:after="0"/>
        <w:rPr>
          <w:rFonts w:cs="Times New Roman"/>
          <w:b/>
          <w:bCs/>
          <w:sz w:val="22"/>
          <w:szCs w:val="22"/>
        </w:rPr>
      </w:pPr>
      <w:r w:rsidRPr="00282E48">
        <w:rPr>
          <w:rFonts w:cs="Times New Roman"/>
          <w:b/>
          <w:bCs/>
          <w:sz w:val="22"/>
          <w:szCs w:val="22"/>
        </w:rPr>
        <w:t>Reinstatement</w:t>
      </w:r>
    </w:p>
    <w:p w14:paraId="30FB06DE" w14:textId="2DA742BE" w:rsidR="00B07C00" w:rsidRPr="00442F3E" w:rsidRDefault="00B07C00" w:rsidP="00B16AB2">
      <w:pPr>
        <w:spacing w:after="0"/>
        <w:rPr>
          <w:rFonts w:cs="Times New Roman"/>
          <w:b/>
          <w:bCs/>
          <w:sz w:val="22"/>
          <w:szCs w:val="22"/>
        </w:rPr>
      </w:pPr>
      <w:r w:rsidRPr="00282E48">
        <w:rPr>
          <w:rFonts w:cs="Times New Roman"/>
          <w:b/>
          <w:bCs/>
          <w:sz w:val="22"/>
          <w:szCs w:val="22"/>
        </w:rPr>
        <w:t>Amanda Clark, D.Ph.</w:t>
      </w:r>
    </w:p>
    <w:p w14:paraId="2B86A1AF" w14:textId="020A3910" w:rsidR="00B07C00" w:rsidRDefault="00B07C00" w:rsidP="00B16AB2">
      <w:pPr>
        <w:spacing w:after="0"/>
        <w:rPr>
          <w:rFonts w:cs="Times New Roman"/>
          <w:sz w:val="22"/>
          <w:szCs w:val="22"/>
        </w:rPr>
      </w:pPr>
      <w:r>
        <w:rPr>
          <w:rFonts w:cs="Times New Roman"/>
          <w:sz w:val="22"/>
          <w:szCs w:val="22"/>
        </w:rPr>
        <w:t xml:space="preserve">Dr. Clark requested to have her license reinstated. Dr. Clark voluntarily surrendered (same as revocation) her license on 4/10/2025. </w:t>
      </w:r>
      <w:r w:rsidRPr="00282E48">
        <w:rPr>
          <w:rFonts w:cs="Times New Roman"/>
          <w:sz w:val="22"/>
          <w:szCs w:val="22"/>
        </w:rPr>
        <w:t xml:space="preserve">After discussion, </w:t>
      </w:r>
      <w:r w:rsidR="00282E48" w:rsidRPr="00282E48">
        <w:rPr>
          <w:rFonts w:cs="Times New Roman"/>
          <w:sz w:val="22"/>
          <w:szCs w:val="22"/>
        </w:rPr>
        <w:t xml:space="preserve">Ms. Foster </w:t>
      </w:r>
      <w:r w:rsidRPr="00282E48">
        <w:rPr>
          <w:rFonts w:cs="Times New Roman"/>
          <w:sz w:val="22"/>
          <w:szCs w:val="22"/>
        </w:rPr>
        <w:t>made</w:t>
      </w:r>
      <w:r>
        <w:rPr>
          <w:rFonts w:cs="Times New Roman"/>
          <w:sz w:val="22"/>
          <w:szCs w:val="22"/>
        </w:rPr>
        <w:t xml:space="preserve"> the motion to reinstate Dr. Clark’s license with a 7-year probation. Dr. Boruff seconded the motion. The motion carried. Dr. Clark ‘s license will remain in a voluntarily surrendered (revoked) status until she complete the following:</w:t>
      </w:r>
    </w:p>
    <w:p w14:paraId="60D5FFE7" w14:textId="77777777" w:rsidR="00442F3E" w:rsidRDefault="00442F3E" w:rsidP="00B16AB2">
      <w:pPr>
        <w:spacing w:after="0"/>
        <w:rPr>
          <w:rFonts w:cs="Times New Roman"/>
          <w:sz w:val="22"/>
          <w:szCs w:val="22"/>
        </w:rPr>
      </w:pPr>
    </w:p>
    <w:p w14:paraId="2E4B2313" w14:textId="77777777" w:rsidR="00442F3E" w:rsidRPr="00442F3E" w:rsidRDefault="00442F3E" w:rsidP="007212F1">
      <w:pPr>
        <w:spacing w:after="0" w:line="240" w:lineRule="auto"/>
        <w:ind w:left="2160"/>
        <w:rPr>
          <w:sz w:val="22"/>
          <w:szCs w:val="22"/>
        </w:rPr>
      </w:pPr>
      <w:r w:rsidRPr="00442F3E">
        <w:rPr>
          <w:sz w:val="22"/>
          <w:szCs w:val="22"/>
        </w:rPr>
        <w:t xml:space="preserve">(a) </w:t>
      </w:r>
      <w:r w:rsidRPr="00442F3E">
        <w:rPr>
          <w:sz w:val="22"/>
          <w:szCs w:val="22"/>
        </w:rPr>
        <w:tab/>
        <w:t xml:space="preserve">Satisfies all past due continuing pharmaceutical education as </w:t>
      </w:r>
      <w:r w:rsidRPr="00442F3E">
        <w:rPr>
          <w:sz w:val="22"/>
          <w:szCs w:val="22"/>
        </w:rPr>
        <w:tab/>
        <w:t xml:space="preserve">required by the Board; </w:t>
      </w:r>
    </w:p>
    <w:p w14:paraId="138D506B" w14:textId="77777777" w:rsidR="00442F3E" w:rsidRPr="00442F3E" w:rsidRDefault="00442F3E" w:rsidP="007212F1">
      <w:pPr>
        <w:spacing w:after="0" w:line="240" w:lineRule="auto"/>
        <w:ind w:left="2160" w:hanging="720"/>
        <w:rPr>
          <w:sz w:val="22"/>
          <w:szCs w:val="22"/>
        </w:rPr>
      </w:pPr>
      <w:r w:rsidRPr="00442F3E">
        <w:rPr>
          <w:sz w:val="22"/>
          <w:szCs w:val="22"/>
        </w:rPr>
        <w:tab/>
        <w:t>(b)</w:t>
      </w:r>
      <w:r w:rsidRPr="00442F3E">
        <w:rPr>
          <w:sz w:val="22"/>
          <w:szCs w:val="22"/>
        </w:rPr>
        <w:tab/>
        <w:t xml:space="preserve">Successfully complete the Multi-State Pharmacy Jurisprudence </w:t>
      </w:r>
      <w:r w:rsidRPr="00442F3E">
        <w:rPr>
          <w:sz w:val="22"/>
          <w:szCs w:val="22"/>
        </w:rPr>
        <w:tab/>
        <w:t xml:space="preserve">examination (known as the MPJE exam); </w:t>
      </w:r>
    </w:p>
    <w:p w14:paraId="2F52DB69" w14:textId="77777777" w:rsidR="00442F3E" w:rsidRPr="00442F3E" w:rsidRDefault="00442F3E" w:rsidP="007212F1">
      <w:pPr>
        <w:spacing w:after="0" w:line="240" w:lineRule="auto"/>
        <w:ind w:left="2880" w:hanging="720"/>
        <w:rPr>
          <w:sz w:val="22"/>
          <w:szCs w:val="22"/>
        </w:rPr>
      </w:pPr>
      <w:r w:rsidRPr="00442F3E">
        <w:rPr>
          <w:sz w:val="22"/>
          <w:szCs w:val="22"/>
        </w:rPr>
        <w:t xml:space="preserve">(c) </w:t>
      </w:r>
      <w:r w:rsidRPr="00442F3E">
        <w:rPr>
          <w:sz w:val="22"/>
          <w:szCs w:val="22"/>
        </w:rPr>
        <w:tab/>
        <w:t xml:space="preserve">Pays all cumulative license renewal fees and any applicable penalty fees </w:t>
      </w:r>
      <w:r w:rsidRPr="00442F3E">
        <w:rPr>
          <w:sz w:val="22"/>
          <w:szCs w:val="22"/>
        </w:rPr>
        <w:tab/>
        <w:t xml:space="preserve">for the period during which the license was revoked; and </w:t>
      </w:r>
    </w:p>
    <w:p w14:paraId="18B80A03" w14:textId="77777777" w:rsidR="00442F3E" w:rsidRPr="00442F3E" w:rsidRDefault="00442F3E" w:rsidP="007212F1">
      <w:pPr>
        <w:spacing w:after="0" w:line="240" w:lineRule="auto"/>
        <w:ind w:left="2880" w:hanging="720"/>
        <w:rPr>
          <w:sz w:val="22"/>
          <w:szCs w:val="22"/>
        </w:rPr>
      </w:pPr>
      <w:r w:rsidRPr="00442F3E">
        <w:rPr>
          <w:sz w:val="22"/>
          <w:szCs w:val="22"/>
        </w:rPr>
        <w:t>(d)</w:t>
      </w:r>
      <w:r w:rsidRPr="00442F3E">
        <w:rPr>
          <w:sz w:val="22"/>
          <w:szCs w:val="22"/>
        </w:rPr>
        <w:tab/>
        <w:t xml:space="preserve">Completes a period of period of internship of 160 hours within 180 days of the date of ratification of this Consent Order for reinstatement.  </w:t>
      </w:r>
    </w:p>
    <w:p w14:paraId="6764D7C6" w14:textId="77777777" w:rsidR="00442F3E" w:rsidRPr="00442F3E" w:rsidRDefault="00442F3E" w:rsidP="007212F1">
      <w:pPr>
        <w:spacing w:after="0" w:line="240" w:lineRule="auto"/>
        <w:ind w:left="2880" w:hanging="720"/>
        <w:rPr>
          <w:sz w:val="22"/>
          <w:szCs w:val="22"/>
        </w:rPr>
      </w:pPr>
    </w:p>
    <w:p w14:paraId="22B6BA19" w14:textId="775BDF49" w:rsidR="00442F3E" w:rsidRPr="00442F3E" w:rsidRDefault="00442F3E" w:rsidP="007212F1">
      <w:pPr>
        <w:spacing w:after="0" w:line="480" w:lineRule="auto"/>
        <w:ind w:left="720" w:hanging="720"/>
        <w:rPr>
          <w:sz w:val="22"/>
          <w:szCs w:val="22"/>
        </w:rPr>
      </w:pPr>
      <w:r w:rsidRPr="00442F3E">
        <w:rPr>
          <w:sz w:val="22"/>
          <w:szCs w:val="22"/>
        </w:rPr>
        <w:t>7.</w:t>
      </w:r>
      <w:r w:rsidRPr="00442F3E">
        <w:rPr>
          <w:sz w:val="22"/>
          <w:szCs w:val="22"/>
        </w:rPr>
        <w:tab/>
        <w:t xml:space="preserve">Upon the submission of the proof of completion to the Board’s administrative office of the items found in paragraph 6(a) through (d), as determined by the Board’s executive director, Respondent’s license to engage in the practice of pharmacy shall be placed in a </w:t>
      </w:r>
      <w:r w:rsidRPr="00442F3E">
        <w:rPr>
          <w:b/>
          <w:bCs/>
          <w:sz w:val="22"/>
          <w:szCs w:val="22"/>
        </w:rPr>
        <w:t xml:space="preserve">PROBATION </w:t>
      </w:r>
      <w:r w:rsidRPr="00442F3E">
        <w:rPr>
          <w:sz w:val="22"/>
          <w:szCs w:val="22"/>
        </w:rPr>
        <w:t>status</w:t>
      </w:r>
      <w:r w:rsidRPr="00442F3E">
        <w:rPr>
          <w:b/>
          <w:bCs/>
          <w:sz w:val="22"/>
          <w:szCs w:val="22"/>
        </w:rPr>
        <w:t xml:space="preserve"> </w:t>
      </w:r>
      <w:r w:rsidRPr="00442F3E">
        <w:rPr>
          <w:sz w:val="22"/>
          <w:szCs w:val="22"/>
        </w:rPr>
        <w:t xml:space="preserve">to run concurrent with any and all contracts and aftercare agreements entered into with the Tennessee Pharmacy Recovery Network, but in no event less than </w:t>
      </w:r>
      <w:r>
        <w:rPr>
          <w:sz w:val="22"/>
          <w:szCs w:val="22"/>
        </w:rPr>
        <w:t>seven</w:t>
      </w:r>
      <w:r w:rsidRPr="00442F3E">
        <w:rPr>
          <w:sz w:val="22"/>
          <w:szCs w:val="22"/>
        </w:rPr>
        <w:t xml:space="preserve"> (</w:t>
      </w:r>
      <w:r>
        <w:rPr>
          <w:sz w:val="22"/>
          <w:szCs w:val="22"/>
        </w:rPr>
        <w:t>7</w:t>
      </w:r>
      <w:r w:rsidRPr="00442F3E">
        <w:rPr>
          <w:sz w:val="22"/>
          <w:szCs w:val="22"/>
        </w:rPr>
        <w:t xml:space="preserve">) years from </w:t>
      </w:r>
      <w:r>
        <w:rPr>
          <w:sz w:val="22"/>
          <w:szCs w:val="22"/>
        </w:rPr>
        <w:t>April 2, 2026</w:t>
      </w:r>
      <w:r w:rsidRPr="00442F3E">
        <w:rPr>
          <w:sz w:val="22"/>
          <w:szCs w:val="22"/>
        </w:rPr>
        <w:t>, subject to the following conditions:</w:t>
      </w:r>
    </w:p>
    <w:p w14:paraId="570E0B86"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(a)</w:t>
      </w:r>
      <w:r w:rsidRPr="00442F3E">
        <w:rPr>
          <w:sz w:val="22"/>
          <w:szCs w:val="22"/>
        </w:rPr>
        <w:tab/>
        <w:t>The Respondent shall completely abstain from the consumption of alcohol or any other drugs, except as specified in paragraph 7(b);</w:t>
      </w:r>
    </w:p>
    <w:p w14:paraId="50DD0798"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(b)</w:t>
      </w:r>
      <w:r w:rsidRPr="00442F3E">
        <w:rPr>
          <w:sz w:val="22"/>
          <w:szCs w:val="22"/>
        </w:rPr>
        <w:tab/>
        <w:t>Respondent shall be able to consume legend drugs or controlled substances prescribed by the Respondent’s practitioner, except in the case of an emergency or upon a proper referral from the Respondent’s practitioner.  Upon ratification of this order, the Respondent shall immediately notify the Board office in writing of the name of Respondent’s practitioner. The Respondent shall immediately notify the Board office in writing of the name of the Respondent’s practitioner each time the Respondent changes practitioners;</w:t>
      </w:r>
    </w:p>
    <w:p w14:paraId="4A792BFC"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(c)</w:t>
      </w:r>
      <w:r w:rsidRPr="00442F3E">
        <w:rPr>
          <w:sz w:val="22"/>
          <w:szCs w:val="22"/>
        </w:rPr>
        <w:tab/>
        <w:t>The Respondent shall not obtain or attempt to obtain any prescriptions in the Respondent’s name for any legend drugs, controlled substances or devices containing same from a practitioner other than the Respondent’s practitioner or from any other health care providers, such as a nurse practitioner, physician’s assistant or psychiatrist;</w:t>
      </w:r>
    </w:p>
    <w:p w14:paraId="25992D41"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(d)</w:t>
      </w:r>
      <w:r w:rsidRPr="00442F3E">
        <w:rPr>
          <w:sz w:val="22"/>
          <w:szCs w:val="22"/>
        </w:rPr>
        <w:tab/>
        <w:t>The Respondent shall destroy any unused controlled substances, prescribed under the provisions of paragraph  7(b) no later than thirty (30) days following the completion of the prescribed course of treatment.</w:t>
      </w:r>
    </w:p>
    <w:p w14:paraId="0069CDC4"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(e)</w:t>
      </w:r>
      <w:r w:rsidRPr="00442F3E">
        <w:rPr>
          <w:sz w:val="22"/>
          <w:szCs w:val="22"/>
        </w:rPr>
        <w:tab/>
        <w:t>The Respondent shall report to the Board, in writing, the ingestion of any and all legend drugs or controlled substances (</w:t>
      </w:r>
      <w:r w:rsidRPr="00442F3E">
        <w:rPr>
          <w:sz w:val="22"/>
          <w:szCs w:val="22"/>
          <w:u w:val="single"/>
        </w:rPr>
        <w:t>a copy of the prescription will satisfy the requirement</w:t>
      </w:r>
      <w:r w:rsidRPr="00442F3E">
        <w:rPr>
          <w:sz w:val="22"/>
          <w:szCs w:val="22"/>
        </w:rPr>
        <w:t>);</w:t>
      </w:r>
    </w:p>
    <w:p w14:paraId="76077FB0"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(f)</w:t>
      </w:r>
      <w:r w:rsidRPr="00442F3E">
        <w:rPr>
          <w:sz w:val="22"/>
          <w:szCs w:val="22"/>
        </w:rPr>
        <w:tab/>
        <w:t xml:space="preserve">The Respondent shall submit to random sampling of hair, urine, blood or bodily tissues for the presence of drugs and alcohol, at the Respondent’s own expense, by agents of the Board, such as the Tennessee Pharmacists Recovery Network, for as long as required by the Tennessee Pharmacists Recovery Network.  In the event that the sampling indicates the presence of drugs for which the Respondent does not have a valid prescription or the sampling indicates the presence of alcohol, then formal disciplinary charges may be brought against the Respondent </w:t>
      </w:r>
      <w:r w:rsidRPr="00442F3E">
        <w:rPr>
          <w:b/>
          <w:sz w:val="22"/>
          <w:szCs w:val="22"/>
        </w:rPr>
        <w:t>as a violation of this order of the Board</w:t>
      </w:r>
      <w:r w:rsidRPr="00442F3E">
        <w:rPr>
          <w:sz w:val="22"/>
          <w:szCs w:val="22"/>
        </w:rPr>
        <w:t xml:space="preserve"> which may result in the revocation of the Respondent’s remaining term of probation or the suspension or revocation of the Respondent’s license to engage in the practice of pharmacy.  Prior to such disciplinary charges being heard by the Board, the Respondent’s license may be summarily suspended;</w:t>
      </w:r>
    </w:p>
    <w:p w14:paraId="18BA7894" w14:textId="77777777" w:rsidR="00442F3E" w:rsidRPr="00442F3E" w:rsidRDefault="00442F3E" w:rsidP="007212F1">
      <w:pPr>
        <w:autoSpaceDE w:val="0"/>
        <w:autoSpaceDN w:val="0"/>
        <w:spacing w:after="0" w:line="480" w:lineRule="auto"/>
        <w:ind w:left="2880" w:hanging="720"/>
        <w:rPr>
          <w:sz w:val="22"/>
          <w:szCs w:val="22"/>
        </w:rPr>
      </w:pPr>
      <w:r w:rsidRPr="00442F3E">
        <w:rPr>
          <w:sz w:val="22"/>
          <w:szCs w:val="22"/>
        </w:rPr>
        <w:t>(g)</w:t>
      </w:r>
      <w:r w:rsidRPr="00442F3E">
        <w:rPr>
          <w:sz w:val="22"/>
          <w:szCs w:val="22"/>
        </w:rPr>
        <w:tab/>
        <w:t xml:space="preserve">The Respondent shall comply with all of the terms and conditions of the extended aftercare contract or monitoring agreement she entered into with the Tennessee Pharmacists Recovery Network. Any violation of terms and conditions of the extended aftercare contract or monitoring agreement Respondent entered into with the Tennessee Pharmacists Recovery </w:t>
      </w:r>
      <w:r w:rsidRPr="00442F3E">
        <w:rPr>
          <w:b/>
          <w:sz w:val="22"/>
          <w:szCs w:val="22"/>
        </w:rPr>
        <w:t>shall be considered a violation of this Order.</w:t>
      </w:r>
      <w:r w:rsidRPr="00442F3E">
        <w:rPr>
          <w:sz w:val="22"/>
          <w:szCs w:val="22"/>
        </w:rPr>
        <w:t xml:space="preserve"> </w:t>
      </w:r>
    </w:p>
    <w:p w14:paraId="44B08E5F" w14:textId="3D1B2B1C" w:rsidR="00442F3E" w:rsidRPr="00442F3E" w:rsidRDefault="00442F3E" w:rsidP="007212F1">
      <w:pPr>
        <w:autoSpaceDE w:val="0"/>
        <w:autoSpaceDN w:val="0"/>
        <w:spacing w:after="0" w:line="480" w:lineRule="auto"/>
        <w:ind w:left="2880" w:hanging="720"/>
        <w:rPr>
          <w:sz w:val="22"/>
          <w:szCs w:val="22"/>
        </w:rPr>
      </w:pPr>
      <w:r w:rsidRPr="00442F3E">
        <w:rPr>
          <w:sz w:val="22"/>
          <w:szCs w:val="22"/>
        </w:rPr>
        <w:t>(h)</w:t>
      </w:r>
      <w:r w:rsidRPr="00442F3E">
        <w:rPr>
          <w:sz w:val="22"/>
          <w:szCs w:val="22"/>
        </w:rPr>
        <w:tab/>
        <w:t xml:space="preserve">The Respondent shall not serve as pharmacist-in-charge for a period of </w:t>
      </w:r>
      <w:r>
        <w:rPr>
          <w:sz w:val="22"/>
          <w:szCs w:val="22"/>
        </w:rPr>
        <w:t>seven</w:t>
      </w:r>
      <w:r w:rsidRPr="00442F3E">
        <w:rPr>
          <w:sz w:val="22"/>
          <w:szCs w:val="22"/>
        </w:rPr>
        <w:t xml:space="preserve"> (</w:t>
      </w:r>
      <w:r>
        <w:rPr>
          <w:sz w:val="22"/>
          <w:szCs w:val="22"/>
        </w:rPr>
        <w:t>7</w:t>
      </w:r>
      <w:r w:rsidRPr="00442F3E">
        <w:rPr>
          <w:sz w:val="22"/>
          <w:szCs w:val="22"/>
        </w:rPr>
        <w:t>) years from the start date of probation; however, after a period of two (2) years’ probation the Respondent may petition the Board for a modification of this Consent Order to remove the restrictions upon a show of good cause.  The Respondent shall not work as a floater for a period of three (3) years, meaning that the Respondent shall not work at more than one (1) pharmacy location at the same time without the permission of the Board.</w:t>
      </w:r>
    </w:p>
    <w:p w14:paraId="4452ACBA" w14:textId="08B10673" w:rsidR="00442F3E" w:rsidRDefault="00442F3E" w:rsidP="007212F1">
      <w:pPr>
        <w:autoSpaceDE w:val="0"/>
        <w:autoSpaceDN w:val="0"/>
        <w:spacing w:after="0" w:line="480" w:lineRule="auto"/>
        <w:ind w:left="2880" w:hanging="720"/>
        <w:rPr>
          <w:sz w:val="22"/>
          <w:szCs w:val="22"/>
        </w:rPr>
      </w:pPr>
      <w:r w:rsidRPr="00442F3E">
        <w:rPr>
          <w:sz w:val="22"/>
          <w:szCs w:val="22"/>
        </w:rPr>
        <w:t>(i)</w:t>
      </w:r>
      <w:r w:rsidRPr="00442F3E">
        <w:rPr>
          <w:sz w:val="22"/>
          <w:szCs w:val="22"/>
        </w:rPr>
        <w:tab/>
        <w:t xml:space="preserve">Upon notification from the Tennessee Pharmacy Recovery Network to the Board’s executive director of the completion of any and all contracts and aftercare agreements entered into with the Tennessee Pharmacy Recovery Network, Respondent’s license status shall be changed to an active, unencumbered status at the conclusion of </w:t>
      </w:r>
      <w:r>
        <w:rPr>
          <w:sz w:val="22"/>
          <w:szCs w:val="22"/>
        </w:rPr>
        <w:t>seven</w:t>
      </w:r>
      <w:r w:rsidRPr="00442F3E">
        <w:rPr>
          <w:sz w:val="22"/>
          <w:szCs w:val="22"/>
        </w:rPr>
        <w:t xml:space="preserve"> (</w:t>
      </w:r>
      <w:r>
        <w:rPr>
          <w:sz w:val="22"/>
          <w:szCs w:val="22"/>
        </w:rPr>
        <w:t>7</w:t>
      </w:r>
      <w:r w:rsidRPr="00442F3E">
        <w:rPr>
          <w:sz w:val="22"/>
          <w:szCs w:val="22"/>
        </w:rPr>
        <w:t xml:space="preserve">) years from </w:t>
      </w:r>
      <w:r>
        <w:rPr>
          <w:sz w:val="22"/>
          <w:szCs w:val="22"/>
        </w:rPr>
        <w:t>April 2, 2026</w:t>
      </w:r>
      <w:r w:rsidRPr="00442F3E">
        <w:rPr>
          <w:sz w:val="22"/>
          <w:szCs w:val="22"/>
        </w:rPr>
        <w:t xml:space="preserve">, or later. </w:t>
      </w:r>
    </w:p>
    <w:p w14:paraId="4B731A71" w14:textId="5424D364" w:rsidR="007212F1" w:rsidRPr="007212F1" w:rsidRDefault="007212F1" w:rsidP="007212F1">
      <w:pPr>
        <w:autoSpaceDE w:val="0"/>
        <w:autoSpaceDN w:val="0"/>
        <w:spacing w:after="0" w:line="480" w:lineRule="auto"/>
        <w:rPr>
          <w:b/>
          <w:bCs/>
          <w:sz w:val="22"/>
          <w:szCs w:val="22"/>
        </w:rPr>
      </w:pPr>
      <w:r w:rsidRPr="007212F1">
        <w:rPr>
          <w:b/>
          <w:bCs/>
          <w:sz w:val="22"/>
          <w:szCs w:val="22"/>
        </w:rPr>
        <w:t>Consent Orders</w:t>
      </w:r>
    </w:p>
    <w:p w14:paraId="301027AC" w14:textId="0C945956" w:rsidR="007212F1" w:rsidRDefault="00282E48" w:rsidP="006E663C">
      <w:pPr>
        <w:autoSpaceDE w:val="0"/>
        <w:autoSpaceDN w:val="0"/>
        <w:spacing w:after="0" w:line="240" w:lineRule="auto"/>
        <w:contextualSpacing/>
        <w:rPr>
          <w:sz w:val="22"/>
          <w:szCs w:val="22"/>
        </w:rPr>
      </w:pPr>
      <w:r>
        <w:rPr>
          <w:sz w:val="22"/>
          <w:szCs w:val="22"/>
        </w:rPr>
        <w:t>Ms. Foster</w:t>
      </w:r>
      <w:r w:rsidR="007212F1">
        <w:rPr>
          <w:sz w:val="22"/>
          <w:szCs w:val="22"/>
        </w:rPr>
        <w:t xml:space="preserve"> made the motion to accept </w:t>
      </w:r>
      <w:r w:rsidR="007212F1" w:rsidRPr="00431072">
        <w:rPr>
          <w:b/>
          <w:bCs/>
          <w:sz w:val="22"/>
          <w:szCs w:val="22"/>
        </w:rPr>
        <w:t>Kaylee J McNeely’s</w:t>
      </w:r>
      <w:r w:rsidR="007212F1">
        <w:rPr>
          <w:sz w:val="22"/>
          <w:szCs w:val="22"/>
        </w:rPr>
        <w:t xml:space="preserve"> consent order with a license reprimand </w:t>
      </w:r>
    </w:p>
    <w:p w14:paraId="016BFC8F" w14:textId="68DD14CE" w:rsidR="007212F1" w:rsidRDefault="007212F1" w:rsidP="006E663C">
      <w:pPr>
        <w:autoSpaceDE w:val="0"/>
        <w:autoSpaceDN w:val="0"/>
        <w:spacing w:after="0" w:line="240" w:lineRule="auto"/>
        <w:contextualSpacing/>
        <w:rPr>
          <w:sz w:val="22"/>
          <w:szCs w:val="22"/>
        </w:rPr>
      </w:pPr>
      <w:r>
        <w:rPr>
          <w:sz w:val="22"/>
          <w:szCs w:val="22"/>
        </w:rPr>
        <w:t xml:space="preserve">and $1000.00 civil penalty.  Dr. McNeely violated T.C.A. § 63-10-309 (7). Dr. Leinart seconded the motion. The motion carried. </w:t>
      </w:r>
    </w:p>
    <w:p w14:paraId="77AB76B7" w14:textId="77777777" w:rsidR="006E663C" w:rsidRDefault="006E663C" w:rsidP="006E663C">
      <w:pPr>
        <w:autoSpaceDE w:val="0"/>
        <w:autoSpaceDN w:val="0"/>
        <w:spacing w:after="0" w:line="240" w:lineRule="auto"/>
        <w:contextualSpacing/>
        <w:rPr>
          <w:sz w:val="22"/>
          <w:szCs w:val="22"/>
        </w:rPr>
      </w:pPr>
    </w:p>
    <w:p w14:paraId="2B7ACE43" w14:textId="12D104A2" w:rsidR="007212F1" w:rsidRDefault="00282E48" w:rsidP="006E663C">
      <w:pPr>
        <w:autoSpaceDE w:val="0"/>
        <w:autoSpaceDN w:val="0"/>
        <w:spacing w:after="0" w:line="240" w:lineRule="auto"/>
        <w:contextualSpacing/>
        <w:rPr>
          <w:sz w:val="22"/>
          <w:szCs w:val="22"/>
        </w:rPr>
      </w:pPr>
      <w:r>
        <w:rPr>
          <w:sz w:val="22"/>
          <w:szCs w:val="22"/>
        </w:rPr>
        <w:t>Dr. Phillips m</w:t>
      </w:r>
      <w:r w:rsidR="007212F1">
        <w:rPr>
          <w:sz w:val="22"/>
          <w:szCs w:val="22"/>
        </w:rPr>
        <w:t xml:space="preserve">ade the motion to accept </w:t>
      </w:r>
      <w:r w:rsidR="007212F1" w:rsidRPr="00431072">
        <w:rPr>
          <w:b/>
          <w:bCs/>
          <w:sz w:val="22"/>
          <w:szCs w:val="22"/>
        </w:rPr>
        <w:t>Nicole Subires’s</w:t>
      </w:r>
      <w:r w:rsidR="007212F1">
        <w:rPr>
          <w:sz w:val="22"/>
          <w:szCs w:val="22"/>
        </w:rPr>
        <w:t xml:space="preserve"> agreed order for revocation. Ms. Subires violated T.C.A. 63-10-309 (3) (5) &amp; (7). </w:t>
      </w:r>
      <w:r>
        <w:rPr>
          <w:sz w:val="22"/>
          <w:szCs w:val="22"/>
        </w:rPr>
        <w:t>Ms. Foster s</w:t>
      </w:r>
      <w:r w:rsidR="007212F1">
        <w:rPr>
          <w:sz w:val="22"/>
          <w:szCs w:val="22"/>
        </w:rPr>
        <w:t xml:space="preserve">econded the motion. The motion carried. </w:t>
      </w:r>
      <w:r>
        <w:rPr>
          <w:sz w:val="22"/>
          <w:szCs w:val="22"/>
        </w:rPr>
        <w:t xml:space="preserve">Dr. Leinart abstained. </w:t>
      </w:r>
    </w:p>
    <w:p w14:paraId="0F5C84BC" w14:textId="77777777" w:rsidR="006E663C" w:rsidRDefault="006E663C" w:rsidP="006E663C">
      <w:pPr>
        <w:autoSpaceDE w:val="0"/>
        <w:autoSpaceDN w:val="0"/>
        <w:spacing w:after="0" w:line="240" w:lineRule="auto"/>
        <w:contextualSpacing/>
        <w:rPr>
          <w:sz w:val="22"/>
          <w:szCs w:val="22"/>
        </w:rPr>
      </w:pPr>
    </w:p>
    <w:p w14:paraId="493398DD" w14:textId="07F64FB5" w:rsidR="007212F1" w:rsidRDefault="00233578" w:rsidP="006E663C">
      <w:pPr>
        <w:autoSpaceDE w:val="0"/>
        <w:autoSpaceDN w:val="0"/>
        <w:spacing w:after="0" w:line="240" w:lineRule="auto"/>
        <w:contextualSpacing/>
        <w:rPr>
          <w:sz w:val="22"/>
          <w:szCs w:val="22"/>
        </w:rPr>
      </w:pPr>
      <w:r>
        <w:rPr>
          <w:sz w:val="22"/>
          <w:szCs w:val="22"/>
        </w:rPr>
        <w:t>Dr. Philips made</w:t>
      </w:r>
      <w:r w:rsidR="007212F1">
        <w:rPr>
          <w:sz w:val="22"/>
          <w:szCs w:val="22"/>
        </w:rPr>
        <w:t xml:space="preserve"> the motion to accept </w:t>
      </w:r>
      <w:r w:rsidR="007212F1" w:rsidRPr="00431072">
        <w:rPr>
          <w:b/>
          <w:bCs/>
          <w:sz w:val="22"/>
          <w:szCs w:val="22"/>
        </w:rPr>
        <w:t>Brittney Hulan’s</w:t>
      </w:r>
      <w:r w:rsidR="007212F1">
        <w:rPr>
          <w:sz w:val="22"/>
          <w:szCs w:val="22"/>
        </w:rPr>
        <w:t xml:space="preserve"> agreed order to voluntarily surrender her registration as a pharmacy </w:t>
      </w:r>
      <w:r w:rsidR="00431072">
        <w:rPr>
          <w:sz w:val="22"/>
          <w:szCs w:val="22"/>
        </w:rPr>
        <w:t>technician</w:t>
      </w:r>
      <w:r w:rsidR="007212F1">
        <w:rPr>
          <w:sz w:val="22"/>
          <w:szCs w:val="22"/>
        </w:rPr>
        <w:t>. The voluntarily surrenderer is the same as revocation.</w:t>
      </w:r>
      <w:r>
        <w:rPr>
          <w:sz w:val="22"/>
          <w:szCs w:val="22"/>
        </w:rPr>
        <w:t xml:space="preserve"> Ms. Hulan violated</w:t>
      </w:r>
      <w:r w:rsidR="001B445E">
        <w:rPr>
          <w:sz w:val="22"/>
          <w:szCs w:val="22"/>
        </w:rPr>
        <w:t xml:space="preserve"> T.C.A. §63-10-309 (3) (5) &amp; (7).</w:t>
      </w:r>
      <w:r>
        <w:rPr>
          <w:sz w:val="22"/>
          <w:szCs w:val="22"/>
        </w:rPr>
        <w:t xml:space="preserve"> </w:t>
      </w:r>
      <w:r w:rsidR="007212F1">
        <w:rPr>
          <w:sz w:val="22"/>
          <w:szCs w:val="22"/>
        </w:rPr>
        <w:t xml:space="preserve"> </w:t>
      </w:r>
      <w:r>
        <w:rPr>
          <w:sz w:val="22"/>
          <w:szCs w:val="22"/>
        </w:rPr>
        <w:t>Dr. Lienart s</w:t>
      </w:r>
      <w:r w:rsidR="007212F1">
        <w:rPr>
          <w:sz w:val="22"/>
          <w:szCs w:val="22"/>
        </w:rPr>
        <w:t xml:space="preserve">econded the motion. The motion carried. </w:t>
      </w:r>
    </w:p>
    <w:p w14:paraId="64183A62" w14:textId="77777777" w:rsidR="006E663C" w:rsidRDefault="006E663C" w:rsidP="006E663C">
      <w:pPr>
        <w:autoSpaceDE w:val="0"/>
        <w:autoSpaceDN w:val="0"/>
        <w:spacing w:after="0" w:line="240" w:lineRule="auto"/>
        <w:contextualSpacing/>
        <w:rPr>
          <w:sz w:val="22"/>
          <w:szCs w:val="22"/>
        </w:rPr>
      </w:pPr>
    </w:p>
    <w:p w14:paraId="7890254B" w14:textId="6B5CD9B1" w:rsidR="00431072" w:rsidRDefault="00431072" w:rsidP="006E663C">
      <w:pPr>
        <w:autoSpaceDE w:val="0"/>
        <w:autoSpaceDN w:val="0"/>
        <w:spacing w:after="0" w:line="240" w:lineRule="auto"/>
        <w:contextualSpacing/>
        <w:rPr>
          <w:sz w:val="22"/>
          <w:szCs w:val="22"/>
        </w:rPr>
      </w:pPr>
      <w:r>
        <w:rPr>
          <w:sz w:val="22"/>
          <w:szCs w:val="22"/>
        </w:rPr>
        <w:t xml:space="preserve">Ms. Foster made the motion to accent </w:t>
      </w:r>
      <w:r w:rsidRPr="00431072">
        <w:rPr>
          <w:b/>
          <w:bCs/>
          <w:sz w:val="22"/>
          <w:szCs w:val="22"/>
        </w:rPr>
        <w:t>EEH Infusion Center Hospital MOB</w:t>
      </w:r>
      <w:r>
        <w:rPr>
          <w:sz w:val="22"/>
          <w:szCs w:val="22"/>
        </w:rPr>
        <w:t xml:space="preserve"> consent order with a $500.00 civil penalty.  EEH Infusion Center Hospital MOB violated T.C. A.§ 63-10-309 (7). Dr. Phillips seconded the motion. The motion carried. </w:t>
      </w:r>
    </w:p>
    <w:p w14:paraId="4D31AE5B" w14:textId="77777777" w:rsidR="006E663C" w:rsidRDefault="006E663C" w:rsidP="006E663C">
      <w:pPr>
        <w:autoSpaceDE w:val="0"/>
        <w:autoSpaceDN w:val="0"/>
        <w:spacing w:after="0" w:line="240" w:lineRule="auto"/>
        <w:contextualSpacing/>
        <w:rPr>
          <w:sz w:val="22"/>
          <w:szCs w:val="22"/>
        </w:rPr>
      </w:pPr>
    </w:p>
    <w:p w14:paraId="67414857" w14:textId="1084AEC6" w:rsidR="00431072" w:rsidRDefault="00431072" w:rsidP="006E663C">
      <w:pPr>
        <w:autoSpaceDE w:val="0"/>
        <w:autoSpaceDN w:val="0"/>
        <w:spacing w:after="0" w:line="240" w:lineRule="auto"/>
        <w:contextualSpacing/>
        <w:rPr>
          <w:sz w:val="22"/>
          <w:szCs w:val="22"/>
        </w:rPr>
      </w:pPr>
      <w:r>
        <w:rPr>
          <w:sz w:val="22"/>
          <w:szCs w:val="22"/>
        </w:rPr>
        <w:t xml:space="preserve">Dr. Pillips made the motion to accept </w:t>
      </w:r>
      <w:r w:rsidRPr="00431072">
        <w:rPr>
          <w:b/>
          <w:bCs/>
          <w:sz w:val="22"/>
          <w:szCs w:val="22"/>
        </w:rPr>
        <w:t>Bhaven Patel’s</w:t>
      </w:r>
      <w:r>
        <w:rPr>
          <w:sz w:val="22"/>
          <w:szCs w:val="22"/>
        </w:rPr>
        <w:t xml:space="preserve"> consent order to suspend his pharmacist license. The suspension is stayed and his license placed on probation for 5 years with terms and conditions. Ms. Foster seconded the motion. The motion carried. </w:t>
      </w:r>
    </w:p>
    <w:p w14:paraId="32B929B9" w14:textId="77777777" w:rsidR="00442F3E" w:rsidRPr="00442F3E" w:rsidRDefault="00442F3E" w:rsidP="007212F1">
      <w:pPr>
        <w:spacing w:after="0"/>
        <w:rPr>
          <w:sz w:val="22"/>
          <w:szCs w:val="22"/>
        </w:rPr>
      </w:pPr>
    </w:p>
    <w:p w14:paraId="6B480180" w14:textId="1BC0731D" w:rsidR="00460C4F" w:rsidRPr="00442F3E" w:rsidRDefault="00460C4F" w:rsidP="007212F1">
      <w:pPr>
        <w:spacing w:after="0"/>
        <w:rPr>
          <w:rFonts w:cs="Times New Roman"/>
          <w:b/>
          <w:bCs/>
          <w:sz w:val="22"/>
          <w:szCs w:val="22"/>
        </w:rPr>
      </w:pPr>
      <w:r w:rsidRPr="00442F3E">
        <w:rPr>
          <w:rFonts w:cs="Times New Roman"/>
          <w:b/>
          <w:bCs/>
          <w:sz w:val="22"/>
          <w:szCs w:val="22"/>
        </w:rPr>
        <w:t>Order Modification</w:t>
      </w:r>
    </w:p>
    <w:p w14:paraId="252FFE71" w14:textId="788EB9D8" w:rsidR="00B07C00" w:rsidRDefault="00B07C00" w:rsidP="007212F1">
      <w:pPr>
        <w:spacing w:after="0"/>
        <w:rPr>
          <w:rFonts w:cs="Times New Roman"/>
          <w:sz w:val="22"/>
          <w:szCs w:val="22"/>
        </w:rPr>
      </w:pPr>
      <w:r w:rsidRPr="00442F3E">
        <w:rPr>
          <w:rFonts w:cs="Times New Roman"/>
          <w:sz w:val="22"/>
          <w:szCs w:val="22"/>
        </w:rPr>
        <w:t>Edward Todd Hooper, D.Ph., appeared before the board to request PIC. Dr. Hooper license was placed on a 10</w:t>
      </w:r>
      <w:r w:rsidR="0039241B">
        <w:rPr>
          <w:rFonts w:cs="Times New Roman"/>
          <w:sz w:val="22"/>
          <w:szCs w:val="22"/>
        </w:rPr>
        <w:t>-</w:t>
      </w:r>
      <w:r w:rsidRPr="00442F3E">
        <w:rPr>
          <w:rFonts w:cs="Times New Roman"/>
          <w:sz w:val="22"/>
          <w:szCs w:val="22"/>
        </w:rPr>
        <w:t xml:space="preserve"> year probation on 1/30/2024 with terms and conditions.  After discussion, Dr. Phillips made the motion to approve the order modification. Dr. Leinart seconded the motion. The motion carried. </w:t>
      </w:r>
    </w:p>
    <w:p w14:paraId="27D22AF9" w14:textId="77777777" w:rsidR="00431072" w:rsidRDefault="00431072" w:rsidP="007212F1">
      <w:pPr>
        <w:spacing w:after="0"/>
        <w:rPr>
          <w:rFonts w:cs="Times New Roman"/>
          <w:sz w:val="22"/>
          <w:szCs w:val="22"/>
        </w:rPr>
      </w:pPr>
    </w:p>
    <w:p w14:paraId="2FDAA512" w14:textId="445D8086" w:rsidR="00431072" w:rsidRPr="00431072" w:rsidRDefault="00431072" w:rsidP="007212F1">
      <w:pPr>
        <w:spacing w:after="0"/>
        <w:rPr>
          <w:rFonts w:cs="Times New Roman"/>
          <w:b/>
          <w:bCs/>
          <w:sz w:val="22"/>
          <w:szCs w:val="22"/>
        </w:rPr>
      </w:pPr>
      <w:r w:rsidRPr="00431072">
        <w:rPr>
          <w:rFonts w:cs="Times New Roman"/>
          <w:b/>
          <w:bCs/>
          <w:sz w:val="22"/>
          <w:szCs w:val="22"/>
        </w:rPr>
        <w:t>Minutes</w:t>
      </w:r>
    </w:p>
    <w:p w14:paraId="0CBF73B1" w14:textId="1A1D0A11" w:rsidR="00431072" w:rsidRDefault="00431072" w:rsidP="007212F1">
      <w:pPr>
        <w:spacing w:after="0"/>
        <w:rPr>
          <w:rFonts w:cs="Times New Roman"/>
          <w:sz w:val="22"/>
          <w:szCs w:val="22"/>
        </w:rPr>
      </w:pPr>
      <w:r>
        <w:rPr>
          <w:rFonts w:cs="Times New Roman"/>
          <w:sz w:val="22"/>
          <w:szCs w:val="22"/>
        </w:rPr>
        <w:t xml:space="preserve">Ms. Foster made the motion to approve the minutes as presented from the January 13-14, </w:t>
      </w:r>
      <w:r w:rsidR="002167FF">
        <w:rPr>
          <w:rFonts w:cs="Times New Roman"/>
          <w:sz w:val="22"/>
          <w:szCs w:val="22"/>
        </w:rPr>
        <w:t>2026,</w:t>
      </w:r>
      <w:r>
        <w:rPr>
          <w:rFonts w:cs="Times New Roman"/>
          <w:sz w:val="22"/>
          <w:szCs w:val="22"/>
        </w:rPr>
        <w:t xml:space="preserve"> meeting. Dr. Phillips seconded the motion. The motion carried. </w:t>
      </w:r>
    </w:p>
    <w:p w14:paraId="50AFB725" w14:textId="77777777" w:rsidR="00431072" w:rsidRDefault="00431072" w:rsidP="007212F1">
      <w:pPr>
        <w:spacing w:after="0"/>
        <w:rPr>
          <w:rFonts w:cs="Times New Roman"/>
          <w:sz w:val="22"/>
          <w:szCs w:val="22"/>
        </w:rPr>
      </w:pPr>
    </w:p>
    <w:p w14:paraId="18EC0792" w14:textId="7146D4D4" w:rsidR="00431072" w:rsidRDefault="00431072" w:rsidP="00431072">
      <w:pPr>
        <w:spacing w:after="0"/>
        <w:rPr>
          <w:b/>
          <w:bCs/>
          <w:sz w:val="22"/>
          <w:szCs w:val="22"/>
        </w:rPr>
      </w:pPr>
      <w:r w:rsidRPr="00240239">
        <w:rPr>
          <w:b/>
          <w:bCs/>
          <w:sz w:val="22"/>
          <w:szCs w:val="22"/>
        </w:rPr>
        <w:t>Office of General Counsel Report</w:t>
      </w:r>
      <w:r w:rsidR="0039241B">
        <w:rPr>
          <w:b/>
          <w:bCs/>
          <w:sz w:val="22"/>
          <w:szCs w:val="22"/>
        </w:rPr>
        <w:t xml:space="preserve"> (OGC)</w:t>
      </w:r>
    </w:p>
    <w:p w14:paraId="42235749" w14:textId="77777777" w:rsidR="0039241B" w:rsidRDefault="0039241B" w:rsidP="00431072">
      <w:pPr>
        <w:spacing w:after="0"/>
        <w:rPr>
          <w:b/>
          <w:bCs/>
          <w:sz w:val="22"/>
          <w:szCs w:val="22"/>
        </w:rPr>
      </w:pPr>
    </w:p>
    <w:p w14:paraId="6992A222" w14:textId="0285578F" w:rsidR="0039241B" w:rsidRPr="0039241B" w:rsidRDefault="0039241B" w:rsidP="00431072">
      <w:pPr>
        <w:spacing w:after="0"/>
        <w:rPr>
          <w:sz w:val="22"/>
          <w:szCs w:val="22"/>
        </w:rPr>
      </w:pPr>
      <w:r w:rsidRPr="0039241B">
        <w:rPr>
          <w:sz w:val="22"/>
          <w:szCs w:val="22"/>
        </w:rPr>
        <w:t xml:space="preserve">Mr. Harleman presented the OGC report to the Board. </w:t>
      </w:r>
    </w:p>
    <w:p w14:paraId="31EB1CE5" w14:textId="77777777" w:rsidR="00431072" w:rsidRDefault="00431072" w:rsidP="00431072">
      <w:pPr>
        <w:spacing w:after="0"/>
        <w:rPr>
          <w:b/>
          <w:bCs/>
          <w:sz w:val="22"/>
          <w:szCs w:val="22"/>
        </w:rPr>
      </w:pPr>
    </w:p>
    <w:p w14:paraId="1DBF2CBC" w14:textId="77777777" w:rsidR="002167FF" w:rsidRDefault="008E60BA" w:rsidP="00431072">
      <w:pPr>
        <w:spacing w:after="0"/>
        <w:rPr>
          <w:sz w:val="22"/>
          <w:szCs w:val="22"/>
        </w:rPr>
      </w:pPr>
      <w:r w:rsidRPr="002167FF">
        <w:rPr>
          <w:b/>
          <w:bCs/>
          <w:sz w:val="22"/>
          <w:szCs w:val="22"/>
        </w:rPr>
        <w:t>Conflict of Interest Policy</w:t>
      </w:r>
    </w:p>
    <w:p w14:paraId="01FAB2AE" w14:textId="4A23E5AA" w:rsidR="008E60BA" w:rsidRDefault="008E60BA" w:rsidP="00431072">
      <w:pPr>
        <w:spacing w:after="0"/>
        <w:rPr>
          <w:sz w:val="22"/>
          <w:szCs w:val="22"/>
        </w:rPr>
      </w:pPr>
      <w:r w:rsidRPr="008E60BA">
        <w:rPr>
          <w:sz w:val="22"/>
          <w:szCs w:val="22"/>
        </w:rPr>
        <w:t xml:space="preserve">If you have a personal or financial interest in the outcome of any issue or matter before this committee which may suggest any bias on your part, please disclose that interest on the record so that the rest of the committee can determine whether you need to recuse yourself. You are reminded that it is the duty of this committee to protect the health, safety, and welfare of the citizens of Tennessee and that the administration of this solemn duty requires avoiding even the appearance of impropriety. </w:t>
      </w:r>
    </w:p>
    <w:p w14:paraId="2A9904D9" w14:textId="77777777" w:rsidR="008E60BA" w:rsidRDefault="008E60BA" w:rsidP="00431072">
      <w:pPr>
        <w:spacing w:after="0"/>
        <w:rPr>
          <w:sz w:val="22"/>
          <w:szCs w:val="22"/>
        </w:rPr>
      </w:pPr>
    </w:p>
    <w:p w14:paraId="1880364B" w14:textId="77777777" w:rsidR="008E60BA" w:rsidRDefault="008E60BA" w:rsidP="00431072">
      <w:pPr>
        <w:spacing w:after="0"/>
        <w:rPr>
          <w:sz w:val="22"/>
          <w:szCs w:val="22"/>
        </w:rPr>
      </w:pPr>
      <w:r w:rsidRPr="002167FF">
        <w:rPr>
          <w:b/>
          <w:bCs/>
          <w:sz w:val="22"/>
          <w:szCs w:val="22"/>
        </w:rPr>
        <w:t>Enforcement/Litigation</w:t>
      </w:r>
      <w:r w:rsidRPr="008E60BA">
        <w:rPr>
          <w:sz w:val="22"/>
          <w:szCs w:val="22"/>
        </w:rPr>
        <w:t xml:space="preserve">: There are currently eighty-five (85) BOP cases open for discipline within the Office of General Counsel. Charges have been filed with the Administrative Procedures Division in seven (7) of those cases. </w:t>
      </w:r>
    </w:p>
    <w:p w14:paraId="0378808B" w14:textId="77777777" w:rsidR="0039241B" w:rsidRDefault="0039241B" w:rsidP="00431072">
      <w:pPr>
        <w:spacing w:after="0"/>
        <w:rPr>
          <w:sz w:val="22"/>
          <w:szCs w:val="22"/>
        </w:rPr>
      </w:pPr>
    </w:p>
    <w:p w14:paraId="48E9EC7B" w14:textId="09AFA162" w:rsidR="00431072" w:rsidRDefault="008E60BA" w:rsidP="00431072">
      <w:pPr>
        <w:spacing w:after="0"/>
        <w:rPr>
          <w:sz w:val="22"/>
          <w:szCs w:val="22"/>
        </w:rPr>
      </w:pPr>
      <w:r w:rsidRPr="002167FF">
        <w:rPr>
          <w:b/>
          <w:bCs/>
          <w:sz w:val="22"/>
          <w:szCs w:val="22"/>
        </w:rPr>
        <w:t>Legislation</w:t>
      </w:r>
      <w:r w:rsidRPr="008E60BA">
        <w:rPr>
          <w:sz w:val="22"/>
          <w:szCs w:val="22"/>
        </w:rPr>
        <w:t xml:space="preserve">: Legislative Session is almost complete. There have been several Pharmacy bills proposed, and we are waiting to see what passes. The proposed bills include some that could have an impact on PBMs, Pharmacist scope of practice, and the rescheduling of drugs based on federal action, just a few examples. See below for proposed legislation that could impact your practice. </w:t>
      </w:r>
    </w:p>
    <w:p w14:paraId="688E2FE7" w14:textId="77777777" w:rsidR="008E60BA" w:rsidRDefault="008E60BA" w:rsidP="00431072">
      <w:pPr>
        <w:spacing w:after="0"/>
        <w:rPr>
          <w:sz w:val="22"/>
          <w:szCs w:val="22"/>
        </w:rPr>
      </w:pPr>
    </w:p>
    <w:p w14:paraId="0CF31206" w14:textId="77777777" w:rsidR="008E60BA" w:rsidRDefault="008E60BA" w:rsidP="00431072">
      <w:pPr>
        <w:spacing w:after="0"/>
        <w:rPr>
          <w:sz w:val="22"/>
          <w:szCs w:val="22"/>
        </w:rPr>
      </w:pPr>
      <w:r w:rsidRPr="008E60BA">
        <w:rPr>
          <w:b/>
          <w:bCs/>
          <w:sz w:val="22"/>
          <w:szCs w:val="22"/>
        </w:rPr>
        <w:t>Proposed Legislation Summary</w:t>
      </w:r>
      <w:r w:rsidRPr="008E60BA">
        <w:rPr>
          <w:sz w:val="22"/>
          <w:szCs w:val="22"/>
        </w:rPr>
        <w:t xml:space="preserve">: </w:t>
      </w:r>
    </w:p>
    <w:p w14:paraId="019C2DF3" w14:textId="77777777" w:rsidR="008E60BA" w:rsidRDefault="008E60BA" w:rsidP="00431072">
      <w:pPr>
        <w:spacing w:after="0"/>
        <w:rPr>
          <w:sz w:val="22"/>
          <w:szCs w:val="22"/>
        </w:rPr>
      </w:pPr>
      <w:r w:rsidRPr="008E60BA">
        <w:rPr>
          <w:b/>
          <w:bCs/>
          <w:sz w:val="22"/>
          <w:szCs w:val="22"/>
        </w:rPr>
        <w:t>SB2040 / HB1959</w:t>
      </w:r>
      <w:r w:rsidRPr="008E60BA">
        <w:rPr>
          <w:sz w:val="22"/>
          <w:szCs w:val="22"/>
        </w:rPr>
        <w:t xml:space="preserve"> - As introduced, enacts the "Freedom, Access, and Integrity in Registered Pharmacy (FAIR Rx) Act." - AN ACT to amend Tennessee Code Annotated, Title 63, relative to the ownership or control of pharmacies by pharmacy benefits managers. </w:t>
      </w:r>
    </w:p>
    <w:p w14:paraId="6786FA0C" w14:textId="77777777" w:rsidR="008E60BA" w:rsidRDefault="008E60BA" w:rsidP="00431072">
      <w:pPr>
        <w:spacing w:after="0"/>
        <w:rPr>
          <w:sz w:val="22"/>
          <w:szCs w:val="22"/>
        </w:rPr>
      </w:pPr>
    </w:p>
    <w:p w14:paraId="1406D223" w14:textId="77777777" w:rsidR="008E60BA" w:rsidRDefault="008E60BA" w:rsidP="00431072">
      <w:pPr>
        <w:spacing w:after="0"/>
        <w:rPr>
          <w:sz w:val="22"/>
          <w:szCs w:val="22"/>
        </w:rPr>
      </w:pPr>
      <w:r w:rsidRPr="008E60BA">
        <w:rPr>
          <w:b/>
          <w:bCs/>
          <w:sz w:val="22"/>
          <w:szCs w:val="22"/>
        </w:rPr>
        <w:t>SB2574 / HB2333</w:t>
      </w:r>
      <w:r w:rsidRPr="008E60BA">
        <w:rPr>
          <w:sz w:val="22"/>
          <w:szCs w:val="22"/>
        </w:rPr>
        <w:t xml:space="preserve"> - As introduced, prohibits a pharmacy benefits manager from certain listed actions, including modifying, restricting, or denying a medication ordered by a healthcare prescriber; requires that a request for a formulary exception or prior authorization be granted or denied by a pharmacy benefits manager within a specified amount of time or such request is deemed approved. </w:t>
      </w:r>
    </w:p>
    <w:p w14:paraId="0ECF689A" w14:textId="77777777" w:rsidR="008E60BA" w:rsidRDefault="008E60BA" w:rsidP="00431072">
      <w:pPr>
        <w:spacing w:after="0"/>
        <w:rPr>
          <w:sz w:val="22"/>
          <w:szCs w:val="22"/>
        </w:rPr>
      </w:pPr>
    </w:p>
    <w:p w14:paraId="1DA066EB" w14:textId="77777777" w:rsidR="008E60BA" w:rsidRDefault="008E60BA" w:rsidP="00431072">
      <w:pPr>
        <w:spacing w:after="0"/>
        <w:rPr>
          <w:sz w:val="22"/>
          <w:szCs w:val="22"/>
        </w:rPr>
      </w:pPr>
      <w:r w:rsidRPr="008E60BA">
        <w:rPr>
          <w:b/>
          <w:bCs/>
          <w:sz w:val="22"/>
          <w:szCs w:val="22"/>
        </w:rPr>
        <w:t>SB2576 / HB2332</w:t>
      </w:r>
      <w:r w:rsidRPr="008E60BA">
        <w:rPr>
          <w:sz w:val="22"/>
          <w:szCs w:val="22"/>
        </w:rPr>
        <w:t xml:space="preserve"> - As introduced, prohibits a pharmacy benefits manager from reimbursing a contracted pharmacy for a prescription drug or device or a pharmacy service in an amount that is less than the greatest of certain listed amounts and makes other related changes. </w:t>
      </w:r>
    </w:p>
    <w:p w14:paraId="650A5AE7" w14:textId="77777777" w:rsidR="008E60BA" w:rsidRDefault="008E60BA" w:rsidP="00431072">
      <w:pPr>
        <w:spacing w:after="0"/>
        <w:rPr>
          <w:sz w:val="22"/>
          <w:szCs w:val="22"/>
        </w:rPr>
      </w:pPr>
    </w:p>
    <w:p w14:paraId="275FA0BE" w14:textId="77777777" w:rsidR="008E60BA" w:rsidRDefault="008E60BA" w:rsidP="00431072">
      <w:pPr>
        <w:spacing w:after="0"/>
        <w:rPr>
          <w:sz w:val="22"/>
          <w:szCs w:val="22"/>
        </w:rPr>
      </w:pPr>
      <w:r w:rsidRPr="008E60BA">
        <w:rPr>
          <w:b/>
          <w:bCs/>
          <w:sz w:val="22"/>
          <w:szCs w:val="22"/>
        </w:rPr>
        <w:t>SB2323 / HB2101</w:t>
      </w:r>
      <w:r w:rsidRPr="008E60BA">
        <w:rPr>
          <w:sz w:val="22"/>
          <w:szCs w:val="22"/>
        </w:rPr>
        <w:t xml:space="preserve"> - Deals with ephedrine or pseudoephedrine, this proposal increases the annual amount that can be purchased and directs reporting be done by electronic sales tracking system. </w:t>
      </w:r>
    </w:p>
    <w:p w14:paraId="7E99F991" w14:textId="77777777" w:rsidR="008E60BA" w:rsidRDefault="008E60BA" w:rsidP="00431072">
      <w:pPr>
        <w:spacing w:after="0"/>
        <w:rPr>
          <w:sz w:val="22"/>
          <w:szCs w:val="22"/>
        </w:rPr>
      </w:pPr>
    </w:p>
    <w:p w14:paraId="77361286" w14:textId="77777777" w:rsidR="008E60BA" w:rsidRDefault="008E60BA" w:rsidP="00431072">
      <w:pPr>
        <w:spacing w:after="0"/>
        <w:rPr>
          <w:sz w:val="22"/>
          <w:szCs w:val="22"/>
        </w:rPr>
      </w:pPr>
      <w:r w:rsidRPr="008E60BA">
        <w:rPr>
          <w:b/>
          <w:bCs/>
          <w:sz w:val="22"/>
          <w:szCs w:val="22"/>
        </w:rPr>
        <w:t>SB2556 / HB2136</w:t>
      </w:r>
      <w:r w:rsidRPr="008E60BA">
        <w:rPr>
          <w:sz w:val="22"/>
          <w:szCs w:val="22"/>
        </w:rPr>
        <w:t xml:space="preserve"> - Deals with scheduling of drugs at the State level as they are approved for use/rescheduled at the Federal level. </w:t>
      </w:r>
    </w:p>
    <w:p w14:paraId="4E3A4044" w14:textId="77777777" w:rsidR="008E60BA" w:rsidRDefault="008E60BA" w:rsidP="00431072">
      <w:pPr>
        <w:spacing w:after="0"/>
        <w:rPr>
          <w:sz w:val="22"/>
          <w:szCs w:val="22"/>
        </w:rPr>
      </w:pPr>
    </w:p>
    <w:p w14:paraId="0D4E6D46" w14:textId="77777777" w:rsidR="008E60BA" w:rsidRDefault="008E60BA" w:rsidP="00431072">
      <w:pPr>
        <w:spacing w:after="0"/>
        <w:rPr>
          <w:sz w:val="22"/>
          <w:szCs w:val="22"/>
        </w:rPr>
      </w:pPr>
      <w:r w:rsidRPr="008E60BA">
        <w:rPr>
          <w:b/>
          <w:bCs/>
          <w:sz w:val="22"/>
          <w:szCs w:val="22"/>
        </w:rPr>
        <w:t>SB2242 / HB2557</w:t>
      </w:r>
      <w:r w:rsidRPr="008E60BA">
        <w:rPr>
          <w:sz w:val="22"/>
          <w:szCs w:val="22"/>
        </w:rPr>
        <w:t xml:space="preserve"> - Expands the scope of practice for pharmacists. Will require new rules most likely. </w:t>
      </w:r>
    </w:p>
    <w:p w14:paraId="0DBD727E" w14:textId="77777777" w:rsidR="008E60BA" w:rsidRDefault="008E60BA" w:rsidP="00431072">
      <w:pPr>
        <w:spacing w:after="0"/>
        <w:rPr>
          <w:sz w:val="22"/>
          <w:szCs w:val="22"/>
        </w:rPr>
      </w:pPr>
    </w:p>
    <w:p w14:paraId="5DAF683A" w14:textId="77777777" w:rsidR="008E60BA" w:rsidRDefault="008E60BA" w:rsidP="00431072">
      <w:pPr>
        <w:spacing w:after="0"/>
        <w:rPr>
          <w:sz w:val="22"/>
          <w:szCs w:val="22"/>
        </w:rPr>
      </w:pPr>
      <w:r w:rsidRPr="008E60BA">
        <w:rPr>
          <w:b/>
          <w:bCs/>
          <w:sz w:val="22"/>
          <w:szCs w:val="22"/>
        </w:rPr>
        <w:t>SBSB2437 / HB2173</w:t>
      </w:r>
      <w:r w:rsidRPr="008E60BA">
        <w:rPr>
          <w:sz w:val="22"/>
          <w:szCs w:val="22"/>
        </w:rPr>
        <w:t xml:space="preserve"> - As introduced, authorizes an owner or person in legal possession of drugs or devices deemed adulterated to request a show cause hearing electronically, rather than strictly in writing.</w:t>
      </w:r>
    </w:p>
    <w:p w14:paraId="4CF3AFD0" w14:textId="77777777" w:rsidR="008E60BA" w:rsidRDefault="008E60BA" w:rsidP="00431072">
      <w:pPr>
        <w:spacing w:after="0"/>
        <w:rPr>
          <w:sz w:val="22"/>
          <w:szCs w:val="22"/>
        </w:rPr>
      </w:pPr>
    </w:p>
    <w:p w14:paraId="2925BD9D" w14:textId="3BACA3CB" w:rsidR="008E60BA" w:rsidRDefault="008E60BA" w:rsidP="00431072">
      <w:pPr>
        <w:spacing w:after="0"/>
        <w:rPr>
          <w:sz w:val="22"/>
          <w:szCs w:val="22"/>
        </w:rPr>
      </w:pPr>
      <w:r w:rsidRPr="008E60BA">
        <w:rPr>
          <w:b/>
          <w:bCs/>
          <w:sz w:val="22"/>
          <w:szCs w:val="22"/>
        </w:rPr>
        <w:t>Rulemaking</w:t>
      </w:r>
      <w:r w:rsidRPr="008E60BA">
        <w:rPr>
          <w:sz w:val="22"/>
          <w:szCs w:val="22"/>
        </w:rPr>
        <w:t>: The BOP Rules Review Committee meets on March 26, and a number of issues will be discussed, including a complete BOP rule re-write. There is interest in condensing the rules and the chapters, if possible. The recent rule additions for Ambulatory Treatment Surgery Centers and Compounding have been set for rule making hearing on April 1.</w:t>
      </w:r>
    </w:p>
    <w:p w14:paraId="49D8B030" w14:textId="77777777" w:rsidR="00431072" w:rsidRPr="00442F3E" w:rsidRDefault="00431072" w:rsidP="007212F1">
      <w:pPr>
        <w:spacing w:after="0"/>
        <w:rPr>
          <w:rFonts w:cs="Times New Roman"/>
          <w:sz w:val="22"/>
          <w:szCs w:val="22"/>
        </w:rPr>
      </w:pPr>
    </w:p>
    <w:p w14:paraId="11667C5B" w14:textId="32EC0DA5" w:rsidR="00B64A62" w:rsidRPr="008E60BA" w:rsidRDefault="008E60BA" w:rsidP="007212F1">
      <w:pPr>
        <w:spacing w:after="0"/>
        <w:rPr>
          <w:b/>
          <w:bCs/>
          <w:sz w:val="22"/>
          <w:szCs w:val="22"/>
        </w:rPr>
      </w:pPr>
      <w:r w:rsidRPr="008E60BA">
        <w:rPr>
          <w:b/>
          <w:bCs/>
          <w:sz w:val="22"/>
          <w:szCs w:val="22"/>
        </w:rPr>
        <w:t>Financial Report</w:t>
      </w:r>
    </w:p>
    <w:p w14:paraId="004A5E0E" w14:textId="6D0BC670" w:rsidR="008E60BA" w:rsidRDefault="008E60BA" w:rsidP="007212F1">
      <w:pPr>
        <w:spacing w:after="0"/>
      </w:pPr>
      <w:r w:rsidRPr="008E60BA">
        <w:rPr>
          <w:sz w:val="22"/>
          <w:szCs w:val="22"/>
        </w:rPr>
        <w:t>Matthew McSpadden, Fiscal Director, presented the board with the fee increase proposal. After discussion, Ms. Foster made the motion to approve the fee increase proposal. Dr. Leinart seconded the motion. The motion carried</w:t>
      </w:r>
      <w:r>
        <w:t xml:space="preserve">. </w:t>
      </w:r>
    </w:p>
    <w:p w14:paraId="5BD1F653" w14:textId="77777777" w:rsidR="008E60BA" w:rsidRDefault="008E60BA" w:rsidP="007212F1">
      <w:pPr>
        <w:spacing w:after="0"/>
      </w:pPr>
    </w:p>
    <w:p w14:paraId="58ADAD13" w14:textId="2368DA62" w:rsidR="008E60BA" w:rsidRPr="008E60BA" w:rsidRDefault="008E60BA" w:rsidP="007212F1">
      <w:pPr>
        <w:spacing w:after="0"/>
        <w:rPr>
          <w:b/>
          <w:bCs/>
        </w:rPr>
      </w:pPr>
      <w:r w:rsidRPr="008E60BA">
        <w:rPr>
          <w:b/>
          <w:bCs/>
        </w:rPr>
        <w:t>Waiver 1140-01-.08 (3) (a) 8.</w:t>
      </w:r>
    </w:p>
    <w:p w14:paraId="61B7A966" w14:textId="7A2605AD" w:rsidR="008E60BA" w:rsidRDefault="008E60BA" w:rsidP="007212F1">
      <w:pPr>
        <w:spacing w:after="0"/>
      </w:pPr>
      <w:r>
        <w:t xml:space="preserve">Dr. Phillips made the motion to deny </w:t>
      </w:r>
      <w:r w:rsidRPr="0039241B">
        <w:rPr>
          <w:b/>
          <w:bCs/>
        </w:rPr>
        <w:t>PursueCare Rx</w:t>
      </w:r>
      <w:r>
        <w:t xml:space="preserve"> waiver request to continue to dispense prescription medication to Tennessee patients without a Tennessee licensed PIC. Ms. Foster seconded the motion. The motion carried. </w:t>
      </w:r>
    </w:p>
    <w:p w14:paraId="7F5474AD" w14:textId="77777777" w:rsidR="00B921FE" w:rsidRDefault="00B921FE" w:rsidP="007212F1">
      <w:pPr>
        <w:spacing w:after="0"/>
      </w:pPr>
    </w:p>
    <w:p w14:paraId="1BB06FCA" w14:textId="6F24D8F2" w:rsidR="00B921FE" w:rsidRPr="00B921FE" w:rsidRDefault="00B921FE" w:rsidP="007212F1">
      <w:pPr>
        <w:spacing w:after="0"/>
        <w:rPr>
          <w:b/>
          <w:bCs/>
        </w:rPr>
      </w:pPr>
      <w:r w:rsidRPr="00B921FE">
        <w:rPr>
          <w:b/>
          <w:bCs/>
        </w:rPr>
        <w:t>General Discussion</w:t>
      </w:r>
    </w:p>
    <w:p w14:paraId="6783A9F6" w14:textId="05FABD64" w:rsidR="00B921FE" w:rsidRDefault="00B921FE" w:rsidP="007212F1">
      <w:pPr>
        <w:spacing w:after="0"/>
      </w:pPr>
      <w:r>
        <w:t xml:space="preserve">Dr. Shell informed the board that NABP Foundation of Board of Directors have approved the continuation of travel grants for board members and staff to attend the American Pharmacist Association Institution on Substance Use Disorders (APhA Institute). After discussion, Ms. Foster made the motion to approve a board member or staff to attend the </w:t>
      </w:r>
      <w:r w:rsidR="0039241B">
        <w:t xml:space="preserve">American Pharmacist Association Institution on Substance Use Disorders (APhA Institute) in Salt Lake City, UT on May 27-30, 2026. Dr. Phillips seconded the motion. The motion carried. </w:t>
      </w:r>
    </w:p>
    <w:p w14:paraId="5C23B9EA" w14:textId="77777777" w:rsidR="0039241B" w:rsidRDefault="0039241B" w:rsidP="007212F1">
      <w:pPr>
        <w:spacing w:after="0"/>
      </w:pPr>
    </w:p>
    <w:p w14:paraId="5A709148" w14:textId="6CA7B319" w:rsidR="0039241B" w:rsidRDefault="0039241B" w:rsidP="007212F1">
      <w:pPr>
        <w:spacing w:after="0"/>
      </w:pPr>
      <w:r>
        <w:t xml:space="preserve">Dr. Phillips made the motion to adjourn at 3:49 p.m. Ms. Foster seconded the motion. The motion carried. </w:t>
      </w:r>
    </w:p>
    <w:p w14:paraId="0575C4CB" w14:textId="77777777" w:rsidR="00526D8B" w:rsidRDefault="00526D8B" w:rsidP="007212F1">
      <w:pPr>
        <w:spacing w:after="0"/>
      </w:pPr>
    </w:p>
    <w:p w14:paraId="594DA5CF" w14:textId="1A5DA8BE" w:rsidR="00526D8B" w:rsidRDefault="00526D8B" w:rsidP="007212F1">
      <w:pPr>
        <w:spacing w:after="0"/>
      </w:pPr>
      <w:r>
        <w:t>The minutes were approved and ratified at the September 29-</w:t>
      </w:r>
      <w:r w:rsidR="00AD7ADF">
        <w:t>3</w:t>
      </w:r>
      <w:r>
        <w:t xml:space="preserve">0, 2026 board meeting. </w:t>
      </w:r>
    </w:p>
    <w:sectPr w:rsidR="00526D8B">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Silvus" w:date="2025-07-23T20:08:00Z" w:initials="DS">
    <w:p w14:paraId="22C99887" w14:textId="77777777" w:rsidR="00C76F70" w:rsidRDefault="00C76F70" w:rsidP="00C76F70">
      <w:r>
        <w:rPr>
          <w:rStyle w:val="CommentReference"/>
        </w:rPr>
        <w:annotationRef/>
      </w:r>
      <w:r>
        <w:rPr>
          <w:rFonts w:ascii="Arial" w:eastAsia="Arial" w:hAnsi="Arial" w:cs="Arial"/>
          <w:sz w:val="22"/>
        </w:rPr>
        <w:t xml:space="preserve">+Paul.Burtch@tn.gov +Matthew.Gibbs@tn.gov </w:t>
      </w:r>
    </w:p>
    <w:p w14:paraId="2AED350E" w14:textId="77777777" w:rsidR="00C76F70" w:rsidRDefault="00C76F70" w:rsidP="00C76F70">
      <w:r>
        <w:rPr>
          <w:rFonts w:ascii="Arial" w:eastAsia="Arial" w:hAnsi="Arial" w:cs="Arial"/>
          <w:sz w:val="22"/>
        </w:rPr>
        <w:t>Paul and Matt, don't we need the heading for these affected rules?  I'm sending this on to MKB due to time, but please look at this.</w:t>
      </w:r>
    </w:p>
  </w:comment>
  <w:comment w:id="1" w:author="Paul Burtch" w:date="2025-07-24T09:28:00Z" w:initials="PB">
    <w:p w14:paraId="691934E6" w14:textId="77777777" w:rsidR="00C76F70" w:rsidRDefault="00C76F70">
      <w:r>
        <w:rPr>
          <w:rStyle w:val="CommentReference"/>
        </w:rPr>
        <w:annotationRef/>
      </w:r>
      <w:r>
        <w:rPr>
          <w:rFonts w:ascii="Arial" w:eastAsia="Arial" w:hAnsi="Arial" w:cs="Arial"/>
          <w:sz w:val="22"/>
        </w:rPr>
        <w:t>This has been added.</w:t>
      </w:r>
    </w:p>
  </w:comment>
  <w:comment w:id="2" w:author="David Silvus" w:date="2025-07-23T20:13:00Z" w:initials="DS">
    <w:p w14:paraId="070F3B18" w14:textId="77777777" w:rsidR="00C76F70" w:rsidRDefault="00C76F70" w:rsidP="00C76F70">
      <w:r>
        <w:rPr>
          <w:rStyle w:val="CommentReference"/>
        </w:rPr>
        <w:annotationRef/>
      </w:r>
      <w:r>
        <w:rPr>
          <w:rFonts w:ascii="Arial" w:eastAsia="Arial" w:hAnsi="Arial" w:cs="Arial"/>
          <w:sz w:val="22"/>
        </w:rPr>
        <w:t xml:space="preserve">+Paul.Burtch@tn.gov +Matthew.Gibbs@tn.gov </w:t>
      </w:r>
    </w:p>
    <w:p w14:paraId="6E5AAB88" w14:textId="77777777" w:rsidR="00C76F70" w:rsidRDefault="00C76F70" w:rsidP="00C76F70">
      <w:r>
        <w:rPr>
          <w:rFonts w:ascii="Arial" w:eastAsia="Arial" w:hAnsi="Arial" w:cs="Arial"/>
          <w:sz w:val="22"/>
        </w:rPr>
        <w:t>I don't know what's up with the boxes around the text here.  Sending this on to MKB, but please look at this.</w:t>
      </w:r>
    </w:p>
  </w:comment>
  <w:comment w:id="3" w:author="Paul Burtch" w:date="2025-07-24T09:04:00Z" w:initials="PB">
    <w:p w14:paraId="277379DE" w14:textId="77777777" w:rsidR="00C76F70" w:rsidRDefault="00C76F70">
      <w:r>
        <w:rPr>
          <w:rStyle w:val="CommentReference"/>
        </w:rPr>
        <w:annotationRef/>
      </w:r>
      <w:r>
        <w:rPr>
          <w:rFonts w:ascii="Arial" w:eastAsia="Arial" w:hAnsi="Arial" w:cs="Arial"/>
          <w:sz w:val="22"/>
        </w:rPr>
        <w:t>The boxes happen when you have tracked changes on and you are formatting or changing the font of tracked changes. I usually turn off tracked changes to do this and I'm not sure why I didn't catch it right away. You can hit control Z right after you do it to undo it, but for this I'll have to accept each change individually.</w:t>
      </w:r>
    </w:p>
  </w:comment>
  <w:comment w:id="4" w:author="Paul Burtch" w:date="2025-07-24T09:10:00Z" w:initials="PB">
    <w:p w14:paraId="1416FE10" w14:textId="77777777" w:rsidR="00C76F70" w:rsidRDefault="00C76F70">
      <w:r>
        <w:rPr>
          <w:rStyle w:val="CommentReference"/>
        </w:rPr>
        <w:annotationRef/>
      </w:r>
      <w:r>
        <w:rPr>
          <w:rFonts w:ascii="Arial" w:eastAsia="Arial" w:hAnsi="Arial" w:cs="Arial"/>
          <w:sz w:val="22"/>
        </w:rPr>
        <w:t>I'm pretty sure it wouldn't be visible when exporting to Word</w:t>
      </w:r>
    </w:p>
  </w:comment>
  <w:comment w:id="5" w:author="David Silvus" w:date="2025-07-23T20:12:00Z" w:initials="DS">
    <w:p w14:paraId="511D5912" w14:textId="77777777" w:rsidR="00C76F70" w:rsidRDefault="00C76F70" w:rsidP="00C76F70">
      <w:r>
        <w:rPr>
          <w:rStyle w:val="CommentReference"/>
        </w:rPr>
        <w:annotationRef/>
      </w:r>
      <w:r>
        <w:rPr>
          <w:rFonts w:ascii="Arial" w:eastAsia="Arial" w:hAnsi="Arial" w:cs="Arial"/>
          <w:sz w:val="22"/>
        </w:rPr>
        <w:t xml:space="preserve">+Paul.Burtch@tn.gov +Matthew.Gibbs@tn.gov </w:t>
      </w:r>
    </w:p>
    <w:p w14:paraId="6DEED649" w14:textId="77777777" w:rsidR="00C76F70" w:rsidRDefault="00C76F70" w:rsidP="00C76F70">
      <w:r>
        <w:rPr>
          <w:rFonts w:ascii="Arial" w:eastAsia="Arial" w:hAnsi="Arial" w:cs="Arial"/>
          <w:sz w:val="22"/>
        </w:rPr>
        <w:t>I'm not sure why this is here.  I'm going to send it on up to MKB due to time, but please look at this.</w:t>
      </w:r>
    </w:p>
  </w:comment>
  <w:comment w:id="6" w:author="David Silvus" w:date="2025-07-24T11:10:00Z" w:initials="DS">
    <w:p w14:paraId="7E9FAB0C" w14:textId="77777777" w:rsidR="00C76F70" w:rsidRDefault="00C76F70" w:rsidP="00C76F70">
      <w:r>
        <w:rPr>
          <w:rStyle w:val="CommentReference"/>
        </w:rPr>
        <w:annotationRef/>
      </w:r>
      <w:r>
        <w:rPr>
          <w:rFonts w:ascii="Arial" w:eastAsia="Arial" w:hAnsi="Arial" w:cs="Arial"/>
          <w:sz w:val="22"/>
        </w:rPr>
        <w:t xml:space="preserve">+Matthew.Gibbs@tn.gov +Mary.K.Bratton@tn.gov </w:t>
      </w:r>
    </w:p>
    <w:p w14:paraId="4E71E75D" w14:textId="77777777" w:rsidR="00C76F70" w:rsidRDefault="00C76F70" w:rsidP="00C76F70">
      <w:r>
        <w:rPr>
          <w:rFonts w:ascii="Arial" w:eastAsia="Arial" w:hAnsi="Arial" w:cs="Arial"/>
          <w:sz w:val="22"/>
        </w:rPr>
        <w:t>The way this is drafted, if an ASTC stores or dispenses prescription drug products and/or prescription devices, it is an ASTC pharmacy and requires a license.</w:t>
      </w:r>
    </w:p>
    <w:p w14:paraId="02C5CC4E" w14:textId="77777777" w:rsidR="00C76F70" w:rsidRDefault="00C76F70" w:rsidP="00C76F70"/>
    <w:p w14:paraId="793B86ED" w14:textId="77777777" w:rsidR="00C76F70" w:rsidRDefault="00C76F70" w:rsidP="00C76F70">
      <w:r>
        <w:rPr>
          <w:rFonts w:ascii="Arial" w:eastAsia="Arial" w:hAnsi="Arial" w:cs="Arial"/>
          <w:sz w:val="22"/>
        </w:rPr>
        <w:t>I think replacing the proposed (1) to 1140-12-.02 with something that says the below fixes the issue, but I don't know that for sure:</w:t>
      </w:r>
    </w:p>
    <w:p w14:paraId="7BB433F3" w14:textId="77777777" w:rsidR="00C76F70" w:rsidRDefault="00C76F70" w:rsidP="00C76F70"/>
    <w:p w14:paraId="4B39D9CD" w14:textId="77777777" w:rsidR="00C76F70" w:rsidRDefault="00C76F70" w:rsidP="00C76F70">
      <w:r>
        <w:rPr>
          <w:rFonts w:ascii="Arial" w:eastAsia="Arial" w:hAnsi="Arial" w:cs="Arial"/>
          <w:sz w:val="22"/>
        </w:rPr>
        <w:t>"These rules do not limit or restrict an ASTC's authority to store or dispense prescription drug products and/or prescription devices. An ASTC pharmacy license is not required for an ASTC to store or dispense prescription drug products and/or prescription devices."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ED350E" w15:done="1"/>
  <w15:commentEx w15:paraId="691934E6" w15:paraIdParent="2AED350E" w15:done="1"/>
  <w15:commentEx w15:paraId="6E5AAB88" w15:done="1"/>
  <w15:commentEx w15:paraId="277379DE" w15:paraIdParent="6E5AAB88" w15:done="1"/>
  <w15:commentEx w15:paraId="1416FE10" w15:paraIdParent="6E5AAB88" w15:done="1"/>
  <w15:commentEx w15:paraId="6DEED649" w15:done="1"/>
  <w15:commentEx w15:paraId="4B39D9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EBD7F0" w16cex:dateUtc="2025-07-24T01:08:00Z"/>
  <w16cex:commentExtensible w16cex:durableId="2703A579" w16cex:dateUtc="2025-07-24T14:28:00Z"/>
  <w16cex:commentExtensible w16cex:durableId="66421CEC" w16cex:dateUtc="2025-07-24T01:13:00Z"/>
  <w16cex:commentExtensible w16cex:durableId="4E46E98C" w16cex:dateUtc="2025-07-24T14:04:00Z"/>
  <w16cex:commentExtensible w16cex:durableId="7D04B838" w16cex:dateUtc="2025-07-24T14:10:00Z"/>
  <w16cex:commentExtensible w16cex:durableId="39919B1D" w16cex:dateUtc="2025-07-24T01:12:00Z"/>
  <w16cex:commentExtensible w16cex:durableId="3DB6ED98" w16cex:dateUtc="2025-07-24T1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ED350E" w16cid:durableId="65EBD7F0"/>
  <w16cid:commentId w16cid:paraId="691934E6" w16cid:durableId="2703A579"/>
  <w16cid:commentId w16cid:paraId="6E5AAB88" w16cid:durableId="66421CEC"/>
  <w16cid:commentId w16cid:paraId="277379DE" w16cid:durableId="4E46E98C"/>
  <w16cid:commentId w16cid:paraId="1416FE10" w16cid:durableId="7D04B838"/>
  <w16cid:commentId w16cid:paraId="6DEED649" w16cid:durableId="39919B1D"/>
  <w16cid:commentId w16cid:paraId="4B39D9CD" w16cid:durableId="3DB6ED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A7C9" w14:textId="77777777" w:rsidR="002467E9" w:rsidRDefault="002467E9" w:rsidP="00BA5D64">
      <w:pPr>
        <w:spacing w:after="0" w:line="240" w:lineRule="auto"/>
      </w:pPr>
      <w:r>
        <w:separator/>
      </w:r>
    </w:p>
  </w:endnote>
  <w:endnote w:type="continuationSeparator" w:id="0">
    <w:p w14:paraId="40D6BE44" w14:textId="77777777" w:rsidR="002467E9" w:rsidRDefault="002467E9" w:rsidP="00BA5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auto"/>
    <w:pitch w:val="default"/>
  </w:font>
  <w:font w:name="Times New Roman (Body C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4701" w14:textId="77777777" w:rsidR="00BA5D64" w:rsidRDefault="00BA5D64">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67EEB9A8" w14:textId="77777777" w:rsidR="00BA5D64" w:rsidRDefault="00BA5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B8FB" w14:textId="77777777" w:rsidR="002467E9" w:rsidRDefault="002467E9" w:rsidP="00BA5D64">
      <w:pPr>
        <w:spacing w:after="0" w:line="240" w:lineRule="auto"/>
      </w:pPr>
      <w:r>
        <w:separator/>
      </w:r>
    </w:p>
  </w:footnote>
  <w:footnote w:type="continuationSeparator" w:id="0">
    <w:p w14:paraId="24E31D08" w14:textId="77777777" w:rsidR="002467E9" w:rsidRDefault="002467E9" w:rsidP="00BA5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478F3" w14:textId="25D4BE0A" w:rsidR="00BA5D64" w:rsidRDefault="00BA5D64">
    <w:pPr>
      <w:pStyle w:val="Header"/>
    </w:pPr>
    <w:r>
      <w:t>Tennessee Board of Pharmacy</w:t>
    </w:r>
  </w:p>
  <w:p w14:paraId="12F223A3" w14:textId="1D624D2B" w:rsidR="00BA5D64" w:rsidRDefault="00BA5D64">
    <w:pPr>
      <w:pStyle w:val="Header"/>
    </w:pPr>
    <w:r>
      <w:t>Board Meeting</w:t>
    </w:r>
  </w:p>
  <w:p w14:paraId="607657A8" w14:textId="06502A40" w:rsidR="00BA5D64" w:rsidRDefault="00BA5D64">
    <w:pPr>
      <w:pStyle w:val="Header"/>
    </w:pPr>
    <w:r>
      <w:t>April 1-2, 2026</w:t>
    </w:r>
  </w:p>
  <w:p w14:paraId="4764D1E7" w14:textId="77777777" w:rsidR="00BA5D64" w:rsidRDefault="00BA5D64">
    <w:pPr>
      <w:pStyle w:val="Header"/>
    </w:pPr>
  </w:p>
  <w:p w14:paraId="1864B463" w14:textId="77777777" w:rsidR="00BA5D64" w:rsidRDefault="00BA5D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D01"/>
    <w:multiLevelType w:val="multilevel"/>
    <w:tmpl w:val="23D63E6C"/>
    <w:lvl w:ilvl="0">
      <w:start w:val="1"/>
      <w:numFmt w:val="bullet"/>
      <w:lvlText w:val=""/>
      <w:lvlJc w:val="left"/>
      <w:pPr>
        <w:tabs>
          <w:tab w:val="num" w:pos="1080"/>
        </w:tabs>
        <w:ind w:left="108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A4F2077"/>
    <w:multiLevelType w:val="multilevel"/>
    <w:tmpl w:val="587056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right"/>
      <w:pPr>
        <w:ind w:left="3240" w:hanging="360"/>
      </w:pPr>
    </w:lvl>
  </w:abstractNum>
  <w:abstractNum w:abstractNumId="2" w15:restartNumberingAfterBreak="0">
    <w:nsid w:val="0D7A2D90"/>
    <w:multiLevelType w:val="multilevel"/>
    <w:tmpl w:val="3D6CC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1E9164CA"/>
    <w:multiLevelType w:val="multilevel"/>
    <w:tmpl w:val="D45A35EC"/>
    <w:lvl w:ilvl="0">
      <w:start w:val="1"/>
      <w:numFmt w:val="decimal"/>
      <w:lvlText w:val="%1."/>
      <w:lvlJc w:val="left"/>
      <w:pPr>
        <w:tabs>
          <w:tab w:val="num" w:pos="1080"/>
        </w:tabs>
        <w:ind w:left="108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29DA492F"/>
    <w:multiLevelType w:val="multilevel"/>
    <w:tmpl w:val="89C007E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5" w15:restartNumberingAfterBreak="0">
    <w:nsid w:val="2A3603B2"/>
    <w:multiLevelType w:val="multilevel"/>
    <w:tmpl w:val="C2F26400"/>
    <w:lvl w:ilvl="0">
      <w:start w:val="1"/>
      <w:numFmt w:val="bulle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2C21315F"/>
    <w:multiLevelType w:val="multilevel"/>
    <w:tmpl w:val="ACA00074"/>
    <w:lvl w:ilvl="0">
      <w:start w:val="1"/>
      <w:numFmt w:val="decimal"/>
      <w:lvlText w:val="%1."/>
      <w:lvlJc w:val="left"/>
      <w:pPr>
        <w:tabs>
          <w:tab w:val="num" w:pos="1800"/>
        </w:tabs>
        <w:ind w:left="180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31F425B5"/>
    <w:multiLevelType w:val="multilevel"/>
    <w:tmpl w:val="8E4A3A44"/>
    <w:lvl w:ilvl="0">
      <w:start w:val="1"/>
      <w:numFmt w:val="decimal"/>
      <w:suff w:val="space"/>
      <w:lvlText w:val="%1."/>
      <w:lvlJc w:val="left"/>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8" w15:restartNumberingAfterBreak="0">
    <w:nsid w:val="33296705"/>
    <w:multiLevelType w:val="multilevel"/>
    <w:tmpl w:val="E7A069B8"/>
    <w:lvl w:ilvl="0">
      <w:start w:val="1"/>
      <w:numFmt w:val="bullet"/>
      <w:lvlText w:val=""/>
      <w:lvlJc w:val="left"/>
      <w:pPr>
        <w:tabs>
          <w:tab w:val="num" w:pos="720"/>
        </w:tabs>
        <w:ind w:left="72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34EE5140"/>
    <w:multiLevelType w:val="multilevel"/>
    <w:tmpl w:val="80FCC212"/>
    <w:lvl w:ilvl="0">
      <w:start w:val="1"/>
      <w:numFmt w:val="bullet"/>
      <w:lvlText w:val=""/>
      <w:lvlJc w:val="left"/>
      <w:pPr>
        <w:tabs>
          <w:tab w:val="num" w:pos="1440"/>
        </w:tabs>
        <w:ind w:left="144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3D1341C4"/>
    <w:multiLevelType w:val="hybridMultilevel"/>
    <w:tmpl w:val="3A38D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7627F"/>
    <w:multiLevelType w:val="multilevel"/>
    <w:tmpl w:val="ECDA0914"/>
    <w:lvl w:ilvl="0">
      <w:start w:val="1"/>
      <w:numFmt w:val="decimal"/>
      <w:lvlText w:val="%1."/>
      <w:lvlJc w:val="left"/>
      <w:pPr>
        <w:tabs>
          <w:tab w:val="num" w:pos="1440"/>
        </w:tabs>
        <w:ind w:left="144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5559116B"/>
    <w:multiLevelType w:val="multilevel"/>
    <w:tmpl w:val="EF54116A"/>
    <w:lvl w:ilvl="0">
      <w:start w:val="1"/>
      <w:numFmt w:val="bullet"/>
      <w:lvlText w:val=""/>
      <w:lvlJc w:val="left"/>
      <w:pPr>
        <w:tabs>
          <w:tab w:val="num" w:pos="1800"/>
        </w:tabs>
        <w:ind w:left="180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59DE4875"/>
    <w:multiLevelType w:val="multilevel"/>
    <w:tmpl w:val="EA72D8CE"/>
    <w:lvl w:ilvl="0">
      <w:start w:val="2"/>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9ED1E61"/>
    <w:multiLevelType w:val="multilevel"/>
    <w:tmpl w:val="277E525E"/>
    <w:lvl w:ilvl="0">
      <w:start w:val="1"/>
      <w:numFmt w:val="decimal"/>
      <w:lvlText w:val="%1."/>
      <w:lvlJc w:val="left"/>
      <w:pPr>
        <w:tabs>
          <w:tab w:val="num" w:pos="720"/>
        </w:tabs>
        <w:ind w:left="72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5FA3490C"/>
    <w:multiLevelType w:val="multilevel"/>
    <w:tmpl w:val="1736F4D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right"/>
      <w:pPr>
        <w:ind w:left="3240" w:hanging="360"/>
      </w:pPr>
    </w:lvl>
  </w:abstractNum>
  <w:abstractNum w:abstractNumId="16" w15:restartNumberingAfterBreak="0">
    <w:nsid w:val="651A5F91"/>
    <w:multiLevelType w:val="multilevel"/>
    <w:tmpl w:val="0AFEEE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E8B2246"/>
    <w:multiLevelType w:val="multilevel"/>
    <w:tmpl w:val="38D46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15:restartNumberingAfterBreak="0">
    <w:nsid w:val="761C5EB1"/>
    <w:multiLevelType w:val="multilevel"/>
    <w:tmpl w:val="CCCC4D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9" w15:restartNumberingAfterBreak="0">
    <w:nsid w:val="796269FC"/>
    <w:multiLevelType w:val="multilevel"/>
    <w:tmpl w:val="5B1A8008"/>
    <w:lvl w:ilvl="0">
      <w:start w:val="1"/>
      <w:numFmt w:val="decimal"/>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1945191483">
    <w:abstractNumId w:val="10"/>
  </w:num>
  <w:num w:numId="2" w16cid:durableId="2753515">
    <w:abstractNumId w:val="4"/>
  </w:num>
  <w:num w:numId="3" w16cid:durableId="1404720193">
    <w:abstractNumId w:val="6"/>
  </w:num>
  <w:num w:numId="4" w16cid:durableId="1406801021">
    <w:abstractNumId w:val="11"/>
  </w:num>
  <w:num w:numId="5" w16cid:durableId="747189209">
    <w:abstractNumId w:val="3"/>
  </w:num>
  <w:num w:numId="6" w16cid:durableId="1296133468">
    <w:abstractNumId w:val="14"/>
  </w:num>
  <w:num w:numId="7" w16cid:durableId="1927228946">
    <w:abstractNumId w:val="19"/>
  </w:num>
  <w:num w:numId="8" w16cid:durableId="1388454002">
    <w:abstractNumId w:val="12"/>
  </w:num>
  <w:num w:numId="9" w16cid:durableId="263460976">
    <w:abstractNumId w:val="9"/>
  </w:num>
  <w:num w:numId="10" w16cid:durableId="435057304">
    <w:abstractNumId w:val="0"/>
  </w:num>
  <w:num w:numId="11" w16cid:durableId="517544990">
    <w:abstractNumId w:val="8"/>
  </w:num>
  <w:num w:numId="12" w16cid:durableId="662785187">
    <w:abstractNumId w:val="5"/>
  </w:num>
  <w:num w:numId="13" w16cid:durableId="1439906929">
    <w:abstractNumId w:val="16"/>
  </w:num>
  <w:num w:numId="14" w16cid:durableId="1903444907">
    <w:abstractNumId w:val="18"/>
  </w:num>
  <w:num w:numId="15" w16cid:durableId="794983261">
    <w:abstractNumId w:val="7"/>
  </w:num>
  <w:num w:numId="16" w16cid:durableId="710612477">
    <w:abstractNumId w:val="2"/>
  </w:num>
  <w:num w:numId="17" w16cid:durableId="536503751">
    <w:abstractNumId w:val="17"/>
  </w:num>
  <w:num w:numId="18" w16cid:durableId="1722434006">
    <w:abstractNumId w:val="15"/>
  </w:num>
  <w:num w:numId="19" w16cid:durableId="1360619650">
    <w:abstractNumId w:val="1"/>
  </w:num>
  <w:num w:numId="20" w16cid:durableId="11417768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50"/>
    <w:rsid w:val="00044C61"/>
    <w:rsid w:val="00050150"/>
    <w:rsid w:val="00170838"/>
    <w:rsid w:val="001732C9"/>
    <w:rsid w:val="00173C9D"/>
    <w:rsid w:val="001838E0"/>
    <w:rsid w:val="001B445E"/>
    <w:rsid w:val="001B4933"/>
    <w:rsid w:val="00213F19"/>
    <w:rsid w:val="002167FF"/>
    <w:rsid w:val="00233578"/>
    <w:rsid w:val="002419C7"/>
    <w:rsid w:val="002467E9"/>
    <w:rsid w:val="00282E48"/>
    <w:rsid w:val="00293F97"/>
    <w:rsid w:val="002C4ADA"/>
    <w:rsid w:val="00330401"/>
    <w:rsid w:val="00362A0B"/>
    <w:rsid w:val="0039241B"/>
    <w:rsid w:val="00431072"/>
    <w:rsid w:val="00442F3E"/>
    <w:rsid w:val="00460C4F"/>
    <w:rsid w:val="00464542"/>
    <w:rsid w:val="00526D8B"/>
    <w:rsid w:val="0054273B"/>
    <w:rsid w:val="006E663C"/>
    <w:rsid w:val="00710EC2"/>
    <w:rsid w:val="007212F1"/>
    <w:rsid w:val="00746E10"/>
    <w:rsid w:val="00891225"/>
    <w:rsid w:val="008E60BA"/>
    <w:rsid w:val="0092592F"/>
    <w:rsid w:val="009546AB"/>
    <w:rsid w:val="009C233A"/>
    <w:rsid w:val="00AD7ADF"/>
    <w:rsid w:val="00B07C00"/>
    <w:rsid w:val="00B16AB2"/>
    <w:rsid w:val="00B64A62"/>
    <w:rsid w:val="00B921FE"/>
    <w:rsid w:val="00BA5D64"/>
    <w:rsid w:val="00C76F70"/>
    <w:rsid w:val="00CD7F19"/>
    <w:rsid w:val="00DC14B8"/>
    <w:rsid w:val="00E8750D"/>
    <w:rsid w:val="00F11CE4"/>
    <w:rsid w:val="00F43B1D"/>
    <w:rsid w:val="00FC765A"/>
    <w:rsid w:val="00FD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4117"/>
  <w15:chartTrackingRefBased/>
  <w15:docId w15:val="{0A32A0C9-272D-4323-A073-2D88A83A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150"/>
  </w:style>
  <w:style w:type="paragraph" w:styleId="Heading1">
    <w:name w:val="heading 1"/>
    <w:basedOn w:val="Normal"/>
    <w:next w:val="Normal"/>
    <w:link w:val="Heading1Char"/>
    <w:uiPriority w:val="9"/>
    <w:qFormat/>
    <w:rsid w:val="00050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0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50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50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50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050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050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050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050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0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50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50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50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050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05015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050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050150"/>
    <w:rPr>
      <w:rFonts w:eastAsiaTheme="majorEastAsia" w:cstheme="majorBidi"/>
      <w:color w:val="272727" w:themeColor="text1" w:themeTint="D8"/>
    </w:rPr>
  </w:style>
  <w:style w:type="paragraph" w:styleId="Title">
    <w:name w:val="Title"/>
    <w:basedOn w:val="Normal"/>
    <w:next w:val="Normal"/>
    <w:link w:val="TitleChar"/>
    <w:uiPriority w:val="10"/>
    <w:qFormat/>
    <w:rsid w:val="00050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150"/>
    <w:pPr>
      <w:spacing w:before="160"/>
      <w:jc w:val="center"/>
    </w:pPr>
    <w:rPr>
      <w:i/>
      <w:iCs/>
      <w:color w:val="404040" w:themeColor="text1" w:themeTint="BF"/>
    </w:rPr>
  </w:style>
  <w:style w:type="character" w:customStyle="1" w:styleId="QuoteChar">
    <w:name w:val="Quote Char"/>
    <w:basedOn w:val="DefaultParagraphFont"/>
    <w:link w:val="Quote"/>
    <w:uiPriority w:val="29"/>
    <w:rsid w:val="00050150"/>
    <w:rPr>
      <w:i/>
      <w:iCs/>
      <w:color w:val="404040" w:themeColor="text1" w:themeTint="BF"/>
    </w:rPr>
  </w:style>
  <w:style w:type="paragraph" w:styleId="ListParagraph">
    <w:name w:val="List Paragraph"/>
    <w:basedOn w:val="Normal"/>
    <w:uiPriority w:val="34"/>
    <w:qFormat/>
    <w:rsid w:val="00050150"/>
    <w:pPr>
      <w:ind w:left="720"/>
      <w:contextualSpacing/>
    </w:pPr>
  </w:style>
  <w:style w:type="character" w:styleId="IntenseEmphasis">
    <w:name w:val="Intense Emphasis"/>
    <w:basedOn w:val="DefaultParagraphFont"/>
    <w:uiPriority w:val="21"/>
    <w:qFormat/>
    <w:rsid w:val="00050150"/>
    <w:rPr>
      <w:i/>
      <w:iCs/>
      <w:color w:val="0F4761" w:themeColor="accent1" w:themeShade="BF"/>
    </w:rPr>
  </w:style>
  <w:style w:type="paragraph" w:styleId="IntenseQuote">
    <w:name w:val="Intense Quote"/>
    <w:basedOn w:val="Normal"/>
    <w:next w:val="Normal"/>
    <w:link w:val="IntenseQuoteChar"/>
    <w:uiPriority w:val="30"/>
    <w:qFormat/>
    <w:rsid w:val="00050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150"/>
    <w:rPr>
      <w:i/>
      <w:iCs/>
      <w:color w:val="0F4761" w:themeColor="accent1" w:themeShade="BF"/>
    </w:rPr>
  </w:style>
  <w:style w:type="character" w:styleId="IntenseReference">
    <w:name w:val="Intense Reference"/>
    <w:basedOn w:val="DefaultParagraphFont"/>
    <w:uiPriority w:val="32"/>
    <w:qFormat/>
    <w:rsid w:val="00050150"/>
    <w:rPr>
      <w:b/>
      <w:bCs/>
      <w:smallCaps/>
      <w:color w:val="0F4761" w:themeColor="accent1" w:themeShade="BF"/>
      <w:spacing w:val="5"/>
    </w:rPr>
  </w:style>
  <w:style w:type="paragraph" w:styleId="Header">
    <w:name w:val="header"/>
    <w:basedOn w:val="Normal"/>
    <w:link w:val="HeaderChar"/>
    <w:uiPriority w:val="99"/>
    <w:unhideWhenUsed/>
    <w:rsid w:val="00BA5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D64"/>
  </w:style>
  <w:style w:type="paragraph" w:styleId="Footer">
    <w:name w:val="footer"/>
    <w:basedOn w:val="Normal"/>
    <w:link w:val="FooterChar"/>
    <w:unhideWhenUsed/>
    <w:rsid w:val="00BA5D64"/>
    <w:pPr>
      <w:tabs>
        <w:tab w:val="center" w:pos="4680"/>
        <w:tab w:val="right" w:pos="9360"/>
      </w:tabs>
      <w:spacing w:after="0" w:line="240" w:lineRule="auto"/>
    </w:pPr>
  </w:style>
  <w:style w:type="character" w:customStyle="1" w:styleId="FooterChar">
    <w:name w:val="Footer Char"/>
    <w:basedOn w:val="DefaultParagraphFont"/>
    <w:link w:val="Footer"/>
    <w:rsid w:val="00BA5D64"/>
  </w:style>
  <w:style w:type="numbering" w:customStyle="1" w:styleId="NoList1">
    <w:name w:val="No List1"/>
    <w:next w:val="NoList"/>
    <w:uiPriority w:val="99"/>
    <w:semiHidden/>
    <w:unhideWhenUsed/>
    <w:rsid w:val="00C76F70"/>
  </w:style>
  <w:style w:type="character" w:styleId="PlaceholderText">
    <w:name w:val="Placeholder Text"/>
    <w:basedOn w:val="DefaultParagraphFont"/>
    <w:uiPriority w:val="99"/>
    <w:semiHidden/>
    <w:rsid w:val="00C76F70"/>
    <w:rPr>
      <w:color w:val="666666"/>
    </w:rPr>
  </w:style>
  <w:style w:type="table" w:customStyle="1" w:styleId="TableGridLight1">
    <w:name w:val="Table Grid Light1"/>
    <w:basedOn w:val="TableNormal"/>
    <w:next w:val="TableGridLight"/>
    <w:uiPriority w:val="59"/>
    <w:rsid w:val="00C76F7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
    <w:name w:val="Grid Table 1 Light - Accent 11"/>
    <w:basedOn w:val="TableNormal"/>
    <w:next w:val="GridTable1Light-Accent1"/>
    <w:uiPriority w:val="99"/>
    <w:rsid w:val="00C76F7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next w:val="GridTable1Light-Accent2"/>
    <w:uiPriority w:val="99"/>
    <w:rsid w:val="00C76F7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next w:val="GridTable1Light-Accent3"/>
    <w:uiPriority w:val="99"/>
    <w:rsid w:val="00C76F7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next w:val="GridTable1Light-Accent4"/>
    <w:uiPriority w:val="99"/>
    <w:rsid w:val="00C76F7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next w:val="GridTable1Light-Accent5"/>
    <w:uiPriority w:val="99"/>
    <w:rsid w:val="00C76F7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next w:val="GridTable1Light-Accent6"/>
    <w:uiPriority w:val="99"/>
    <w:rsid w:val="00C76F7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
    <w:name w:val="Grid Table 2 - Accent 11"/>
    <w:basedOn w:val="TableNormal"/>
    <w:next w:val="GridTable2-Accent1"/>
    <w:uiPriority w:val="99"/>
    <w:rsid w:val="00C76F7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TableNormal"/>
    <w:next w:val="GridTable2-Accent2"/>
    <w:uiPriority w:val="99"/>
    <w:rsid w:val="00C76F7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TableNormal"/>
    <w:next w:val="GridTable2-Accent3"/>
    <w:uiPriority w:val="99"/>
    <w:rsid w:val="00C76F7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TableNormal"/>
    <w:next w:val="GridTable2-Accent4"/>
    <w:uiPriority w:val="99"/>
    <w:rsid w:val="00C76F7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TableNormal"/>
    <w:next w:val="GridTable2-Accent5"/>
    <w:uiPriority w:val="99"/>
    <w:rsid w:val="00C76F7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TableNormal"/>
    <w:next w:val="GridTable2-Accent6"/>
    <w:uiPriority w:val="99"/>
    <w:rsid w:val="00C76F7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
    <w:name w:val="Grid Table 3 - Accent 11"/>
    <w:basedOn w:val="TableNormal"/>
    <w:next w:val="GridTable3-Accent1"/>
    <w:uiPriority w:val="99"/>
    <w:rsid w:val="00C76F7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TableNormal"/>
    <w:next w:val="GridTable3-Accent2"/>
    <w:uiPriority w:val="99"/>
    <w:rsid w:val="00C76F7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TableNormal"/>
    <w:next w:val="GridTable3-Accent3"/>
    <w:uiPriority w:val="99"/>
    <w:rsid w:val="00C76F7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TableNormal"/>
    <w:next w:val="GridTable3-Accent4"/>
    <w:uiPriority w:val="99"/>
    <w:rsid w:val="00C76F7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TableNormal"/>
    <w:next w:val="GridTable3-Accent5"/>
    <w:uiPriority w:val="99"/>
    <w:rsid w:val="00C76F7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TableNormal"/>
    <w:next w:val="GridTable3-Accent6"/>
    <w:uiPriority w:val="99"/>
    <w:rsid w:val="00C76F7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
    <w:name w:val="Grid Table 4 - Accent 11"/>
    <w:basedOn w:val="TableNormal"/>
    <w:next w:val="GridTable4-Accent1"/>
    <w:uiPriority w:val="59"/>
    <w:rsid w:val="00C76F7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TableNormal"/>
    <w:next w:val="GridTable4-Accent2"/>
    <w:uiPriority w:val="59"/>
    <w:rsid w:val="00C76F7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TableNormal"/>
    <w:next w:val="GridTable4-Accent3"/>
    <w:uiPriority w:val="59"/>
    <w:rsid w:val="00C76F7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TableNormal"/>
    <w:next w:val="GridTable4-Accent4"/>
    <w:uiPriority w:val="59"/>
    <w:rsid w:val="00C76F7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TableNormal"/>
    <w:next w:val="GridTable4-Accent5"/>
    <w:uiPriority w:val="59"/>
    <w:rsid w:val="00C76F7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TableNormal"/>
    <w:next w:val="GridTable4-Accent6"/>
    <w:uiPriority w:val="59"/>
    <w:rsid w:val="00C76F7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21">
    <w:name w:val="Grid Table 5 Dark - Accent 21"/>
    <w:basedOn w:val="TableNormal"/>
    <w:next w:val="GridTable5Dark-Accent2"/>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TableNormal"/>
    <w:next w:val="GridTable5Dark-Accent3"/>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51">
    <w:name w:val="Grid Table 5 Dark - Accent 51"/>
    <w:basedOn w:val="TableNormal"/>
    <w:next w:val="GridTable5Dark-Accent5"/>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TableNormal"/>
    <w:next w:val="GridTable5Dark-Accent6"/>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
    <w:name w:val="Grid Table 6 Colorful - Accent 11"/>
    <w:basedOn w:val="TableNormal"/>
    <w:next w:val="GridTable6Colorful-Accent1"/>
    <w:uiPriority w:val="99"/>
    <w:rsid w:val="00C76F7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next w:val="GridTable6Colorful-Accent2"/>
    <w:uiPriority w:val="99"/>
    <w:rsid w:val="00C76F7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next w:val="GridTable6Colorful-Accent3"/>
    <w:uiPriority w:val="99"/>
    <w:rsid w:val="00C76F7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next w:val="GridTable6Colorful-Accent4"/>
    <w:uiPriority w:val="99"/>
    <w:rsid w:val="00C76F7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next w:val="GridTable6Colorful-Accent5"/>
    <w:uiPriority w:val="99"/>
    <w:rsid w:val="00C76F7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next w:val="GridTable6Colorful-Accent6"/>
    <w:uiPriority w:val="99"/>
    <w:rsid w:val="00C76F7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
    <w:name w:val="Grid Table 7 Colorful - Accent 11"/>
    <w:basedOn w:val="TableNormal"/>
    <w:next w:val="GridTable7Colorful-Accent1"/>
    <w:uiPriority w:val="99"/>
    <w:rsid w:val="00C76F7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000000"/>
          <w:left w:val="none" w:sz="0" w:space="0" w:color="000000"/>
          <w:bottom w:val="single" w:sz="4" w:space="0" w:color="A6BFDD"/>
          <w:right w:val="none" w:sz="0" w:space="0" w:color="000000"/>
        </w:tcBorders>
        <w:shd w:val="clear" w:color="FFFFFF" w:fill="FFFFFF"/>
      </w:tcPr>
    </w:tblStylePr>
    <w:tblStylePr w:type="lastRow">
      <w:rPr>
        <w:rFonts w:ascii="Arial" w:hAnsi="Arial"/>
        <w:b/>
        <w:color w:val="A6BFDD"/>
        <w:sz w:val="22"/>
      </w:rPr>
      <w:tblPr/>
      <w:tcPr>
        <w:tcBorders>
          <w:top w:val="single" w:sz="4" w:space="0" w:color="A6B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6BFDD"/>
        <w:sz w:val="22"/>
      </w:rPr>
      <w:tblPr/>
      <w:tcPr>
        <w:tcBorders>
          <w:top w:val="none" w:sz="0" w:space="0" w:color="000000"/>
          <w:left w:val="none" w:sz="0" w:space="0" w:color="000000"/>
          <w:bottom w:val="none" w:sz="0" w:space="0" w:color="000000"/>
          <w:right w:val="single" w:sz="4" w:space="0" w:color="A6BFDD"/>
        </w:tcBorders>
        <w:shd w:val="clear" w:color="FFFFFF" w:fill="auto"/>
      </w:tcPr>
    </w:tblStylePr>
    <w:tblStylePr w:type="lastCol">
      <w:rPr>
        <w:rFonts w:ascii="Arial" w:hAnsi="Arial"/>
        <w:i/>
        <w:color w:val="A6BFDD"/>
        <w:sz w:val="22"/>
      </w:rPr>
      <w:tblPr/>
      <w:tcPr>
        <w:tcBorders>
          <w:top w:val="none" w:sz="0" w:space="0" w:color="000000"/>
          <w:left w:val="single" w:sz="4" w:space="0" w:color="A6BFDD"/>
          <w:bottom w:val="none" w:sz="0" w:space="0" w:color="000000"/>
          <w:right w:val="none" w:sz="0"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next w:val="GridTable7Colorful-Accent2"/>
    <w:uiPriority w:val="99"/>
    <w:rsid w:val="00C76F7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b/>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next w:val="GridTable7Colorful-Accent3"/>
    <w:uiPriority w:val="99"/>
    <w:rsid w:val="00C76F7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000000"/>
          <w:left w:val="none" w:sz="0" w:space="0" w:color="000000"/>
          <w:bottom w:val="single" w:sz="4" w:space="0" w:color="9ABB59"/>
          <w:right w:val="none" w:sz="0" w:space="0" w:color="000000"/>
        </w:tcBorders>
        <w:shd w:val="clear" w:color="FFFFFF" w:fill="FFFFFF"/>
      </w:tcPr>
    </w:tblStylePr>
    <w:tblStylePr w:type="lastRow">
      <w:rPr>
        <w:rFonts w:ascii="Arial" w:hAnsi="Arial"/>
        <w:b/>
        <w:color w:val="9ABB59"/>
        <w:sz w:val="22"/>
      </w:rPr>
      <w:tblPr/>
      <w:tcPr>
        <w:tcBorders>
          <w:top w:val="single" w:sz="4" w:space="0" w:color="9ABB5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ABB59"/>
        <w:sz w:val="22"/>
      </w:rPr>
      <w:tblPr/>
      <w:tcPr>
        <w:tcBorders>
          <w:top w:val="none" w:sz="0" w:space="0" w:color="000000"/>
          <w:left w:val="none" w:sz="0" w:space="0" w:color="000000"/>
          <w:bottom w:val="none" w:sz="0" w:space="0" w:color="000000"/>
          <w:right w:val="single" w:sz="4" w:space="0" w:color="9ABB59"/>
        </w:tcBorders>
        <w:shd w:val="clear" w:color="FFFFFF" w:fill="auto"/>
      </w:tcPr>
    </w:tblStylePr>
    <w:tblStylePr w:type="lastCol">
      <w:rPr>
        <w:rFonts w:ascii="Arial" w:hAnsi="Arial"/>
        <w:i/>
        <w:color w:val="9ABB59"/>
        <w:sz w:val="22"/>
      </w:rPr>
      <w:tblPr/>
      <w:tcPr>
        <w:tcBorders>
          <w:top w:val="none" w:sz="0" w:space="0" w:color="000000"/>
          <w:left w:val="single" w:sz="4" w:space="0" w:color="9ABB59"/>
          <w:bottom w:val="none" w:sz="0" w:space="0" w:color="000000"/>
          <w:right w:val="none" w:sz="0"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next w:val="GridTable7Colorful-Accent4"/>
    <w:uiPriority w:val="99"/>
    <w:rsid w:val="00C76F7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b/>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next w:val="GridTable7Colorful-Accent5"/>
    <w:uiPriority w:val="99"/>
    <w:rsid w:val="00C76F7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000000"/>
          <w:left w:val="none" w:sz="0" w:space="0" w:color="000000"/>
          <w:bottom w:val="single" w:sz="4" w:space="0" w:color="99D0DE"/>
          <w:right w:val="none" w:sz="0" w:space="0" w:color="000000"/>
        </w:tcBorders>
        <w:shd w:val="clear" w:color="FFFFFF" w:fill="FFFFFF"/>
      </w:tcPr>
    </w:tblStylePr>
    <w:tblStylePr w:type="lastRow">
      <w:rPr>
        <w:rFonts w:ascii="Arial" w:hAnsi="Arial"/>
        <w:b/>
        <w:color w:val="266779"/>
        <w:sz w:val="22"/>
      </w:rPr>
      <w:tblPr/>
      <w:tcPr>
        <w:tcBorders>
          <w:top w:val="single" w:sz="4" w:space="0" w:color="99D0D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66779"/>
        <w:sz w:val="22"/>
      </w:rPr>
      <w:tblPr/>
      <w:tcPr>
        <w:tcBorders>
          <w:top w:val="none" w:sz="0" w:space="0" w:color="000000"/>
          <w:left w:val="none" w:sz="0" w:space="0" w:color="000000"/>
          <w:bottom w:val="none" w:sz="0" w:space="0" w:color="000000"/>
          <w:right w:val="single" w:sz="4" w:space="0" w:color="99D0DE"/>
        </w:tcBorders>
        <w:shd w:val="clear" w:color="FFFFFF" w:fill="auto"/>
      </w:tcPr>
    </w:tblStylePr>
    <w:tblStylePr w:type="lastCol">
      <w:rPr>
        <w:rFonts w:ascii="Arial" w:hAnsi="Arial"/>
        <w:i/>
        <w:color w:val="266779"/>
        <w:sz w:val="22"/>
      </w:rPr>
      <w:tblPr/>
      <w:tcPr>
        <w:tcBorders>
          <w:top w:val="none" w:sz="0" w:space="0" w:color="000000"/>
          <w:left w:val="single" w:sz="4" w:space="0" w:color="99D0DE"/>
          <w:bottom w:val="none" w:sz="0" w:space="0" w:color="000000"/>
          <w:right w:val="none" w:sz="0"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next w:val="GridTable7Colorful-Accent6"/>
    <w:uiPriority w:val="99"/>
    <w:rsid w:val="00C76F7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000000"/>
          <w:left w:val="none" w:sz="0" w:space="0" w:color="000000"/>
          <w:bottom w:val="single" w:sz="4" w:space="0" w:color="FAC396"/>
          <w:right w:val="none" w:sz="0" w:space="0" w:color="000000"/>
        </w:tcBorders>
        <w:shd w:val="clear" w:color="FFFFFF" w:fill="FFFFFF"/>
      </w:tcPr>
    </w:tblStylePr>
    <w:tblStylePr w:type="lastRow">
      <w:rPr>
        <w:rFonts w:ascii="Arial" w:hAnsi="Arial"/>
        <w:b/>
        <w:color w:val="B15407"/>
        <w:sz w:val="22"/>
      </w:rPr>
      <w:tblPr/>
      <w:tcPr>
        <w:tcBorders>
          <w:top w:val="single" w:sz="4" w:space="0" w:color="FAC39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15407"/>
        <w:sz w:val="22"/>
      </w:rPr>
      <w:tblPr/>
      <w:tcPr>
        <w:tcBorders>
          <w:top w:val="none" w:sz="0" w:space="0" w:color="000000"/>
          <w:left w:val="none" w:sz="0" w:space="0" w:color="000000"/>
          <w:bottom w:val="none" w:sz="0" w:space="0" w:color="000000"/>
          <w:right w:val="single" w:sz="4" w:space="0" w:color="FAC396"/>
        </w:tcBorders>
        <w:shd w:val="clear" w:color="FFFFFF" w:fill="auto"/>
      </w:tcPr>
    </w:tblStylePr>
    <w:tblStylePr w:type="lastCol">
      <w:rPr>
        <w:rFonts w:ascii="Arial" w:hAnsi="Arial"/>
        <w:i/>
        <w:color w:val="B15407"/>
        <w:sz w:val="22"/>
      </w:rPr>
      <w:tblPr/>
      <w:tcPr>
        <w:tcBorders>
          <w:top w:val="none" w:sz="0" w:space="0" w:color="000000"/>
          <w:left w:val="single" w:sz="4" w:space="0" w:color="FAC396"/>
          <w:bottom w:val="none" w:sz="0" w:space="0" w:color="000000"/>
          <w:right w:val="none" w:sz="0"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
    <w:name w:val="List Table 1 Light - Accent 11"/>
    <w:basedOn w:val="TableNormal"/>
    <w:next w:val="ListTable1Light-Accent1"/>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TableNormal"/>
    <w:next w:val="ListTable1Light-Accent2"/>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TableNormal"/>
    <w:next w:val="ListTable1Light-Accent3"/>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TableNormal"/>
    <w:next w:val="ListTable1Light-Accent4"/>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TableNormal"/>
    <w:next w:val="ListTable1Light-Accent5"/>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TableNormal"/>
    <w:next w:val="ListTable1Light-Accent6"/>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
    <w:name w:val="List Table 2 - Accent 11"/>
    <w:basedOn w:val="TableNormal"/>
    <w:next w:val="ListTable2-Accent1"/>
    <w:uiPriority w:val="99"/>
    <w:rsid w:val="00C76F7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TableNormal"/>
    <w:next w:val="ListTable2-Accent2"/>
    <w:uiPriority w:val="99"/>
    <w:rsid w:val="00C76F7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TableNormal"/>
    <w:next w:val="ListTable2-Accent3"/>
    <w:uiPriority w:val="99"/>
    <w:rsid w:val="00C76F7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TableNormal"/>
    <w:next w:val="ListTable2-Accent4"/>
    <w:uiPriority w:val="99"/>
    <w:rsid w:val="00C76F7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TableNormal"/>
    <w:next w:val="ListTable2-Accent5"/>
    <w:uiPriority w:val="99"/>
    <w:rsid w:val="00C76F7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TableNormal"/>
    <w:next w:val="ListTable2-Accent6"/>
    <w:uiPriority w:val="99"/>
    <w:rsid w:val="00C76F7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
    <w:name w:val="List Table 3 - Accent 11"/>
    <w:basedOn w:val="TableNormal"/>
    <w:next w:val="ListTable3-Accent1"/>
    <w:uiPriority w:val="99"/>
    <w:rsid w:val="00C76F7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next w:val="ListTable3-Accent2"/>
    <w:uiPriority w:val="99"/>
    <w:rsid w:val="00C76F7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next w:val="ListTable3-Accent3"/>
    <w:uiPriority w:val="99"/>
    <w:rsid w:val="00C76F7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next w:val="ListTable3-Accent4"/>
    <w:uiPriority w:val="99"/>
    <w:rsid w:val="00C76F7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next w:val="ListTable3-Accent5"/>
    <w:uiPriority w:val="99"/>
    <w:rsid w:val="00C76F7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next w:val="ListTable3-Accent6"/>
    <w:uiPriority w:val="99"/>
    <w:rsid w:val="00C76F7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
    <w:name w:val="List Table 4 - Accent 11"/>
    <w:basedOn w:val="TableNormal"/>
    <w:next w:val="ListTable4-Accent1"/>
    <w:uiPriority w:val="99"/>
    <w:rsid w:val="00C76F7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TableNormal"/>
    <w:next w:val="ListTable4-Accent2"/>
    <w:uiPriority w:val="99"/>
    <w:rsid w:val="00C76F7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TableNormal"/>
    <w:next w:val="ListTable4-Accent3"/>
    <w:uiPriority w:val="99"/>
    <w:rsid w:val="00C76F7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TableNormal"/>
    <w:next w:val="ListTable4-Accent4"/>
    <w:uiPriority w:val="99"/>
    <w:rsid w:val="00C76F7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TableNormal"/>
    <w:next w:val="ListTable4-Accent5"/>
    <w:uiPriority w:val="99"/>
    <w:rsid w:val="00C76F7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TableNormal"/>
    <w:next w:val="ListTable4-Accent6"/>
    <w:uiPriority w:val="99"/>
    <w:rsid w:val="00C76F7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
    <w:name w:val="List Table 5 Dark - Accent 11"/>
    <w:basedOn w:val="TableNormal"/>
    <w:next w:val="ListTable5Dark-Accent1"/>
    <w:uiPriority w:val="99"/>
    <w:rsid w:val="00C76F7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TableNormal"/>
    <w:next w:val="ListTable5Dark-Accent2"/>
    <w:uiPriority w:val="99"/>
    <w:rsid w:val="00C76F7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TableNormal"/>
    <w:next w:val="ListTable5Dark-Accent3"/>
    <w:uiPriority w:val="99"/>
    <w:rsid w:val="00C76F7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TableNormal"/>
    <w:next w:val="ListTable5Dark-Accent4"/>
    <w:uiPriority w:val="99"/>
    <w:rsid w:val="00C76F7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TableNormal"/>
    <w:next w:val="ListTable5Dark-Accent5"/>
    <w:uiPriority w:val="99"/>
    <w:rsid w:val="00C76F7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TableNormal"/>
    <w:next w:val="ListTable5Dark-Accent6"/>
    <w:uiPriority w:val="99"/>
    <w:rsid w:val="00C76F7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
    <w:name w:val="List Table 6 Colorful - Accent 11"/>
    <w:basedOn w:val="TableNormal"/>
    <w:next w:val="ListTable6Colorful-Accent1"/>
    <w:uiPriority w:val="99"/>
    <w:rsid w:val="00C76F7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next w:val="ListTable6Colorful-Accent2"/>
    <w:uiPriority w:val="99"/>
    <w:rsid w:val="00C76F7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next w:val="ListTable6Colorful-Accent3"/>
    <w:uiPriority w:val="99"/>
    <w:rsid w:val="00C76F7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next w:val="ListTable6Colorful-Accent4"/>
    <w:uiPriority w:val="99"/>
    <w:rsid w:val="00C76F7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next w:val="ListTable6Colorful-Accent5"/>
    <w:uiPriority w:val="99"/>
    <w:rsid w:val="00C76F7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next w:val="ListTable6Colorful-Accent6"/>
    <w:uiPriority w:val="99"/>
    <w:rsid w:val="00C76F7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
    <w:name w:val="List Table 7 Colorful - Accent 11"/>
    <w:basedOn w:val="TableNormal"/>
    <w:next w:val="ListTable7Colorful-Accent1"/>
    <w:uiPriority w:val="99"/>
    <w:rsid w:val="00C76F7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000000"/>
          <w:left w:val="none" w:sz="0" w:space="0" w:color="000000"/>
          <w:bottom w:val="single" w:sz="4" w:space="0" w:color="4F81BD"/>
          <w:right w:val="none" w:sz="0" w:space="0" w:color="000000"/>
        </w:tcBorders>
        <w:shd w:val="clear" w:color="FFFFFF" w:fill="FFFFFF"/>
      </w:tcPr>
    </w:tblStylePr>
    <w:tblStylePr w:type="lastRow">
      <w:rPr>
        <w:rFonts w:ascii="Arial" w:hAnsi="Arial"/>
        <w:i/>
        <w:color w:val="2A4A71"/>
        <w:sz w:val="22"/>
      </w:rPr>
      <w:tblPr/>
      <w:tcPr>
        <w:tcBorders>
          <w:top w:val="single" w:sz="4" w:space="0" w:color="4F81B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A4A71"/>
        <w:sz w:val="22"/>
      </w:rPr>
      <w:tblPr/>
      <w:tcPr>
        <w:tcBorders>
          <w:top w:val="none" w:sz="0" w:space="0" w:color="000000"/>
          <w:left w:val="none" w:sz="0" w:space="0" w:color="000000"/>
          <w:bottom w:val="none" w:sz="0" w:space="0" w:color="000000"/>
          <w:right w:val="single" w:sz="4" w:space="0" w:color="4F81BD"/>
        </w:tcBorders>
        <w:shd w:val="clear" w:color="FFFFFF" w:fill="auto"/>
      </w:tcPr>
    </w:tblStylePr>
    <w:tblStylePr w:type="lastCol">
      <w:rPr>
        <w:rFonts w:ascii="Arial" w:hAnsi="Arial"/>
        <w:i/>
        <w:color w:val="2A4A71"/>
        <w:sz w:val="22"/>
      </w:rPr>
      <w:tblPr/>
      <w:tcPr>
        <w:tcBorders>
          <w:top w:val="none" w:sz="0" w:space="0" w:color="000000"/>
          <w:left w:val="single" w:sz="4" w:space="0" w:color="4F81BD"/>
          <w:bottom w:val="none" w:sz="0" w:space="0" w:color="000000"/>
          <w:right w:val="none" w:sz="0"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next w:val="ListTable7Colorful-Accent2"/>
    <w:uiPriority w:val="99"/>
    <w:rsid w:val="00C76F7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i/>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next w:val="ListTable7Colorful-Accent3"/>
    <w:uiPriority w:val="99"/>
    <w:rsid w:val="00C76F7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000000"/>
          <w:left w:val="none" w:sz="0" w:space="0" w:color="000000"/>
          <w:bottom w:val="single" w:sz="4" w:space="0" w:color="C3D69B"/>
          <w:right w:val="none" w:sz="0" w:space="0" w:color="000000"/>
        </w:tcBorders>
        <w:shd w:val="clear" w:color="FFFFFF" w:fill="FFFFFF"/>
      </w:tcPr>
    </w:tblStylePr>
    <w:tblStylePr w:type="lastRow">
      <w:rPr>
        <w:rFonts w:ascii="Arial" w:hAnsi="Arial"/>
        <w:i/>
        <w:color w:val="C3D69B"/>
        <w:sz w:val="22"/>
      </w:rPr>
      <w:tblPr/>
      <w:tcPr>
        <w:tcBorders>
          <w:top w:val="single" w:sz="4" w:space="0" w:color="C3D69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3D69B"/>
        <w:sz w:val="22"/>
      </w:rPr>
      <w:tblPr/>
      <w:tcPr>
        <w:tcBorders>
          <w:top w:val="none" w:sz="0" w:space="0" w:color="000000"/>
          <w:left w:val="none" w:sz="0" w:space="0" w:color="000000"/>
          <w:bottom w:val="none" w:sz="0" w:space="0" w:color="000000"/>
          <w:right w:val="single" w:sz="4" w:space="0" w:color="C3D69B"/>
        </w:tcBorders>
        <w:shd w:val="clear" w:color="FFFFFF" w:fill="auto"/>
      </w:tcPr>
    </w:tblStylePr>
    <w:tblStylePr w:type="lastCol">
      <w:rPr>
        <w:rFonts w:ascii="Arial" w:hAnsi="Arial"/>
        <w:i/>
        <w:color w:val="C3D69B"/>
        <w:sz w:val="22"/>
      </w:rPr>
      <w:tblPr/>
      <w:tcPr>
        <w:tcBorders>
          <w:top w:val="none" w:sz="0" w:space="0" w:color="000000"/>
          <w:left w:val="single" w:sz="4" w:space="0" w:color="C3D69B"/>
          <w:bottom w:val="none" w:sz="0" w:space="0" w:color="000000"/>
          <w:right w:val="none" w:sz="0"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next w:val="ListTable7Colorful-Accent4"/>
    <w:uiPriority w:val="99"/>
    <w:rsid w:val="00C76F7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i/>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next w:val="ListTable7Colorful-Accent5"/>
    <w:uiPriority w:val="99"/>
    <w:rsid w:val="00C76F7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000000"/>
          <w:left w:val="none" w:sz="0" w:space="0" w:color="000000"/>
          <w:bottom w:val="single" w:sz="4" w:space="0" w:color="92CCDC"/>
          <w:right w:val="none" w:sz="0" w:space="0" w:color="000000"/>
        </w:tcBorders>
        <w:shd w:val="clear" w:color="FFFFFF" w:fill="FFFFFF"/>
      </w:tcPr>
    </w:tblStylePr>
    <w:tblStylePr w:type="lastRow">
      <w:rPr>
        <w:rFonts w:ascii="Arial" w:hAnsi="Arial"/>
        <w:i/>
        <w:color w:val="92CCDC"/>
        <w:sz w:val="22"/>
      </w:rPr>
      <w:tblPr/>
      <w:tcPr>
        <w:tcBorders>
          <w:top w:val="single" w:sz="4" w:space="0" w:color="92CCDC"/>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2CCDC"/>
        <w:sz w:val="22"/>
      </w:rPr>
      <w:tblPr/>
      <w:tcPr>
        <w:tcBorders>
          <w:top w:val="none" w:sz="0" w:space="0" w:color="000000"/>
          <w:left w:val="none" w:sz="0" w:space="0" w:color="000000"/>
          <w:bottom w:val="none" w:sz="0" w:space="0" w:color="000000"/>
          <w:right w:val="single" w:sz="4" w:space="0" w:color="92CCDC"/>
        </w:tcBorders>
        <w:shd w:val="clear" w:color="FFFFFF" w:fill="auto"/>
      </w:tcPr>
    </w:tblStylePr>
    <w:tblStylePr w:type="lastCol">
      <w:rPr>
        <w:rFonts w:ascii="Arial" w:hAnsi="Arial"/>
        <w:i/>
        <w:color w:val="92CCDC"/>
        <w:sz w:val="22"/>
      </w:rPr>
      <w:tblPr/>
      <w:tcPr>
        <w:tcBorders>
          <w:top w:val="none" w:sz="0" w:space="0" w:color="000000"/>
          <w:left w:val="single" w:sz="4" w:space="0" w:color="92CCDC"/>
          <w:bottom w:val="none" w:sz="0" w:space="0" w:color="000000"/>
          <w:right w:val="none" w:sz="0"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next w:val="ListTable7Colorful-Accent6"/>
    <w:uiPriority w:val="99"/>
    <w:rsid w:val="00C76F7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000000"/>
          <w:left w:val="none" w:sz="0" w:space="0" w:color="000000"/>
          <w:bottom w:val="single" w:sz="4" w:space="0" w:color="FAC090"/>
          <w:right w:val="none" w:sz="0" w:space="0" w:color="000000"/>
        </w:tcBorders>
        <w:shd w:val="clear" w:color="FFFFFF" w:fill="FFFFFF"/>
      </w:tcPr>
    </w:tblStylePr>
    <w:tblStylePr w:type="lastRow">
      <w:rPr>
        <w:rFonts w:ascii="Arial" w:hAnsi="Arial"/>
        <w:i/>
        <w:color w:val="FAC090"/>
        <w:sz w:val="22"/>
      </w:rPr>
      <w:tblPr/>
      <w:tcPr>
        <w:tcBorders>
          <w:top w:val="single" w:sz="4" w:space="0" w:color="FAC090"/>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AC090"/>
        <w:sz w:val="22"/>
      </w:rPr>
      <w:tblPr/>
      <w:tcPr>
        <w:tcBorders>
          <w:top w:val="none" w:sz="0" w:space="0" w:color="000000"/>
          <w:left w:val="none" w:sz="0" w:space="0" w:color="000000"/>
          <w:bottom w:val="none" w:sz="0" w:space="0" w:color="000000"/>
          <w:right w:val="single" w:sz="4" w:space="0" w:color="FAC090"/>
        </w:tcBorders>
        <w:shd w:val="clear" w:color="FFFFFF" w:fill="auto"/>
      </w:tcPr>
    </w:tblStylePr>
    <w:tblStylePr w:type="lastCol">
      <w:rPr>
        <w:rFonts w:ascii="Arial" w:hAnsi="Arial"/>
        <w:i/>
        <w:color w:val="FAC090"/>
        <w:sz w:val="22"/>
      </w:rPr>
      <w:tblPr/>
      <w:tcPr>
        <w:tcBorders>
          <w:top w:val="none" w:sz="0" w:space="0" w:color="000000"/>
          <w:left w:val="single" w:sz="4" w:space="0" w:color="FAC090"/>
          <w:bottom w:val="none" w:sz="0" w:space="0" w:color="000000"/>
          <w:right w:val="none" w:sz="0"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character" w:customStyle="1" w:styleId="SubtleEmphasis1">
    <w:name w:val="Subtle Emphasis1"/>
    <w:basedOn w:val="DefaultParagraphFont"/>
    <w:uiPriority w:val="19"/>
    <w:qFormat/>
    <w:rsid w:val="00C76F70"/>
    <w:rPr>
      <w:i/>
      <w:iCs/>
      <w:color w:val="404040"/>
    </w:rPr>
  </w:style>
  <w:style w:type="character" w:styleId="Emphasis">
    <w:name w:val="Emphasis"/>
    <w:basedOn w:val="DefaultParagraphFont"/>
    <w:uiPriority w:val="20"/>
    <w:qFormat/>
    <w:rsid w:val="00C76F70"/>
    <w:rPr>
      <w:i/>
      <w:iCs/>
    </w:rPr>
  </w:style>
  <w:style w:type="character" w:styleId="Strong">
    <w:name w:val="Strong"/>
    <w:basedOn w:val="DefaultParagraphFont"/>
    <w:uiPriority w:val="22"/>
    <w:qFormat/>
    <w:rsid w:val="00C76F70"/>
    <w:rPr>
      <w:b/>
      <w:bCs/>
    </w:rPr>
  </w:style>
  <w:style w:type="character" w:customStyle="1" w:styleId="SubtleReference1">
    <w:name w:val="Subtle Reference1"/>
    <w:basedOn w:val="DefaultParagraphFont"/>
    <w:uiPriority w:val="31"/>
    <w:qFormat/>
    <w:rsid w:val="00C76F70"/>
    <w:rPr>
      <w:smallCaps/>
      <w:color w:val="5A5A5A"/>
    </w:rPr>
  </w:style>
  <w:style w:type="character" w:styleId="BookTitle">
    <w:name w:val="Book Title"/>
    <w:basedOn w:val="DefaultParagraphFont"/>
    <w:uiPriority w:val="33"/>
    <w:qFormat/>
    <w:rsid w:val="00C76F70"/>
    <w:rPr>
      <w:b/>
      <w:bCs/>
      <w:i/>
      <w:iCs/>
      <w:spacing w:val="5"/>
    </w:rPr>
  </w:style>
  <w:style w:type="character" w:customStyle="1" w:styleId="FollowedHyperlink1">
    <w:name w:val="FollowedHyperlink1"/>
    <w:basedOn w:val="DefaultParagraphFont"/>
    <w:uiPriority w:val="99"/>
    <w:semiHidden/>
    <w:unhideWhenUsed/>
    <w:rsid w:val="00C76F70"/>
    <w:rPr>
      <w:color w:val="800080"/>
      <w:u w:val="single"/>
    </w:rPr>
  </w:style>
  <w:style w:type="paragraph" w:customStyle="1" w:styleId="NoSpacing1">
    <w:name w:val="No Spacing1"/>
    <w:next w:val="NoSpacing"/>
    <w:uiPriority w:val="1"/>
    <w:qFormat/>
    <w:rsid w:val="00C76F70"/>
    <w:pPr>
      <w:spacing w:after="0" w:line="240" w:lineRule="auto"/>
    </w:pPr>
    <w:rPr>
      <w:kern w:val="0"/>
      <w14:ligatures w14:val="none"/>
    </w:rPr>
  </w:style>
  <w:style w:type="table" w:customStyle="1" w:styleId="TableGrid1">
    <w:name w:val="Table Grid1"/>
    <w:basedOn w:val="TableNormal"/>
    <w:next w:val="TableGrid"/>
    <w:uiPriority w:val="59"/>
    <w:rsid w:val="00C76F7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
    <w:name w:val="Plain Table 11"/>
    <w:basedOn w:val="TableNormal"/>
    <w:next w:val="PlainTable1"/>
    <w:uiPriority w:val="59"/>
    <w:rsid w:val="00C76F7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rsid w:val="00C76F7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C76F7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rsid w:val="00C76F7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rsid w:val="00C76F7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rsid w:val="00C76F7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21">
    <w:name w:val="Grid Table 21"/>
    <w:basedOn w:val="TableNormal"/>
    <w:next w:val="GridTable2"/>
    <w:uiPriority w:val="99"/>
    <w:rsid w:val="00C76F7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1">
    <w:name w:val="Grid Table 31"/>
    <w:basedOn w:val="TableNormal"/>
    <w:next w:val="GridTable3"/>
    <w:uiPriority w:val="99"/>
    <w:rsid w:val="00C76F7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1">
    <w:name w:val="Grid Table 41"/>
    <w:basedOn w:val="TableNormal"/>
    <w:next w:val="GridTable4"/>
    <w:uiPriority w:val="59"/>
    <w:rsid w:val="00C76F7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5Dark1">
    <w:name w:val="Grid Table 5 Dark1"/>
    <w:basedOn w:val="TableNormal"/>
    <w:next w:val="GridTable5Dark"/>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4">
    <w:name w:val="Grid Table 5 Dark- Accent 4"/>
    <w:basedOn w:val="TableNormal"/>
    <w:uiPriority w:val="99"/>
    <w:rsid w:val="00C76F7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6Colorful1">
    <w:name w:val="Grid Table 6 Colorful1"/>
    <w:basedOn w:val="TableNormal"/>
    <w:next w:val="GridTable6Colorful"/>
    <w:uiPriority w:val="99"/>
    <w:rsid w:val="00C76F7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7Colorful1">
    <w:name w:val="Grid Table 7 Colorful1"/>
    <w:basedOn w:val="TableNormal"/>
    <w:next w:val="GridTable7Colorful"/>
    <w:uiPriority w:val="99"/>
    <w:rsid w:val="00C76F7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ListTable1Light1">
    <w:name w:val="List Table 1 Light1"/>
    <w:basedOn w:val="TableNormal"/>
    <w:next w:val="ListTable1Light"/>
    <w:uiPriority w:val="99"/>
    <w:rsid w:val="00C76F7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21">
    <w:name w:val="List Table 21"/>
    <w:basedOn w:val="TableNormal"/>
    <w:next w:val="ListTable2"/>
    <w:uiPriority w:val="99"/>
    <w:rsid w:val="00C76F7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31">
    <w:name w:val="List Table 31"/>
    <w:basedOn w:val="TableNormal"/>
    <w:next w:val="ListTable3"/>
    <w:uiPriority w:val="99"/>
    <w:rsid w:val="00C76F7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41">
    <w:name w:val="List Table 41"/>
    <w:basedOn w:val="TableNormal"/>
    <w:next w:val="ListTable4"/>
    <w:uiPriority w:val="99"/>
    <w:rsid w:val="00C76F7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5Dark1">
    <w:name w:val="List Table 5 Dark1"/>
    <w:basedOn w:val="TableNormal"/>
    <w:next w:val="ListTable5Dark"/>
    <w:uiPriority w:val="99"/>
    <w:rsid w:val="00C76F7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6Colorful1">
    <w:name w:val="List Table 6 Colorful1"/>
    <w:basedOn w:val="TableNormal"/>
    <w:next w:val="ListTable6Colorful"/>
    <w:uiPriority w:val="99"/>
    <w:rsid w:val="00C76F7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7Colorful1">
    <w:name w:val="List Table 7 Colorful1"/>
    <w:basedOn w:val="TableNormal"/>
    <w:next w:val="ListTable7Colorful"/>
    <w:uiPriority w:val="99"/>
    <w:rsid w:val="00C76F7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ned-Accent">
    <w:name w:val="Lined - Accent"/>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sid w:val="00C76F70"/>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sid w:val="00C76F70"/>
    <w:pPr>
      <w:spacing w:after="0" w:line="240" w:lineRule="auto"/>
    </w:pPr>
    <w:rPr>
      <w:color w:val="404040"/>
      <w:kern w:val="0"/>
      <w:sz w:val="20"/>
      <w:szCs w:val="20"/>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rsid w:val="00C76F7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C76F7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C76F7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C76F7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C76F7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C76F7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C76F7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EndnoteText1">
    <w:name w:val="Endnote Text1"/>
    <w:basedOn w:val="Normal"/>
    <w:next w:val="EndnoteText"/>
    <w:link w:val="EndnoteTextChar"/>
    <w:uiPriority w:val="99"/>
    <w:semiHidden/>
    <w:unhideWhenUsed/>
    <w:rsid w:val="00C76F70"/>
    <w:pPr>
      <w:spacing w:after="0" w:line="240" w:lineRule="auto"/>
      <w:jc w:val="both"/>
    </w:pPr>
    <w:rPr>
      <w:rFonts w:ascii="Arial" w:hAnsi="Arial"/>
      <w:color w:val="000000"/>
      <w:sz w:val="20"/>
    </w:rPr>
  </w:style>
  <w:style w:type="character" w:customStyle="1" w:styleId="EndnoteTextChar">
    <w:name w:val="Endnote Text Char"/>
    <w:basedOn w:val="DefaultParagraphFont"/>
    <w:link w:val="EndnoteText1"/>
    <w:uiPriority w:val="99"/>
    <w:semiHidden/>
    <w:rsid w:val="00C76F70"/>
    <w:rPr>
      <w:rFonts w:ascii="Arial" w:hAnsi="Arial"/>
      <w:color w:val="000000"/>
      <w:sz w:val="20"/>
    </w:rPr>
  </w:style>
  <w:style w:type="character" w:styleId="EndnoteReference">
    <w:name w:val="endnote reference"/>
    <w:basedOn w:val="DefaultParagraphFont"/>
    <w:uiPriority w:val="99"/>
    <w:semiHidden/>
    <w:unhideWhenUsed/>
    <w:rsid w:val="00C76F70"/>
    <w:rPr>
      <w:vertAlign w:val="superscript"/>
    </w:rPr>
  </w:style>
  <w:style w:type="paragraph" w:customStyle="1" w:styleId="TOC11">
    <w:name w:val="TOC 11"/>
    <w:basedOn w:val="Normal"/>
    <w:next w:val="Normal"/>
    <w:uiPriority w:val="39"/>
    <w:unhideWhenUsed/>
    <w:rsid w:val="00C76F70"/>
    <w:pPr>
      <w:spacing w:after="57" w:line="240" w:lineRule="auto"/>
      <w:jc w:val="both"/>
    </w:pPr>
    <w:rPr>
      <w:rFonts w:ascii="Arial" w:hAnsi="Arial"/>
      <w:color w:val="000000"/>
      <w:kern w:val="0"/>
      <w:sz w:val="20"/>
      <w14:ligatures w14:val="none"/>
    </w:rPr>
  </w:style>
  <w:style w:type="paragraph" w:customStyle="1" w:styleId="TOC21">
    <w:name w:val="TOC 21"/>
    <w:basedOn w:val="Normal"/>
    <w:next w:val="Normal"/>
    <w:uiPriority w:val="39"/>
    <w:unhideWhenUsed/>
    <w:rsid w:val="00C76F70"/>
    <w:pPr>
      <w:spacing w:after="57" w:line="240" w:lineRule="auto"/>
      <w:ind w:left="283"/>
      <w:jc w:val="both"/>
    </w:pPr>
    <w:rPr>
      <w:rFonts w:ascii="Arial" w:hAnsi="Arial"/>
      <w:color w:val="000000"/>
      <w:kern w:val="0"/>
      <w:sz w:val="20"/>
      <w14:ligatures w14:val="none"/>
    </w:rPr>
  </w:style>
  <w:style w:type="paragraph" w:customStyle="1" w:styleId="TOC31">
    <w:name w:val="TOC 31"/>
    <w:basedOn w:val="Normal"/>
    <w:next w:val="Normal"/>
    <w:uiPriority w:val="39"/>
    <w:unhideWhenUsed/>
    <w:rsid w:val="00C76F70"/>
    <w:pPr>
      <w:spacing w:after="57" w:line="240" w:lineRule="auto"/>
      <w:ind w:left="567"/>
      <w:jc w:val="both"/>
    </w:pPr>
    <w:rPr>
      <w:rFonts w:ascii="Arial" w:hAnsi="Arial"/>
      <w:color w:val="000000"/>
      <w:kern w:val="0"/>
      <w:sz w:val="20"/>
      <w14:ligatures w14:val="none"/>
    </w:rPr>
  </w:style>
  <w:style w:type="paragraph" w:customStyle="1" w:styleId="TOC41">
    <w:name w:val="TOC 41"/>
    <w:basedOn w:val="Normal"/>
    <w:next w:val="Normal"/>
    <w:uiPriority w:val="39"/>
    <w:unhideWhenUsed/>
    <w:rsid w:val="00C76F70"/>
    <w:pPr>
      <w:spacing w:after="57" w:line="240" w:lineRule="auto"/>
      <w:ind w:left="850"/>
      <w:jc w:val="both"/>
    </w:pPr>
    <w:rPr>
      <w:rFonts w:ascii="Arial" w:hAnsi="Arial"/>
      <w:color w:val="000000"/>
      <w:kern w:val="0"/>
      <w:sz w:val="20"/>
      <w14:ligatures w14:val="none"/>
    </w:rPr>
  </w:style>
  <w:style w:type="paragraph" w:customStyle="1" w:styleId="TOC51">
    <w:name w:val="TOC 51"/>
    <w:basedOn w:val="Normal"/>
    <w:next w:val="Normal"/>
    <w:uiPriority w:val="39"/>
    <w:unhideWhenUsed/>
    <w:rsid w:val="00C76F70"/>
    <w:pPr>
      <w:spacing w:after="57" w:line="240" w:lineRule="auto"/>
      <w:ind w:left="1134"/>
      <w:jc w:val="both"/>
    </w:pPr>
    <w:rPr>
      <w:rFonts w:ascii="Arial" w:hAnsi="Arial"/>
      <w:color w:val="000000"/>
      <w:kern w:val="0"/>
      <w:sz w:val="20"/>
      <w14:ligatures w14:val="none"/>
    </w:rPr>
  </w:style>
  <w:style w:type="paragraph" w:customStyle="1" w:styleId="TOC61">
    <w:name w:val="TOC 61"/>
    <w:basedOn w:val="Normal"/>
    <w:next w:val="Normal"/>
    <w:uiPriority w:val="39"/>
    <w:unhideWhenUsed/>
    <w:rsid w:val="00C76F70"/>
    <w:pPr>
      <w:spacing w:after="57" w:line="240" w:lineRule="auto"/>
      <w:ind w:left="1417"/>
      <w:jc w:val="both"/>
    </w:pPr>
    <w:rPr>
      <w:rFonts w:ascii="Arial" w:hAnsi="Arial"/>
      <w:color w:val="000000"/>
      <w:kern w:val="0"/>
      <w:sz w:val="20"/>
      <w14:ligatures w14:val="none"/>
    </w:rPr>
  </w:style>
  <w:style w:type="paragraph" w:customStyle="1" w:styleId="TOC71">
    <w:name w:val="TOC 71"/>
    <w:basedOn w:val="Normal"/>
    <w:next w:val="Normal"/>
    <w:uiPriority w:val="39"/>
    <w:unhideWhenUsed/>
    <w:rsid w:val="00C76F70"/>
    <w:pPr>
      <w:spacing w:after="57" w:line="240" w:lineRule="auto"/>
      <w:ind w:left="1701"/>
      <w:jc w:val="both"/>
    </w:pPr>
    <w:rPr>
      <w:rFonts w:ascii="Arial" w:hAnsi="Arial"/>
      <w:color w:val="000000"/>
      <w:kern w:val="0"/>
      <w:sz w:val="20"/>
      <w14:ligatures w14:val="none"/>
    </w:rPr>
  </w:style>
  <w:style w:type="paragraph" w:customStyle="1" w:styleId="TOC81">
    <w:name w:val="TOC 81"/>
    <w:basedOn w:val="Normal"/>
    <w:next w:val="Normal"/>
    <w:uiPriority w:val="39"/>
    <w:unhideWhenUsed/>
    <w:rsid w:val="00C76F70"/>
    <w:pPr>
      <w:spacing w:after="57" w:line="240" w:lineRule="auto"/>
      <w:ind w:left="1984"/>
      <w:jc w:val="both"/>
    </w:pPr>
    <w:rPr>
      <w:rFonts w:ascii="Arial" w:hAnsi="Arial"/>
      <w:color w:val="000000"/>
      <w:kern w:val="0"/>
      <w:sz w:val="20"/>
      <w14:ligatures w14:val="none"/>
    </w:rPr>
  </w:style>
  <w:style w:type="paragraph" w:customStyle="1" w:styleId="TOC91">
    <w:name w:val="TOC 91"/>
    <w:basedOn w:val="Normal"/>
    <w:next w:val="Normal"/>
    <w:uiPriority w:val="39"/>
    <w:unhideWhenUsed/>
    <w:rsid w:val="00C76F70"/>
    <w:pPr>
      <w:spacing w:after="57" w:line="240" w:lineRule="auto"/>
      <w:ind w:left="2268"/>
      <w:jc w:val="both"/>
    </w:pPr>
    <w:rPr>
      <w:rFonts w:ascii="Arial" w:hAnsi="Arial"/>
      <w:color w:val="000000"/>
      <w:kern w:val="0"/>
      <w:sz w:val="20"/>
      <w14:ligatures w14:val="none"/>
    </w:rPr>
  </w:style>
  <w:style w:type="paragraph" w:customStyle="1" w:styleId="TableofFigures1">
    <w:name w:val="Table of Figures1"/>
    <w:basedOn w:val="Normal"/>
    <w:next w:val="Normal"/>
    <w:uiPriority w:val="99"/>
    <w:unhideWhenUsed/>
    <w:rsid w:val="00C76F70"/>
    <w:pPr>
      <w:spacing w:after="0" w:line="240" w:lineRule="auto"/>
      <w:jc w:val="both"/>
    </w:pPr>
    <w:rPr>
      <w:rFonts w:ascii="Arial" w:hAnsi="Arial"/>
      <w:color w:val="000000"/>
      <w:kern w:val="0"/>
      <w:sz w:val="20"/>
      <w14:ligatures w14:val="none"/>
    </w:rPr>
  </w:style>
  <w:style w:type="paragraph" w:customStyle="1" w:styleId="BodyText1">
    <w:name w:val="Body Text1"/>
    <w:next w:val="BodyText"/>
    <w:link w:val="BodyTextChar"/>
    <w:qFormat/>
    <w:rsid w:val="00C76F70"/>
    <w:pPr>
      <w:spacing w:before="60" w:after="0" w:line="240" w:lineRule="auto"/>
    </w:pPr>
    <w:rPr>
      <w:rFonts w:ascii="Arial" w:hAnsi="Arial"/>
      <w:color w:val="000000"/>
      <w:sz w:val="20"/>
    </w:rPr>
  </w:style>
  <w:style w:type="character" w:customStyle="1" w:styleId="BodyTextChar">
    <w:name w:val="Body Text Char"/>
    <w:basedOn w:val="DefaultParagraphFont"/>
    <w:link w:val="BodyText1"/>
    <w:rsid w:val="00C76F70"/>
    <w:rPr>
      <w:rFonts w:ascii="Arial" w:hAnsi="Arial"/>
      <w:color w:val="000000"/>
      <w:sz w:val="20"/>
    </w:rPr>
  </w:style>
  <w:style w:type="paragraph" w:customStyle="1" w:styleId="Compact">
    <w:name w:val="Compact"/>
    <w:basedOn w:val="BodyText"/>
    <w:qFormat/>
    <w:rsid w:val="00C76F70"/>
    <w:pPr>
      <w:spacing w:before="36" w:after="36" w:line="240" w:lineRule="auto"/>
    </w:pPr>
    <w:rPr>
      <w:rFonts w:ascii="Arial" w:hAnsi="Arial"/>
      <w:color w:val="000000"/>
      <w:kern w:val="0"/>
      <w:sz w:val="20"/>
      <w14:ligatures w14:val="none"/>
    </w:rPr>
  </w:style>
  <w:style w:type="character" w:customStyle="1" w:styleId="TitleChar1">
    <w:name w:val="Title Char1"/>
    <w:basedOn w:val="DefaultParagraphFont"/>
    <w:uiPriority w:val="10"/>
    <w:rsid w:val="00C76F70"/>
    <w:rPr>
      <w:rFonts w:ascii="Calibri" w:eastAsia="Arial" w:hAnsi="Calibri" w:cs="Times New Roman"/>
      <w:spacing w:val="-10"/>
      <w:kern w:val="28"/>
      <w:sz w:val="56"/>
      <w:szCs w:val="56"/>
    </w:rPr>
  </w:style>
  <w:style w:type="character" w:customStyle="1" w:styleId="SubtitleChar1">
    <w:name w:val="Subtitle Char1"/>
    <w:basedOn w:val="DefaultParagraphFont"/>
    <w:uiPriority w:val="11"/>
    <w:rsid w:val="00C76F70"/>
    <w:rPr>
      <w:rFonts w:eastAsia="Arial" w:cs="Times New Roman"/>
      <w:color w:val="595959"/>
      <w:spacing w:val="15"/>
      <w:sz w:val="28"/>
      <w:szCs w:val="28"/>
    </w:rPr>
  </w:style>
  <w:style w:type="paragraph" w:customStyle="1" w:styleId="Author">
    <w:name w:val="Author"/>
    <w:next w:val="BodyText"/>
    <w:qFormat/>
    <w:rsid w:val="00C76F70"/>
    <w:pPr>
      <w:keepNext/>
      <w:spacing w:after="200" w:line="240" w:lineRule="auto"/>
      <w:jc w:val="center"/>
    </w:pPr>
    <w:rPr>
      <w:kern w:val="0"/>
      <w14:ligatures w14:val="none"/>
    </w:rPr>
  </w:style>
  <w:style w:type="paragraph" w:customStyle="1" w:styleId="Date1">
    <w:name w:val="Date1"/>
    <w:next w:val="BodyText"/>
    <w:qFormat/>
    <w:rsid w:val="00C76F70"/>
    <w:pPr>
      <w:keepNext/>
      <w:spacing w:after="200" w:line="240" w:lineRule="auto"/>
      <w:jc w:val="center"/>
    </w:pPr>
    <w:rPr>
      <w:kern w:val="0"/>
      <w14:ligatures w14:val="none"/>
    </w:rPr>
  </w:style>
  <w:style w:type="character" w:customStyle="1" w:styleId="DateChar">
    <w:name w:val="Date Char"/>
    <w:basedOn w:val="DefaultParagraphFont"/>
    <w:link w:val="Date"/>
    <w:rsid w:val="00C76F70"/>
  </w:style>
  <w:style w:type="paragraph" w:customStyle="1" w:styleId="Abstract">
    <w:name w:val="Abstract"/>
    <w:basedOn w:val="Normal"/>
    <w:next w:val="BodyText"/>
    <w:qFormat/>
    <w:rsid w:val="00C76F70"/>
    <w:pPr>
      <w:keepLines/>
      <w:spacing w:before="300" w:after="300" w:line="240" w:lineRule="auto"/>
      <w:jc w:val="both"/>
    </w:pPr>
    <w:rPr>
      <w:rFonts w:ascii="Arial" w:hAnsi="Arial"/>
      <w:color w:val="000000"/>
      <w:kern w:val="0"/>
      <w:sz w:val="20"/>
      <w:szCs w:val="20"/>
      <w14:ligatures w14:val="none"/>
    </w:rPr>
  </w:style>
  <w:style w:type="paragraph" w:customStyle="1" w:styleId="Bibliography1">
    <w:name w:val="Bibliography1"/>
    <w:basedOn w:val="Normal"/>
    <w:next w:val="Bibliography"/>
    <w:qFormat/>
    <w:rsid w:val="00C76F70"/>
    <w:pPr>
      <w:spacing w:after="0" w:line="240" w:lineRule="auto"/>
      <w:jc w:val="both"/>
    </w:pPr>
    <w:rPr>
      <w:rFonts w:ascii="Arial" w:hAnsi="Arial"/>
      <w:color w:val="000000"/>
      <w:kern w:val="0"/>
      <w:sz w:val="20"/>
      <w14:ligatures w14:val="none"/>
    </w:rPr>
  </w:style>
  <w:style w:type="paragraph" w:customStyle="1" w:styleId="BlockText1">
    <w:name w:val="Block Text1"/>
    <w:next w:val="BodyText"/>
    <w:uiPriority w:val="9"/>
    <w:unhideWhenUsed/>
    <w:qFormat/>
    <w:rsid w:val="00C76F70"/>
    <w:pPr>
      <w:spacing w:after="120" w:line="240" w:lineRule="auto"/>
    </w:pPr>
    <w:rPr>
      <w:rFonts w:ascii="Arial" w:eastAsia="Arial" w:hAnsi="Arial" w:cs="Times New Roman"/>
      <w:bCs/>
      <w:color w:val="000000"/>
      <w:kern w:val="0"/>
      <w:sz w:val="20"/>
      <w:szCs w:val="20"/>
      <w14:ligatures w14:val="none"/>
    </w:rPr>
  </w:style>
  <w:style w:type="paragraph" w:customStyle="1" w:styleId="FootnoteText1">
    <w:name w:val="Footnote Text1"/>
    <w:basedOn w:val="Normal"/>
    <w:next w:val="FootnoteText"/>
    <w:link w:val="FootnoteTextChar"/>
    <w:uiPriority w:val="9"/>
    <w:unhideWhenUsed/>
    <w:qFormat/>
    <w:rsid w:val="00C76F70"/>
    <w:pPr>
      <w:spacing w:after="0" w:line="240" w:lineRule="auto"/>
      <w:jc w:val="both"/>
    </w:pPr>
    <w:rPr>
      <w:rFonts w:ascii="Arial" w:hAnsi="Arial"/>
      <w:color w:val="000000"/>
      <w:sz w:val="20"/>
    </w:rPr>
  </w:style>
  <w:style w:type="character" w:customStyle="1" w:styleId="FootnoteTextChar">
    <w:name w:val="Footnote Text Char"/>
    <w:basedOn w:val="DefaultParagraphFont"/>
    <w:link w:val="FootnoteText1"/>
    <w:uiPriority w:val="9"/>
    <w:rsid w:val="00C76F70"/>
    <w:rPr>
      <w:rFonts w:ascii="Arial" w:hAnsi="Arial"/>
      <w:color w:val="000000"/>
      <w:sz w:val="20"/>
    </w:rPr>
  </w:style>
  <w:style w:type="table" w:customStyle="1" w:styleId="Table">
    <w:name w:val="Table"/>
    <w:semiHidden/>
    <w:unhideWhenUsed/>
    <w:qFormat/>
    <w:rsid w:val="00C76F70"/>
    <w:pPr>
      <w:spacing w:after="20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initionTerm">
    <w:name w:val="Definition Term"/>
    <w:basedOn w:val="Normal"/>
    <w:next w:val="Definition"/>
    <w:rsid w:val="00C76F70"/>
    <w:pPr>
      <w:keepLines/>
      <w:spacing w:after="0" w:line="240" w:lineRule="auto"/>
      <w:jc w:val="both"/>
    </w:pPr>
    <w:rPr>
      <w:rFonts w:ascii="Arial" w:hAnsi="Arial"/>
      <w:b/>
      <w:color w:val="000000"/>
      <w:kern w:val="0"/>
      <w:sz w:val="20"/>
      <w14:ligatures w14:val="none"/>
    </w:rPr>
  </w:style>
  <w:style w:type="paragraph" w:customStyle="1" w:styleId="Definition">
    <w:name w:val="Definition"/>
    <w:basedOn w:val="Normal"/>
    <w:link w:val="DefinitionChar"/>
    <w:rsid w:val="00C76F70"/>
    <w:pPr>
      <w:spacing w:after="0" w:line="240" w:lineRule="auto"/>
      <w:jc w:val="both"/>
    </w:pPr>
    <w:rPr>
      <w:rFonts w:ascii="Arial" w:hAnsi="Arial"/>
      <w:color w:val="000000"/>
      <w:kern w:val="0"/>
      <w:sz w:val="20"/>
      <w14:ligatures w14:val="none"/>
    </w:rPr>
  </w:style>
  <w:style w:type="paragraph" w:customStyle="1" w:styleId="Caption1">
    <w:name w:val="Caption1"/>
    <w:basedOn w:val="Normal"/>
    <w:next w:val="Caption"/>
    <w:link w:val="CaptionChar"/>
    <w:rsid w:val="00C76F70"/>
    <w:pPr>
      <w:spacing w:after="120" w:line="240" w:lineRule="auto"/>
      <w:jc w:val="both"/>
    </w:pPr>
    <w:rPr>
      <w:rFonts w:ascii="Arial" w:hAnsi="Arial"/>
      <w:i/>
      <w:color w:val="000000"/>
      <w:kern w:val="0"/>
      <w:sz w:val="20"/>
      <w14:ligatures w14:val="none"/>
    </w:rPr>
  </w:style>
  <w:style w:type="paragraph" w:customStyle="1" w:styleId="TableCaption">
    <w:name w:val="Table Caption"/>
    <w:basedOn w:val="Caption"/>
    <w:rsid w:val="00C76F70"/>
    <w:pPr>
      <w:spacing w:after="120"/>
      <w:jc w:val="both"/>
    </w:pPr>
    <w:rPr>
      <w:rFonts w:ascii="Arial" w:hAnsi="Arial"/>
      <w:iCs w:val="0"/>
      <w:color w:val="000000"/>
      <w:kern w:val="0"/>
      <w:sz w:val="20"/>
      <w:szCs w:val="24"/>
      <w14:ligatures w14:val="none"/>
    </w:rPr>
  </w:style>
  <w:style w:type="paragraph" w:customStyle="1" w:styleId="ImageCaption">
    <w:name w:val="Image Caption"/>
    <w:basedOn w:val="Caption"/>
    <w:rsid w:val="00C76F70"/>
    <w:pPr>
      <w:spacing w:after="120"/>
      <w:jc w:val="both"/>
    </w:pPr>
    <w:rPr>
      <w:rFonts w:ascii="Arial" w:hAnsi="Arial"/>
      <w:iCs w:val="0"/>
      <w:color w:val="000000"/>
      <w:kern w:val="0"/>
      <w:sz w:val="20"/>
      <w:szCs w:val="24"/>
      <w14:ligatures w14:val="none"/>
    </w:rPr>
  </w:style>
  <w:style w:type="paragraph" w:customStyle="1" w:styleId="Figure">
    <w:name w:val="Figure"/>
    <w:basedOn w:val="Normal"/>
    <w:rsid w:val="00C76F70"/>
    <w:pPr>
      <w:spacing w:after="0" w:line="240" w:lineRule="auto"/>
      <w:jc w:val="both"/>
    </w:pPr>
    <w:rPr>
      <w:rFonts w:ascii="Arial" w:hAnsi="Arial"/>
      <w:color w:val="000000"/>
      <w:kern w:val="0"/>
      <w:sz w:val="20"/>
      <w14:ligatures w14:val="none"/>
    </w:rPr>
  </w:style>
  <w:style w:type="paragraph" w:customStyle="1" w:styleId="CaptionedFigure">
    <w:name w:val="Captioned Figure"/>
    <w:basedOn w:val="Figure"/>
    <w:rsid w:val="00C76F70"/>
  </w:style>
  <w:style w:type="character" w:customStyle="1" w:styleId="CaptionChar">
    <w:name w:val="Caption Char"/>
    <w:basedOn w:val="DefaultParagraphFont"/>
    <w:link w:val="Caption1"/>
    <w:rsid w:val="00C76F70"/>
    <w:rPr>
      <w:rFonts w:ascii="Arial" w:hAnsi="Arial"/>
      <w:i/>
      <w:color w:val="000000"/>
      <w:sz w:val="20"/>
    </w:rPr>
  </w:style>
  <w:style w:type="character" w:customStyle="1" w:styleId="VerbatimChar">
    <w:name w:val="Verbatim Char"/>
    <w:basedOn w:val="CaptionChar"/>
    <w:link w:val="SourceCode"/>
    <w:rsid w:val="00C76F70"/>
    <w:rPr>
      <w:rFonts w:ascii="Consolas" w:hAnsi="Consolas"/>
      <w:i/>
      <w:color w:val="000000"/>
      <w:sz w:val="22"/>
    </w:rPr>
  </w:style>
  <w:style w:type="character" w:styleId="FootnoteReference">
    <w:name w:val="footnote reference"/>
    <w:basedOn w:val="CaptionChar"/>
    <w:rsid w:val="00C76F70"/>
    <w:rPr>
      <w:rFonts w:ascii="Arial" w:hAnsi="Arial"/>
      <w:i/>
      <w:color w:val="000000"/>
      <w:sz w:val="20"/>
      <w:vertAlign w:val="superscript"/>
    </w:rPr>
  </w:style>
  <w:style w:type="character" w:customStyle="1" w:styleId="Hyperlink1">
    <w:name w:val="Hyperlink1"/>
    <w:basedOn w:val="CaptionChar"/>
    <w:rsid w:val="00C76F70"/>
    <w:rPr>
      <w:rFonts w:ascii="Arial" w:hAnsi="Arial"/>
      <w:i/>
      <w:color w:val="4F81BD"/>
      <w:sz w:val="20"/>
    </w:rPr>
  </w:style>
  <w:style w:type="paragraph" w:customStyle="1" w:styleId="TOCHeading1">
    <w:name w:val="TOC Heading1"/>
    <w:basedOn w:val="Heading1"/>
    <w:next w:val="BodyText"/>
    <w:uiPriority w:val="39"/>
    <w:unhideWhenUsed/>
    <w:qFormat/>
    <w:rsid w:val="00C76F70"/>
    <w:pPr>
      <w:keepNext w:val="0"/>
      <w:keepLines w:val="0"/>
      <w:spacing w:before="240" w:after="120" w:line="259" w:lineRule="auto"/>
      <w:jc w:val="center"/>
      <w:outlineLvl w:val="9"/>
    </w:pPr>
    <w:rPr>
      <w:rFonts w:ascii="Arial" w:hAnsi="Arial"/>
      <w:b/>
      <w:kern w:val="0"/>
      <w:sz w:val="20"/>
      <w:szCs w:val="32"/>
      <w14:ligatures w14:val="none"/>
    </w:rPr>
  </w:style>
  <w:style w:type="character" w:styleId="LineNumber">
    <w:name w:val="line number"/>
    <w:basedOn w:val="DefaultParagraphFont"/>
    <w:rsid w:val="00C76F70"/>
  </w:style>
  <w:style w:type="character" w:styleId="PageNumber">
    <w:name w:val="page number"/>
    <w:basedOn w:val="DefaultParagraphFont"/>
    <w:rsid w:val="00C76F70"/>
  </w:style>
  <w:style w:type="paragraph" w:customStyle="1" w:styleId="FirstParagraph">
    <w:name w:val="First Paragraph"/>
    <w:next w:val="BodyText"/>
    <w:qFormat/>
    <w:rsid w:val="00C76F70"/>
    <w:pPr>
      <w:keepNext/>
      <w:spacing w:after="120" w:line="240" w:lineRule="auto"/>
    </w:pPr>
    <w:rPr>
      <w:rFonts w:ascii="Arial" w:hAnsi="Arial"/>
      <w:color w:val="000000"/>
      <w:kern w:val="0"/>
      <w:sz w:val="20"/>
      <w14:ligatures w14:val="none"/>
    </w:rPr>
  </w:style>
  <w:style w:type="character" w:customStyle="1" w:styleId="diff-stage-1-insert">
    <w:name w:val="diff-stage-1-insert"/>
    <w:uiPriority w:val="1"/>
    <w:rsid w:val="00C76F70"/>
    <w:rPr>
      <w:rFonts w:ascii="Arial" w:hAnsi="Arial"/>
      <w:color w:val="FF0000"/>
      <w:sz w:val="20"/>
      <w:u w:val="single"/>
    </w:rPr>
  </w:style>
  <w:style w:type="character" w:customStyle="1" w:styleId="diff-stage-2-insert">
    <w:name w:val="diff-stage-2-insert"/>
    <w:uiPriority w:val="1"/>
    <w:rsid w:val="00C76F70"/>
    <w:rPr>
      <w:rFonts w:ascii="Arial" w:hAnsi="Arial"/>
      <w:color w:val="FF0000"/>
      <w:sz w:val="20"/>
      <w:u w:val="single"/>
      <w:shd w:val="clear" w:color="auto" w:fill="FFFF00"/>
    </w:rPr>
  </w:style>
  <w:style w:type="character" w:customStyle="1" w:styleId="diff-stage-1-remove">
    <w:name w:val="diff-stage-1-remove"/>
    <w:uiPriority w:val="1"/>
    <w:rsid w:val="00C76F70"/>
    <w:rPr>
      <w:rFonts w:ascii="Arial" w:hAnsi="Arial"/>
      <w:strike/>
      <w:color w:val="FF0000"/>
      <w:sz w:val="20"/>
    </w:rPr>
  </w:style>
  <w:style w:type="paragraph" w:customStyle="1" w:styleId="diff-stage-1-insert-table">
    <w:name w:val="diff-stage-1-insert-table"/>
    <w:basedOn w:val="Definition"/>
    <w:qFormat/>
    <w:rsid w:val="00C76F70"/>
    <w:rPr>
      <w:color w:val="FF0000"/>
      <w:u w:val="single"/>
    </w:rPr>
  </w:style>
  <w:style w:type="character" w:customStyle="1" w:styleId="DefinitionChar">
    <w:name w:val="Definition Char"/>
    <w:basedOn w:val="DefaultParagraphFont"/>
    <w:link w:val="Definition"/>
    <w:rsid w:val="00C76F70"/>
    <w:rPr>
      <w:rFonts w:ascii="Arial" w:hAnsi="Arial"/>
      <w:color w:val="000000"/>
      <w:kern w:val="0"/>
      <w:sz w:val="20"/>
      <w14:ligatures w14:val="none"/>
    </w:rPr>
  </w:style>
  <w:style w:type="paragraph" w:customStyle="1" w:styleId="diff-stage-1-remove-table">
    <w:name w:val="diff-stage-1-remove-table"/>
    <w:basedOn w:val="Definition"/>
    <w:link w:val="diff-stage-1-remove-tableChar"/>
    <w:qFormat/>
    <w:rsid w:val="00C76F70"/>
    <w:rPr>
      <w:rFonts w:cs="Times New Roman (Body CS)"/>
      <w:strike/>
      <w:color w:val="FF0000"/>
    </w:rPr>
  </w:style>
  <w:style w:type="character" w:customStyle="1" w:styleId="diff-stage-1-remove-tableChar">
    <w:name w:val="diff-stage-1-remove-table Char"/>
    <w:basedOn w:val="DefinitionChar"/>
    <w:link w:val="diff-stage-1-remove-table"/>
    <w:rsid w:val="00C76F70"/>
    <w:rPr>
      <w:rFonts w:ascii="Arial" w:hAnsi="Arial" w:cs="Times New Roman (Body CS)"/>
      <w:strike/>
      <w:color w:val="FF0000"/>
      <w:kern w:val="0"/>
      <w:sz w:val="20"/>
      <w14:ligatures w14:val="none"/>
    </w:rPr>
  </w:style>
  <w:style w:type="paragraph" w:customStyle="1" w:styleId="centeredheader">
    <w:name w:val="centered_header"/>
    <w:basedOn w:val="Normal"/>
    <w:qFormat/>
    <w:rsid w:val="00C76F70"/>
    <w:pPr>
      <w:spacing w:before="120" w:after="0" w:line="240" w:lineRule="auto"/>
      <w:jc w:val="center"/>
    </w:pPr>
    <w:rPr>
      <w:rFonts w:ascii="Arial" w:hAnsi="Arial"/>
      <w:color w:val="000000"/>
      <w:kern w:val="0"/>
      <w:sz w:val="20"/>
      <w14:ligatures w14:val="none"/>
    </w:rPr>
  </w:style>
  <w:style w:type="paragraph" w:customStyle="1" w:styleId="leftheader">
    <w:name w:val="left_header"/>
    <w:basedOn w:val="Normal"/>
    <w:qFormat/>
    <w:rsid w:val="00C76F70"/>
    <w:pPr>
      <w:spacing w:after="240" w:line="240" w:lineRule="auto"/>
      <w:jc w:val="both"/>
    </w:pPr>
    <w:rPr>
      <w:rFonts w:ascii="Arial" w:hAnsi="Arial"/>
      <w:color w:val="000000"/>
      <w:kern w:val="0"/>
      <w:sz w:val="20"/>
      <w14:ligatures w14:val="none"/>
    </w:rPr>
  </w:style>
  <w:style w:type="paragraph" w:customStyle="1" w:styleId="linebasetext">
    <w:name w:val="line_base_text"/>
    <w:basedOn w:val="Normal"/>
    <w:qFormat/>
    <w:rsid w:val="00C76F70"/>
    <w:pPr>
      <w:spacing w:after="240" w:line="240" w:lineRule="auto"/>
      <w:jc w:val="both"/>
    </w:pPr>
    <w:rPr>
      <w:rFonts w:ascii="Arial" w:hAnsi="Arial"/>
      <w:color w:val="000000"/>
      <w:kern w:val="0"/>
      <w:sz w:val="20"/>
      <w:szCs w:val="20"/>
      <w14:ligatures w14:val="none"/>
    </w:rPr>
  </w:style>
  <w:style w:type="paragraph" w:customStyle="1" w:styleId="RuleBaseText">
    <w:name w:val="Rule Base Text"/>
    <w:basedOn w:val="linebasetext"/>
    <w:qFormat/>
    <w:rsid w:val="00C76F70"/>
  </w:style>
  <w:style w:type="paragraph" w:customStyle="1" w:styleId="Paragraph1">
    <w:name w:val="Paragraph (1)"/>
    <w:basedOn w:val="Normal"/>
    <w:next w:val="Normal"/>
    <w:rsid w:val="00C76F70"/>
    <w:pPr>
      <w:tabs>
        <w:tab w:val="left" w:pos="547"/>
        <w:tab w:val="left" w:pos="1080"/>
        <w:tab w:val="left" w:pos="1627"/>
        <w:tab w:val="left" w:pos="2160"/>
        <w:tab w:val="left" w:pos="2707"/>
        <w:tab w:val="left" w:pos="3240"/>
        <w:tab w:val="left" w:pos="3787"/>
        <w:tab w:val="left" w:pos="4320"/>
      </w:tabs>
      <w:spacing w:after="240" w:line="240" w:lineRule="auto"/>
      <w:ind w:left="1094" w:hanging="547"/>
      <w:jc w:val="both"/>
    </w:pPr>
    <w:rPr>
      <w:rFonts w:ascii="Arial" w:hAnsi="Arial"/>
      <w:color w:val="000000"/>
      <w:kern w:val="0"/>
      <w:sz w:val="20"/>
      <w14:ligatures w14:val="none"/>
    </w:rPr>
  </w:style>
  <w:style w:type="paragraph" w:customStyle="1" w:styleId="Subparagrapha">
    <w:name w:val="Subparagraph (a)"/>
    <w:basedOn w:val="linebasetext"/>
    <w:rsid w:val="00C76F70"/>
    <w:pPr>
      <w:tabs>
        <w:tab w:val="left" w:pos="547"/>
        <w:tab w:val="left" w:pos="1080"/>
        <w:tab w:val="left" w:pos="1627"/>
        <w:tab w:val="left" w:pos="2707"/>
        <w:tab w:val="left" w:pos="3240"/>
        <w:tab w:val="left" w:pos="3787"/>
        <w:tab w:val="left" w:pos="4320"/>
      </w:tabs>
      <w:ind w:left="1627" w:hanging="547"/>
    </w:pPr>
  </w:style>
  <w:style w:type="paragraph" w:customStyle="1" w:styleId="Part1">
    <w:name w:val="Part 1."/>
    <w:basedOn w:val="linebasetext"/>
    <w:rsid w:val="00C76F70"/>
    <w:pPr>
      <w:tabs>
        <w:tab w:val="left" w:pos="547"/>
        <w:tab w:val="left" w:pos="1080"/>
        <w:tab w:val="left" w:pos="1627"/>
        <w:tab w:val="left" w:pos="2160"/>
        <w:tab w:val="left" w:pos="2707"/>
        <w:tab w:val="left" w:pos="3240"/>
        <w:tab w:val="left" w:pos="3787"/>
        <w:tab w:val="left" w:pos="4320"/>
      </w:tabs>
      <w:ind w:left="2174" w:hanging="547"/>
    </w:pPr>
  </w:style>
  <w:style w:type="paragraph" w:customStyle="1" w:styleId="Subparti">
    <w:name w:val="Subpart (i)"/>
    <w:basedOn w:val="linebasetext"/>
    <w:rsid w:val="00C76F70"/>
    <w:pPr>
      <w:tabs>
        <w:tab w:val="left" w:pos="547"/>
        <w:tab w:val="left" w:pos="1080"/>
        <w:tab w:val="left" w:pos="1627"/>
        <w:tab w:val="left" w:pos="2160"/>
        <w:tab w:val="left" w:pos="2707"/>
        <w:tab w:val="left" w:pos="3240"/>
        <w:tab w:val="left" w:pos="3787"/>
        <w:tab w:val="left" w:pos="4320"/>
      </w:tabs>
      <w:ind w:left="2707" w:hanging="547"/>
    </w:pPr>
  </w:style>
  <w:style w:type="paragraph" w:customStyle="1" w:styleId="ItemI">
    <w:name w:val="Item (I)"/>
    <w:basedOn w:val="linebasetext"/>
    <w:rsid w:val="00C76F70"/>
    <w:pPr>
      <w:tabs>
        <w:tab w:val="left" w:pos="547"/>
        <w:tab w:val="left" w:pos="1080"/>
        <w:tab w:val="left" w:pos="1627"/>
        <w:tab w:val="left" w:pos="2160"/>
        <w:tab w:val="left" w:pos="2707"/>
        <w:tab w:val="left" w:pos="3240"/>
        <w:tab w:val="left" w:pos="3787"/>
        <w:tab w:val="left" w:pos="4320"/>
      </w:tabs>
      <w:ind w:left="3254" w:hanging="547"/>
    </w:pPr>
  </w:style>
  <w:style w:type="paragraph" w:customStyle="1" w:styleId="SubitemI">
    <w:name w:val="Subitem I."/>
    <w:basedOn w:val="linebasetext"/>
    <w:rsid w:val="00C76F70"/>
    <w:pPr>
      <w:tabs>
        <w:tab w:val="left" w:pos="547"/>
        <w:tab w:val="left" w:pos="1080"/>
        <w:tab w:val="left" w:pos="1627"/>
        <w:tab w:val="left" w:pos="2160"/>
        <w:tab w:val="left" w:pos="2707"/>
        <w:tab w:val="left" w:pos="3240"/>
        <w:tab w:val="left" w:pos="3787"/>
        <w:tab w:val="left" w:pos="4320"/>
      </w:tabs>
      <w:ind w:left="3787" w:hanging="547"/>
    </w:pPr>
  </w:style>
  <w:style w:type="paragraph" w:customStyle="1" w:styleId="SectionA">
    <w:name w:val="Section A."/>
    <w:basedOn w:val="linebasetext"/>
    <w:rsid w:val="00C76F70"/>
    <w:pPr>
      <w:tabs>
        <w:tab w:val="left" w:pos="547"/>
        <w:tab w:val="left" w:pos="1080"/>
        <w:tab w:val="left" w:pos="1627"/>
        <w:tab w:val="left" w:pos="2160"/>
        <w:tab w:val="left" w:pos="2707"/>
        <w:tab w:val="left" w:pos="3240"/>
        <w:tab w:val="left" w:pos="3787"/>
        <w:tab w:val="left" w:pos="4320"/>
      </w:tabs>
      <w:ind w:left="4334" w:hanging="547"/>
    </w:pPr>
  </w:style>
  <w:style w:type="paragraph" w:customStyle="1" w:styleId="SubsectionA">
    <w:name w:val="Subsection (A)"/>
    <w:basedOn w:val="linebasetext"/>
    <w:rsid w:val="00C76F70"/>
    <w:pPr>
      <w:tabs>
        <w:tab w:val="left" w:pos="547"/>
        <w:tab w:val="left" w:pos="1080"/>
        <w:tab w:val="left" w:pos="1627"/>
        <w:tab w:val="left" w:pos="2160"/>
        <w:tab w:val="left" w:pos="2707"/>
        <w:tab w:val="left" w:pos="3240"/>
        <w:tab w:val="left" w:pos="3787"/>
        <w:tab w:val="left" w:pos="4320"/>
      </w:tabs>
      <w:ind w:left="4867" w:hanging="547"/>
    </w:pPr>
  </w:style>
  <w:style w:type="paragraph" w:customStyle="1" w:styleId="RULETITLE">
    <w:name w:val="RULE TITLE"/>
    <w:basedOn w:val="Normal"/>
    <w:next w:val="Normal"/>
    <w:rsid w:val="00C76F70"/>
    <w:pPr>
      <w:spacing w:after="240" w:line="240" w:lineRule="auto"/>
      <w:jc w:val="both"/>
    </w:pPr>
    <w:rPr>
      <w:rFonts w:ascii="Arial" w:hAnsi="Arial"/>
      <w:b/>
      <w:color w:val="000000"/>
      <w:kern w:val="0"/>
      <w:sz w:val="20"/>
      <w:szCs w:val="20"/>
      <w14:ligatures w14:val="none"/>
    </w:rPr>
  </w:style>
  <w:style w:type="paragraph" w:customStyle="1" w:styleId="centeredheaderbold">
    <w:name w:val="centered_header_bold"/>
    <w:basedOn w:val="centeredheader"/>
    <w:rsid w:val="00C76F70"/>
    <w:pPr>
      <w:spacing w:before="0" w:after="240"/>
      <w:contextualSpacing/>
    </w:pPr>
    <w:rPr>
      <w:b/>
      <w:bCs/>
    </w:rPr>
  </w:style>
  <w:style w:type="paragraph" w:customStyle="1" w:styleId="SourceCode">
    <w:name w:val="Source Code"/>
    <w:basedOn w:val="Normal"/>
    <w:link w:val="VerbatimChar"/>
    <w:rsid w:val="00C76F70"/>
    <w:pPr>
      <w:spacing w:after="0" w:line="240" w:lineRule="auto"/>
      <w:jc w:val="both"/>
    </w:pPr>
    <w:rPr>
      <w:rFonts w:ascii="Consolas" w:hAnsi="Consolas"/>
      <w:i/>
      <w:color w:val="000000"/>
      <w:sz w:val="22"/>
    </w:rPr>
  </w:style>
  <w:style w:type="character" w:customStyle="1" w:styleId="KeywordTok">
    <w:name w:val="KeywordTok"/>
    <w:basedOn w:val="VerbatimChar"/>
    <w:rsid w:val="00C76F70"/>
    <w:rPr>
      <w:rFonts w:ascii="Consolas" w:hAnsi="Consolas"/>
      <w:b/>
      <w:i/>
      <w:color w:val="007020"/>
      <w:sz w:val="22"/>
    </w:rPr>
  </w:style>
  <w:style w:type="character" w:customStyle="1" w:styleId="DataTypeTok">
    <w:name w:val="DataTypeTok"/>
    <w:basedOn w:val="VerbatimChar"/>
    <w:rsid w:val="00C76F70"/>
    <w:rPr>
      <w:rFonts w:ascii="Consolas" w:hAnsi="Consolas"/>
      <w:i/>
      <w:color w:val="902000"/>
      <w:sz w:val="22"/>
    </w:rPr>
  </w:style>
  <w:style w:type="character" w:customStyle="1" w:styleId="DecValTok">
    <w:name w:val="DecValTok"/>
    <w:basedOn w:val="VerbatimChar"/>
    <w:rsid w:val="00C76F70"/>
    <w:rPr>
      <w:rFonts w:ascii="Consolas" w:hAnsi="Consolas"/>
      <w:i/>
      <w:color w:val="40A070"/>
      <w:sz w:val="22"/>
    </w:rPr>
  </w:style>
  <w:style w:type="character" w:customStyle="1" w:styleId="BaseNTok">
    <w:name w:val="BaseNTok"/>
    <w:basedOn w:val="VerbatimChar"/>
    <w:rsid w:val="00C76F70"/>
    <w:rPr>
      <w:rFonts w:ascii="Consolas" w:hAnsi="Consolas"/>
      <w:i/>
      <w:color w:val="40A070"/>
      <w:sz w:val="22"/>
    </w:rPr>
  </w:style>
  <w:style w:type="character" w:customStyle="1" w:styleId="FloatTok">
    <w:name w:val="FloatTok"/>
    <w:basedOn w:val="VerbatimChar"/>
    <w:rsid w:val="00C76F70"/>
    <w:rPr>
      <w:rFonts w:ascii="Consolas" w:hAnsi="Consolas"/>
      <w:i/>
      <w:color w:val="40A070"/>
      <w:sz w:val="22"/>
    </w:rPr>
  </w:style>
  <w:style w:type="character" w:customStyle="1" w:styleId="ConstantTok">
    <w:name w:val="ConstantTok"/>
    <w:basedOn w:val="VerbatimChar"/>
    <w:rsid w:val="00C76F70"/>
    <w:rPr>
      <w:rFonts w:ascii="Consolas" w:hAnsi="Consolas"/>
      <w:i/>
      <w:color w:val="880000"/>
      <w:sz w:val="22"/>
    </w:rPr>
  </w:style>
  <w:style w:type="character" w:customStyle="1" w:styleId="CharTok">
    <w:name w:val="CharTok"/>
    <w:basedOn w:val="VerbatimChar"/>
    <w:rsid w:val="00C76F70"/>
    <w:rPr>
      <w:rFonts w:ascii="Consolas" w:hAnsi="Consolas"/>
      <w:i/>
      <w:color w:val="4070A0"/>
      <w:sz w:val="22"/>
    </w:rPr>
  </w:style>
  <w:style w:type="character" w:customStyle="1" w:styleId="SpecialCharTok">
    <w:name w:val="SpecialCharTok"/>
    <w:basedOn w:val="VerbatimChar"/>
    <w:rsid w:val="00C76F70"/>
    <w:rPr>
      <w:rFonts w:ascii="Consolas" w:hAnsi="Consolas"/>
      <w:i/>
      <w:color w:val="4070A0"/>
      <w:sz w:val="22"/>
    </w:rPr>
  </w:style>
  <w:style w:type="character" w:customStyle="1" w:styleId="StringTok">
    <w:name w:val="StringTok"/>
    <w:basedOn w:val="VerbatimChar"/>
    <w:rsid w:val="00C76F70"/>
    <w:rPr>
      <w:rFonts w:ascii="Consolas" w:hAnsi="Consolas"/>
      <w:i/>
      <w:color w:val="4070A0"/>
      <w:sz w:val="22"/>
    </w:rPr>
  </w:style>
  <w:style w:type="character" w:customStyle="1" w:styleId="VerbatimStringTok">
    <w:name w:val="VerbatimStringTok"/>
    <w:basedOn w:val="VerbatimChar"/>
    <w:rsid w:val="00C76F70"/>
    <w:rPr>
      <w:rFonts w:ascii="Consolas" w:hAnsi="Consolas"/>
      <w:i/>
      <w:color w:val="4070A0"/>
      <w:sz w:val="22"/>
    </w:rPr>
  </w:style>
  <w:style w:type="character" w:customStyle="1" w:styleId="SpecialStringTok">
    <w:name w:val="SpecialStringTok"/>
    <w:basedOn w:val="VerbatimChar"/>
    <w:rsid w:val="00C76F70"/>
    <w:rPr>
      <w:rFonts w:ascii="Consolas" w:hAnsi="Consolas"/>
      <w:i/>
      <w:color w:val="BB6688"/>
      <w:sz w:val="22"/>
    </w:rPr>
  </w:style>
  <w:style w:type="character" w:customStyle="1" w:styleId="ImportTok">
    <w:name w:val="ImportTok"/>
    <w:basedOn w:val="VerbatimChar"/>
    <w:rsid w:val="00C76F70"/>
    <w:rPr>
      <w:rFonts w:ascii="Consolas" w:hAnsi="Consolas"/>
      <w:b/>
      <w:i/>
      <w:color w:val="008000"/>
      <w:sz w:val="22"/>
    </w:rPr>
  </w:style>
  <w:style w:type="character" w:customStyle="1" w:styleId="CommentTok">
    <w:name w:val="CommentTok"/>
    <w:basedOn w:val="VerbatimChar"/>
    <w:rsid w:val="00C76F70"/>
    <w:rPr>
      <w:rFonts w:ascii="Consolas" w:hAnsi="Consolas"/>
      <w:i w:val="0"/>
      <w:color w:val="60A0B0"/>
      <w:sz w:val="22"/>
    </w:rPr>
  </w:style>
  <w:style w:type="character" w:customStyle="1" w:styleId="DocumentationTok">
    <w:name w:val="DocumentationTok"/>
    <w:basedOn w:val="VerbatimChar"/>
    <w:rsid w:val="00C76F70"/>
    <w:rPr>
      <w:rFonts w:ascii="Consolas" w:hAnsi="Consolas"/>
      <w:i w:val="0"/>
      <w:color w:val="BA2121"/>
      <w:sz w:val="22"/>
    </w:rPr>
  </w:style>
  <w:style w:type="character" w:customStyle="1" w:styleId="AnnotationTok">
    <w:name w:val="AnnotationTok"/>
    <w:basedOn w:val="VerbatimChar"/>
    <w:rsid w:val="00C76F70"/>
    <w:rPr>
      <w:rFonts w:ascii="Consolas" w:hAnsi="Consolas"/>
      <w:b/>
      <w:i w:val="0"/>
      <w:color w:val="60A0B0"/>
      <w:sz w:val="22"/>
    </w:rPr>
  </w:style>
  <w:style w:type="character" w:customStyle="1" w:styleId="CommentVarTok">
    <w:name w:val="CommentVarTok"/>
    <w:basedOn w:val="VerbatimChar"/>
    <w:rsid w:val="00C76F70"/>
    <w:rPr>
      <w:rFonts w:ascii="Consolas" w:hAnsi="Consolas"/>
      <w:b/>
      <w:i w:val="0"/>
      <w:color w:val="60A0B0"/>
      <w:sz w:val="22"/>
    </w:rPr>
  </w:style>
  <w:style w:type="character" w:customStyle="1" w:styleId="OtherTok">
    <w:name w:val="OtherTok"/>
    <w:basedOn w:val="VerbatimChar"/>
    <w:rsid w:val="00C76F70"/>
    <w:rPr>
      <w:rFonts w:ascii="Consolas" w:hAnsi="Consolas"/>
      <w:i/>
      <w:color w:val="007020"/>
      <w:sz w:val="22"/>
    </w:rPr>
  </w:style>
  <w:style w:type="character" w:customStyle="1" w:styleId="FunctionTok">
    <w:name w:val="FunctionTok"/>
    <w:basedOn w:val="VerbatimChar"/>
    <w:rsid w:val="00C76F70"/>
    <w:rPr>
      <w:rFonts w:ascii="Consolas" w:hAnsi="Consolas"/>
      <w:i/>
      <w:color w:val="06287E"/>
      <w:sz w:val="22"/>
    </w:rPr>
  </w:style>
  <w:style w:type="character" w:customStyle="1" w:styleId="VariableTok">
    <w:name w:val="VariableTok"/>
    <w:basedOn w:val="VerbatimChar"/>
    <w:rsid w:val="00C76F70"/>
    <w:rPr>
      <w:rFonts w:ascii="Consolas" w:hAnsi="Consolas"/>
      <w:i/>
      <w:color w:val="19177C"/>
      <w:sz w:val="22"/>
    </w:rPr>
  </w:style>
  <w:style w:type="character" w:customStyle="1" w:styleId="ControlFlowTok">
    <w:name w:val="ControlFlowTok"/>
    <w:basedOn w:val="VerbatimChar"/>
    <w:rsid w:val="00C76F70"/>
    <w:rPr>
      <w:rFonts w:ascii="Consolas" w:hAnsi="Consolas"/>
      <w:b/>
      <w:i/>
      <w:color w:val="007020"/>
      <w:sz w:val="22"/>
    </w:rPr>
  </w:style>
  <w:style w:type="character" w:customStyle="1" w:styleId="OperatorTok">
    <w:name w:val="OperatorTok"/>
    <w:basedOn w:val="VerbatimChar"/>
    <w:rsid w:val="00C76F70"/>
    <w:rPr>
      <w:rFonts w:ascii="Consolas" w:hAnsi="Consolas"/>
      <w:i/>
      <w:color w:val="666666"/>
      <w:sz w:val="22"/>
    </w:rPr>
  </w:style>
  <w:style w:type="character" w:customStyle="1" w:styleId="BuiltInTok">
    <w:name w:val="BuiltInTok"/>
    <w:basedOn w:val="VerbatimChar"/>
    <w:rsid w:val="00C76F70"/>
    <w:rPr>
      <w:rFonts w:ascii="Consolas" w:hAnsi="Consolas"/>
      <w:i/>
      <w:color w:val="008000"/>
      <w:sz w:val="22"/>
    </w:rPr>
  </w:style>
  <w:style w:type="character" w:customStyle="1" w:styleId="ExtensionTok">
    <w:name w:val="ExtensionTok"/>
    <w:basedOn w:val="VerbatimChar"/>
    <w:rsid w:val="00C76F70"/>
    <w:rPr>
      <w:rFonts w:ascii="Consolas" w:hAnsi="Consolas"/>
      <w:i/>
      <w:color w:val="000000"/>
      <w:sz w:val="22"/>
    </w:rPr>
  </w:style>
  <w:style w:type="character" w:customStyle="1" w:styleId="PreprocessorTok">
    <w:name w:val="PreprocessorTok"/>
    <w:basedOn w:val="VerbatimChar"/>
    <w:rsid w:val="00C76F70"/>
    <w:rPr>
      <w:rFonts w:ascii="Consolas" w:hAnsi="Consolas"/>
      <w:i/>
      <w:color w:val="BC7A00"/>
      <w:sz w:val="22"/>
    </w:rPr>
  </w:style>
  <w:style w:type="character" w:customStyle="1" w:styleId="AttributeTok">
    <w:name w:val="AttributeTok"/>
    <w:basedOn w:val="VerbatimChar"/>
    <w:rsid w:val="00C76F70"/>
    <w:rPr>
      <w:rFonts w:ascii="Consolas" w:hAnsi="Consolas"/>
      <w:i/>
      <w:color w:val="7D9029"/>
      <w:sz w:val="22"/>
    </w:rPr>
  </w:style>
  <w:style w:type="character" w:customStyle="1" w:styleId="RegionMarkerTok">
    <w:name w:val="RegionMarkerTok"/>
    <w:basedOn w:val="VerbatimChar"/>
    <w:rsid w:val="00C76F70"/>
    <w:rPr>
      <w:rFonts w:ascii="Consolas" w:hAnsi="Consolas"/>
      <w:i/>
      <w:color w:val="000000"/>
      <w:sz w:val="22"/>
    </w:rPr>
  </w:style>
  <w:style w:type="character" w:customStyle="1" w:styleId="InformationTok">
    <w:name w:val="InformationTok"/>
    <w:basedOn w:val="VerbatimChar"/>
    <w:rsid w:val="00C76F70"/>
    <w:rPr>
      <w:rFonts w:ascii="Consolas" w:hAnsi="Consolas"/>
      <w:b/>
      <w:i w:val="0"/>
      <w:color w:val="60A0B0"/>
      <w:sz w:val="22"/>
    </w:rPr>
  </w:style>
  <w:style w:type="character" w:customStyle="1" w:styleId="WarningTok">
    <w:name w:val="WarningTok"/>
    <w:basedOn w:val="VerbatimChar"/>
    <w:rsid w:val="00C76F70"/>
    <w:rPr>
      <w:rFonts w:ascii="Consolas" w:hAnsi="Consolas"/>
      <w:b/>
      <w:i w:val="0"/>
      <w:color w:val="60A0B0"/>
      <w:sz w:val="22"/>
    </w:rPr>
  </w:style>
  <w:style w:type="character" w:customStyle="1" w:styleId="AlertTok">
    <w:name w:val="AlertTok"/>
    <w:basedOn w:val="VerbatimChar"/>
    <w:rsid w:val="00C76F70"/>
    <w:rPr>
      <w:rFonts w:ascii="Consolas" w:hAnsi="Consolas"/>
      <w:b/>
      <w:i/>
      <w:color w:val="FF0000"/>
      <w:sz w:val="22"/>
    </w:rPr>
  </w:style>
  <w:style w:type="character" w:customStyle="1" w:styleId="ErrorTok">
    <w:name w:val="ErrorTok"/>
    <w:basedOn w:val="VerbatimChar"/>
    <w:rsid w:val="00C76F70"/>
    <w:rPr>
      <w:rFonts w:ascii="Consolas" w:hAnsi="Consolas"/>
      <w:b/>
      <w:i/>
      <w:color w:val="FF0000"/>
      <w:sz w:val="22"/>
    </w:rPr>
  </w:style>
  <w:style w:type="character" w:customStyle="1" w:styleId="NormalTok">
    <w:name w:val="NormalTok"/>
    <w:basedOn w:val="VerbatimChar"/>
    <w:rsid w:val="00C76F70"/>
    <w:rPr>
      <w:rFonts w:ascii="Consolas" w:hAnsi="Consolas"/>
      <w:i/>
      <w:color w:val="000000"/>
      <w:sz w:val="22"/>
    </w:rPr>
  </w:style>
  <w:style w:type="paragraph" w:customStyle="1" w:styleId="CommentText1">
    <w:name w:val="Comment Text1"/>
    <w:basedOn w:val="Normal"/>
    <w:next w:val="CommentText"/>
    <w:link w:val="CommentTextChar"/>
    <w:uiPriority w:val="99"/>
    <w:semiHidden/>
    <w:unhideWhenUsed/>
    <w:rsid w:val="00C76F70"/>
    <w:pPr>
      <w:spacing w:after="0" w:line="240" w:lineRule="auto"/>
      <w:jc w:val="both"/>
    </w:pPr>
    <w:rPr>
      <w:rFonts w:ascii="Arial" w:hAnsi="Arial"/>
      <w:color w:val="000000"/>
      <w:sz w:val="20"/>
      <w:szCs w:val="20"/>
    </w:rPr>
  </w:style>
  <w:style w:type="character" w:customStyle="1" w:styleId="CommentTextChar">
    <w:name w:val="Comment Text Char"/>
    <w:basedOn w:val="DefaultParagraphFont"/>
    <w:link w:val="CommentText1"/>
    <w:uiPriority w:val="99"/>
    <w:semiHidden/>
    <w:rsid w:val="00C76F70"/>
    <w:rPr>
      <w:rFonts w:ascii="Arial" w:hAnsi="Arial"/>
      <w:color w:val="000000"/>
      <w:sz w:val="20"/>
      <w:szCs w:val="20"/>
    </w:rPr>
  </w:style>
  <w:style w:type="character" w:styleId="CommentReference">
    <w:name w:val="annotation reference"/>
    <w:basedOn w:val="DefaultParagraphFont"/>
    <w:uiPriority w:val="99"/>
    <w:semiHidden/>
    <w:unhideWhenUsed/>
    <w:rsid w:val="00C76F70"/>
    <w:rPr>
      <w:sz w:val="16"/>
      <w:szCs w:val="16"/>
    </w:rPr>
  </w:style>
  <w:style w:type="table" w:styleId="TableGridLight">
    <w:name w:val="Grid Table Light"/>
    <w:basedOn w:val="TableNormal"/>
    <w:uiPriority w:val="40"/>
    <w:rsid w:val="00C76F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C76F70"/>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76F70"/>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76F70"/>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76F70"/>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76F70"/>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76F7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C76F70"/>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76F70"/>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76F70"/>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76F70"/>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76F70"/>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76F70"/>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Accent1">
    <w:name w:val="Grid Table 3 Accent 1"/>
    <w:basedOn w:val="TableNormal"/>
    <w:uiPriority w:val="48"/>
    <w:rsid w:val="00C76F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76F70"/>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76F7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76F70"/>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76F7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76F70"/>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Accent1">
    <w:name w:val="Grid Table 4 Accent 1"/>
    <w:basedOn w:val="TableNormal"/>
    <w:uiPriority w:val="49"/>
    <w:rsid w:val="00C76F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76F70"/>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76F7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76F70"/>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76F7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76F70"/>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Accent2">
    <w:name w:val="Grid Table 5 Dark Accent 2"/>
    <w:basedOn w:val="TableNormal"/>
    <w:uiPriority w:val="50"/>
    <w:rsid w:val="00C76F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76F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5">
    <w:name w:val="Grid Table 5 Dark Accent 5"/>
    <w:basedOn w:val="TableNormal"/>
    <w:uiPriority w:val="50"/>
    <w:rsid w:val="00C76F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76F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Accent1">
    <w:name w:val="Grid Table 6 Colorful Accent 1"/>
    <w:basedOn w:val="TableNormal"/>
    <w:uiPriority w:val="51"/>
    <w:rsid w:val="00C76F70"/>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76F70"/>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76F70"/>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76F70"/>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76F70"/>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76F70"/>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Accent1">
    <w:name w:val="Grid Table 7 Colorful Accent 1"/>
    <w:basedOn w:val="TableNormal"/>
    <w:uiPriority w:val="52"/>
    <w:rsid w:val="00C76F70"/>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76F70"/>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76F70"/>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76F70"/>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76F70"/>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76F70"/>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Accent1">
    <w:name w:val="List Table 1 Light Accent 1"/>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Accent1">
    <w:name w:val="List Table 2 Accent 1"/>
    <w:basedOn w:val="TableNormal"/>
    <w:uiPriority w:val="47"/>
    <w:rsid w:val="00C76F70"/>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76F70"/>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76F70"/>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76F70"/>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76F70"/>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76F70"/>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Accent1">
    <w:name w:val="List Table 3 Accent 1"/>
    <w:basedOn w:val="TableNormal"/>
    <w:uiPriority w:val="48"/>
    <w:rsid w:val="00C76F70"/>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76F70"/>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76F70"/>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76F70"/>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76F70"/>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76F70"/>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Accent1">
    <w:name w:val="List Table 4 Accent 1"/>
    <w:basedOn w:val="TableNormal"/>
    <w:uiPriority w:val="49"/>
    <w:rsid w:val="00C76F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76F70"/>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76F7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76F70"/>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76F7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76F70"/>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Accent1">
    <w:name w:val="List Table 5 Dark Accent 1"/>
    <w:basedOn w:val="TableNormal"/>
    <w:uiPriority w:val="50"/>
    <w:rsid w:val="00C76F70"/>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76F70"/>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76F70"/>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76F70"/>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76F70"/>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76F70"/>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C76F70"/>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76F70"/>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76F70"/>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76F70"/>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76F70"/>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76F70"/>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Accent1">
    <w:name w:val="List Table 7 Colorful Accent 1"/>
    <w:basedOn w:val="TableNormal"/>
    <w:uiPriority w:val="52"/>
    <w:rsid w:val="00C76F70"/>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76F70"/>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76F70"/>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76F70"/>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76F70"/>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76F70"/>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C76F70"/>
    <w:rPr>
      <w:i/>
      <w:iCs/>
      <w:color w:val="404040" w:themeColor="text1" w:themeTint="BF"/>
    </w:rPr>
  </w:style>
  <w:style w:type="character" w:styleId="SubtleReference">
    <w:name w:val="Subtle Reference"/>
    <w:basedOn w:val="DefaultParagraphFont"/>
    <w:uiPriority w:val="31"/>
    <w:qFormat/>
    <w:rsid w:val="00C76F70"/>
    <w:rPr>
      <w:smallCaps/>
      <w:color w:val="5A5A5A" w:themeColor="text1" w:themeTint="A5"/>
    </w:rPr>
  </w:style>
  <w:style w:type="character" w:styleId="FollowedHyperlink">
    <w:name w:val="FollowedHyperlink"/>
    <w:basedOn w:val="DefaultParagraphFont"/>
    <w:uiPriority w:val="99"/>
    <w:semiHidden/>
    <w:unhideWhenUsed/>
    <w:rsid w:val="00C76F70"/>
    <w:rPr>
      <w:color w:val="96607D" w:themeColor="followedHyperlink"/>
      <w:u w:val="single"/>
    </w:rPr>
  </w:style>
  <w:style w:type="paragraph" w:styleId="NoSpacing">
    <w:name w:val="No Spacing"/>
    <w:uiPriority w:val="1"/>
    <w:qFormat/>
    <w:rsid w:val="00C76F70"/>
    <w:pPr>
      <w:spacing w:after="0" w:line="240" w:lineRule="auto"/>
    </w:pPr>
  </w:style>
  <w:style w:type="table" w:styleId="TableGrid">
    <w:name w:val="Table Grid"/>
    <w:basedOn w:val="TableNormal"/>
    <w:uiPriority w:val="39"/>
    <w:rsid w:val="00C76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C76F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76F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76F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76F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76F7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76F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C76F7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76F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C76F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C76F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C76F7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C76F7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C76F7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C76F7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C76F7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C76F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C76F7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76F7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C76F7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ndnoteText">
    <w:name w:val="endnote text"/>
    <w:basedOn w:val="Normal"/>
    <w:link w:val="EndnoteTextChar1"/>
    <w:uiPriority w:val="99"/>
    <w:semiHidden/>
    <w:unhideWhenUsed/>
    <w:rsid w:val="00C76F70"/>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C76F70"/>
    <w:rPr>
      <w:sz w:val="20"/>
      <w:szCs w:val="20"/>
    </w:rPr>
  </w:style>
  <w:style w:type="paragraph" w:styleId="BodyText">
    <w:name w:val="Body Text"/>
    <w:basedOn w:val="Normal"/>
    <w:link w:val="BodyTextChar1"/>
    <w:uiPriority w:val="99"/>
    <w:semiHidden/>
    <w:unhideWhenUsed/>
    <w:rsid w:val="00C76F70"/>
    <w:pPr>
      <w:spacing w:after="120"/>
    </w:pPr>
  </w:style>
  <w:style w:type="character" w:customStyle="1" w:styleId="BodyTextChar1">
    <w:name w:val="Body Text Char1"/>
    <w:basedOn w:val="DefaultParagraphFont"/>
    <w:link w:val="BodyText"/>
    <w:uiPriority w:val="99"/>
    <w:semiHidden/>
    <w:rsid w:val="00C76F70"/>
  </w:style>
  <w:style w:type="paragraph" w:styleId="Date">
    <w:name w:val="Date"/>
    <w:basedOn w:val="Normal"/>
    <w:next w:val="Normal"/>
    <w:link w:val="DateChar"/>
    <w:semiHidden/>
    <w:unhideWhenUsed/>
    <w:rsid w:val="00C76F70"/>
  </w:style>
  <w:style w:type="character" w:customStyle="1" w:styleId="DateChar1">
    <w:name w:val="Date Char1"/>
    <w:basedOn w:val="DefaultParagraphFont"/>
    <w:uiPriority w:val="99"/>
    <w:semiHidden/>
    <w:rsid w:val="00C76F70"/>
  </w:style>
  <w:style w:type="paragraph" w:styleId="Bibliography">
    <w:name w:val="Bibliography"/>
    <w:basedOn w:val="Normal"/>
    <w:next w:val="Normal"/>
    <w:uiPriority w:val="37"/>
    <w:semiHidden/>
    <w:unhideWhenUsed/>
    <w:rsid w:val="00C76F70"/>
  </w:style>
  <w:style w:type="paragraph" w:styleId="FootnoteText">
    <w:name w:val="footnote text"/>
    <w:basedOn w:val="Normal"/>
    <w:link w:val="FootnoteTextChar1"/>
    <w:uiPriority w:val="99"/>
    <w:semiHidden/>
    <w:unhideWhenUsed/>
    <w:rsid w:val="00C76F70"/>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C76F70"/>
    <w:rPr>
      <w:sz w:val="20"/>
      <w:szCs w:val="20"/>
    </w:rPr>
  </w:style>
  <w:style w:type="paragraph" w:styleId="Caption">
    <w:name w:val="caption"/>
    <w:basedOn w:val="Normal"/>
    <w:next w:val="Normal"/>
    <w:uiPriority w:val="35"/>
    <w:semiHidden/>
    <w:unhideWhenUsed/>
    <w:qFormat/>
    <w:rsid w:val="00C76F70"/>
    <w:pPr>
      <w:spacing w:after="200" w:line="240" w:lineRule="auto"/>
    </w:pPr>
    <w:rPr>
      <w:i/>
      <w:iCs/>
      <w:color w:val="0E2841" w:themeColor="text2"/>
      <w:sz w:val="18"/>
      <w:szCs w:val="18"/>
    </w:rPr>
  </w:style>
  <w:style w:type="character" w:styleId="Hyperlink">
    <w:name w:val="Hyperlink"/>
    <w:basedOn w:val="DefaultParagraphFont"/>
    <w:uiPriority w:val="99"/>
    <w:semiHidden/>
    <w:unhideWhenUsed/>
    <w:rsid w:val="00C76F70"/>
    <w:rPr>
      <w:color w:val="467886" w:themeColor="hyperlink"/>
      <w:u w:val="single"/>
    </w:rPr>
  </w:style>
  <w:style w:type="paragraph" w:styleId="CommentText">
    <w:name w:val="annotation text"/>
    <w:basedOn w:val="Normal"/>
    <w:link w:val="CommentTextChar1"/>
    <w:uiPriority w:val="99"/>
    <w:semiHidden/>
    <w:unhideWhenUsed/>
    <w:rsid w:val="00C76F70"/>
    <w:pPr>
      <w:spacing w:line="240" w:lineRule="auto"/>
    </w:pPr>
    <w:rPr>
      <w:sz w:val="20"/>
      <w:szCs w:val="20"/>
    </w:rPr>
  </w:style>
  <w:style w:type="character" w:customStyle="1" w:styleId="CommentTextChar1">
    <w:name w:val="Comment Text Char1"/>
    <w:basedOn w:val="DefaultParagraphFont"/>
    <w:link w:val="CommentText"/>
    <w:uiPriority w:val="99"/>
    <w:semiHidden/>
    <w:rsid w:val="00C76F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11454</Words>
  <Characters>65292</Characters>
  <Application>Microsoft Office Word</Application>
  <DocSecurity>4</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Bush</dc:creator>
  <cp:keywords/>
  <dc:description/>
  <cp:lastModifiedBy>Tracy M. Bacchus</cp:lastModifiedBy>
  <cp:revision>2</cp:revision>
  <dcterms:created xsi:type="dcterms:W3CDTF">2026-10-01T13:49:00Z</dcterms:created>
  <dcterms:modified xsi:type="dcterms:W3CDTF">2026-10-01T13:49:00Z</dcterms:modified>
</cp:coreProperties>
</file>