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12FC" w14:textId="77777777" w:rsidR="0069634A" w:rsidRDefault="008970A2">
      <w:pPr>
        <w:pStyle w:val="Heading1"/>
        <w:rPr>
          <w:u w:val="none"/>
        </w:rPr>
      </w:pPr>
      <w:r>
        <w:rPr>
          <w:noProof/>
        </w:rPr>
        <mc:AlternateContent>
          <mc:Choice Requires="wps">
            <w:drawing>
              <wp:anchor distT="0" distB="0" distL="0" distR="0" simplePos="0" relativeHeight="487548928" behindDoc="1" locked="0" layoutInCell="1" allowOverlap="1" wp14:anchorId="442AADF6" wp14:editId="3460948E">
                <wp:simplePos x="0" y="0"/>
                <wp:positionH relativeFrom="page">
                  <wp:posOffset>5686044</wp:posOffset>
                </wp:positionH>
                <wp:positionV relativeFrom="page">
                  <wp:posOffset>476630</wp:posOffset>
                </wp:positionV>
                <wp:extent cx="1170305" cy="102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02235"/>
                        </a:xfrm>
                        <a:prstGeom prst="rect">
                          <a:avLst/>
                        </a:prstGeom>
                      </wps:spPr>
                      <wps:txbx>
                        <w:txbxContent>
                          <w:p w14:paraId="4846ECA9" w14:textId="77777777" w:rsidR="0069634A" w:rsidRDefault="008970A2">
                            <w:pPr>
                              <w:spacing w:line="161" w:lineRule="exact"/>
                              <w:rPr>
                                <w:sz w:val="16"/>
                              </w:rPr>
                            </w:pPr>
                            <w:r>
                              <w:rPr>
                                <w:color w:val="231F20"/>
                                <w:sz w:val="16"/>
                              </w:rPr>
                              <w:t>Proposal</w:t>
                            </w:r>
                            <w:r>
                              <w:rPr>
                                <w:color w:val="231F20"/>
                                <w:spacing w:val="-8"/>
                                <w:sz w:val="16"/>
                              </w:rPr>
                              <w:t xml:space="preserve"> </w:t>
                            </w:r>
                            <w:r>
                              <w:rPr>
                                <w:color w:val="231F20"/>
                                <w:sz w:val="16"/>
                              </w:rPr>
                              <w:t>Evaluation</w:t>
                            </w:r>
                            <w:r>
                              <w:rPr>
                                <w:color w:val="231F20"/>
                                <w:spacing w:val="-7"/>
                                <w:sz w:val="16"/>
                              </w:rPr>
                              <w:t xml:space="preserve"> </w:t>
                            </w:r>
                            <w:r>
                              <w:rPr>
                                <w:color w:val="231F20"/>
                                <w:spacing w:val="-2"/>
                                <w:sz w:val="16"/>
                              </w:rPr>
                              <w:t>Method</w:t>
                            </w:r>
                          </w:p>
                        </w:txbxContent>
                      </wps:txbx>
                      <wps:bodyPr wrap="square" lIns="0" tIns="0" rIns="0" bIns="0" rtlCol="0">
                        <a:noAutofit/>
                      </wps:bodyPr>
                    </wps:wsp>
                  </a:graphicData>
                </a:graphic>
              </wp:anchor>
            </w:drawing>
          </mc:Choice>
          <mc:Fallback>
            <w:pict>
              <v:shapetype w14:anchorId="442AADF6" id="_x0000_t202" coordsize="21600,21600" o:spt="202" path="m,l,21600r21600,l21600,xe">
                <v:stroke joinstyle="miter"/>
                <v:path gradientshapeok="t" o:connecttype="rect"/>
              </v:shapetype>
              <v:shape id="Textbox 4" o:spid="_x0000_s1026" type="#_x0000_t202" style="position:absolute;left:0;text-align:left;margin-left:447.7pt;margin-top:37.55pt;width:92.15pt;height:8.0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" filled="f" stroked="f">
                <v:textbox inset="0,0,0,0">
                  <w:txbxContent>
                    <w:p w14:paraId="4846ECA9" w14:textId="77777777" w:rsidR="0069634A" w:rsidRDefault="008970A2">
                      <w:pPr>
                        <w:spacing w:line="161" w:lineRule="exact"/>
                        <w:rPr>
                          <w:sz w:val="16"/>
                        </w:rPr>
                      </w:pPr>
                      <w:r>
                        <w:rPr>
                          <w:color w:val="231F20"/>
                          <w:sz w:val="16"/>
                        </w:rPr>
                        <w:t>Proposal</w:t>
                      </w:r>
                      <w:r>
                        <w:rPr>
                          <w:color w:val="231F20"/>
                          <w:spacing w:val="-8"/>
                          <w:sz w:val="16"/>
                        </w:rPr>
                        <w:t xml:space="preserve"> </w:t>
                      </w:r>
                      <w:r>
                        <w:rPr>
                          <w:color w:val="231F20"/>
                          <w:sz w:val="16"/>
                        </w:rPr>
                        <w:t>Evaluation</w:t>
                      </w:r>
                      <w:r>
                        <w:rPr>
                          <w:color w:val="231F20"/>
                          <w:spacing w:val="-7"/>
                          <w:sz w:val="16"/>
                        </w:rPr>
                        <w:t xml:space="preserve"> </w:t>
                      </w:r>
                      <w:r>
                        <w:rPr>
                          <w:color w:val="231F20"/>
                          <w:spacing w:val="-2"/>
                          <w:sz w:val="16"/>
                        </w:rPr>
                        <w:t>Method</w:t>
                      </w:r>
                    </w:p>
                  </w:txbxContent>
                </v:textbox>
                <w10:wrap anchorx="page" anchory="page"/>
              </v:shape>
            </w:pict>
          </mc:Fallback>
        </mc:AlternateContent>
      </w:r>
      <w:r>
        <w:rPr>
          <w:color w:val="231F20"/>
          <w:u w:color="231F20"/>
        </w:rPr>
        <w:t>SECTION</w:t>
      </w:r>
      <w:r>
        <w:rPr>
          <w:color w:val="231F20"/>
          <w:spacing w:val="-6"/>
          <w:u w:color="231F20"/>
        </w:rPr>
        <w:t xml:space="preserve"> </w:t>
      </w:r>
      <w:r>
        <w:rPr>
          <w:color w:val="231F20"/>
          <w:spacing w:val="-5"/>
          <w:u w:color="231F20"/>
        </w:rPr>
        <w:t>IV</w:t>
      </w:r>
    </w:p>
    <w:p w14:paraId="08FF4356" w14:textId="77777777" w:rsidR="0069634A" w:rsidRDefault="008970A2">
      <w:pPr>
        <w:pStyle w:val="BodyText"/>
        <w:spacing w:before="240"/>
        <w:ind w:left="360"/>
        <w:jc w:val="left"/>
      </w:pPr>
      <w:r>
        <w:rPr>
          <w:color w:val="231F20"/>
        </w:rPr>
        <w:t>PROPOSAL</w:t>
      </w:r>
      <w:r>
        <w:rPr>
          <w:color w:val="231F20"/>
          <w:spacing w:val="-8"/>
        </w:rPr>
        <w:t xml:space="preserve"> </w:t>
      </w:r>
      <w:r>
        <w:rPr>
          <w:color w:val="231F20"/>
        </w:rPr>
        <w:t>EVALUATION</w:t>
      </w:r>
      <w:r>
        <w:rPr>
          <w:color w:val="231F20"/>
          <w:spacing w:val="-9"/>
        </w:rPr>
        <w:t xml:space="preserve"> </w:t>
      </w:r>
      <w:r>
        <w:rPr>
          <w:color w:val="231F20"/>
          <w:spacing w:val="-2"/>
        </w:rPr>
        <w:t>METHOD</w:t>
      </w:r>
    </w:p>
    <w:p w14:paraId="43C70266" w14:textId="77777777" w:rsidR="0069634A" w:rsidRDefault="008970A2">
      <w:pPr>
        <w:pStyle w:val="BodyText"/>
        <w:spacing w:before="238" w:line="276" w:lineRule="auto"/>
        <w:ind w:left="359" w:right="353"/>
      </w:pPr>
      <w:r>
        <w:rPr>
          <w:color w:val="231F20"/>
        </w:rPr>
        <w:t>The Evaluation</w:t>
      </w:r>
      <w:r>
        <w:rPr>
          <w:color w:val="231F20"/>
          <w:spacing w:val="-2"/>
        </w:rPr>
        <w:t xml:space="preserve"> </w:t>
      </w:r>
      <w:r>
        <w:rPr>
          <w:color w:val="231F20"/>
        </w:rPr>
        <w:t>process</w:t>
      </w:r>
      <w:r>
        <w:rPr>
          <w:color w:val="231F20"/>
          <w:spacing w:val="-1"/>
        </w:rPr>
        <w:t xml:space="preserve"> </w:t>
      </w:r>
      <w:r>
        <w:rPr>
          <w:color w:val="231F20"/>
        </w:rPr>
        <w:t>is</w:t>
      </w:r>
      <w:r>
        <w:rPr>
          <w:color w:val="231F20"/>
          <w:spacing w:val="-1"/>
        </w:rPr>
        <w:t xml:space="preserve"> </w:t>
      </w:r>
      <w:r>
        <w:rPr>
          <w:color w:val="231F20"/>
        </w:rPr>
        <w:t>designed</w:t>
      </w:r>
      <w:r>
        <w:rPr>
          <w:color w:val="231F20"/>
          <w:spacing w:val="-2"/>
        </w:rPr>
        <w:t xml:space="preserve"> </w:t>
      </w:r>
      <w:r>
        <w:rPr>
          <w:color w:val="231F20"/>
        </w:rPr>
        <w:t>to</w:t>
      </w:r>
      <w:r>
        <w:rPr>
          <w:color w:val="231F20"/>
          <w:spacing w:val="-1"/>
        </w:rPr>
        <w:t xml:space="preserve"> </w:t>
      </w:r>
      <w:r>
        <w:rPr>
          <w:color w:val="231F20"/>
        </w:rPr>
        <w:t>identify the proposal</w:t>
      </w:r>
      <w:r>
        <w:rPr>
          <w:color w:val="231F20"/>
          <w:spacing w:val="-1"/>
        </w:rPr>
        <w:t xml:space="preserve"> </w:t>
      </w:r>
      <w:r>
        <w:rPr>
          <w:color w:val="231F20"/>
        </w:rPr>
        <w:t>which</w:t>
      </w:r>
      <w:r>
        <w:rPr>
          <w:color w:val="231F20"/>
          <w:spacing w:val="-2"/>
        </w:rPr>
        <w:t xml:space="preserve"> </w:t>
      </w:r>
      <w:r>
        <w:rPr>
          <w:color w:val="231F20"/>
        </w:rPr>
        <w:t>is</w:t>
      </w:r>
      <w:r>
        <w:rPr>
          <w:color w:val="231F20"/>
          <w:spacing w:val="-1"/>
        </w:rPr>
        <w:t xml:space="preserve"> </w:t>
      </w:r>
      <w:r>
        <w:rPr>
          <w:color w:val="231F20"/>
        </w:rPr>
        <w:t>the best</w:t>
      </w:r>
      <w:r>
        <w:rPr>
          <w:color w:val="231F20"/>
          <w:spacing w:val="-3"/>
        </w:rPr>
        <w:t xml:space="preserve"> </w:t>
      </w:r>
      <w:r>
        <w:rPr>
          <w:color w:val="231F20"/>
        </w:rPr>
        <w:t>overall</w:t>
      </w:r>
      <w:r>
        <w:rPr>
          <w:color w:val="231F20"/>
          <w:spacing w:val="-1"/>
        </w:rPr>
        <w:t xml:space="preserve"> </w:t>
      </w:r>
      <w:r>
        <w:rPr>
          <w:color w:val="231F20"/>
        </w:rPr>
        <w:t>fit</w:t>
      </w:r>
      <w:r>
        <w:rPr>
          <w:color w:val="231F20"/>
          <w:spacing w:val="-1"/>
        </w:rPr>
        <w:t xml:space="preserve"> </w:t>
      </w:r>
      <w:r>
        <w:rPr>
          <w:color w:val="231F20"/>
        </w:rPr>
        <w:t>for State tenancy. All communications with proposers will be conducted in accordance with the Real Estate Asset Management Lease Communications and Negotiations Policy and Procedure (the “Policy”), which is posted on the State of Tennessee’s website (</w:t>
      </w:r>
      <w:hyperlink r:id="rId7">
        <w:r w:rsidRPr="000029F7">
          <w:rPr>
            <w:color w:val="AE0000"/>
          </w:rPr>
          <w:t>www</w:t>
        </w:r>
        <w:r w:rsidRPr="000029F7">
          <w:rPr>
            <w:color w:val="A20000"/>
          </w:rPr>
          <w:t>.tnrfp.com)</w:t>
        </w:r>
      </w:hyperlink>
    </w:p>
    <w:p w14:paraId="44B3D9D2" w14:textId="77777777" w:rsidR="0069634A" w:rsidRDefault="008970A2">
      <w:pPr>
        <w:pStyle w:val="BodyText"/>
        <w:spacing w:before="202"/>
        <w:ind w:left="360"/>
        <w:jc w:val="left"/>
      </w:pPr>
      <w:r>
        <w:rPr>
          <w:color w:val="231F20"/>
        </w:rPr>
        <w:t>INITIAL</w:t>
      </w:r>
      <w:r>
        <w:rPr>
          <w:color w:val="231F20"/>
          <w:spacing w:val="-5"/>
        </w:rPr>
        <w:t xml:space="preserve"> </w:t>
      </w:r>
      <w:r>
        <w:rPr>
          <w:color w:val="231F20"/>
          <w:spacing w:val="-2"/>
        </w:rPr>
        <w:t>REVIEW</w:t>
      </w:r>
    </w:p>
    <w:p w14:paraId="42B8342A" w14:textId="77777777" w:rsidR="0069634A" w:rsidRDefault="008970A2">
      <w:pPr>
        <w:pStyle w:val="ListParagraph"/>
        <w:numPr>
          <w:ilvl w:val="0"/>
          <w:numId w:val="1"/>
        </w:numPr>
        <w:tabs>
          <w:tab w:val="left" w:pos="1080"/>
        </w:tabs>
        <w:spacing w:before="240" w:line="237" w:lineRule="auto"/>
        <w:ind w:right="356"/>
        <w:jc w:val="left"/>
      </w:pPr>
      <w:r>
        <w:rPr>
          <w:color w:val="231F20"/>
        </w:rPr>
        <w:t>Following the proposal submittal deadline, the Solicitation Coordinator will open and assess the proposals received and determine:</w:t>
      </w:r>
    </w:p>
    <w:p w14:paraId="2FB61829" w14:textId="77777777" w:rsidR="0069634A" w:rsidRDefault="008970A2">
      <w:pPr>
        <w:pStyle w:val="ListParagraph"/>
        <w:numPr>
          <w:ilvl w:val="1"/>
          <w:numId w:val="1"/>
        </w:numPr>
        <w:tabs>
          <w:tab w:val="left" w:pos="1942"/>
          <w:tab w:val="left" w:pos="1944"/>
        </w:tabs>
        <w:spacing w:before="6" w:line="235" w:lineRule="auto"/>
        <w:jc w:val="left"/>
      </w:pPr>
      <w:r>
        <w:rPr>
          <w:color w:val="231F20"/>
        </w:rPr>
        <w:t>If the proposal adequately meets the requirements of the Lease Proposal Request for further evaluation;</w:t>
      </w:r>
    </w:p>
    <w:p w14:paraId="77C99BC2" w14:textId="77777777" w:rsidR="0069634A" w:rsidRDefault="008970A2">
      <w:pPr>
        <w:pStyle w:val="ListParagraph"/>
        <w:numPr>
          <w:ilvl w:val="1"/>
          <w:numId w:val="1"/>
        </w:numPr>
        <w:tabs>
          <w:tab w:val="left" w:pos="1943"/>
        </w:tabs>
        <w:spacing w:line="273" w:lineRule="exact"/>
        <w:ind w:left="1943" w:right="0" w:hanging="359"/>
        <w:jc w:val="left"/>
      </w:pPr>
      <w:r>
        <w:rPr>
          <w:color w:val="231F20"/>
        </w:rPr>
        <w:t>If</w:t>
      </w:r>
      <w:r>
        <w:rPr>
          <w:color w:val="231F20"/>
          <w:spacing w:val="-5"/>
        </w:rPr>
        <w:t xml:space="preserve"> </w:t>
      </w:r>
      <w:r>
        <w:rPr>
          <w:color w:val="231F20"/>
        </w:rPr>
        <w:t>the</w:t>
      </w:r>
      <w:r>
        <w:rPr>
          <w:color w:val="231F20"/>
          <w:spacing w:val="-5"/>
        </w:rPr>
        <w:t xml:space="preserve"> </w:t>
      </w:r>
      <w:r>
        <w:rPr>
          <w:color w:val="231F20"/>
        </w:rPr>
        <w:t>State</w:t>
      </w:r>
      <w:r>
        <w:rPr>
          <w:color w:val="231F20"/>
          <w:spacing w:val="-6"/>
        </w:rPr>
        <w:t xml:space="preserve"> </w:t>
      </w:r>
      <w:r>
        <w:rPr>
          <w:color w:val="231F20"/>
        </w:rPr>
        <w:t>will</w:t>
      </w:r>
      <w:r>
        <w:rPr>
          <w:color w:val="231F20"/>
          <w:spacing w:val="-5"/>
        </w:rPr>
        <w:t xml:space="preserve"> </w:t>
      </w:r>
      <w:r>
        <w:rPr>
          <w:color w:val="231F20"/>
        </w:rPr>
        <w:t>request</w:t>
      </w:r>
      <w:r>
        <w:rPr>
          <w:color w:val="231F20"/>
          <w:spacing w:val="-4"/>
        </w:rPr>
        <w:t xml:space="preserve"> </w:t>
      </w:r>
      <w:r>
        <w:rPr>
          <w:color w:val="231F20"/>
        </w:rPr>
        <w:t>clarification</w:t>
      </w:r>
      <w:r>
        <w:rPr>
          <w:color w:val="231F20"/>
          <w:spacing w:val="-5"/>
        </w:rPr>
        <w:t xml:space="preserve"> </w:t>
      </w:r>
      <w:r>
        <w:rPr>
          <w:color w:val="231F20"/>
        </w:rPr>
        <w:t>for</w:t>
      </w:r>
      <w:r>
        <w:rPr>
          <w:color w:val="231F20"/>
          <w:spacing w:val="-6"/>
        </w:rPr>
        <w:t xml:space="preserve"> </w:t>
      </w:r>
      <w:r>
        <w:rPr>
          <w:color w:val="231F20"/>
        </w:rPr>
        <w:t>consideration</w:t>
      </w:r>
      <w:r>
        <w:rPr>
          <w:color w:val="231F20"/>
          <w:spacing w:val="-8"/>
        </w:rPr>
        <w:t xml:space="preserve"> </w:t>
      </w:r>
      <w:r>
        <w:rPr>
          <w:color w:val="231F20"/>
        </w:rPr>
        <w:t>prior</w:t>
      </w:r>
      <w:r>
        <w:rPr>
          <w:color w:val="231F20"/>
          <w:spacing w:val="-4"/>
        </w:rPr>
        <w:t xml:space="preserve"> </w:t>
      </w:r>
      <w:r>
        <w:rPr>
          <w:color w:val="231F20"/>
        </w:rPr>
        <w:t>to</w:t>
      </w:r>
      <w:r>
        <w:rPr>
          <w:color w:val="231F20"/>
          <w:spacing w:val="-4"/>
        </w:rPr>
        <w:t xml:space="preserve"> </w:t>
      </w:r>
      <w:r>
        <w:rPr>
          <w:color w:val="231F20"/>
        </w:rPr>
        <w:t>evaluation,</w:t>
      </w:r>
      <w:r>
        <w:rPr>
          <w:color w:val="231F20"/>
          <w:spacing w:val="-6"/>
        </w:rPr>
        <w:t xml:space="preserve"> </w:t>
      </w:r>
      <w:r>
        <w:rPr>
          <w:color w:val="231F20"/>
          <w:spacing w:val="-5"/>
        </w:rPr>
        <w:t>or;</w:t>
      </w:r>
    </w:p>
    <w:p w14:paraId="0C694A88" w14:textId="77777777" w:rsidR="0069634A" w:rsidRDefault="008970A2">
      <w:pPr>
        <w:pStyle w:val="ListParagraph"/>
        <w:numPr>
          <w:ilvl w:val="1"/>
          <w:numId w:val="1"/>
        </w:numPr>
        <w:tabs>
          <w:tab w:val="left" w:pos="1943"/>
        </w:tabs>
        <w:spacing w:line="273" w:lineRule="exact"/>
        <w:ind w:left="1943" w:right="0" w:hanging="359"/>
        <w:jc w:val="left"/>
      </w:pPr>
      <w:r>
        <w:rPr>
          <w:color w:val="231F20"/>
        </w:rPr>
        <w:t>If</w:t>
      </w:r>
      <w:r>
        <w:rPr>
          <w:color w:val="231F20"/>
          <w:spacing w:val="-4"/>
        </w:rPr>
        <w:t xml:space="preserve"> </w:t>
      </w:r>
      <w:r>
        <w:rPr>
          <w:color w:val="231F20"/>
        </w:rPr>
        <w:t>the</w:t>
      </w:r>
      <w:r>
        <w:rPr>
          <w:color w:val="231F20"/>
          <w:spacing w:val="-3"/>
        </w:rPr>
        <w:t xml:space="preserve"> </w:t>
      </w:r>
      <w:r>
        <w:rPr>
          <w:color w:val="231F20"/>
        </w:rPr>
        <w:t>State</w:t>
      </w:r>
      <w:r>
        <w:rPr>
          <w:color w:val="231F20"/>
          <w:spacing w:val="-6"/>
        </w:rPr>
        <w:t xml:space="preserve"> </w:t>
      </w:r>
      <w:r>
        <w:rPr>
          <w:color w:val="231F20"/>
        </w:rPr>
        <w:t>will</w:t>
      </w:r>
      <w:r>
        <w:rPr>
          <w:color w:val="231F20"/>
          <w:spacing w:val="-3"/>
        </w:rPr>
        <w:t xml:space="preserve"> </w:t>
      </w:r>
      <w:r>
        <w:rPr>
          <w:color w:val="231F20"/>
        </w:rPr>
        <w:t>determine</w:t>
      </w:r>
      <w:r>
        <w:rPr>
          <w:color w:val="231F20"/>
          <w:spacing w:val="-3"/>
        </w:rPr>
        <w:t xml:space="preserve"> </w:t>
      </w:r>
      <w:r>
        <w:rPr>
          <w:color w:val="231F20"/>
        </w:rPr>
        <w:t>the</w:t>
      </w:r>
      <w:r>
        <w:rPr>
          <w:color w:val="231F20"/>
          <w:spacing w:val="-4"/>
        </w:rPr>
        <w:t xml:space="preserve"> </w:t>
      </w:r>
      <w:r>
        <w:rPr>
          <w:color w:val="231F20"/>
        </w:rPr>
        <w:t>proposal</w:t>
      </w:r>
      <w:r>
        <w:rPr>
          <w:color w:val="231F20"/>
          <w:spacing w:val="-3"/>
        </w:rPr>
        <w:t xml:space="preserve"> </w:t>
      </w:r>
      <w:r>
        <w:rPr>
          <w:color w:val="231F20"/>
        </w:rPr>
        <w:t>non-responsive</w:t>
      </w:r>
      <w:r>
        <w:rPr>
          <w:color w:val="231F20"/>
          <w:spacing w:val="-3"/>
        </w:rPr>
        <w:t xml:space="preserve"> </w:t>
      </w:r>
      <w:r>
        <w:rPr>
          <w:color w:val="231F20"/>
        </w:rPr>
        <w:t>and</w:t>
      </w:r>
      <w:r>
        <w:rPr>
          <w:color w:val="231F20"/>
          <w:spacing w:val="-4"/>
        </w:rPr>
        <w:t xml:space="preserve"> </w:t>
      </w:r>
      <w:r>
        <w:rPr>
          <w:color w:val="231F20"/>
        </w:rPr>
        <w:t>reject</w:t>
      </w:r>
      <w:r>
        <w:rPr>
          <w:color w:val="231F20"/>
          <w:spacing w:val="-3"/>
        </w:rPr>
        <w:t xml:space="preserve"> </w:t>
      </w:r>
      <w:r>
        <w:rPr>
          <w:color w:val="231F20"/>
          <w:spacing w:val="-5"/>
        </w:rPr>
        <w:t>it.</w:t>
      </w:r>
    </w:p>
    <w:p w14:paraId="3E5CE9FF" w14:textId="77777777" w:rsidR="0069634A" w:rsidRDefault="008970A2">
      <w:pPr>
        <w:pStyle w:val="BodyText"/>
        <w:spacing w:before="192"/>
        <w:ind w:left="360"/>
        <w:jc w:val="left"/>
      </w:pPr>
      <w:r>
        <w:rPr>
          <w:color w:val="231F20"/>
          <w:spacing w:val="-2"/>
        </w:rPr>
        <w:t>EVALUATION</w:t>
      </w:r>
    </w:p>
    <w:p w14:paraId="0D89A405" w14:textId="77777777" w:rsidR="0069634A" w:rsidRDefault="008970A2">
      <w:pPr>
        <w:pStyle w:val="ListParagraph"/>
        <w:numPr>
          <w:ilvl w:val="0"/>
          <w:numId w:val="1"/>
        </w:numPr>
        <w:tabs>
          <w:tab w:val="left" w:pos="1080"/>
        </w:tabs>
        <w:spacing w:before="197"/>
        <w:ind w:hanging="360"/>
      </w:pPr>
      <w:r>
        <w:rPr>
          <w:color w:val="231F20"/>
        </w:rPr>
        <w:t>For all proposals not otherwise rejected, the Leasing Agent or Broker will perform an evaluation of the proposal to determine the net present value of the Total Cost to the State during the period of time between the commencement of the lease and the end of the term of the lease which includes requested renewal options. The “Total Cost” will include base rent, the costs of moving from the existing location to the proposed location, estimates of additional rent such as pass through of operating expenses or s</w:t>
      </w:r>
      <w:r>
        <w:rPr>
          <w:color w:val="231F20"/>
        </w:rPr>
        <w:t>eparately metered utilities, costs associated with any landlord services not included in the base rent, costs associated with delayed occupancy, costs associated</w:t>
      </w:r>
      <w:r>
        <w:rPr>
          <w:color w:val="231F20"/>
          <w:spacing w:val="-2"/>
        </w:rPr>
        <w:t xml:space="preserve"> </w:t>
      </w:r>
      <w:r>
        <w:rPr>
          <w:color w:val="231F20"/>
        </w:rPr>
        <w:t>with</w:t>
      </w:r>
      <w:r>
        <w:rPr>
          <w:color w:val="231F20"/>
          <w:spacing w:val="-2"/>
        </w:rPr>
        <w:t xml:space="preserve"> </w:t>
      </w:r>
      <w:r>
        <w:rPr>
          <w:color w:val="231F20"/>
        </w:rPr>
        <w:t>any improvements</w:t>
      </w:r>
      <w:r>
        <w:rPr>
          <w:color w:val="231F20"/>
          <w:spacing w:val="-1"/>
        </w:rPr>
        <w:t xml:space="preserve"> </w:t>
      </w:r>
      <w:r>
        <w:rPr>
          <w:color w:val="231F20"/>
        </w:rPr>
        <w:t>to be made to the</w:t>
      </w:r>
      <w:r>
        <w:rPr>
          <w:color w:val="231F20"/>
          <w:spacing w:val="-3"/>
        </w:rPr>
        <w:t xml:space="preserve"> </w:t>
      </w:r>
      <w:r>
        <w:rPr>
          <w:color w:val="231F20"/>
        </w:rPr>
        <w:t>proposed</w:t>
      </w:r>
      <w:r>
        <w:rPr>
          <w:color w:val="231F20"/>
          <w:spacing w:val="-2"/>
        </w:rPr>
        <w:t xml:space="preserve"> </w:t>
      </w:r>
      <w:r>
        <w:rPr>
          <w:color w:val="231F20"/>
        </w:rPr>
        <w:t>premises</w:t>
      </w:r>
      <w:r>
        <w:rPr>
          <w:color w:val="231F20"/>
          <w:spacing w:val="-1"/>
        </w:rPr>
        <w:t xml:space="preserve"> </w:t>
      </w:r>
      <w:r>
        <w:rPr>
          <w:color w:val="231F20"/>
        </w:rPr>
        <w:t>at the cost</w:t>
      </w:r>
      <w:r>
        <w:rPr>
          <w:color w:val="231F20"/>
          <w:spacing w:val="-3"/>
        </w:rPr>
        <w:t xml:space="preserve"> </w:t>
      </w:r>
      <w:r>
        <w:rPr>
          <w:color w:val="231F20"/>
        </w:rPr>
        <w:t>of</w:t>
      </w:r>
      <w:r>
        <w:rPr>
          <w:color w:val="231F20"/>
          <w:spacing w:val="-1"/>
        </w:rPr>
        <w:t xml:space="preserve"> </w:t>
      </w:r>
      <w:r>
        <w:rPr>
          <w:color w:val="231F20"/>
        </w:rPr>
        <w:t>the State costs associated with renovating in place, costs associated with deviations from the specifications requested by the State, and any other cost factors properly and reasonably allocable to the proposed lease.</w:t>
      </w:r>
      <w:r>
        <w:rPr>
          <w:color w:val="231F20"/>
          <w:spacing w:val="40"/>
        </w:rPr>
        <w:t xml:space="preserve"> </w:t>
      </w:r>
      <w:r>
        <w:rPr>
          <w:color w:val="231F20"/>
        </w:rPr>
        <w:t>In calculating the net present value, the “Discount Rate” found on the Office of the State Architect website (</w:t>
      </w:r>
      <w:hyperlink r:id="rId8">
        <w:r w:rsidRPr="000029F7">
          <w:rPr>
            <w:color w:val="AE0000"/>
          </w:rPr>
          <w:t>https://www.tn.gov/finance/article/fa-osa-</w:t>
        </w:r>
      </w:hyperlink>
      <w:r w:rsidRPr="000029F7">
        <w:rPr>
          <w:color w:val="AE0000"/>
        </w:rPr>
        <w:t>realestate-leasing-info</w:t>
      </w:r>
      <w:r>
        <w:rPr>
          <w:color w:val="231F20"/>
        </w:rPr>
        <w:t>) pursuant to State Building Commission Policy 7.01.I. applicable to the proposed term will be used.</w:t>
      </w:r>
    </w:p>
    <w:p w14:paraId="7466191F" w14:textId="77777777" w:rsidR="0069634A" w:rsidRDefault="008970A2">
      <w:pPr>
        <w:pStyle w:val="ListParagraph"/>
        <w:numPr>
          <w:ilvl w:val="0"/>
          <w:numId w:val="1"/>
        </w:numPr>
        <w:tabs>
          <w:tab w:val="left" w:pos="1080"/>
        </w:tabs>
        <w:spacing w:before="1"/>
        <w:ind w:right="356" w:hanging="360"/>
      </w:pPr>
      <w:r>
        <w:rPr>
          <w:color w:val="231F20"/>
        </w:rPr>
        <w:t>The Leasing Agent or Broker will review each non-rejected proposal and evaluate it against the Lease Proposal Request and Pro Forma Lease to determine the proposer’s ability to meet the needs of the State.</w:t>
      </w:r>
    </w:p>
    <w:p w14:paraId="0BDEBB24" w14:textId="77777777" w:rsidR="0069634A" w:rsidRDefault="008970A2">
      <w:pPr>
        <w:pStyle w:val="ListParagraph"/>
        <w:numPr>
          <w:ilvl w:val="0"/>
          <w:numId w:val="1"/>
        </w:numPr>
        <w:tabs>
          <w:tab w:val="left" w:pos="1078"/>
          <w:tab w:val="left" w:pos="1080"/>
        </w:tabs>
        <w:ind w:right="353"/>
      </w:pPr>
      <w:r>
        <w:rPr>
          <w:color w:val="231F20"/>
        </w:rPr>
        <w:t>If a proposal contains terms or provisions which, in part, meet the needs of the State, but other parts of the proposal would require modification before they can be considered, the Leasing Agent or Broker may contact the proposer to determine if the proposer is willing to propose terms acceptable to the State. This shall be done in accordance with the Policy.</w:t>
      </w:r>
    </w:p>
    <w:p w14:paraId="7ABE17BC" w14:textId="77777777" w:rsidR="0069634A" w:rsidRDefault="008970A2">
      <w:pPr>
        <w:pStyle w:val="ListParagraph"/>
        <w:numPr>
          <w:ilvl w:val="0"/>
          <w:numId w:val="1"/>
        </w:numPr>
        <w:tabs>
          <w:tab w:val="left" w:pos="1079"/>
        </w:tabs>
        <w:ind w:left="1079" w:right="0" w:hanging="359"/>
      </w:pPr>
      <w:r>
        <w:rPr>
          <w:color w:val="231F20"/>
        </w:rPr>
        <w:t>The</w:t>
      </w:r>
      <w:r>
        <w:rPr>
          <w:color w:val="231F20"/>
          <w:spacing w:val="-4"/>
        </w:rPr>
        <w:t xml:space="preserve"> </w:t>
      </w:r>
      <w:r>
        <w:rPr>
          <w:color w:val="231F20"/>
        </w:rPr>
        <w:t>Leasing</w:t>
      </w:r>
      <w:r>
        <w:rPr>
          <w:color w:val="231F20"/>
          <w:spacing w:val="-4"/>
        </w:rPr>
        <w:t xml:space="preserve"> </w:t>
      </w:r>
      <w:r>
        <w:rPr>
          <w:color w:val="231F20"/>
        </w:rPr>
        <w:t>Agent</w:t>
      </w:r>
      <w:r>
        <w:rPr>
          <w:color w:val="231F20"/>
          <w:spacing w:val="-4"/>
        </w:rPr>
        <w:t xml:space="preserve"> </w:t>
      </w:r>
      <w:r>
        <w:rPr>
          <w:color w:val="231F20"/>
        </w:rPr>
        <w:t>or</w:t>
      </w:r>
      <w:r>
        <w:rPr>
          <w:color w:val="231F20"/>
          <w:spacing w:val="-5"/>
        </w:rPr>
        <w:t xml:space="preserve"> </w:t>
      </w:r>
      <w:r>
        <w:rPr>
          <w:color w:val="231F20"/>
        </w:rPr>
        <w:t>Broker</w:t>
      </w:r>
      <w:r>
        <w:rPr>
          <w:color w:val="231F20"/>
          <w:spacing w:val="-3"/>
        </w:rPr>
        <w:t xml:space="preserve"> </w:t>
      </w:r>
      <w:r>
        <w:rPr>
          <w:color w:val="231F20"/>
        </w:rPr>
        <w:t>may</w:t>
      </w:r>
      <w:r>
        <w:rPr>
          <w:color w:val="231F20"/>
          <w:spacing w:val="-1"/>
        </w:rPr>
        <w:t xml:space="preserve"> </w:t>
      </w:r>
      <w:r>
        <w:rPr>
          <w:color w:val="231F20"/>
        </w:rPr>
        <w:t>conduct</w:t>
      </w:r>
      <w:r>
        <w:rPr>
          <w:color w:val="231F20"/>
          <w:spacing w:val="-3"/>
        </w:rPr>
        <w:t xml:space="preserve"> </w:t>
      </w:r>
      <w:r>
        <w:rPr>
          <w:color w:val="231F20"/>
        </w:rPr>
        <w:t>site</w:t>
      </w:r>
      <w:r>
        <w:rPr>
          <w:color w:val="231F20"/>
          <w:spacing w:val="-4"/>
        </w:rPr>
        <w:t xml:space="preserve"> </w:t>
      </w:r>
      <w:r>
        <w:rPr>
          <w:color w:val="231F20"/>
        </w:rPr>
        <w:t>visits</w:t>
      </w:r>
      <w:r>
        <w:rPr>
          <w:color w:val="231F20"/>
          <w:spacing w:val="-5"/>
        </w:rPr>
        <w:t xml:space="preserve"> </w:t>
      </w:r>
      <w:r>
        <w:rPr>
          <w:color w:val="231F20"/>
        </w:rPr>
        <w:t>with</w:t>
      </w:r>
      <w:r>
        <w:rPr>
          <w:color w:val="231F20"/>
          <w:spacing w:val="-4"/>
        </w:rPr>
        <w:t xml:space="preserve"> </w:t>
      </w:r>
      <w:r>
        <w:rPr>
          <w:color w:val="231F20"/>
        </w:rPr>
        <w:t>or</w:t>
      </w:r>
      <w:r>
        <w:rPr>
          <w:color w:val="231F20"/>
          <w:spacing w:val="-4"/>
        </w:rPr>
        <w:t xml:space="preserve"> </w:t>
      </w:r>
      <w:r>
        <w:rPr>
          <w:color w:val="231F20"/>
        </w:rPr>
        <w:t>without</w:t>
      </w:r>
      <w:r>
        <w:rPr>
          <w:color w:val="231F20"/>
          <w:spacing w:val="-3"/>
        </w:rPr>
        <w:t xml:space="preserve"> </w:t>
      </w:r>
      <w:r>
        <w:rPr>
          <w:color w:val="231F20"/>
        </w:rPr>
        <w:t>agency</w:t>
      </w:r>
      <w:r>
        <w:rPr>
          <w:color w:val="231F20"/>
          <w:spacing w:val="-1"/>
        </w:rPr>
        <w:t xml:space="preserve"> </w:t>
      </w:r>
      <w:r>
        <w:rPr>
          <w:color w:val="231F20"/>
          <w:spacing w:val="-2"/>
        </w:rPr>
        <w:t>participation.</w:t>
      </w:r>
    </w:p>
    <w:p w14:paraId="69A18852" w14:textId="77777777" w:rsidR="0069634A" w:rsidRDefault="008970A2">
      <w:pPr>
        <w:pStyle w:val="ListParagraph"/>
        <w:numPr>
          <w:ilvl w:val="0"/>
          <w:numId w:val="1"/>
        </w:numPr>
        <w:tabs>
          <w:tab w:val="left" w:pos="1078"/>
          <w:tab w:val="left" w:pos="1080"/>
        </w:tabs>
        <w:ind w:right="357"/>
      </w:pPr>
      <w:r>
        <w:rPr>
          <w:color w:val="231F20"/>
        </w:rPr>
        <w:t>The State reserves the right to award a lease</w:t>
      </w:r>
      <w:r>
        <w:rPr>
          <w:color w:val="231F20"/>
          <w:spacing w:val="-1"/>
        </w:rPr>
        <w:t xml:space="preserve"> </w:t>
      </w:r>
      <w:r>
        <w:rPr>
          <w:color w:val="231F20"/>
        </w:rPr>
        <w:t>on the basis of the initial proposals</w:t>
      </w:r>
      <w:r>
        <w:rPr>
          <w:color w:val="231F20"/>
          <w:spacing w:val="-1"/>
        </w:rPr>
        <w:t xml:space="preserve"> </w:t>
      </w:r>
      <w:r>
        <w:rPr>
          <w:color w:val="231F20"/>
        </w:rPr>
        <w:t>received, and it is expected that each proposal will contain the proposer’s best rental rate and terms.</w:t>
      </w:r>
      <w:r>
        <w:rPr>
          <w:color w:val="231F20"/>
          <w:spacing w:val="40"/>
        </w:rPr>
        <w:t xml:space="preserve"> </w:t>
      </w:r>
      <w:r>
        <w:rPr>
          <w:color w:val="231F20"/>
        </w:rPr>
        <w:t>The State may elect to further request Best and Final terms.</w:t>
      </w:r>
      <w:r>
        <w:rPr>
          <w:color w:val="231F20"/>
          <w:spacing w:val="40"/>
        </w:rPr>
        <w:t xml:space="preserve"> </w:t>
      </w:r>
      <w:r>
        <w:rPr>
          <w:color w:val="231F20"/>
        </w:rPr>
        <w:t>During this Best and Final period, the Leasing Agent</w:t>
      </w:r>
      <w:r>
        <w:rPr>
          <w:color w:val="231F20"/>
          <w:spacing w:val="25"/>
        </w:rPr>
        <w:t xml:space="preserve"> </w:t>
      </w:r>
      <w:r>
        <w:rPr>
          <w:color w:val="231F20"/>
        </w:rPr>
        <w:t>or</w:t>
      </w:r>
      <w:r>
        <w:rPr>
          <w:color w:val="231F20"/>
          <w:spacing w:val="25"/>
        </w:rPr>
        <w:t xml:space="preserve"> </w:t>
      </w:r>
      <w:r>
        <w:rPr>
          <w:color w:val="231F20"/>
        </w:rPr>
        <w:t>Broker</w:t>
      </w:r>
      <w:r>
        <w:rPr>
          <w:color w:val="231F20"/>
          <w:spacing w:val="23"/>
        </w:rPr>
        <w:t xml:space="preserve"> </w:t>
      </w:r>
      <w:r>
        <w:rPr>
          <w:color w:val="231F20"/>
        </w:rPr>
        <w:t>may,</w:t>
      </w:r>
      <w:r>
        <w:rPr>
          <w:color w:val="231F20"/>
          <w:spacing w:val="25"/>
        </w:rPr>
        <w:t xml:space="preserve"> </w:t>
      </w:r>
      <w:r>
        <w:rPr>
          <w:color w:val="231F20"/>
        </w:rPr>
        <w:t>through</w:t>
      </w:r>
      <w:r>
        <w:rPr>
          <w:color w:val="231F20"/>
          <w:spacing w:val="24"/>
        </w:rPr>
        <w:t xml:space="preserve"> </w:t>
      </w:r>
      <w:r>
        <w:rPr>
          <w:color w:val="231F20"/>
        </w:rPr>
        <w:t>communications</w:t>
      </w:r>
      <w:r>
        <w:rPr>
          <w:color w:val="231F20"/>
          <w:spacing w:val="25"/>
        </w:rPr>
        <w:t xml:space="preserve"> </w:t>
      </w:r>
      <w:r>
        <w:rPr>
          <w:color w:val="231F20"/>
        </w:rPr>
        <w:t>with</w:t>
      </w:r>
      <w:r>
        <w:rPr>
          <w:color w:val="231F20"/>
          <w:spacing w:val="22"/>
        </w:rPr>
        <w:t xml:space="preserve"> </w:t>
      </w:r>
      <w:r>
        <w:rPr>
          <w:color w:val="231F20"/>
        </w:rPr>
        <w:t>proposers</w:t>
      </w:r>
      <w:r>
        <w:rPr>
          <w:color w:val="231F20"/>
          <w:spacing w:val="25"/>
        </w:rPr>
        <w:t xml:space="preserve"> </w:t>
      </w:r>
      <w:r>
        <w:rPr>
          <w:color w:val="231F20"/>
        </w:rPr>
        <w:t>in</w:t>
      </w:r>
      <w:r>
        <w:rPr>
          <w:color w:val="231F20"/>
          <w:spacing w:val="24"/>
        </w:rPr>
        <w:t xml:space="preserve"> </w:t>
      </w:r>
      <w:r>
        <w:rPr>
          <w:color w:val="231F20"/>
        </w:rPr>
        <w:t>accordance</w:t>
      </w:r>
      <w:r>
        <w:rPr>
          <w:color w:val="231F20"/>
          <w:spacing w:val="23"/>
        </w:rPr>
        <w:t xml:space="preserve"> </w:t>
      </w:r>
      <w:r>
        <w:rPr>
          <w:color w:val="231F20"/>
        </w:rPr>
        <w:t>with</w:t>
      </w:r>
      <w:r>
        <w:rPr>
          <w:color w:val="231F20"/>
          <w:spacing w:val="24"/>
        </w:rPr>
        <w:t xml:space="preserve"> </w:t>
      </w:r>
      <w:r>
        <w:rPr>
          <w:color w:val="231F20"/>
        </w:rPr>
        <w:t>the</w:t>
      </w:r>
      <w:r>
        <w:rPr>
          <w:color w:val="231F20"/>
          <w:spacing w:val="25"/>
        </w:rPr>
        <w:t xml:space="preserve"> </w:t>
      </w:r>
      <w:r>
        <w:rPr>
          <w:color w:val="231F20"/>
        </w:rPr>
        <w:t>Policy,</w:t>
      </w:r>
    </w:p>
    <w:p w14:paraId="74F7A9E5" w14:textId="77777777" w:rsidR="0069634A" w:rsidRDefault="0069634A">
      <w:pPr>
        <w:pStyle w:val="ListParagraph"/>
        <w:sectPr w:rsidR="0069634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80" w:right="1080" w:bottom="1380" w:left="1080" w:header="234" w:footer="1195" w:gutter="0"/>
          <w:pgNumType w:start="25"/>
          <w:cols w:space="720"/>
        </w:sectPr>
      </w:pPr>
    </w:p>
    <w:p w14:paraId="5C3DBCE9" w14:textId="77777777" w:rsidR="0069634A" w:rsidRDefault="008970A2">
      <w:pPr>
        <w:pStyle w:val="BodyText"/>
        <w:spacing w:before="46"/>
        <w:jc w:val="left"/>
      </w:pPr>
      <w:r>
        <w:rPr>
          <w:noProof/>
        </w:rPr>
        <w:lastRenderedPageBreak/>
        <mc:AlternateContent>
          <mc:Choice Requires="wps">
            <w:drawing>
              <wp:anchor distT="0" distB="0" distL="0" distR="0" simplePos="0" relativeHeight="487549440" behindDoc="1" locked="0" layoutInCell="1" allowOverlap="1" wp14:anchorId="782FCB6C" wp14:editId="5C9BE525">
                <wp:simplePos x="0" y="0"/>
                <wp:positionH relativeFrom="page">
                  <wp:posOffset>5686055</wp:posOffset>
                </wp:positionH>
                <wp:positionV relativeFrom="page">
                  <wp:posOffset>476632</wp:posOffset>
                </wp:positionV>
                <wp:extent cx="1170305" cy="1022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02235"/>
                        </a:xfrm>
                        <a:prstGeom prst="rect">
                          <a:avLst/>
                        </a:prstGeom>
                      </wps:spPr>
                      <wps:txbx>
                        <w:txbxContent>
                          <w:p w14:paraId="544260CF" w14:textId="77777777" w:rsidR="0069634A" w:rsidRDefault="008970A2">
                            <w:pPr>
                              <w:spacing w:line="161" w:lineRule="exact"/>
                              <w:rPr>
                                <w:sz w:val="16"/>
                              </w:rPr>
                            </w:pPr>
                            <w:r>
                              <w:rPr>
                                <w:color w:val="231F20"/>
                                <w:sz w:val="16"/>
                              </w:rPr>
                              <w:t>Proposal</w:t>
                            </w:r>
                            <w:r>
                              <w:rPr>
                                <w:color w:val="231F20"/>
                                <w:spacing w:val="-8"/>
                                <w:sz w:val="16"/>
                              </w:rPr>
                              <w:t xml:space="preserve"> </w:t>
                            </w:r>
                            <w:r>
                              <w:rPr>
                                <w:color w:val="231F20"/>
                                <w:sz w:val="16"/>
                              </w:rPr>
                              <w:t>Evaluation</w:t>
                            </w:r>
                            <w:r>
                              <w:rPr>
                                <w:color w:val="231F20"/>
                                <w:spacing w:val="-7"/>
                                <w:sz w:val="16"/>
                              </w:rPr>
                              <w:t xml:space="preserve"> </w:t>
                            </w:r>
                            <w:r>
                              <w:rPr>
                                <w:color w:val="231F20"/>
                                <w:spacing w:val="-2"/>
                                <w:sz w:val="16"/>
                              </w:rPr>
                              <w:t>Method</w:t>
                            </w:r>
                          </w:p>
                        </w:txbxContent>
                      </wps:txbx>
                      <wps:bodyPr wrap="square" lIns="0" tIns="0" rIns="0" bIns="0" rtlCol="0">
                        <a:noAutofit/>
                      </wps:bodyPr>
                    </wps:wsp>
                  </a:graphicData>
                </a:graphic>
              </wp:anchor>
            </w:drawing>
          </mc:Choice>
          <mc:Fallback>
            <w:pict>
              <v:shape w14:anchorId="782FCB6C" id="Textbox 5" o:spid="_x0000_s1027" type="#_x0000_t202" style="position:absolute;left:0;text-align:left;margin-left:447.7pt;margin-top:37.55pt;width:92.15pt;height:8.0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" filled="f" stroked="f">
                <v:textbox inset="0,0,0,0">
                  <w:txbxContent>
                    <w:p w14:paraId="544260CF" w14:textId="77777777" w:rsidR="0069634A" w:rsidRDefault="008970A2">
                      <w:pPr>
                        <w:spacing w:line="161" w:lineRule="exact"/>
                        <w:rPr>
                          <w:sz w:val="16"/>
                        </w:rPr>
                      </w:pPr>
                      <w:r>
                        <w:rPr>
                          <w:color w:val="231F20"/>
                          <w:sz w:val="16"/>
                        </w:rPr>
                        <w:t>Proposal</w:t>
                      </w:r>
                      <w:r>
                        <w:rPr>
                          <w:color w:val="231F20"/>
                          <w:spacing w:val="-8"/>
                          <w:sz w:val="16"/>
                        </w:rPr>
                        <w:t xml:space="preserve"> </w:t>
                      </w:r>
                      <w:r>
                        <w:rPr>
                          <w:color w:val="231F20"/>
                          <w:sz w:val="16"/>
                        </w:rPr>
                        <w:t>Evaluation</w:t>
                      </w:r>
                      <w:r>
                        <w:rPr>
                          <w:color w:val="231F20"/>
                          <w:spacing w:val="-7"/>
                          <w:sz w:val="16"/>
                        </w:rPr>
                        <w:t xml:space="preserve"> </w:t>
                      </w:r>
                      <w:r>
                        <w:rPr>
                          <w:color w:val="231F20"/>
                          <w:spacing w:val="-2"/>
                          <w:sz w:val="16"/>
                        </w:rPr>
                        <w:t>Method</w:t>
                      </w:r>
                    </w:p>
                  </w:txbxContent>
                </v:textbox>
                <w10:wrap anchorx="page" anchory="page"/>
              </v:shape>
            </w:pict>
          </mc:Fallback>
        </mc:AlternateContent>
      </w:r>
      <w:r>
        <w:rPr>
          <w:color w:val="231F20"/>
        </w:rPr>
        <w:t>invite</w:t>
      </w:r>
      <w:r>
        <w:rPr>
          <w:color w:val="231F20"/>
          <w:spacing w:val="-6"/>
        </w:rPr>
        <w:t xml:space="preserve"> </w:t>
      </w:r>
      <w:r>
        <w:rPr>
          <w:color w:val="231F20"/>
        </w:rPr>
        <w:t>the</w:t>
      </w:r>
      <w:r>
        <w:rPr>
          <w:color w:val="231F20"/>
          <w:spacing w:val="-3"/>
        </w:rPr>
        <w:t xml:space="preserve"> </w:t>
      </w:r>
      <w:r>
        <w:rPr>
          <w:color w:val="231F20"/>
        </w:rPr>
        <w:t>proposers</w:t>
      </w:r>
      <w:r>
        <w:rPr>
          <w:color w:val="231F20"/>
          <w:spacing w:val="-3"/>
        </w:rPr>
        <w:t xml:space="preserve"> </w:t>
      </w:r>
      <w:r>
        <w:rPr>
          <w:color w:val="231F20"/>
        </w:rPr>
        <w:t>to</w:t>
      </w:r>
      <w:r>
        <w:rPr>
          <w:color w:val="231F20"/>
          <w:spacing w:val="-5"/>
        </w:rPr>
        <w:t xml:space="preserve"> </w:t>
      </w:r>
      <w:r>
        <w:rPr>
          <w:color w:val="231F20"/>
        </w:rPr>
        <w:t>modify</w:t>
      </w:r>
      <w:r>
        <w:rPr>
          <w:color w:val="231F20"/>
          <w:spacing w:val="-3"/>
        </w:rPr>
        <w:t xml:space="preserve"> </w:t>
      </w:r>
      <w:r>
        <w:rPr>
          <w:color w:val="231F20"/>
        </w:rPr>
        <w:t>their</w:t>
      </w:r>
      <w:r>
        <w:rPr>
          <w:color w:val="231F20"/>
          <w:spacing w:val="-3"/>
        </w:rPr>
        <w:t xml:space="preserve"> </w:t>
      </w:r>
      <w:r>
        <w:rPr>
          <w:color w:val="231F20"/>
        </w:rPr>
        <w:t>initial</w:t>
      </w:r>
      <w:r>
        <w:rPr>
          <w:color w:val="231F20"/>
          <w:spacing w:val="-6"/>
        </w:rPr>
        <w:t xml:space="preserve"> </w:t>
      </w:r>
      <w:r>
        <w:rPr>
          <w:color w:val="231F20"/>
        </w:rPr>
        <w:t>proposals</w:t>
      </w:r>
      <w:r>
        <w:rPr>
          <w:color w:val="231F20"/>
          <w:spacing w:val="-4"/>
        </w:rPr>
        <w:t xml:space="preserve"> </w:t>
      </w:r>
      <w:r>
        <w:rPr>
          <w:color w:val="231F20"/>
        </w:rPr>
        <w:t>in</w:t>
      </w:r>
      <w:r>
        <w:rPr>
          <w:color w:val="231F20"/>
          <w:spacing w:val="-4"/>
        </w:rPr>
        <w:t xml:space="preserve"> </w:t>
      </w:r>
      <w:r>
        <w:rPr>
          <w:color w:val="231F20"/>
          <w:spacing w:val="-2"/>
        </w:rPr>
        <w:t>writing.</w:t>
      </w:r>
    </w:p>
    <w:p w14:paraId="47852743" w14:textId="77777777" w:rsidR="0069634A" w:rsidRDefault="008970A2">
      <w:pPr>
        <w:pStyle w:val="BodyText"/>
        <w:spacing w:before="199"/>
        <w:ind w:left="359"/>
        <w:jc w:val="left"/>
      </w:pPr>
      <w:r>
        <w:rPr>
          <w:color w:val="231F20"/>
        </w:rPr>
        <w:t>FINAL</w:t>
      </w:r>
      <w:r>
        <w:rPr>
          <w:color w:val="231F20"/>
          <w:spacing w:val="-3"/>
        </w:rPr>
        <w:t xml:space="preserve"> </w:t>
      </w:r>
      <w:r>
        <w:rPr>
          <w:color w:val="231F20"/>
        </w:rPr>
        <w:t>EVALUATION</w:t>
      </w:r>
      <w:r>
        <w:rPr>
          <w:color w:val="231F20"/>
          <w:spacing w:val="-3"/>
        </w:rPr>
        <w:t xml:space="preserve"> </w:t>
      </w:r>
      <w:r>
        <w:rPr>
          <w:color w:val="231F20"/>
        </w:rPr>
        <w:t>AND</w:t>
      </w:r>
      <w:r>
        <w:rPr>
          <w:color w:val="231F20"/>
          <w:spacing w:val="-3"/>
        </w:rPr>
        <w:t xml:space="preserve"> </w:t>
      </w:r>
      <w:r>
        <w:rPr>
          <w:color w:val="231F20"/>
          <w:spacing w:val="-2"/>
        </w:rPr>
        <w:t>RECOMMENDATION</w:t>
      </w:r>
    </w:p>
    <w:p w14:paraId="5A400F67" w14:textId="77777777" w:rsidR="0069634A" w:rsidRDefault="008970A2">
      <w:pPr>
        <w:pStyle w:val="ListParagraph"/>
        <w:numPr>
          <w:ilvl w:val="0"/>
          <w:numId w:val="1"/>
        </w:numPr>
        <w:tabs>
          <w:tab w:val="left" w:pos="1079"/>
        </w:tabs>
        <w:spacing w:before="198"/>
        <w:ind w:left="1079" w:hanging="360"/>
      </w:pPr>
      <w:r>
        <w:rPr>
          <w:color w:val="231F20"/>
        </w:rPr>
        <w:t>If a Best and Final period is conducted, the Leasing Agent or Broker will evaluate the final proposals received and rank them in order based upon the lowest net present value of the Total Cost.</w:t>
      </w:r>
      <w:r>
        <w:rPr>
          <w:color w:val="231F20"/>
          <w:spacing w:val="40"/>
        </w:rPr>
        <w:t xml:space="preserve"> </w:t>
      </w:r>
      <w:r>
        <w:rPr>
          <w:color w:val="231F20"/>
        </w:rPr>
        <w:t>If no Best and Final period is conducted, the Leasing Agent or Broker will rank the initial proposals in order based upon the lowest net present value of the Total Cost.</w:t>
      </w:r>
      <w:r>
        <w:rPr>
          <w:color w:val="231F20"/>
          <w:spacing w:val="40"/>
        </w:rPr>
        <w:t xml:space="preserve"> </w:t>
      </w:r>
      <w:r>
        <w:rPr>
          <w:color w:val="231F20"/>
        </w:rPr>
        <w:t>Any comments, observations from visits or other factors other than lowest net present value of the Total Cost that are taken into account in evaluating a lease for State tenancy, shall be included in written form in the Final Recommendation.</w:t>
      </w:r>
    </w:p>
    <w:p w14:paraId="669BC8FE" w14:textId="77777777" w:rsidR="0069634A" w:rsidRDefault="008970A2">
      <w:pPr>
        <w:pStyle w:val="ListParagraph"/>
        <w:numPr>
          <w:ilvl w:val="0"/>
          <w:numId w:val="1"/>
        </w:numPr>
        <w:tabs>
          <w:tab w:val="left" w:pos="1077"/>
          <w:tab w:val="left" w:pos="1079"/>
        </w:tabs>
        <w:ind w:left="1079" w:right="353"/>
      </w:pPr>
      <w:r>
        <w:rPr>
          <w:color w:val="231F20"/>
        </w:rPr>
        <w:t>In making his or her Final Recommendation, the Leasing Agent or Broker may take into account other relevant factors, including, but not limited to, property ownership/management, building condition, site and vicinity, and suitability for State tenancy.</w:t>
      </w:r>
      <w:r>
        <w:rPr>
          <w:color w:val="231F20"/>
          <w:spacing w:val="40"/>
        </w:rPr>
        <w:t xml:space="preserve"> </w:t>
      </w:r>
      <w:r>
        <w:rPr>
          <w:color w:val="231F20"/>
        </w:rPr>
        <w:t>The STREAM Director of Leasing shall review the Final Recommendation and determine the selected proposal.</w:t>
      </w:r>
    </w:p>
    <w:p w14:paraId="017AABAB" w14:textId="77777777" w:rsidR="0069634A" w:rsidRDefault="008970A2">
      <w:pPr>
        <w:pStyle w:val="ListParagraph"/>
        <w:numPr>
          <w:ilvl w:val="0"/>
          <w:numId w:val="1"/>
        </w:numPr>
        <w:tabs>
          <w:tab w:val="left" w:pos="1077"/>
          <w:tab w:val="left" w:pos="1079"/>
        </w:tabs>
        <w:spacing w:line="276" w:lineRule="auto"/>
        <w:ind w:left="1079" w:right="357"/>
      </w:pPr>
      <w:r>
        <w:rPr>
          <w:color w:val="231F20"/>
        </w:rPr>
        <w:t>The STREAM Director of Leasing shall issue to all proposers a notice of intent to award the lease based on</w:t>
      </w:r>
      <w:r>
        <w:rPr>
          <w:color w:val="231F20"/>
          <w:spacing w:val="-3"/>
        </w:rPr>
        <w:t xml:space="preserve"> </w:t>
      </w:r>
      <w:r>
        <w:rPr>
          <w:color w:val="231F20"/>
        </w:rPr>
        <w:t>the</w:t>
      </w:r>
      <w:r>
        <w:rPr>
          <w:color w:val="231F20"/>
          <w:spacing w:val="-1"/>
        </w:rPr>
        <w:t xml:space="preserve"> </w:t>
      </w:r>
      <w:r>
        <w:rPr>
          <w:color w:val="231F20"/>
        </w:rPr>
        <w:t>selected proposal.</w:t>
      </w:r>
      <w:r>
        <w:rPr>
          <w:color w:val="231F20"/>
          <w:spacing w:val="40"/>
        </w:rPr>
        <w:t xml:space="preserve"> </w:t>
      </w:r>
      <w:r>
        <w:rPr>
          <w:color w:val="231F20"/>
        </w:rPr>
        <w:t>If the STREAM</w:t>
      </w:r>
      <w:r>
        <w:rPr>
          <w:color w:val="231F20"/>
          <w:spacing w:val="-1"/>
        </w:rPr>
        <w:t xml:space="preserve"> </w:t>
      </w:r>
      <w:r>
        <w:rPr>
          <w:color w:val="231F20"/>
        </w:rPr>
        <w:t>Director</w:t>
      </w:r>
      <w:r>
        <w:rPr>
          <w:color w:val="231F20"/>
          <w:spacing w:val="-2"/>
        </w:rPr>
        <w:t xml:space="preserve"> </w:t>
      </w:r>
      <w:r>
        <w:rPr>
          <w:color w:val="231F20"/>
        </w:rPr>
        <w:t>of</w:t>
      </w:r>
      <w:r>
        <w:rPr>
          <w:color w:val="231F20"/>
          <w:spacing w:val="-2"/>
        </w:rPr>
        <w:t xml:space="preserve"> </w:t>
      </w:r>
      <w:r>
        <w:rPr>
          <w:color w:val="231F20"/>
        </w:rPr>
        <w:t>Leasing</w:t>
      </w:r>
      <w:r>
        <w:rPr>
          <w:color w:val="231F20"/>
          <w:spacing w:val="-3"/>
        </w:rPr>
        <w:t xml:space="preserve"> </w:t>
      </w:r>
      <w:r>
        <w:rPr>
          <w:color w:val="231F20"/>
        </w:rPr>
        <w:t>intends</w:t>
      </w:r>
      <w:r>
        <w:rPr>
          <w:color w:val="231F20"/>
          <w:spacing w:val="-1"/>
        </w:rPr>
        <w:t xml:space="preserve"> </w:t>
      </w:r>
      <w:r>
        <w:rPr>
          <w:color w:val="231F20"/>
        </w:rPr>
        <w:t>to</w:t>
      </w:r>
      <w:r>
        <w:rPr>
          <w:color w:val="231F20"/>
          <w:spacing w:val="-1"/>
        </w:rPr>
        <w:t xml:space="preserve"> </w:t>
      </w:r>
      <w:r>
        <w:rPr>
          <w:color w:val="231F20"/>
        </w:rPr>
        <w:t>award the lease</w:t>
      </w:r>
      <w:r>
        <w:rPr>
          <w:color w:val="231F20"/>
          <w:spacing w:val="-4"/>
        </w:rPr>
        <w:t xml:space="preserve"> </w:t>
      </w:r>
      <w:r>
        <w:rPr>
          <w:color w:val="231F20"/>
        </w:rPr>
        <w:t>to proposal that is not the lowest net present value of the Total Cost, justification for such a determination must be provided in writing and approved by the Deputy Commissioner</w:t>
      </w:r>
      <w:r>
        <w:rPr>
          <w:color w:val="231F20"/>
          <w:spacing w:val="40"/>
        </w:rPr>
        <w:t xml:space="preserve"> </w:t>
      </w:r>
      <w:r>
        <w:rPr>
          <w:color w:val="231F20"/>
        </w:rPr>
        <w:t xml:space="preserve">(STREAM) of the Department of General Services, and may be based upon one or more of the </w:t>
      </w:r>
      <w:r>
        <w:rPr>
          <w:color w:val="231F20"/>
          <w:spacing w:val="-2"/>
        </w:rPr>
        <w:t>following:</w:t>
      </w:r>
    </w:p>
    <w:p w14:paraId="5A18681B" w14:textId="77777777" w:rsidR="0069634A" w:rsidRDefault="008970A2">
      <w:pPr>
        <w:pStyle w:val="ListParagraph"/>
        <w:numPr>
          <w:ilvl w:val="1"/>
          <w:numId w:val="1"/>
        </w:numPr>
        <w:tabs>
          <w:tab w:val="left" w:pos="1798"/>
          <w:tab w:val="left" w:pos="1800"/>
        </w:tabs>
        <w:spacing w:line="271" w:lineRule="auto"/>
        <w:ind w:left="1800" w:right="355"/>
      </w:pPr>
      <w:r>
        <w:rPr>
          <w:color w:val="231F20"/>
        </w:rPr>
        <w:t>The proposal with the lowest net present value of the Total Cost proposes a location</w:t>
      </w:r>
      <w:r>
        <w:rPr>
          <w:color w:val="231F20"/>
          <w:spacing w:val="40"/>
        </w:rPr>
        <w:t xml:space="preserve"> </w:t>
      </w:r>
      <w:r>
        <w:rPr>
          <w:color w:val="231F20"/>
        </w:rPr>
        <w:t>that an agency occupant determines is unacceptable to it, as expressed in writing and signed by the commissioner or head of said agency;</w:t>
      </w:r>
    </w:p>
    <w:p w14:paraId="755EBB5C" w14:textId="77777777" w:rsidR="0069634A" w:rsidRDefault="008970A2">
      <w:pPr>
        <w:pStyle w:val="ListParagraph"/>
        <w:numPr>
          <w:ilvl w:val="1"/>
          <w:numId w:val="1"/>
        </w:numPr>
        <w:tabs>
          <w:tab w:val="left" w:pos="1800"/>
        </w:tabs>
        <w:spacing w:before="8" w:line="271" w:lineRule="auto"/>
        <w:ind w:left="1800" w:right="355" w:hanging="360"/>
      </w:pPr>
      <w:r>
        <w:rPr>
          <w:color w:val="231F20"/>
        </w:rPr>
        <w:t>The STREAM Director of Leasing determines that the features or amenities of the site or building proposed by the proposal with the lowest net present value of the Total Cost is not in the best interests of the State;</w:t>
      </w:r>
    </w:p>
    <w:p w14:paraId="4E469EC6" w14:textId="77777777" w:rsidR="0069634A" w:rsidRDefault="008970A2">
      <w:pPr>
        <w:pStyle w:val="ListParagraph"/>
        <w:numPr>
          <w:ilvl w:val="1"/>
          <w:numId w:val="1"/>
        </w:numPr>
        <w:tabs>
          <w:tab w:val="left" w:pos="1798"/>
          <w:tab w:val="left" w:pos="1800"/>
        </w:tabs>
        <w:spacing w:before="9" w:line="266" w:lineRule="auto"/>
        <w:ind w:left="1800" w:right="356"/>
      </w:pPr>
      <w:r>
        <w:rPr>
          <w:color w:val="231F20"/>
        </w:rPr>
        <w:t>Documented evidence of poor past performance by the proposer having the proposal with the lowest net present value of the Total Cost as a landlord to the State; or</w:t>
      </w:r>
    </w:p>
    <w:p w14:paraId="0645F091" w14:textId="77777777" w:rsidR="0069634A" w:rsidRDefault="008970A2">
      <w:pPr>
        <w:pStyle w:val="ListParagraph"/>
        <w:numPr>
          <w:ilvl w:val="1"/>
          <w:numId w:val="1"/>
        </w:numPr>
        <w:tabs>
          <w:tab w:val="left" w:pos="1800"/>
        </w:tabs>
        <w:spacing w:before="14" w:line="268" w:lineRule="auto"/>
        <w:ind w:left="1800" w:hanging="360"/>
      </w:pPr>
      <w:r>
        <w:rPr>
          <w:color w:val="231F20"/>
        </w:rPr>
        <w:t>Based on a totality of the above and other considerations, an award based on another proposal is in the best interests of the State.</w:t>
      </w:r>
    </w:p>
    <w:sectPr w:rsidR="0069634A">
      <w:pgSz w:w="12240" w:h="15840"/>
      <w:pgMar w:top="1480" w:right="1080" w:bottom="1380" w:left="1080" w:header="234"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80F0" w14:textId="77777777" w:rsidR="008970A2" w:rsidRDefault="008970A2">
      <w:r>
        <w:separator/>
      </w:r>
    </w:p>
  </w:endnote>
  <w:endnote w:type="continuationSeparator" w:id="0">
    <w:p w14:paraId="304A96DB" w14:textId="77777777" w:rsidR="008970A2" w:rsidRDefault="008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6C41" w14:textId="77777777" w:rsidR="000029F7" w:rsidRDefault="00002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3C92" w14:textId="0121BF87" w:rsidR="008970A2" w:rsidRDefault="008970A2" w:rsidP="008970A2">
    <w:pPr>
      <w:pStyle w:val="Footer"/>
      <w:jc w:val="center"/>
    </w:pPr>
    <w:r w:rsidRPr="008D5CFC">
      <w:rPr>
        <w:color w:val="A20000"/>
      </w:rPr>
      <w:t>___________________________________________________________________________________________</w:t>
    </w:r>
  </w:p>
  <w:p w14:paraId="3EF569F6" w14:textId="798FF3B1" w:rsidR="000029F7" w:rsidRPr="008970A2" w:rsidRDefault="008970A2" w:rsidP="008970A2">
    <w:pPr>
      <w:pStyle w:val="Footer"/>
      <w:jc w:val="center"/>
    </w:pPr>
    <w:r>
      <w:t>Tennessee Tower, 22</w:t>
    </w:r>
    <w:r w:rsidRPr="008D5CFC">
      <w:rPr>
        <w:vertAlign w:val="superscript"/>
      </w:rPr>
      <w:t>nd</w:t>
    </w:r>
    <w:r>
      <w:t xml:space="preserve"> Floor </w:t>
    </w:r>
    <w:r>
      <w:sym w:font="Symbol" w:char="F0B7"/>
    </w:r>
    <w:r>
      <w:t xml:space="preserve"> 312 Rosa L. Parks Avenue </w:t>
    </w:r>
    <w:r>
      <w:sym w:font="Symbol" w:char="F0B7"/>
    </w:r>
    <w:r>
      <w:t xml:space="preserve"> Nashville, TN 37243 </w:t>
    </w:r>
    <w:r>
      <w:sym w:font="Symbol" w:char="F0B7"/>
    </w:r>
    <w:r>
      <w:t xml:space="preserve"> 615-741-2315 </w:t>
    </w:r>
    <w:r>
      <w:sym w:font="Symbol" w:char="F0B7"/>
    </w:r>
    <w:r>
      <w:t xml:space="preserve">  tn.gov/</w:t>
    </w:r>
    <w:proofErr w:type="spellStart"/>
    <w:r>
      <w:t>generalservices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CA2E" w14:textId="77777777" w:rsidR="000029F7" w:rsidRDefault="00002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083D" w14:textId="77777777" w:rsidR="008970A2" w:rsidRDefault="008970A2">
      <w:r>
        <w:separator/>
      </w:r>
    </w:p>
  </w:footnote>
  <w:footnote w:type="continuationSeparator" w:id="0">
    <w:p w14:paraId="4BF50695" w14:textId="77777777" w:rsidR="008970A2" w:rsidRDefault="0089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1660" w14:textId="77777777" w:rsidR="000029F7" w:rsidRDefault="00002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67D" w14:textId="4C98E693" w:rsidR="0069634A" w:rsidRDefault="000029F7">
    <w:pPr>
      <w:pStyle w:val="BodyText"/>
      <w:spacing w:line="14" w:lineRule="auto"/>
      <w:ind w:left="0"/>
      <w:jc w:val="left"/>
      <w:rPr>
        <w:sz w:val="20"/>
      </w:rPr>
    </w:pPr>
    <w:r w:rsidRPr="000029F7">
      <w:rPr>
        <w:noProof/>
        <w:sz w:val="20"/>
      </w:rPr>
      <w:t>General</w:t>
    </w:r>
    <w:r w:rsidR="008970A2">
      <w:rPr>
        <w:noProof/>
        <w:sz w:val="20"/>
      </w:rPr>
      <w:drawing>
        <wp:anchor distT="0" distB="0" distL="0" distR="0" simplePos="0" relativeHeight="487548928" behindDoc="1" locked="0" layoutInCell="1" allowOverlap="1" wp14:anchorId="1EADD806" wp14:editId="7D36CEA1">
          <wp:simplePos x="0" y="0"/>
          <wp:positionH relativeFrom="page">
            <wp:posOffset>746874</wp:posOffset>
          </wp:positionH>
          <wp:positionV relativeFrom="page">
            <wp:posOffset>148537</wp:posOffset>
          </wp:positionV>
          <wp:extent cx="4328298" cy="660168"/>
          <wp:effectExtent l="0" t="0" r="0" b="0"/>
          <wp:wrapNone/>
          <wp:docPr id="1" name="Image 1" descr="Tennessee Department of General Services Real Estate Asset Management (STRE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nnessee Department of General Services Real Estate Asset Management (STREAM) Logo"/>
                  <pic:cNvPicPr/>
                </pic:nvPicPr>
                <pic:blipFill>
                  <a:blip r:embed="rId1" cstate="print"/>
                  <a:stretch>
                    <a:fillRect/>
                  </a:stretch>
                </pic:blipFill>
                <pic:spPr>
                  <a:xfrm>
                    <a:off x="0" y="0"/>
                    <a:ext cx="4328298" cy="6601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D3A1" w14:textId="77777777" w:rsidR="000029F7" w:rsidRDefault="0000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1533B"/>
    <w:multiLevelType w:val="hybridMultilevel"/>
    <w:tmpl w:val="AD4816C0"/>
    <w:lvl w:ilvl="0" w:tplc="1A66FD88">
      <w:numFmt w:val="bullet"/>
      <w:lvlText w:val=""/>
      <w:lvlJc w:val="left"/>
      <w:pPr>
        <w:ind w:left="1080" w:hanging="361"/>
      </w:pPr>
      <w:rPr>
        <w:rFonts w:ascii="Symbol" w:eastAsia="Symbol" w:hAnsi="Symbol" w:cs="Symbol" w:hint="default"/>
        <w:b w:val="0"/>
        <w:bCs w:val="0"/>
        <w:i w:val="0"/>
        <w:iCs w:val="0"/>
        <w:color w:val="231F20"/>
        <w:spacing w:val="0"/>
        <w:w w:val="100"/>
        <w:sz w:val="22"/>
        <w:szCs w:val="22"/>
        <w:lang w:val="en-US" w:eastAsia="en-US" w:bidi="ar-SA"/>
      </w:rPr>
    </w:lvl>
    <w:lvl w:ilvl="1" w:tplc="FA52B364">
      <w:numFmt w:val="bullet"/>
      <w:lvlText w:val="o"/>
      <w:lvlJc w:val="left"/>
      <w:pPr>
        <w:ind w:left="1944" w:hanging="361"/>
      </w:pPr>
      <w:rPr>
        <w:rFonts w:ascii="Courier New" w:eastAsia="Courier New" w:hAnsi="Courier New" w:cs="Courier New" w:hint="default"/>
        <w:b w:val="0"/>
        <w:bCs w:val="0"/>
        <w:i w:val="0"/>
        <w:iCs w:val="0"/>
        <w:color w:val="231F20"/>
        <w:spacing w:val="0"/>
        <w:w w:val="100"/>
        <w:sz w:val="22"/>
        <w:szCs w:val="22"/>
        <w:lang w:val="en-US" w:eastAsia="en-US" w:bidi="ar-SA"/>
      </w:rPr>
    </w:lvl>
    <w:lvl w:ilvl="2" w:tplc="958CA7D4">
      <w:numFmt w:val="bullet"/>
      <w:lvlText w:val="•"/>
      <w:lvlJc w:val="left"/>
      <w:pPr>
        <w:ind w:left="1940" w:hanging="361"/>
      </w:pPr>
      <w:rPr>
        <w:rFonts w:hint="default"/>
        <w:lang w:val="en-US" w:eastAsia="en-US" w:bidi="ar-SA"/>
      </w:rPr>
    </w:lvl>
    <w:lvl w:ilvl="3" w:tplc="F08E2C2C">
      <w:numFmt w:val="bullet"/>
      <w:lvlText w:val="•"/>
      <w:lvlJc w:val="left"/>
      <w:pPr>
        <w:ind w:left="2957" w:hanging="361"/>
      </w:pPr>
      <w:rPr>
        <w:rFonts w:hint="default"/>
        <w:lang w:val="en-US" w:eastAsia="en-US" w:bidi="ar-SA"/>
      </w:rPr>
    </w:lvl>
    <w:lvl w:ilvl="4" w:tplc="0268A13E">
      <w:numFmt w:val="bullet"/>
      <w:lvlText w:val="•"/>
      <w:lvlJc w:val="left"/>
      <w:pPr>
        <w:ind w:left="3975" w:hanging="361"/>
      </w:pPr>
      <w:rPr>
        <w:rFonts w:hint="default"/>
        <w:lang w:val="en-US" w:eastAsia="en-US" w:bidi="ar-SA"/>
      </w:rPr>
    </w:lvl>
    <w:lvl w:ilvl="5" w:tplc="6122B6B2">
      <w:numFmt w:val="bullet"/>
      <w:lvlText w:val="•"/>
      <w:lvlJc w:val="left"/>
      <w:pPr>
        <w:ind w:left="4992" w:hanging="361"/>
      </w:pPr>
      <w:rPr>
        <w:rFonts w:hint="default"/>
        <w:lang w:val="en-US" w:eastAsia="en-US" w:bidi="ar-SA"/>
      </w:rPr>
    </w:lvl>
    <w:lvl w:ilvl="6" w:tplc="6EA8A65C">
      <w:numFmt w:val="bullet"/>
      <w:lvlText w:val="•"/>
      <w:lvlJc w:val="left"/>
      <w:pPr>
        <w:ind w:left="6010" w:hanging="361"/>
      </w:pPr>
      <w:rPr>
        <w:rFonts w:hint="default"/>
        <w:lang w:val="en-US" w:eastAsia="en-US" w:bidi="ar-SA"/>
      </w:rPr>
    </w:lvl>
    <w:lvl w:ilvl="7" w:tplc="929A81B4">
      <w:numFmt w:val="bullet"/>
      <w:lvlText w:val="•"/>
      <w:lvlJc w:val="left"/>
      <w:pPr>
        <w:ind w:left="7027" w:hanging="361"/>
      </w:pPr>
      <w:rPr>
        <w:rFonts w:hint="default"/>
        <w:lang w:val="en-US" w:eastAsia="en-US" w:bidi="ar-SA"/>
      </w:rPr>
    </w:lvl>
    <w:lvl w:ilvl="8" w:tplc="562671CC">
      <w:numFmt w:val="bullet"/>
      <w:lvlText w:val="•"/>
      <w:lvlJc w:val="left"/>
      <w:pPr>
        <w:ind w:left="8045" w:hanging="361"/>
      </w:pPr>
      <w:rPr>
        <w:rFonts w:hint="default"/>
        <w:lang w:val="en-US" w:eastAsia="en-US" w:bidi="ar-SA"/>
      </w:rPr>
    </w:lvl>
  </w:abstractNum>
  <w:num w:numId="1" w16cid:durableId="122370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634A"/>
    <w:rsid w:val="000029F7"/>
    <w:rsid w:val="004A28FB"/>
    <w:rsid w:val="0069634A"/>
    <w:rsid w:val="0089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D846E"/>
  <w15:docId w15:val="{0F0CACEC-C7B8-4C8B-AFDD-5369016F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6"/>
      <w:ind w:left="4"/>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jc w:val="both"/>
    </w:pPr>
  </w:style>
  <w:style w:type="paragraph" w:styleId="ListParagraph">
    <w:name w:val="List Paragraph"/>
    <w:basedOn w:val="Normal"/>
    <w:uiPriority w:val="1"/>
    <w:qFormat/>
    <w:pPr>
      <w:ind w:left="1080" w:right="354"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29F7"/>
    <w:pPr>
      <w:tabs>
        <w:tab w:val="center" w:pos="4680"/>
        <w:tab w:val="right" w:pos="9360"/>
      </w:tabs>
    </w:pPr>
  </w:style>
  <w:style w:type="character" w:customStyle="1" w:styleId="HeaderChar">
    <w:name w:val="Header Char"/>
    <w:basedOn w:val="DefaultParagraphFont"/>
    <w:link w:val="Header"/>
    <w:uiPriority w:val="99"/>
    <w:rsid w:val="000029F7"/>
    <w:rPr>
      <w:rFonts w:ascii="Calibri" w:eastAsia="Calibri" w:hAnsi="Calibri" w:cs="Calibri"/>
    </w:rPr>
  </w:style>
  <w:style w:type="paragraph" w:styleId="Footer">
    <w:name w:val="footer"/>
    <w:basedOn w:val="Normal"/>
    <w:link w:val="FooterChar"/>
    <w:uiPriority w:val="99"/>
    <w:unhideWhenUsed/>
    <w:rsid w:val="000029F7"/>
    <w:pPr>
      <w:tabs>
        <w:tab w:val="center" w:pos="4680"/>
        <w:tab w:val="right" w:pos="9360"/>
      </w:tabs>
    </w:pPr>
  </w:style>
  <w:style w:type="character" w:customStyle="1" w:styleId="FooterChar">
    <w:name w:val="Footer Char"/>
    <w:basedOn w:val="DefaultParagraphFont"/>
    <w:link w:val="Footer"/>
    <w:uiPriority w:val="99"/>
    <w:rsid w:val="000029F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n.gov/finance/article/fa-os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nrfp.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STREAM_LeaseProposalPackage.pdf</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STREAM_LeaseProposalPackage.pdf</dc:title>
  <dc:creator>Kelley Pruett</dc:creator>
  <cp:lastModifiedBy>Ellen Mims</cp:lastModifiedBy>
  <cp:revision>2</cp:revision>
  <dcterms:created xsi:type="dcterms:W3CDTF">2026-02-24T22:54:00Z</dcterms:created>
  <dcterms:modified xsi:type="dcterms:W3CDTF">2026-02-24T23:06:00Z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Adobe Acrobat Pro 11.0.18</vt:lpwstr>
  </property>
  <property fmtid="{D5CDD505-2E9C-101B-9397-08002B2CF9AE}" pid="4" name="LastSaved">
    <vt:filetime>2026-02-24T00:00:00Z</vt:filetime>
  </property>
  <property fmtid="{D5CDD505-2E9C-101B-9397-08002B2CF9AE}" pid="5" name="Producer">
    <vt:lpwstr>Acrobat Distiller 11.0 (Windows)</vt:lpwstr>
  </property>
  <property fmtid="{D5CDD505-2E9C-101B-9397-08002B2CF9AE}" pid="6" name="GrammarlyDocumentId">
    <vt:lpwstr>f0325ec2-b49a-4abb-aa18-1ef215f967a7</vt:lpwstr>
  </property>
</Properties>
</file>