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73F74056" w:rsidR="00DE7308" w:rsidRDefault="00834054" w:rsidP="00834054">
      <w:pPr>
        <w:pStyle w:val="Heading1"/>
        <w:jc w:val="center"/>
      </w:pPr>
      <w:r>
        <w:t xml:space="preserve">SWC # </w:t>
      </w:r>
      <w:r w:rsidR="00791812">
        <w:t xml:space="preserve">533 Influenza Vaccine Manufacturer </w:t>
      </w:r>
    </w:p>
    <w:p w14:paraId="3509D4F7" w14:textId="77777777" w:rsidR="00834054" w:rsidRPr="00834054" w:rsidRDefault="00834054" w:rsidP="00834054">
      <w:pPr>
        <w:pStyle w:val="Heading2"/>
      </w:pPr>
      <w:r w:rsidRPr="00834054">
        <w:rPr>
          <w:rStyle w:val="Heading2Char"/>
          <w:b/>
        </w:rPr>
        <w:t>Contract Period:</w:t>
      </w:r>
    </w:p>
    <w:p w14:paraId="553BE65D" w14:textId="701DA38B" w:rsidR="00834054" w:rsidRPr="006B0660" w:rsidRDefault="00791812" w:rsidP="00834054">
      <w:pPr>
        <w:rPr>
          <w:rFonts w:cstheme="minorHAnsi"/>
          <w:szCs w:val="24"/>
        </w:rPr>
      </w:pPr>
      <w:r w:rsidRPr="00791812">
        <w:rPr>
          <w:rFonts w:cstheme="minorHAnsi"/>
          <w:szCs w:val="24"/>
        </w:rPr>
        <w:t xml:space="preserve">This is a cooperative statewide contract established through the Minnesota Multistate Contracting Alliance for Pharmacy (MMCAP). </w:t>
      </w:r>
      <w:r w:rsidR="00834054" w:rsidRPr="006B0660">
        <w:rPr>
          <w:rFonts w:cstheme="minorHAnsi"/>
          <w:szCs w:val="24"/>
        </w:rPr>
        <w:t xml:space="preserve">This is a </w:t>
      </w:r>
      <w:r>
        <w:rPr>
          <w:rFonts w:cstheme="minorHAnsi"/>
          <w:szCs w:val="24"/>
        </w:rPr>
        <w:t>two (2)</w:t>
      </w:r>
      <w:r w:rsidR="00834054" w:rsidRPr="006B0660">
        <w:rPr>
          <w:rFonts w:cstheme="minorHAnsi"/>
          <w:szCs w:val="24"/>
        </w:rPr>
        <w:t xml:space="preserve"> year contract with </w:t>
      </w:r>
      <w:r>
        <w:rPr>
          <w:rFonts w:cstheme="minorHAnsi"/>
          <w:szCs w:val="24"/>
        </w:rPr>
        <w:t>three</w:t>
      </w:r>
      <w:r w:rsidR="00834054" w:rsidRPr="006B0660">
        <w:rPr>
          <w:rFonts w:cstheme="minorHAnsi"/>
          <w:szCs w:val="24"/>
        </w:rPr>
        <w:t xml:space="preserve"> (</w:t>
      </w:r>
      <w:r>
        <w:rPr>
          <w:rFonts w:cstheme="minorHAnsi"/>
          <w:szCs w:val="24"/>
        </w:rPr>
        <w:t>3</w:t>
      </w:r>
      <w:r w:rsidR="00834054" w:rsidRPr="006B0660">
        <w:rPr>
          <w:rFonts w:cstheme="minorHAnsi"/>
          <w:szCs w:val="24"/>
        </w:rPr>
        <w:t>) one-year (1) options to renew.</w:t>
      </w:r>
    </w:p>
    <w:p w14:paraId="7601676E" w14:textId="4288635E" w:rsidR="00834054" w:rsidRPr="006B0660" w:rsidRDefault="00834054" w:rsidP="00834054">
      <w:pPr>
        <w:jc w:val="center"/>
        <w:rPr>
          <w:rFonts w:cstheme="minorHAnsi"/>
          <w:szCs w:val="24"/>
        </w:rPr>
      </w:pPr>
      <w:r w:rsidRPr="006B0660">
        <w:rPr>
          <w:rFonts w:cstheme="minorHAnsi"/>
          <w:szCs w:val="24"/>
        </w:rPr>
        <w:t>Start date:</w:t>
      </w:r>
      <w:r w:rsidR="00791812">
        <w:rPr>
          <w:rFonts w:cstheme="minorHAnsi"/>
          <w:szCs w:val="24"/>
        </w:rPr>
        <w:t xml:space="preserve"> March 27, 2023</w:t>
      </w:r>
    </w:p>
    <w:p w14:paraId="2EE9EB83" w14:textId="284748BA" w:rsidR="00834054" w:rsidRPr="006B0660" w:rsidRDefault="00834054" w:rsidP="00834054">
      <w:pPr>
        <w:jc w:val="center"/>
        <w:rPr>
          <w:rFonts w:cstheme="minorHAnsi"/>
          <w:szCs w:val="24"/>
        </w:rPr>
      </w:pPr>
      <w:r w:rsidRPr="006B0660">
        <w:rPr>
          <w:rFonts w:cstheme="minorHAnsi"/>
          <w:szCs w:val="24"/>
        </w:rPr>
        <w:t xml:space="preserve">Initial End Date: </w:t>
      </w:r>
      <w:r w:rsidR="00791812">
        <w:rPr>
          <w:rFonts w:cstheme="minorHAnsi"/>
          <w:szCs w:val="24"/>
        </w:rPr>
        <w:t>June 30, 2026</w:t>
      </w:r>
    </w:p>
    <w:p w14:paraId="5EFCC081" w14:textId="4689C84C" w:rsidR="00834054" w:rsidRPr="006B0660" w:rsidRDefault="00834054" w:rsidP="00834054">
      <w:pPr>
        <w:spacing w:after="240"/>
        <w:jc w:val="center"/>
        <w:rPr>
          <w:rFonts w:cstheme="minorHAnsi"/>
          <w:szCs w:val="24"/>
        </w:rPr>
      </w:pPr>
      <w:r w:rsidRPr="006B0660">
        <w:rPr>
          <w:rFonts w:cstheme="minorHAnsi"/>
          <w:szCs w:val="24"/>
        </w:rPr>
        <w:t xml:space="preserve">Final End Date: </w:t>
      </w:r>
      <w:r w:rsidR="00B70F45">
        <w:rPr>
          <w:rFonts w:cstheme="minorHAnsi"/>
          <w:szCs w:val="24"/>
        </w:rPr>
        <w:t>June 30</w:t>
      </w:r>
      <w:r w:rsidR="00791812">
        <w:rPr>
          <w:rFonts w:cstheme="minorHAnsi"/>
          <w:szCs w:val="24"/>
        </w:rPr>
        <w:t>, 202</w:t>
      </w:r>
      <w:r w:rsidR="00B70F45">
        <w:rPr>
          <w:rFonts w:cstheme="minorHAnsi"/>
          <w:szCs w:val="24"/>
        </w:rPr>
        <w:t>6</w:t>
      </w:r>
    </w:p>
    <w:p w14:paraId="2171EC62" w14:textId="77777777" w:rsidR="00834054" w:rsidRDefault="00834054" w:rsidP="00791812">
      <w:pPr>
        <w:pStyle w:val="Heading2"/>
      </w:pPr>
      <w:r w:rsidRPr="00404943">
        <w:t>Summary/Background Information:</w:t>
      </w:r>
    </w:p>
    <w:p w14:paraId="2667F1D9" w14:textId="77777777" w:rsidR="00791812" w:rsidRPr="00791812" w:rsidRDefault="00791812" w:rsidP="005B3E09">
      <w:pPr>
        <w:spacing w:after="240"/>
      </w:pPr>
      <w:r w:rsidRPr="00791812">
        <w:t xml:space="preserve">This cooperative statewide contract was established to provide influenza vaccine for the State of Tennessee. MMCAP is a free, voluntary group purchasing organization operated and managed by the State of Minnesota Department of Administration for government healthcare facilities. MMCAP membership is comprised of thousands of participating facilities in all 50 states and the District of Columbia. </w:t>
      </w:r>
      <w:r w:rsidRPr="00791812">
        <w:rPr>
          <w:b/>
        </w:rPr>
        <w:t>This contract requires MMCAP membership. Only MMCAP Participating Facilities may purchase Products and Services under the terms of this Contract.</w:t>
      </w:r>
      <w:r w:rsidRPr="00791812">
        <w:t xml:space="preserve"> MMCAP customers will need an MMCAP User ID and password to access MMCAP’s website. Contact the Contract Administrator to verify MMCAP membership or to set up an account. Once MMCAP membership is obtained, contact vendor to set up an account with them as well. </w:t>
      </w:r>
    </w:p>
    <w:p w14:paraId="77490997" w14:textId="77777777" w:rsidR="00834054" w:rsidRPr="00404943" w:rsidRDefault="00834054" w:rsidP="005B3E09">
      <w:pPr>
        <w:pStyle w:val="Heading2"/>
      </w:pPr>
      <w:r w:rsidRPr="00404943">
        <w:t>State Contact Information</w:t>
      </w:r>
    </w:p>
    <w:p w14:paraId="4801CED4" w14:textId="77777777" w:rsidR="00834054" w:rsidRPr="00E663AB" w:rsidRDefault="00834054" w:rsidP="00834054">
      <w:pPr>
        <w:pStyle w:val="Heading3"/>
      </w:pPr>
      <w:bookmarkStart w:id="0" w:name="_Hlk216965018"/>
      <w:r w:rsidRPr="00E663AB">
        <w:t>Contract Administrator:</w:t>
      </w:r>
    </w:p>
    <w:bookmarkEnd w:id="0"/>
    <w:p w14:paraId="0868874A" w14:textId="201AE8B4" w:rsidR="00834054" w:rsidRPr="006B0660" w:rsidRDefault="0034236E" w:rsidP="00834054">
      <w:pPr>
        <w:rPr>
          <w:rFonts w:cstheme="minorHAnsi"/>
          <w:szCs w:val="24"/>
        </w:rPr>
      </w:pPr>
      <w:r>
        <w:rPr>
          <w:rFonts w:cstheme="minorHAnsi"/>
          <w:szCs w:val="24"/>
        </w:rPr>
        <w:t>Celena Milliken</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740EC769" w14:textId="0A83F390" w:rsidR="00834054" w:rsidRDefault="00834054" w:rsidP="0034236E">
      <w:pPr>
        <w:rPr>
          <w:rFonts w:cstheme="minorHAnsi"/>
          <w:szCs w:val="24"/>
        </w:rPr>
      </w:pPr>
      <w:r w:rsidRPr="006B0660">
        <w:rPr>
          <w:rFonts w:cstheme="minorHAnsi"/>
          <w:szCs w:val="24"/>
        </w:rPr>
        <w:t xml:space="preserve">(615) </w:t>
      </w:r>
      <w:r w:rsidR="0034236E">
        <w:rPr>
          <w:rFonts w:cstheme="minorHAnsi"/>
          <w:szCs w:val="24"/>
        </w:rPr>
        <w:t>253-4834</w:t>
      </w:r>
    </w:p>
    <w:p w14:paraId="078E1D06" w14:textId="0CBD554F" w:rsidR="0034236E" w:rsidRDefault="0034236E" w:rsidP="0034236E">
      <w:pPr>
        <w:spacing w:after="240"/>
        <w:rPr>
          <w:rFonts w:cstheme="minorHAnsi"/>
          <w:szCs w:val="24"/>
        </w:rPr>
      </w:pPr>
      <w:hyperlink r:id="rId8" w:history="1">
        <w:r w:rsidRPr="002A483E">
          <w:rPr>
            <w:rStyle w:val="Hyperlink"/>
            <w:rFonts w:cstheme="minorHAnsi"/>
            <w:szCs w:val="24"/>
          </w:rPr>
          <w:t>Celena.Milliken@tn.gov</w:t>
        </w:r>
      </w:hyperlink>
      <w:r>
        <w:rPr>
          <w:rFonts w:cstheme="minorHAnsi"/>
          <w:szCs w:val="24"/>
        </w:rPr>
        <w:t xml:space="preserve"> </w:t>
      </w:r>
    </w:p>
    <w:p w14:paraId="5FEFD39A" w14:textId="6463BDAF" w:rsidR="0034236E" w:rsidRPr="00E663AB" w:rsidRDefault="0034236E" w:rsidP="0034236E">
      <w:pPr>
        <w:pStyle w:val="Heading3"/>
      </w:pPr>
      <w:r>
        <w:t xml:space="preserve">Backup </w:t>
      </w:r>
      <w:r w:rsidRPr="00E663AB">
        <w:t>Contract Administrator:</w:t>
      </w:r>
    </w:p>
    <w:p w14:paraId="1268608E" w14:textId="13127750" w:rsidR="0034236E" w:rsidRDefault="0034236E" w:rsidP="0034236E">
      <w:pPr>
        <w:rPr>
          <w:rFonts w:cstheme="minorHAnsi"/>
          <w:szCs w:val="24"/>
        </w:rPr>
      </w:pPr>
      <w:r>
        <w:rPr>
          <w:rFonts w:cstheme="minorHAnsi"/>
          <w:szCs w:val="24"/>
        </w:rPr>
        <w:t>Karen Conway</w:t>
      </w:r>
    </w:p>
    <w:p w14:paraId="0B218360" w14:textId="66B7CA9C" w:rsidR="0034236E" w:rsidRDefault="0034236E" w:rsidP="0034236E">
      <w:pPr>
        <w:rPr>
          <w:rFonts w:cstheme="minorHAnsi"/>
          <w:szCs w:val="24"/>
        </w:rPr>
      </w:pPr>
      <w:r>
        <w:rPr>
          <w:rFonts w:cstheme="minorHAnsi"/>
          <w:szCs w:val="24"/>
        </w:rPr>
        <w:t>Commodities Team Lead</w:t>
      </w:r>
    </w:p>
    <w:p w14:paraId="68ECCA5D" w14:textId="1009502E" w:rsidR="0034236E" w:rsidRDefault="0034236E" w:rsidP="0034236E">
      <w:pPr>
        <w:rPr>
          <w:rFonts w:cstheme="minorHAnsi"/>
          <w:szCs w:val="24"/>
        </w:rPr>
      </w:pPr>
      <w:r>
        <w:rPr>
          <w:rFonts w:cstheme="minorHAnsi"/>
          <w:szCs w:val="24"/>
        </w:rPr>
        <w:t>Central Procurement Office</w:t>
      </w:r>
    </w:p>
    <w:p w14:paraId="0072B301" w14:textId="2973E823" w:rsidR="0034236E" w:rsidRDefault="0034236E" w:rsidP="0034236E">
      <w:pPr>
        <w:rPr>
          <w:rFonts w:cstheme="minorHAnsi"/>
          <w:szCs w:val="24"/>
        </w:rPr>
      </w:pPr>
      <w:r>
        <w:rPr>
          <w:rFonts w:cstheme="minorHAnsi"/>
          <w:szCs w:val="24"/>
        </w:rPr>
        <w:t>(615) 934-2352</w:t>
      </w:r>
    </w:p>
    <w:p w14:paraId="556BA652" w14:textId="00DEFBA7" w:rsidR="005B3E09" w:rsidRDefault="0034236E" w:rsidP="0034236E">
      <w:pPr>
        <w:rPr>
          <w:rFonts w:cstheme="minorHAnsi"/>
          <w:szCs w:val="24"/>
        </w:rPr>
      </w:pPr>
      <w:hyperlink r:id="rId9" w:history="1">
        <w:r w:rsidRPr="002A483E">
          <w:rPr>
            <w:rStyle w:val="Hyperlink"/>
            <w:rFonts w:cstheme="minorHAnsi"/>
            <w:szCs w:val="24"/>
          </w:rPr>
          <w:t>Karen.Conway@tn.gov</w:t>
        </w:r>
      </w:hyperlink>
      <w:r>
        <w:rPr>
          <w:rFonts w:cstheme="minorHAnsi"/>
          <w:szCs w:val="24"/>
        </w:rPr>
        <w:t xml:space="preserve"> </w:t>
      </w:r>
    </w:p>
    <w:p w14:paraId="4955EFD8" w14:textId="13262E40" w:rsidR="0034236E" w:rsidRDefault="005B3E09" w:rsidP="0034236E">
      <w:pPr>
        <w:rPr>
          <w:rFonts w:cstheme="minorHAnsi"/>
          <w:szCs w:val="24"/>
        </w:rPr>
      </w:pPr>
      <w:r>
        <w:rPr>
          <w:rFonts w:cstheme="minorHAnsi"/>
          <w:szCs w:val="24"/>
        </w:rPr>
        <w:br w:type="page"/>
      </w:r>
    </w:p>
    <w:p w14:paraId="76050279" w14:textId="405B8C67" w:rsidR="00834054" w:rsidRPr="00404943" w:rsidRDefault="004F343E" w:rsidP="00807838">
      <w:pPr>
        <w:pStyle w:val="Heading2"/>
      </w:pPr>
      <w:r>
        <w:lastRenderedPageBreak/>
        <w:t>V</w:t>
      </w:r>
      <w:r w:rsidR="00834054" w:rsidRPr="00404943">
        <w:t>endor Contact Information:</w:t>
      </w:r>
    </w:p>
    <w:p w14:paraId="393CDB90" w14:textId="27F2874A" w:rsidR="00834054" w:rsidRPr="006B0660" w:rsidRDefault="005B3E09" w:rsidP="00834054">
      <w:pPr>
        <w:rPr>
          <w:rFonts w:cstheme="minorHAnsi"/>
          <w:szCs w:val="24"/>
        </w:rPr>
      </w:pPr>
      <w:r>
        <w:rPr>
          <w:rFonts w:cstheme="minorHAnsi"/>
          <w:szCs w:val="24"/>
        </w:rPr>
        <w:t>Sanofi Pasteur</w:t>
      </w:r>
    </w:p>
    <w:p w14:paraId="6EBFE3AC" w14:textId="3A726682" w:rsidR="00834054" w:rsidRPr="006B0660" w:rsidRDefault="00834054" w:rsidP="00834054">
      <w:pPr>
        <w:rPr>
          <w:rFonts w:cstheme="minorHAnsi"/>
          <w:szCs w:val="24"/>
        </w:rPr>
      </w:pPr>
      <w:r w:rsidRPr="006B0660">
        <w:rPr>
          <w:rFonts w:cstheme="minorHAnsi"/>
          <w:szCs w:val="24"/>
        </w:rPr>
        <w:t xml:space="preserve">Edison Contract Number: </w:t>
      </w:r>
      <w:r w:rsidR="005B3E09">
        <w:rPr>
          <w:rFonts w:cstheme="minorHAnsi"/>
          <w:szCs w:val="24"/>
        </w:rPr>
        <w:t>77354</w:t>
      </w:r>
    </w:p>
    <w:p w14:paraId="528E3ECF" w14:textId="1BD40B1E" w:rsidR="00834054" w:rsidRDefault="005B3E09" w:rsidP="00834054">
      <w:pPr>
        <w:rPr>
          <w:rFonts w:cstheme="minorHAnsi"/>
          <w:szCs w:val="24"/>
        </w:rPr>
      </w:pPr>
      <w:r w:rsidRPr="005B3E09">
        <w:rPr>
          <w:rFonts w:cstheme="minorHAnsi"/>
          <w:szCs w:val="24"/>
        </w:rPr>
        <w:t>Jaclyn Ulichney</w:t>
      </w:r>
    </w:p>
    <w:p w14:paraId="4E489FFD" w14:textId="0F097048" w:rsidR="0054782B" w:rsidRPr="005B3E09" w:rsidRDefault="0054782B" w:rsidP="00834054">
      <w:pPr>
        <w:rPr>
          <w:rFonts w:cstheme="minorHAnsi"/>
          <w:szCs w:val="24"/>
        </w:rPr>
      </w:pPr>
      <w:r>
        <w:rPr>
          <w:rFonts w:cstheme="minorHAnsi"/>
          <w:szCs w:val="24"/>
        </w:rPr>
        <w:t>Deputy Director, Government Accou</w:t>
      </w:r>
      <w:r w:rsidR="00BD391C">
        <w:rPr>
          <w:rFonts w:cstheme="minorHAnsi"/>
          <w:szCs w:val="24"/>
        </w:rPr>
        <w:t>nts</w:t>
      </w:r>
    </w:p>
    <w:p w14:paraId="1783E02A" w14:textId="0CCABD34" w:rsidR="00834054" w:rsidRPr="005B3E09" w:rsidRDefault="005B3E09" w:rsidP="00834054">
      <w:pPr>
        <w:rPr>
          <w:rFonts w:cstheme="minorHAnsi"/>
          <w:szCs w:val="24"/>
        </w:rPr>
      </w:pPr>
      <w:r w:rsidRPr="005B3E09">
        <w:rPr>
          <w:rFonts w:cstheme="minorHAnsi"/>
          <w:szCs w:val="24"/>
        </w:rPr>
        <w:t>(570) 957-3381</w:t>
      </w:r>
    </w:p>
    <w:p w14:paraId="393B76DC" w14:textId="2794E66F" w:rsidR="00834054" w:rsidRPr="005B3E09" w:rsidRDefault="005B3E09" w:rsidP="005B3E09">
      <w:pPr>
        <w:spacing w:after="240"/>
        <w:rPr>
          <w:rFonts w:cstheme="minorHAnsi"/>
          <w:szCs w:val="24"/>
        </w:rPr>
      </w:pPr>
      <w:hyperlink r:id="rId10" w:history="1">
        <w:r w:rsidRPr="005B3E09">
          <w:rPr>
            <w:rStyle w:val="Hyperlink"/>
            <w:rFonts w:cstheme="minorHAnsi"/>
            <w:szCs w:val="24"/>
          </w:rPr>
          <w:t>Jaclyn.Ulichney@sanofi.com</w:t>
        </w:r>
      </w:hyperlink>
      <w:r w:rsidRPr="005B3E09">
        <w:rPr>
          <w:rFonts w:cstheme="minorHAnsi"/>
          <w:szCs w:val="24"/>
        </w:rPr>
        <w:t xml:space="preserve"> </w:t>
      </w:r>
    </w:p>
    <w:p w14:paraId="6149D690" w14:textId="117CD6D5" w:rsidR="00834054" w:rsidRPr="00E663AB" w:rsidRDefault="006B0660" w:rsidP="00101AB7">
      <w:pPr>
        <w:pStyle w:val="Heading2"/>
        <w:spacing w:after="240"/>
      </w:pPr>
      <w:r>
        <w:t>Usage Instructions:</w:t>
      </w:r>
    </w:p>
    <w:p w14:paraId="49109DFD" w14:textId="25B982CA" w:rsidR="00101AB7" w:rsidRPr="00A16FA4" w:rsidRDefault="00101AB7" w:rsidP="00035AE9">
      <w:pPr>
        <w:spacing w:after="240"/>
        <w:rPr>
          <w:b/>
          <w:bCs/>
          <w:highlight w:val="yellow"/>
        </w:rPr>
      </w:pPr>
      <w:r w:rsidRPr="00101AB7">
        <w:rPr>
          <w:b/>
          <w:bCs/>
          <w:highlight w:val="yellow"/>
        </w:rPr>
        <w:t>Please follow instructions above in the Summary/Background Information section to create an MMCAP Account and gain an MMCAP ID in order to login to MMCAP’s website to view entire Master Agreement and all other contract documents.</w:t>
      </w:r>
    </w:p>
    <w:p w14:paraId="48DFE62D" w14:textId="314E5E06" w:rsidR="00101AB7" w:rsidRPr="00173D7F" w:rsidRDefault="00101AB7" w:rsidP="00A16FA4">
      <w:pPr>
        <w:pStyle w:val="ListParagraph"/>
        <w:numPr>
          <w:ilvl w:val="0"/>
          <w:numId w:val="2"/>
        </w:numPr>
        <w:spacing w:after="240"/>
      </w:pPr>
      <w:r w:rsidRPr="00173D7F">
        <w:rPr>
          <w:b/>
        </w:rPr>
        <w:t>No Minimum Order Requirements</w:t>
      </w:r>
      <w:r w:rsidRPr="00173D7F">
        <w:t xml:space="preserve"> - There shall be no minimum order requirements or charges, regardless of order size or payment amount.</w:t>
      </w:r>
    </w:p>
    <w:p w14:paraId="75DACDF2" w14:textId="12B6B6B8" w:rsidR="00101AB7" w:rsidRPr="00173D7F" w:rsidRDefault="00101AB7" w:rsidP="00A16FA4">
      <w:pPr>
        <w:pStyle w:val="ListParagraph"/>
        <w:numPr>
          <w:ilvl w:val="0"/>
          <w:numId w:val="2"/>
        </w:numPr>
        <w:spacing w:after="240"/>
      </w:pPr>
      <w:r w:rsidRPr="00173D7F">
        <w:rPr>
          <w:b/>
        </w:rPr>
        <w:t xml:space="preserve">Please refer to the relevant master agreement </w:t>
      </w:r>
      <w:r w:rsidRPr="00173D7F">
        <w:t>for pricing, delivery schedule, shipping terms, product returns, and other information.</w:t>
      </w:r>
    </w:p>
    <w:p w14:paraId="50DF9D78" w14:textId="71544F70" w:rsidR="00101AB7" w:rsidRPr="00173D7F" w:rsidRDefault="00101AB7" w:rsidP="00A16FA4">
      <w:pPr>
        <w:pStyle w:val="ListParagraph"/>
        <w:numPr>
          <w:ilvl w:val="0"/>
          <w:numId w:val="2"/>
        </w:numPr>
        <w:spacing w:after="240"/>
      </w:pPr>
      <w:r w:rsidRPr="00173D7F">
        <w:rPr>
          <w:b/>
          <w:bCs/>
        </w:rPr>
        <w:t>COVID-19 Booster</w:t>
      </w:r>
      <w:r w:rsidRPr="00173D7F">
        <w:t xml:space="preserve"> – please go ahead and enter in the amount of vaccines your entity expects to order via the portal</w:t>
      </w:r>
      <w:r w:rsidR="00A16FA4">
        <w:t>.</w:t>
      </w:r>
    </w:p>
    <w:p w14:paraId="2DA8F058" w14:textId="77777777" w:rsidR="00101AB7" w:rsidRPr="00173D7F" w:rsidRDefault="00101AB7" w:rsidP="00173D7F">
      <w:pPr>
        <w:pStyle w:val="ListParagraph"/>
        <w:numPr>
          <w:ilvl w:val="0"/>
          <w:numId w:val="2"/>
        </w:numPr>
        <w:spacing w:after="240"/>
      </w:pPr>
      <w:r w:rsidRPr="00173D7F">
        <w:rPr>
          <w:b/>
          <w:bCs/>
        </w:rPr>
        <w:t>Other Vaccines</w:t>
      </w:r>
      <w:r w:rsidRPr="00173D7F">
        <w:t xml:space="preserve"> – if looking to procure vaccines produced by companies other than Sanofi Pasteur, please see </w:t>
      </w:r>
      <w:r w:rsidRPr="00173D7F">
        <w:rPr>
          <w:b/>
          <w:bCs/>
        </w:rPr>
        <w:t>SWC 534 – Vaccine Distributor</w:t>
      </w:r>
      <w:r w:rsidRPr="00173D7F">
        <w:t xml:space="preserve">, where contracts with FFF Enterprises, Inc. and Medico-Mart, Inc. can be found. </w:t>
      </w:r>
    </w:p>
    <w:p w14:paraId="575DBA57" w14:textId="6D1A6A85" w:rsidR="00834054" w:rsidRPr="00404943" w:rsidRDefault="007B5617" w:rsidP="00834054">
      <w:pPr>
        <w:pStyle w:val="Heading2"/>
      </w:pPr>
      <w:r>
        <w:t>Billing and Payment Instructions</w:t>
      </w:r>
    </w:p>
    <w:p w14:paraId="1AF7E051" w14:textId="77777777" w:rsidR="007B5617" w:rsidRPr="007B5617" w:rsidRDefault="007B5617" w:rsidP="007B5617">
      <w:pPr>
        <w:autoSpaceDE/>
        <w:autoSpaceDN/>
        <w:rPr>
          <w:rFonts w:ascii="Open Sans" w:hAnsi="Open Sans"/>
        </w:rPr>
      </w:pPr>
      <w:r w:rsidRPr="007B5617">
        <w:rPr>
          <w:rFonts w:cstheme="minorHAnsi"/>
        </w:rPr>
        <w:t>Follow your agency specific rules for billing and payments</w:t>
      </w:r>
      <w:r w:rsidRPr="007B5617">
        <w:rPr>
          <w:rFonts w:ascii="Open Sans" w:hAnsi="Open Sans"/>
        </w:rPr>
        <w:t xml:space="preserve">. </w:t>
      </w:r>
    </w:p>
    <w:sectPr w:rsidR="007B5617" w:rsidRPr="007B5617" w:rsidSect="00834054">
      <w:headerReference w:type="default" r:id="rId11"/>
      <w:footerReference w:type="default" r:id="rId12"/>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AF66B08"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39C"/>
    <w:multiLevelType w:val="hybridMultilevel"/>
    <w:tmpl w:val="D6DC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1635C"/>
    <w:multiLevelType w:val="hybridMultilevel"/>
    <w:tmpl w:val="E0326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989337">
    <w:abstractNumId w:val="1"/>
  </w:num>
  <w:num w:numId="2" w16cid:durableId="144264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35AE9"/>
    <w:rsid w:val="00101AB7"/>
    <w:rsid w:val="00104B86"/>
    <w:rsid w:val="00121EBC"/>
    <w:rsid w:val="00173D7F"/>
    <w:rsid w:val="001C27A7"/>
    <w:rsid w:val="0027416F"/>
    <w:rsid w:val="002B3F02"/>
    <w:rsid w:val="002D720E"/>
    <w:rsid w:val="003308F3"/>
    <w:rsid w:val="0034236E"/>
    <w:rsid w:val="003C6CAE"/>
    <w:rsid w:val="00433409"/>
    <w:rsid w:val="004B29A2"/>
    <w:rsid w:val="004E1A4A"/>
    <w:rsid w:val="004F343E"/>
    <w:rsid w:val="0054782B"/>
    <w:rsid w:val="00581AF8"/>
    <w:rsid w:val="005B3E09"/>
    <w:rsid w:val="00613732"/>
    <w:rsid w:val="00631839"/>
    <w:rsid w:val="006B0660"/>
    <w:rsid w:val="006E216D"/>
    <w:rsid w:val="007219A6"/>
    <w:rsid w:val="0074213E"/>
    <w:rsid w:val="00791812"/>
    <w:rsid w:val="007B5617"/>
    <w:rsid w:val="008007A9"/>
    <w:rsid w:val="00807838"/>
    <w:rsid w:val="00834054"/>
    <w:rsid w:val="00884DC4"/>
    <w:rsid w:val="009806C4"/>
    <w:rsid w:val="009B21C0"/>
    <w:rsid w:val="009B4819"/>
    <w:rsid w:val="009C0C37"/>
    <w:rsid w:val="00A16FA4"/>
    <w:rsid w:val="00B144AB"/>
    <w:rsid w:val="00B70F45"/>
    <w:rsid w:val="00B83C9C"/>
    <w:rsid w:val="00BD391C"/>
    <w:rsid w:val="00D23329"/>
    <w:rsid w:val="00DE7308"/>
    <w:rsid w:val="00E419F2"/>
    <w:rsid w:val="00EE3B0B"/>
    <w:rsid w:val="00EF4644"/>
    <w:rsid w:val="00F6607F"/>
    <w:rsid w:val="00F76479"/>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na.Milliken@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clyn.Ulichney@sanofi.com" TargetMode="External"/><Relationship Id="rId4" Type="http://schemas.openxmlformats.org/officeDocument/2006/relationships/settings" Target="settings.xml"/><Relationship Id="rId9" Type="http://schemas.openxmlformats.org/officeDocument/2006/relationships/hyperlink" Target="mailto:Karen.Conway@tn.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2339</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533 Usage Instructions</dc:title>
  <dc:creator>Christopher Baertlein;Celena.Milliken@tn.gov</dc:creator>
  <cp:lastModifiedBy>Celena Milliken</cp:lastModifiedBy>
  <cp:revision>3</cp:revision>
  <dcterms:created xsi:type="dcterms:W3CDTF">2026-03-12T17:14:00Z</dcterms:created>
  <dcterms:modified xsi:type="dcterms:W3CDTF">2026-03-12T17:14:00Z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