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5BC2C3DC" w:rsidR="00DE7308" w:rsidRDefault="00834054" w:rsidP="00834054">
      <w:pPr>
        <w:pStyle w:val="Heading1"/>
        <w:jc w:val="center"/>
      </w:pPr>
      <w:r>
        <w:t xml:space="preserve">SWC # </w:t>
      </w:r>
      <w:r w:rsidR="00A37394">
        <w:t>450 Automated License Plate Reader (ALPR)</w:t>
      </w:r>
    </w:p>
    <w:p w14:paraId="553BE65D" w14:textId="4F27CEE8" w:rsidR="00834054" w:rsidRPr="00A37394" w:rsidRDefault="00834054" w:rsidP="00A37394">
      <w:pPr>
        <w:pStyle w:val="Heading2"/>
      </w:pPr>
      <w:r w:rsidRPr="00834054">
        <w:rPr>
          <w:rStyle w:val="Heading2Char"/>
          <w:b/>
        </w:rPr>
        <w:t>Contract Period:</w:t>
      </w:r>
    </w:p>
    <w:p w14:paraId="7601676E" w14:textId="64977ADB" w:rsidR="00834054" w:rsidRPr="006B0660" w:rsidRDefault="00834054" w:rsidP="00834054">
      <w:pPr>
        <w:jc w:val="center"/>
        <w:rPr>
          <w:rFonts w:cstheme="minorHAnsi"/>
          <w:szCs w:val="24"/>
        </w:rPr>
      </w:pPr>
      <w:r w:rsidRPr="006B0660">
        <w:rPr>
          <w:rFonts w:cstheme="minorHAnsi"/>
          <w:szCs w:val="24"/>
        </w:rPr>
        <w:t xml:space="preserve">Start date: </w:t>
      </w:r>
      <w:r w:rsidR="00A37394">
        <w:rPr>
          <w:rFonts w:cstheme="minorHAnsi"/>
          <w:szCs w:val="24"/>
        </w:rPr>
        <w:t>May 17, 2021</w:t>
      </w:r>
    </w:p>
    <w:p w14:paraId="5EFCC081" w14:textId="03ADA1D2"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sidR="00A37394">
        <w:rPr>
          <w:rFonts w:cstheme="minorHAnsi"/>
          <w:szCs w:val="24"/>
        </w:rPr>
        <w:t>May 16, 2026</w:t>
      </w:r>
    </w:p>
    <w:p w14:paraId="2171EC62" w14:textId="77777777" w:rsidR="00834054" w:rsidRDefault="00834054" w:rsidP="00834054">
      <w:pPr>
        <w:pStyle w:val="Heading2"/>
      </w:pPr>
      <w:r w:rsidRPr="00404943">
        <w:t>Summary/Background Information:</w:t>
      </w:r>
    </w:p>
    <w:p w14:paraId="6FD4B94E" w14:textId="79DB3DA7" w:rsidR="009806C4" w:rsidRPr="00A37394" w:rsidRDefault="00A37394" w:rsidP="00834054">
      <w:pPr>
        <w:spacing w:after="240"/>
        <w:rPr>
          <w:rFonts w:cstheme="minorHAnsi"/>
          <w:szCs w:val="24"/>
        </w:rPr>
      </w:pPr>
      <w:r w:rsidRPr="00A37394">
        <w:rPr>
          <w:rFonts w:cstheme="minorHAnsi"/>
        </w:rPr>
        <w:t xml:space="preserve">Hosted automated software Systems for the identification of License Plates and the Camera’s and associated hardware for installation. Additionally, professional services are available for planning and there are service level criteria for performance management. </w:t>
      </w:r>
      <w:r w:rsidR="00834054" w:rsidRPr="00A37394">
        <w:rPr>
          <w:rFonts w:cstheme="minorHAnsi"/>
          <w:szCs w:val="24"/>
        </w:rPr>
        <w:t xml:space="preserve"> </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55795C53" w:rsidR="00834054" w:rsidRPr="006B0660" w:rsidRDefault="00A37394" w:rsidP="00834054">
      <w:pPr>
        <w:rPr>
          <w:rFonts w:cstheme="minorHAnsi"/>
          <w:szCs w:val="24"/>
        </w:rPr>
      </w:pPr>
      <w:r>
        <w:rPr>
          <w:rFonts w:cstheme="minorHAnsi"/>
          <w:szCs w:val="24"/>
        </w:rPr>
        <w:t>Michelle Reyes</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4BF8895F" w:rsidR="00834054" w:rsidRPr="006B0660" w:rsidRDefault="00834054" w:rsidP="00834054">
      <w:pPr>
        <w:rPr>
          <w:rFonts w:cstheme="minorHAnsi"/>
          <w:szCs w:val="24"/>
        </w:rPr>
      </w:pPr>
      <w:r w:rsidRPr="006B0660">
        <w:rPr>
          <w:rFonts w:cstheme="minorHAnsi"/>
          <w:szCs w:val="24"/>
        </w:rPr>
        <w:t xml:space="preserve">(615) </w:t>
      </w:r>
      <w:r w:rsidR="00A37394">
        <w:rPr>
          <w:rFonts w:cstheme="minorHAnsi"/>
          <w:szCs w:val="24"/>
        </w:rPr>
        <w:t>253-4018</w:t>
      </w:r>
    </w:p>
    <w:p w14:paraId="740EC769" w14:textId="5159B176" w:rsidR="00834054" w:rsidRPr="006B0660" w:rsidRDefault="00A37394" w:rsidP="00834054">
      <w:pPr>
        <w:spacing w:after="240"/>
        <w:rPr>
          <w:rFonts w:cstheme="minorHAnsi"/>
          <w:szCs w:val="24"/>
        </w:rPr>
      </w:pPr>
      <w:hyperlink r:id="rId8" w:history="1">
        <w:r>
          <w:rPr>
            <w:rStyle w:val="Hyperlink"/>
            <w:rFonts w:cstheme="minorHAnsi"/>
            <w:szCs w:val="24"/>
          </w:rPr>
          <w:t>michelle.reyes@tn.gov</w:t>
        </w:r>
      </w:hyperlink>
    </w:p>
    <w:p w14:paraId="76050279" w14:textId="77777777" w:rsidR="00834054" w:rsidRPr="00404943" w:rsidRDefault="00834054" w:rsidP="00834054">
      <w:pPr>
        <w:pStyle w:val="Heading3"/>
      </w:pPr>
      <w:r w:rsidRPr="00404943">
        <w:t>Vendor Contact Information:</w:t>
      </w:r>
    </w:p>
    <w:p w14:paraId="393CDB90" w14:textId="23DD8F4B" w:rsidR="00834054" w:rsidRPr="006B0660" w:rsidRDefault="00A37394" w:rsidP="00834054">
      <w:pPr>
        <w:rPr>
          <w:rFonts w:cstheme="minorHAnsi"/>
          <w:szCs w:val="24"/>
        </w:rPr>
      </w:pPr>
      <w:r>
        <w:rPr>
          <w:rFonts w:cstheme="minorHAnsi"/>
          <w:szCs w:val="24"/>
        </w:rPr>
        <w:t>Motorola Solutions, Inc.</w:t>
      </w:r>
    </w:p>
    <w:p w14:paraId="6EBFE3AC" w14:textId="23EAD1DF" w:rsidR="00834054" w:rsidRPr="006B0660" w:rsidRDefault="00834054" w:rsidP="00834054">
      <w:pPr>
        <w:rPr>
          <w:rFonts w:cstheme="minorHAnsi"/>
          <w:szCs w:val="24"/>
        </w:rPr>
      </w:pPr>
      <w:r w:rsidRPr="006B0660">
        <w:rPr>
          <w:rFonts w:cstheme="minorHAnsi"/>
          <w:szCs w:val="24"/>
        </w:rPr>
        <w:t xml:space="preserve">Edison Contract Number: </w:t>
      </w:r>
      <w:r w:rsidR="00A37394">
        <w:rPr>
          <w:rFonts w:cstheme="minorHAnsi"/>
          <w:szCs w:val="24"/>
        </w:rPr>
        <w:t>69792</w:t>
      </w:r>
    </w:p>
    <w:p w14:paraId="528E3ECF" w14:textId="344CA9F5" w:rsidR="00834054" w:rsidRPr="00A37394" w:rsidRDefault="00A37394" w:rsidP="00834054">
      <w:pPr>
        <w:rPr>
          <w:rFonts w:cstheme="minorHAnsi"/>
          <w:szCs w:val="24"/>
        </w:rPr>
      </w:pPr>
      <w:r w:rsidRPr="00A37394">
        <w:rPr>
          <w:rFonts w:cstheme="minorHAnsi"/>
          <w:szCs w:val="24"/>
        </w:rPr>
        <w:t>Scott Tidwell</w:t>
      </w:r>
    </w:p>
    <w:p w14:paraId="360C78D2" w14:textId="4286D0B5" w:rsidR="00834054" w:rsidRPr="00A37394" w:rsidRDefault="00A37394" w:rsidP="00834054">
      <w:pPr>
        <w:rPr>
          <w:rFonts w:cstheme="minorHAnsi"/>
          <w:szCs w:val="24"/>
        </w:rPr>
      </w:pPr>
      <w:r w:rsidRPr="00A37394">
        <w:rPr>
          <w:rFonts w:cstheme="minorHAnsi"/>
          <w:szCs w:val="24"/>
        </w:rPr>
        <w:t>Account Manager</w:t>
      </w:r>
    </w:p>
    <w:p w14:paraId="1783E02A" w14:textId="18AAED1F" w:rsidR="00834054" w:rsidRPr="00A37394" w:rsidRDefault="00A37394" w:rsidP="00834054">
      <w:pPr>
        <w:rPr>
          <w:rFonts w:cstheme="minorHAnsi"/>
          <w:szCs w:val="24"/>
        </w:rPr>
      </w:pPr>
      <w:r w:rsidRPr="00A37394">
        <w:rPr>
          <w:rFonts w:cstheme="minorHAnsi"/>
          <w:szCs w:val="24"/>
        </w:rPr>
        <w:t>(865) 740-2449</w:t>
      </w:r>
    </w:p>
    <w:p w14:paraId="393B76DC" w14:textId="635C5345" w:rsidR="00834054" w:rsidRPr="00A37394" w:rsidRDefault="00A37394" w:rsidP="00834054">
      <w:pPr>
        <w:rPr>
          <w:rFonts w:cstheme="minorHAnsi"/>
          <w:szCs w:val="24"/>
        </w:rPr>
      </w:pPr>
      <w:hyperlink r:id="rId9" w:history="1">
        <w:r w:rsidRPr="00A37394">
          <w:rPr>
            <w:rStyle w:val="Hyperlink"/>
            <w:rFonts w:cstheme="minorHAnsi"/>
            <w:szCs w:val="24"/>
          </w:rPr>
          <w:t>stidwell@motorolasolutions.com</w:t>
        </w:r>
      </w:hyperlink>
    </w:p>
    <w:p w14:paraId="4FE6E0B2" w14:textId="77777777" w:rsidR="00A37394" w:rsidRPr="006B0660" w:rsidRDefault="00A37394" w:rsidP="00834054">
      <w:pPr>
        <w:rPr>
          <w:rFonts w:cstheme="minorHAnsi"/>
          <w:szCs w:val="24"/>
          <w:highlight w:val="yellow"/>
        </w:rPr>
      </w:pPr>
    </w:p>
    <w:p w14:paraId="6149D690" w14:textId="117CD6D5" w:rsidR="00834054" w:rsidRDefault="006B0660" w:rsidP="00834054">
      <w:pPr>
        <w:pStyle w:val="Heading2"/>
      </w:pPr>
      <w:r>
        <w:t>Usage Instructions:</w:t>
      </w:r>
    </w:p>
    <w:p w14:paraId="4FB6DF36" w14:textId="77777777" w:rsidR="00A37394" w:rsidRPr="00A37394" w:rsidRDefault="00A37394" w:rsidP="00A37394">
      <w:pPr>
        <w:rPr>
          <w:rFonts w:cstheme="minorHAnsi"/>
          <w:sz w:val="18"/>
          <w:szCs w:val="20"/>
        </w:rPr>
      </w:pPr>
      <w:r w:rsidRPr="00A37394">
        <w:rPr>
          <w:rFonts w:cstheme="minorHAnsi"/>
          <w:b/>
          <w:szCs w:val="20"/>
        </w:rPr>
        <w:t xml:space="preserve">Agency Ordering Instructions: </w:t>
      </w:r>
    </w:p>
    <w:p w14:paraId="359DF3EF" w14:textId="77777777" w:rsidR="00A37394" w:rsidRPr="00A37394" w:rsidRDefault="00A37394" w:rsidP="00A37394">
      <w:pPr>
        <w:rPr>
          <w:sz w:val="18"/>
        </w:rPr>
      </w:pPr>
      <w:r w:rsidRPr="00A37394">
        <w:t xml:space="preserve">The ALPR contract is based on discounts from the manufacturer catalog negotiated during the RFP solicitation. The catalog can be found in the contract documents folder. Once you have selected the items you’re interested in purchasing, contact the supplier directly for orders and questions regarding products. </w:t>
      </w:r>
    </w:p>
    <w:p w14:paraId="07A3DF16" w14:textId="77777777" w:rsidR="00A37394" w:rsidRDefault="00A37394" w:rsidP="00A37394">
      <w:pPr>
        <w:ind w:right="1502"/>
      </w:pPr>
      <w:r>
        <w:rPr>
          <w:rFonts w:ascii="Arial" w:eastAsia="Arial" w:hAnsi="Arial" w:cs="Arial"/>
          <w:sz w:val="20"/>
        </w:rPr>
        <w:t xml:space="preserve"> </w:t>
      </w:r>
    </w:p>
    <w:p w14:paraId="3AF86563" w14:textId="77777777" w:rsidR="00A37394" w:rsidRPr="00A37394" w:rsidRDefault="00A37394" w:rsidP="00A37394">
      <w:pPr>
        <w:rPr>
          <w:b/>
          <w:bCs/>
          <w:sz w:val="18"/>
        </w:rPr>
      </w:pPr>
      <w:r w:rsidRPr="00A37394">
        <w:rPr>
          <w:b/>
          <w:bCs/>
        </w:rPr>
        <w:t xml:space="preserve">Local Government Entity Instructions: </w:t>
      </w:r>
    </w:p>
    <w:p w14:paraId="1B118D68" w14:textId="6CBA69D8" w:rsidR="00A37394" w:rsidRPr="00A37394" w:rsidRDefault="00A37394" w:rsidP="00A37394">
      <w:pPr>
        <w:rPr>
          <w:sz w:val="18"/>
        </w:rPr>
      </w:pPr>
      <w:r w:rsidRPr="00A37394">
        <w:t xml:space="preserve"> Local Governments and other eligible entities are encouraged to use this contract. Local entities should contact Scott Tidwell with Motorola Solutions, Inc. with respect to how they would like to conduct business transactions. His contact information can be found on the first page above. </w:t>
      </w:r>
    </w:p>
    <w:p w14:paraId="0B6A91FF" w14:textId="77777777" w:rsidR="00A37394" w:rsidRPr="00A37394" w:rsidRDefault="00A37394" w:rsidP="00A37394">
      <w:pPr>
        <w:rPr>
          <w:sz w:val="18"/>
        </w:rPr>
      </w:pPr>
      <w:r w:rsidRPr="00A37394">
        <w:t xml:space="preserve">Note: The State requires Motorola Solutions, Inc. to report all sales to Local Government entities making use of the State contract. </w:t>
      </w:r>
    </w:p>
    <w:p w14:paraId="126F947E" w14:textId="77777777" w:rsidR="00A37394" w:rsidRPr="00A37394" w:rsidRDefault="00A37394" w:rsidP="00A37394">
      <w:pPr>
        <w:rPr>
          <w:sz w:val="18"/>
        </w:rPr>
      </w:pPr>
      <w:r w:rsidRPr="00A37394">
        <w:rPr>
          <w:rFonts w:eastAsia="Arial"/>
          <w:sz w:val="20"/>
        </w:rPr>
        <w:lastRenderedPageBreak/>
        <w:t xml:space="preserve"> </w:t>
      </w:r>
    </w:p>
    <w:p w14:paraId="5DA069BB" w14:textId="77777777" w:rsidR="00A37394" w:rsidRDefault="00A37394" w:rsidP="00A37394">
      <w:r w:rsidRPr="00A37394">
        <w:t xml:space="preserve">The Contractor shall make this Contract available to the following entities, who are authorized to and who may purchase </w:t>
      </w:r>
      <w:proofErr w:type="gramStart"/>
      <w:r w:rsidRPr="00A37394">
        <w:t>off of</w:t>
      </w:r>
      <w:proofErr w:type="gramEnd"/>
      <w:r w:rsidRPr="00A37394">
        <w:t xml:space="preserve"> this Statewide Contract ("Authorized Users"): </w:t>
      </w:r>
    </w:p>
    <w:p w14:paraId="4567AB8B" w14:textId="77777777" w:rsidR="00A37394" w:rsidRPr="00DD5695" w:rsidRDefault="00A37394" w:rsidP="00A37394">
      <w:pPr>
        <w:widowControl/>
        <w:numPr>
          <w:ilvl w:val="0"/>
          <w:numId w:val="1"/>
        </w:numPr>
        <w:autoSpaceDE/>
        <w:autoSpaceDN/>
        <w:spacing w:after="50" w:line="216" w:lineRule="auto"/>
        <w:ind w:right="306" w:hanging="366"/>
        <w:jc w:val="both"/>
        <w:rPr>
          <w:rFonts w:ascii="Calibri" w:hAnsi="Calibri" w:cs="Calibri"/>
          <w:szCs w:val="24"/>
        </w:rPr>
      </w:pPr>
      <w:r w:rsidRPr="00DD5695">
        <w:rPr>
          <w:rFonts w:ascii="Calibri" w:hAnsi="Calibri" w:cs="Calibri"/>
          <w:szCs w:val="24"/>
        </w:rPr>
        <w:t>all Tennessee State governmental entities (this includes the legislative branch; judicial branch; and commissions and boards of the State outside of the executive branch of government</w:t>
      </w:r>
      <w:proofErr w:type="gramStart"/>
      <w:r w:rsidRPr="00DD5695">
        <w:rPr>
          <w:rFonts w:ascii="Calibri" w:hAnsi="Calibri" w:cs="Calibri"/>
          <w:szCs w:val="24"/>
        </w:rPr>
        <w:t>);</w:t>
      </w:r>
      <w:proofErr w:type="gramEnd"/>
      <w:r w:rsidRPr="00DD5695">
        <w:rPr>
          <w:rFonts w:ascii="Calibri" w:hAnsi="Calibri" w:cs="Calibri"/>
          <w:szCs w:val="24"/>
        </w:rPr>
        <w:t xml:space="preserve"> </w:t>
      </w:r>
    </w:p>
    <w:p w14:paraId="352CD428" w14:textId="77777777" w:rsidR="00A37394" w:rsidRPr="00DD5695" w:rsidRDefault="00A37394" w:rsidP="00A37394">
      <w:pPr>
        <w:widowControl/>
        <w:numPr>
          <w:ilvl w:val="0"/>
          <w:numId w:val="1"/>
        </w:numPr>
        <w:autoSpaceDE/>
        <w:autoSpaceDN/>
        <w:spacing w:line="269" w:lineRule="auto"/>
        <w:ind w:right="306" w:hanging="366"/>
        <w:jc w:val="both"/>
        <w:rPr>
          <w:rFonts w:ascii="Calibri" w:hAnsi="Calibri" w:cs="Calibri"/>
          <w:szCs w:val="24"/>
        </w:rPr>
      </w:pPr>
      <w:r w:rsidRPr="00DD5695">
        <w:rPr>
          <w:rFonts w:ascii="Calibri" w:hAnsi="Calibri" w:cs="Calibri"/>
          <w:szCs w:val="24"/>
        </w:rPr>
        <w:t xml:space="preserve">Tennessee local governmental agencies. </w:t>
      </w:r>
    </w:p>
    <w:p w14:paraId="13D3C226" w14:textId="77777777" w:rsidR="00A37394" w:rsidRPr="00DD5695" w:rsidRDefault="00A37394" w:rsidP="00A37394">
      <w:pPr>
        <w:widowControl/>
        <w:numPr>
          <w:ilvl w:val="0"/>
          <w:numId w:val="1"/>
        </w:numPr>
        <w:autoSpaceDE/>
        <w:autoSpaceDN/>
        <w:spacing w:after="37" w:line="269" w:lineRule="auto"/>
        <w:ind w:right="306" w:hanging="366"/>
        <w:jc w:val="both"/>
        <w:rPr>
          <w:rFonts w:ascii="Calibri" w:hAnsi="Calibri" w:cs="Calibri"/>
          <w:szCs w:val="24"/>
        </w:rPr>
      </w:pPr>
      <w:r w:rsidRPr="00DD5695">
        <w:rPr>
          <w:rFonts w:ascii="Calibri" w:hAnsi="Calibri" w:cs="Calibri"/>
          <w:szCs w:val="24"/>
        </w:rPr>
        <w:t xml:space="preserve">the board of trustees of the University of Tennessee system, the Tennessee board of regent’s system, or the State university boards. </w:t>
      </w:r>
    </w:p>
    <w:p w14:paraId="3DCBE773" w14:textId="77777777" w:rsidR="00A37394" w:rsidRPr="00DD5695" w:rsidRDefault="00A37394" w:rsidP="00A37394">
      <w:pPr>
        <w:widowControl/>
        <w:numPr>
          <w:ilvl w:val="0"/>
          <w:numId w:val="1"/>
        </w:numPr>
        <w:autoSpaceDE/>
        <w:autoSpaceDN/>
        <w:spacing w:line="269" w:lineRule="auto"/>
        <w:ind w:right="306" w:hanging="366"/>
        <w:jc w:val="both"/>
        <w:rPr>
          <w:rFonts w:ascii="Calibri" w:hAnsi="Calibri" w:cs="Calibri"/>
          <w:szCs w:val="24"/>
        </w:rPr>
      </w:pPr>
      <w:r w:rsidRPr="00DD5695">
        <w:rPr>
          <w:rFonts w:ascii="Calibri" w:hAnsi="Calibri" w:cs="Calibri"/>
          <w:szCs w:val="24"/>
        </w:rPr>
        <w:t xml:space="preserve">any private nonprofit institution of higher education chartered in Tennessee; and, </w:t>
      </w:r>
    </w:p>
    <w:p w14:paraId="527AF0BB" w14:textId="77777777" w:rsidR="00A37394" w:rsidRPr="00DD5695" w:rsidRDefault="00A37394" w:rsidP="00A37394">
      <w:pPr>
        <w:widowControl/>
        <w:numPr>
          <w:ilvl w:val="0"/>
          <w:numId w:val="1"/>
        </w:numPr>
        <w:autoSpaceDE/>
        <w:autoSpaceDN/>
        <w:spacing w:after="81" w:line="269" w:lineRule="auto"/>
        <w:ind w:right="306" w:hanging="366"/>
        <w:jc w:val="both"/>
        <w:rPr>
          <w:rFonts w:ascii="Calibri" w:hAnsi="Calibri" w:cs="Calibri"/>
          <w:szCs w:val="24"/>
        </w:rPr>
      </w:pPr>
      <w:r w:rsidRPr="00DD5695">
        <w:rPr>
          <w:rFonts w:ascii="Calibri" w:hAnsi="Calibri" w:cs="Calibri"/>
          <w:szCs w:val="24"/>
        </w:rPr>
        <w:t xml:space="preserve">any corporation which is exempted from taxation under 26 U.S.C. Section 501(c)(3), as amended, and which contracts with the Department of Mental Health and Substance Abuse Services or the Department of Intellectual and Developmental Disabilities to provide services to the public (Tenn. Code Ann. § 33-2-1001). </w:t>
      </w:r>
    </w:p>
    <w:p w14:paraId="13EB4FF8" w14:textId="77777777" w:rsidR="00A37394" w:rsidRPr="00A37394" w:rsidRDefault="00A37394" w:rsidP="00A37394">
      <w:pPr>
        <w:rPr>
          <w:sz w:val="18"/>
        </w:rPr>
      </w:pPr>
    </w:p>
    <w:p w14:paraId="2BB2D8CB" w14:textId="32BA9524" w:rsidR="002B3F02" w:rsidRPr="002B3F02" w:rsidRDefault="002B3F02" w:rsidP="00834054"/>
    <w:sectPr w:rsidR="002B3F02" w:rsidRPr="002B3F02" w:rsidSect="00834054">
      <w:headerReference w:type="default" r:id="rId10"/>
      <w:footerReference w:type="default" r:id="rId11"/>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01DF"/>
    <w:multiLevelType w:val="hybridMultilevel"/>
    <w:tmpl w:val="117C3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567A5"/>
    <w:multiLevelType w:val="hybridMultilevel"/>
    <w:tmpl w:val="5630CC7A"/>
    <w:lvl w:ilvl="0" w:tplc="128E1518">
      <w:start w:val="1"/>
      <w:numFmt w:val="lowerLetter"/>
      <w:lvlText w:val="%1)"/>
      <w:lvlJc w:val="left"/>
      <w:pPr>
        <w:ind w:left="12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0E66BCC">
      <w:start w:val="1"/>
      <w:numFmt w:val="lowerLetter"/>
      <w:lvlText w:val="%2"/>
      <w:lvlJc w:val="left"/>
      <w:pPr>
        <w:ind w:left="20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25A327A">
      <w:start w:val="1"/>
      <w:numFmt w:val="lowerRoman"/>
      <w:lvlText w:val="%3"/>
      <w:lvlJc w:val="left"/>
      <w:pPr>
        <w:ind w:left="27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5186314">
      <w:start w:val="1"/>
      <w:numFmt w:val="decimal"/>
      <w:lvlText w:val="%4"/>
      <w:lvlJc w:val="left"/>
      <w:pPr>
        <w:ind w:left="34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01E62E6">
      <w:start w:val="1"/>
      <w:numFmt w:val="lowerLetter"/>
      <w:lvlText w:val="%5"/>
      <w:lvlJc w:val="left"/>
      <w:pPr>
        <w:ind w:left="41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D6C569A">
      <w:start w:val="1"/>
      <w:numFmt w:val="lowerRoman"/>
      <w:lvlText w:val="%6"/>
      <w:lvlJc w:val="left"/>
      <w:pPr>
        <w:ind w:left="48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7F2962E">
      <w:start w:val="1"/>
      <w:numFmt w:val="decimal"/>
      <w:lvlText w:val="%7"/>
      <w:lvlJc w:val="left"/>
      <w:pPr>
        <w:ind w:left="56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8586596">
      <w:start w:val="1"/>
      <w:numFmt w:val="lowerLetter"/>
      <w:lvlText w:val="%8"/>
      <w:lvlJc w:val="left"/>
      <w:pPr>
        <w:ind w:left="63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9840DDA">
      <w:start w:val="1"/>
      <w:numFmt w:val="lowerRoman"/>
      <w:lvlText w:val="%9"/>
      <w:lvlJc w:val="left"/>
      <w:pPr>
        <w:ind w:left="70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98F0B33"/>
    <w:multiLevelType w:val="hybridMultilevel"/>
    <w:tmpl w:val="BEE25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739725">
    <w:abstractNumId w:val="1"/>
  </w:num>
  <w:num w:numId="2" w16cid:durableId="428699026">
    <w:abstractNumId w:val="0"/>
  </w:num>
  <w:num w:numId="3" w16cid:durableId="1150295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104B86"/>
    <w:rsid w:val="00121EBC"/>
    <w:rsid w:val="0027416F"/>
    <w:rsid w:val="002B3F02"/>
    <w:rsid w:val="002D720E"/>
    <w:rsid w:val="0032112E"/>
    <w:rsid w:val="003308F3"/>
    <w:rsid w:val="00433409"/>
    <w:rsid w:val="004B29A2"/>
    <w:rsid w:val="00581AF8"/>
    <w:rsid w:val="005D7DCD"/>
    <w:rsid w:val="00631839"/>
    <w:rsid w:val="006B0660"/>
    <w:rsid w:val="006E216D"/>
    <w:rsid w:val="0074213E"/>
    <w:rsid w:val="008007A9"/>
    <w:rsid w:val="00834054"/>
    <w:rsid w:val="00884DC4"/>
    <w:rsid w:val="009806C4"/>
    <w:rsid w:val="009B21C0"/>
    <w:rsid w:val="009B4819"/>
    <w:rsid w:val="009C0C37"/>
    <w:rsid w:val="00A37394"/>
    <w:rsid w:val="00B144AB"/>
    <w:rsid w:val="00B66136"/>
    <w:rsid w:val="00D23329"/>
    <w:rsid w:val="00DE7308"/>
    <w:rsid w:val="00E419F2"/>
    <w:rsid w:val="00EE3B0B"/>
    <w:rsid w:val="00EF4644"/>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a1000p\Downloads\Email@t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idwell@motorolasolution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2264</Characters>
  <Application>Microsoft Office Word</Application>
  <DocSecurity>0</DocSecurity>
  <Lines>64</Lines>
  <Paragraphs>48</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Celeste Goodman</cp:lastModifiedBy>
  <cp:revision>2</cp:revision>
  <dcterms:created xsi:type="dcterms:W3CDTF">2026-03-25T20:43:00Z</dcterms:created>
  <dcterms:modified xsi:type="dcterms:W3CDTF">2026-03-25T20:43:00Z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21f3ef92-5844-4078-80f2-a5c20639bab9</vt:lpwstr>
  </property>
</Properties>
</file>