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6D1FC" w14:textId="531F16F5" w:rsidR="00DE7308" w:rsidRDefault="00834054" w:rsidP="00834054">
      <w:pPr>
        <w:pStyle w:val="Heading1"/>
        <w:jc w:val="center"/>
      </w:pPr>
      <w:r>
        <w:t xml:space="preserve">SWC # </w:t>
      </w:r>
      <w:r w:rsidR="004C0890">
        <w:t>209 Vehicles RFI 13691</w:t>
      </w:r>
    </w:p>
    <w:p w14:paraId="2171EC62" w14:textId="158A61C1" w:rsidR="00834054" w:rsidRDefault="00834054" w:rsidP="00834054">
      <w:pPr>
        <w:pStyle w:val="Heading2"/>
      </w:pPr>
      <w:r w:rsidRPr="00404943">
        <w:t>Summary Information:</w:t>
      </w:r>
    </w:p>
    <w:p w14:paraId="77490997" w14:textId="46D69AFF" w:rsidR="00834054" w:rsidRPr="009A6A7F" w:rsidRDefault="00834054" w:rsidP="009A6A7F">
      <w:pPr>
        <w:spacing w:after="240"/>
        <w:rPr>
          <w:rFonts w:cstheme="minorHAnsi"/>
          <w:szCs w:val="24"/>
        </w:rPr>
      </w:pPr>
      <w:r w:rsidRPr="004C0890">
        <w:rPr>
          <w:rFonts w:cstheme="minorHAnsi"/>
          <w:szCs w:val="24"/>
        </w:rPr>
        <w:t xml:space="preserve">SWC </w:t>
      </w:r>
      <w:r w:rsidR="004C0890" w:rsidRPr="004C0890">
        <w:rPr>
          <w:rFonts w:cstheme="minorHAnsi"/>
          <w:szCs w:val="24"/>
        </w:rPr>
        <w:t>209</w:t>
      </w:r>
      <w:r w:rsidR="001D1FE7" w:rsidRPr="004C0890">
        <w:rPr>
          <w:rFonts w:cstheme="minorHAnsi"/>
          <w:szCs w:val="24"/>
        </w:rPr>
        <w:t xml:space="preserve"> is for t</w:t>
      </w:r>
      <w:r w:rsidR="001D1FE7">
        <w:rPr>
          <w:rFonts w:cstheme="minorHAnsi"/>
          <w:szCs w:val="24"/>
        </w:rPr>
        <w:t>he provision o</w:t>
      </w:r>
      <w:r w:rsidR="004C0890">
        <w:rPr>
          <w:rFonts w:cstheme="minorHAnsi"/>
          <w:szCs w:val="24"/>
        </w:rPr>
        <w:t>f Statewide Vehicle Purchases.</w:t>
      </w:r>
    </w:p>
    <w:p w14:paraId="4801CED4" w14:textId="00ABD702" w:rsidR="00834054" w:rsidRPr="00E663AB" w:rsidRDefault="004C0890" w:rsidP="000E3E30">
      <w:pPr>
        <w:pStyle w:val="Heading2"/>
      </w:pPr>
      <w:r w:rsidRPr="004C0890">
        <w:t>1.1 Purpose</w:t>
      </w:r>
    </w:p>
    <w:p w14:paraId="6B4BD611" w14:textId="77777777" w:rsidR="004C0890" w:rsidRPr="004C0890" w:rsidRDefault="004C0890" w:rsidP="002E4DAA">
      <w:pPr>
        <w:spacing w:after="240"/>
        <w:rPr>
          <w:rFonts w:cstheme="minorHAnsi"/>
          <w:szCs w:val="24"/>
        </w:rPr>
      </w:pPr>
      <w:r w:rsidRPr="004C0890">
        <w:rPr>
          <w:rFonts w:cstheme="minorHAnsi"/>
          <w:szCs w:val="24"/>
        </w:rPr>
        <w:t>The State of Tennessee (the “State”) is seeking to award one or more contracts (“Contract”) for fleet vehicles to vehicle dealers responding (“Contractors”) to this Invitation to Bid (“ITB”). Each Contract awarded pursuant to this ITB shall be for the benefit of all State agencies, local governmental units within the geographic limits of the State of Tennessee, any private nonprofit institution of higher education chartered in Tennessee, and any corporation that is exempted from taxation under 26 U.S.C. Section 501(c) (3) as amended and which contracts with the Department of Mental Health and Substance Abuse Service to provide services to the public (Tenn. Code Ann. § 33-2-1001) (each of which is, individually, an “Authorized User” as the context requires). State agency Authorized Users will be required to use the Contract awarded pursuant to this ITB while this Contract will be voluntary for other Authorized Users. Contractors awarded a Contract pursuant to this ITB shall furnish the specified vehicles to all Authorized Users at the same price and under the same terms and conditions.</w:t>
      </w:r>
    </w:p>
    <w:p w14:paraId="471F6C4D" w14:textId="5859F96F" w:rsidR="001D1FE7" w:rsidRPr="009A6A7F" w:rsidRDefault="004C0890" w:rsidP="002E4DAA">
      <w:pPr>
        <w:spacing w:after="240"/>
        <w:rPr>
          <w:rFonts w:cstheme="minorHAnsi"/>
          <w:szCs w:val="24"/>
        </w:rPr>
      </w:pPr>
      <w:r w:rsidRPr="004C0890">
        <w:rPr>
          <w:rFonts w:cstheme="minorHAnsi"/>
          <w:szCs w:val="24"/>
        </w:rPr>
        <w:t>The State invites all dealerships, in association with their manufacturer, to extend their most favorable fleet pricing to the State and any other Authorized User. The State will only consider for Contract award those bids from Contractors with five (5) or more years’ experience in fleet purchases that has been verified by the manufacturers. Contractors must have the ability to perform service and maintenance on every vehicle for each group for which they are responding.  The State will award up to four separate contracts to the lowest responsive and responsible contractors per manufacturer to this ITB.</w:t>
      </w:r>
    </w:p>
    <w:p w14:paraId="1B8AAD4D" w14:textId="1F2C6F67" w:rsidR="001D1FE7" w:rsidRPr="00E663AB" w:rsidRDefault="004C0890" w:rsidP="000E3E30">
      <w:pPr>
        <w:pStyle w:val="Heading2"/>
      </w:pPr>
      <w:r w:rsidRPr="004C0890">
        <w:t>1.2</w:t>
      </w:r>
      <w:r>
        <w:t xml:space="preserve"> </w:t>
      </w:r>
      <w:r w:rsidRPr="004C0890">
        <w:t xml:space="preserve"> Key Outcomes</w:t>
      </w:r>
    </w:p>
    <w:p w14:paraId="26D678BD" w14:textId="77777777" w:rsidR="004E4F0E" w:rsidRPr="004E4F0E" w:rsidRDefault="004E4F0E" w:rsidP="004E4F0E">
      <w:pPr>
        <w:rPr>
          <w:rFonts w:cstheme="minorHAnsi"/>
          <w:szCs w:val="24"/>
        </w:rPr>
      </w:pPr>
      <w:r w:rsidRPr="004E4F0E">
        <w:rPr>
          <w:rFonts w:cstheme="minorHAnsi"/>
          <w:szCs w:val="24"/>
        </w:rPr>
        <w:t>By awarding one or more Contracts pursuant to this ITB, the State seeks to accomplish the following:</w:t>
      </w:r>
    </w:p>
    <w:p w14:paraId="6D1E7EC8" w14:textId="4A32160F" w:rsidR="004E4F0E" w:rsidRPr="004E4F0E" w:rsidRDefault="004E4F0E" w:rsidP="004E4F0E">
      <w:pPr>
        <w:rPr>
          <w:rFonts w:cstheme="minorHAnsi"/>
          <w:szCs w:val="24"/>
        </w:rPr>
      </w:pPr>
      <w:r w:rsidRPr="004E4F0E">
        <w:rPr>
          <w:rFonts w:cstheme="minorHAnsi"/>
          <w:szCs w:val="24"/>
        </w:rPr>
        <w:t xml:space="preserve">1.To establish a comprehensive, </w:t>
      </w:r>
      <w:proofErr w:type="gramStart"/>
      <w:r w:rsidRPr="004E4F0E">
        <w:rPr>
          <w:rFonts w:cstheme="minorHAnsi"/>
          <w:szCs w:val="24"/>
        </w:rPr>
        <w:t>cost effective</w:t>
      </w:r>
      <w:proofErr w:type="gramEnd"/>
      <w:r w:rsidRPr="004E4F0E">
        <w:rPr>
          <w:rFonts w:cstheme="minorHAnsi"/>
          <w:szCs w:val="24"/>
        </w:rPr>
        <w:t xml:space="preserve"> program for the acquisition of fleet </w:t>
      </w:r>
      <w:proofErr w:type="gramStart"/>
      <w:r w:rsidRPr="004E4F0E">
        <w:rPr>
          <w:rFonts w:cstheme="minorHAnsi"/>
          <w:szCs w:val="24"/>
        </w:rPr>
        <w:t>vehicles;</w:t>
      </w:r>
      <w:proofErr w:type="gramEnd"/>
    </w:p>
    <w:p w14:paraId="45F2B6E1" w14:textId="7E851723" w:rsidR="004E4F0E" w:rsidRPr="004E4F0E" w:rsidRDefault="004E4F0E" w:rsidP="004E4F0E">
      <w:pPr>
        <w:rPr>
          <w:rFonts w:cstheme="minorHAnsi"/>
          <w:szCs w:val="24"/>
        </w:rPr>
      </w:pPr>
      <w:r w:rsidRPr="004E4F0E">
        <w:rPr>
          <w:rFonts w:cstheme="minorHAnsi"/>
          <w:szCs w:val="24"/>
        </w:rPr>
        <w:t xml:space="preserve">2.To establish a broad network of dealerships, representing a broad spectrum of vehicle manufacturers, able to meet State needs for fleet vehicles, </w:t>
      </w:r>
      <w:proofErr w:type="gramStart"/>
      <w:r w:rsidRPr="004E4F0E">
        <w:rPr>
          <w:rFonts w:cstheme="minorHAnsi"/>
          <w:szCs w:val="24"/>
        </w:rPr>
        <w:t>and;</w:t>
      </w:r>
      <w:proofErr w:type="gramEnd"/>
    </w:p>
    <w:p w14:paraId="235B0B82" w14:textId="6F59505E" w:rsidR="001D1FE7" w:rsidRPr="002E4DAA" w:rsidRDefault="004E4F0E" w:rsidP="002E4DAA">
      <w:pPr>
        <w:spacing w:after="240"/>
        <w:rPr>
          <w:rFonts w:cstheme="minorHAnsi"/>
          <w:szCs w:val="24"/>
        </w:rPr>
      </w:pPr>
      <w:r w:rsidRPr="004E4F0E">
        <w:rPr>
          <w:rFonts w:cstheme="minorHAnsi"/>
          <w:szCs w:val="24"/>
        </w:rPr>
        <w:t>3.To simplify pricing and Contract terms to drive cost savings for fleet vehicle acquisition.</w:t>
      </w:r>
    </w:p>
    <w:p w14:paraId="76D53F28" w14:textId="2DB6692A" w:rsidR="001D1FE7" w:rsidRPr="00E663AB" w:rsidRDefault="000E3E30" w:rsidP="000E3E30">
      <w:pPr>
        <w:pStyle w:val="Heading2"/>
      </w:pPr>
      <w:r w:rsidRPr="000E3E30">
        <w:t>1. Scope</w:t>
      </w:r>
    </w:p>
    <w:p w14:paraId="6B07B0BB" w14:textId="77777777" w:rsidR="000E3E30" w:rsidRPr="000E3E30" w:rsidRDefault="000E3E30" w:rsidP="002E4DAA">
      <w:pPr>
        <w:spacing w:after="240"/>
        <w:rPr>
          <w:rFonts w:cstheme="minorHAnsi"/>
          <w:szCs w:val="24"/>
        </w:rPr>
      </w:pPr>
      <w:r w:rsidRPr="000E3E30">
        <w:rPr>
          <w:rFonts w:cstheme="minorHAnsi"/>
          <w:szCs w:val="24"/>
        </w:rPr>
        <w:t>This ITB covers all 2026 manufacturer model year or current production vehicles including alternative fuel vehicles currently under production or that will be placed into production by manufacturers under each manufacturer’s fleet program.  All dealerships associated with these manufacturers are invited to respond to this ITB.</w:t>
      </w:r>
    </w:p>
    <w:p w14:paraId="6DE4E5ED" w14:textId="33865A05" w:rsidR="001D1FE7" w:rsidRPr="006B0660" w:rsidRDefault="000E3E30" w:rsidP="002E4DAA">
      <w:pPr>
        <w:spacing w:after="240"/>
        <w:rPr>
          <w:rFonts w:cstheme="minorHAnsi"/>
          <w:szCs w:val="24"/>
        </w:rPr>
      </w:pPr>
      <w:r w:rsidRPr="000E3E30">
        <w:rPr>
          <w:rFonts w:cstheme="minorHAnsi"/>
          <w:szCs w:val="24"/>
        </w:rPr>
        <w:lastRenderedPageBreak/>
        <w:t xml:space="preserve">Vehicles covered by this ITB, and any resulting Contract, shall include compact, midsize, and </w:t>
      </w:r>
      <w:proofErr w:type="gramStart"/>
      <w:r w:rsidRPr="000E3E30">
        <w:rPr>
          <w:rFonts w:cstheme="minorHAnsi"/>
          <w:szCs w:val="24"/>
        </w:rPr>
        <w:t>full size</w:t>
      </w:r>
      <w:proofErr w:type="gramEnd"/>
      <w:r w:rsidRPr="000E3E30">
        <w:rPr>
          <w:rFonts w:cstheme="minorHAnsi"/>
          <w:szCs w:val="24"/>
        </w:rPr>
        <w:t xml:space="preserve"> sedans, police interceptor/pursuit and SSV vehicles, Class 1 through Class 5 trucks (light and medium-duty trucks), vans up to 1 ton, </w:t>
      </w:r>
      <w:proofErr w:type="gramStart"/>
      <w:r w:rsidRPr="000E3E30">
        <w:rPr>
          <w:rFonts w:cstheme="minorHAnsi"/>
          <w:szCs w:val="24"/>
        </w:rPr>
        <w:t>SUV’s</w:t>
      </w:r>
      <w:proofErr w:type="gramEnd"/>
      <w:r w:rsidRPr="000E3E30">
        <w:rPr>
          <w:rFonts w:cstheme="minorHAnsi"/>
          <w:szCs w:val="24"/>
        </w:rPr>
        <w:t xml:space="preserve">, and other models normally sold by each Contractor.  This ITB includes Hybrids, Electrics, Flex Fuel Vehicles (FFV), Diesels, Compressed Natural Gas vehicles (CNG) and other Alternative Fuel Vehicles (AFV). This ITB does not include buses or class 6,7, or 8 trucks. This ITB and any subsequent Contract awarded pursuant to this ITB are for vehicle purchases only. </w:t>
      </w:r>
      <w:proofErr w:type="gramStart"/>
      <w:r w:rsidRPr="000E3E30">
        <w:rPr>
          <w:rFonts w:cstheme="minorHAnsi"/>
          <w:szCs w:val="24"/>
        </w:rPr>
        <w:t>Leasing of</w:t>
      </w:r>
      <w:proofErr w:type="gramEnd"/>
      <w:r w:rsidRPr="000E3E30">
        <w:rPr>
          <w:rFonts w:cstheme="minorHAnsi"/>
          <w:szCs w:val="24"/>
        </w:rPr>
        <w:t xml:space="preserve"> vehicles is outside the scope of this ITB.</w:t>
      </w:r>
      <w:bookmarkStart w:id="0" w:name="_Hlk218756883"/>
    </w:p>
    <w:p w14:paraId="18E83FCE" w14:textId="712470BC" w:rsidR="001D1FE7" w:rsidRPr="00404943" w:rsidRDefault="002E4DAA" w:rsidP="001D1FE7">
      <w:pPr>
        <w:pStyle w:val="Heading2"/>
      </w:pPr>
      <w:r w:rsidRPr="002E4DAA">
        <w:t>1.4 Contract Award</w:t>
      </w:r>
    </w:p>
    <w:p w14:paraId="431E6E23" w14:textId="77777777" w:rsidR="002E4DAA" w:rsidRPr="002E4DAA" w:rsidRDefault="002E4DAA" w:rsidP="002E4DAA">
      <w:pPr>
        <w:pStyle w:val="BodyText"/>
        <w:kinsoku w:val="0"/>
        <w:overflowPunct w:val="0"/>
        <w:spacing w:before="56" w:line="258" w:lineRule="auto"/>
        <w:ind w:left="119" w:right="161"/>
        <w:rPr>
          <w:sz w:val="24"/>
          <w:szCs w:val="24"/>
        </w:rPr>
      </w:pPr>
      <w:r w:rsidRPr="002E4DAA">
        <w:rPr>
          <w:sz w:val="24"/>
          <w:szCs w:val="24"/>
        </w:rPr>
        <w:t>The State will award up to four separate contracts to the lowest responsive and responsible contractors per manufacturer to this ITB. (See Special Terms and Conditions, 2.1. Multiple Awards- Per Manufacturer).  No Luxury or Sport Vehicles or Features will be considered or permitted. Examples of vehicles that the State considers to be luxury or sport vehicles include:</w:t>
      </w:r>
    </w:p>
    <w:p w14:paraId="5CE3694F" w14:textId="0B6281C6" w:rsidR="002E4DAA" w:rsidRPr="002E4DAA" w:rsidRDefault="002E4DAA" w:rsidP="002E4DAA">
      <w:pPr>
        <w:pStyle w:val="BodyText"/>
        <w:kinsoku w:val="0"/>
        <w:overflowPunct w:val="0"/>
        <w:spacing w:before="56" w:line="258" w:lineRule="auto"/>
        <w:ind w:left="119" w:right="161"/>
        <w:rPr>
          <w:sz w:val="24"/>
          <w:szCs w:val="24"/>
        </w:rPr>
      </w:pPr>
      <w:r w:rsidRPr="002E4DAA">
        <w:rPr>
          <w:sz w:val="24"/>
          <w:szCs w:val="24"/>
        </w:rPr>
        <w:t xml:space="preserve"> 1.Acura, Alfa Romeo, Aston Martin, Audi, Bentley, BMW, Bugatti, Cadillac, Ferrari, Infiniti, Jaguar, Lamborghini, Land Rover, Lexus, Lincoln, Lotus, Maserati, Maybach, McLaren, Mercedes-Benz, Porsche, Rolls-Royce, Tesla and Volvo; and</w:t>
      </w:r>
    </w:p>
    <w:p w14:paraId="20E47B9C" w14:textId="1D07AD5A" w:rsidR="001D1FE7" w:rsidRPr="003E1E64" w:rsidRDefault="002E4DAA" w:rsidP="003E1E64">
      <w:pPr>
        <w:pStyle w:val="BodyText"/>
        <w:kinsoku w:val="0"/>
        <w:overflowPunct w:val="0"/>
        <w:spacing w:before="56" w:after="240" w:line="258" w:lineRule="auto"/>
        <w:ind w:left="119" w:right="161"/>
        <w:rPr>
          <w:sz w:val="24"/>
          <w:szCs w:val="24"/>
        </w:rPr>
      </w:pPr>
      <w:r w:rsidRPr="002E4DAA">
        <w:rPr>
          <w:sz w:val="24"/>
          <w:szCs w:val="24"/>
        </w:rPr>
        <w:t>2.Coupes, two-seaters, supercars, cabriolets, convertibles (soft top or hardtop), roadsters, grand-tourers, and signature or specialty editions.</w:t>
      </w:r>
      <w:bookmarkStart w:id="1" w:name="_Hlk218757438"/>
    </w:p>
    <w:bookmarkEnd w:id="0"/>
    <w:p w14:paraId="5DA5A0BF" w14:textId="5FAF36DC" w:rsidR="002E4DAA" w:rsidRPr="00E663AB" w:rsidRDefault="003E1E64" w:rsidP="003E1E64">
      <w:pPr>
        <w:pStyle w:val="Heading2"/>
      </w:pPr>
      <w:r>
        <w:t xml:space="preserve">1.5 </w:t>
      </w:r>
      <w:r w:rsidRPr="003E1E64">
        <w:t>Bidding on SWC209</w:t>
      </w:r>
    </w:p>
    <w:p w14:paraId="36149495" w14:textId="3614CB58" w:rsidR="002E4DAA" w:rsidRPr="00AC425F" w:rsidRDefault="003E1E64" w:rsidP="002E4DAA">
      <w:pPr>
        <w:spacing w:after="240"/>
        <w:rPr>
          <w:b/>
          <w:bCs/>
        </w:rPr>
      </w:pPr>
      <w:r w:rsidRPr="003E1E64">
        <w:rPr>
          <w:rFonts w:cstheme="minorHAnsi"/>
          <w:szCs w:val="24"/>
        </w:rPr>
        <w:t xml:space="preserve">There are two separate bid sheets which must be submitted for the bid to be valid. One sheet is the evaluation model by manufacturer which </w:t>
      </w:r>
      <w:proofErr w:type="gramStart"/>
      <w:r w:rsidRPr="003E1E64">
        <w:rPr>
          <w:rFonts w:cstheme="minorHAnsi"/>
          <w:szCs w:val="24"/>
        </w:rPr>
        <w:t>list</w:t>
      </w:r>
      <w:proofErr w:type="gramEnd"/>
      <w:r w:rsidRPr="003E1E64">
        <w:rPr>
          <w:rFonts w:cstheme="minorHAnsi"/>
          <w:szCs w:val="24"/>
        </w:rPr>
        <w:t xml:space="preserve"> the specific models the state will award the four manufacturer contracts based off the lowest overall price. The discount off draft/ MSRP pricing on the manufacturer’s evaluation sheet must also be the same or be better on the general bid sheet for that model line. The second is the general bid sheet which is a complete list of available fleet models from the same manufacturer which should only include the base model and the next model above that. All models must meet the specifications and must include the engine description, 2 or 4 wheel drive, trim level, etc.  On pickups and vans, the wheelbase, bed length, cab configuration, etc. should also be listed. </w:t>
      </w:r>
    </w:p>
    <w:bookmarkEnd w:id="1"/>
    <w:p w14:paraId="3AAB2CE3" w14:textId="07436CC8" w:rsidR="003E1E64" w:rsidRPr="00E663AB" w:rsidRDefault="003E1E64" w:rsidP="003E1E64">
      <w:pPr>
        <w:pStyle w:val="Heading2"/>
      </w:pPr>
      <w:r>
        <w:lastRenderedPageBreak/>
        <w:t xml:space="preserve">1.6 </w:t>
      </w:r>
      <w:r w:rsidRPr="003E1E64">
        <w:t xml:space="preserve">Current Environment </w:t>
      </w:r>
    </w:p>
    <w:p w14:paraId="6242B91A" w14:textId="451F3C8F" w:rsidR="003E1E64" w:rsidRDefault="003E1E64" w:rsidP="003E1E64">
      <w:pPr>
        <w:pStyle w:val="Heading3"/>
        <w:spacing w:after="240"/>
        <w:rPr>
          <w:sz w:val="28"/>
          <w:szCs w:val="28"/>
        </w:rPr>
      </w:pPr>
      <w:r w:rsidRPr="003E1E64">
        <w:rPr>
          <w:rFonts w:asciiTheme="minorHAnsi" w:eastAsia="Open Sans" w:hAnsiTheme="minorHAnsi" w:cstheme="minorHAnsi"/>
          <w:b w:val="0"/>
        </w:rPr>
        <w:t>The following are estimates for spend and numbers of vehicles purchased by State agency Authorized Users. These estimates are based on previous demand by State agency Authorized Users and should not be considered by Contractors as a commitment by the State to purchase any specific quantity of vehicles. All quantities are estimates only and the State shall not be obligated to purchase a minimum quantity of vehicles. Towards that end, the purchase of minimum quantities of vehicles by the State is specifically disclaimed.</w:t>
      </w:r>
      <w:r w:rsidRPr="003E1E64">
        <w:t xml:space="preserve"> </w:t>
      </w:r>
      <w:r>
        <w:tab/>
      </w:r>
      <w:r>
        <w:tab/>
      </w:r>
      <w:r>
        <w:tab/>
      </w:r>
      <w:r>
        <w:tab/>
      </w:r>
      <w:r w:rsidRPr="003E1E64">
        <w:rPr>
          <w:sz w:val="28"/>
          <w:szCs w:val="28"/>
        </w:rPr>
        <w:t xml:space="preserve">Estimated </w:t>
      </w:r>
      <w:r w:rsidRPr="003E1E64">
        <w:rPr>
          <w:spacing w:val="-1"/>
          <w:sz w:val="28"/>
          <w:szCs w:val="28"/>
        </w:rPr>
        <w:t>V</w:t>
      </w:r>
      <w:r w:rsidRPr="003E1E64">
        <w:rPr>
          <w:sz w:val="28"/>
          <w:szCs w:val="28"/>
        </w:rPr>
        <w:t>e</w:t>
      </w:r>
      <w:r w:rsidRPr="003E1E64">
        <w:rPr>
          <w:spacing w:val="-1"/>
          <w:sz w:val="28"/>
          <w:szCs w:val="28"/>
        </w:rPr>
        <w:t>hi</w:t>
      </w:r>
      <w:r w:rsidRPr="003E1E64">
        <w:rPr>
          <w:sz w:val="28"/>
          <w:szCs w:val="28"/>
        </w:rPr>
        <w:t>c</w:t>
      </w:r>
      <w:r w:rsidRPr="003E1E64">
        <w:rPr>
          <w:spacing w:val="-3"/>
          <w:sz w:val="28"/>
          <w:szCs w:val="28"/>
        </w:rPr>
        <w:t>l</w:t>
      </w:r>
      <w:r w:rsidRPr="003E1E64">
        <w:rPr>
          <w:sz w:val="28"/>
          <w:szCs w:val="28"/>
        </w:rPr>
        <w:t>e</w:t>
      </w:r>
      <w:r w:rsidRPr="003E1E64">
        <w:rPr>
          <w:spacing w:val="1"/>
          <w:sz w:val="28"/>
          <w:szCs w:val="28"/>
        </w:rPr>
        <w:t xml:space="preserve"> </w:t>
      </w:r>
      <w:r w:rsidRPr="003E1E64">
        <w:rPr>
          <w:sz w:val="28"/>
          <w:szCs w:val="28"/>
        </w:rPr>
        <w:t>Q</w:t>
      </w:r>
      <w:r w:rsidRPr="003E1E64">
        <w:rPr>
          <w:spacing w:val="-1"/>
          <w:sz w:val="28"/>
          <w:szCs w:val="28"/>
        </w:rPr>
        <w:t>uan</w:t>
      </w:r>
      <w:r w:rsidRPr="003E1E64">
        <w:rPr>
          <w:sz w:val="28"/>
          <w:szCs w:val="28"/>
        </w:rPr>
        <w:t>t</w:t>
      </w:r>
      <w:r w:rsidRPr="003E1E64">
        <w:rPr>
          <w:spacing w:val="-3"/>
          <w:sz w:val="28"/>
          <w:szCs w:val="28"/>
        </w:rPr>
        <w:t>i</w:t>
      </w:r>
      <w:r w:rsidRPr="003E1E64">
        <w:rPr>
          <w:sz w:val="28"/>
          <w:szCs w:val="28"/>
        </w:rPr>
        <w:t>t</w:t>
      </w:r>
      <w:r w:rsidRPr="003E1E64">
        <w:rPr>
          <w:spacing w:val="-1"/>
          <w:sz w:val="28"/>
          <w:szCs w:val="28"/>
        </w:rPr>
        <w:t>i</w:t>
      </w:r>
      <w:r w:rsidRPr="003E1E64">
        <w:rPr>
          <w:sz w:val="28"/>
          <w:szCs w:val="28"/>
        </w:rPr>
        <w:t>es</w:t>
      </w:r>
      <w:r w:rsidRPr="003E1E64">
        <w:rPr>
          <w:spacing w:val="-2"/>
          <w:sz w:val="28"/>
          <w:szCs w:val="28"/>
        </w:rPr>
        <w:t xml:space="preserve"> </w:t>
      </w:r>
      <w:r w:rsidRPr="003E1E64">
        <w:rPr>
          <w:spacing w:val="1"/>
          <w:sz w:val="28"/>
          <w:szCs w:val="28"/>
        </w:rPr>
        <w:t>P</w:t>
      </w:r>
      <w:r w:rsidRPr="003E1E64">
        <w:rPr>
          <w:spacing w:val="-1"/>
          <w:sz w:val="28"/>
          <w:szCs w:val="28"/>
        </w:rPr>
        <w:t>ur</w:t>
      </w:r>
      <w:r w:rsidRPr="003E1E64">
        <w:rPr>
          <w:sz w:val="28"/>
          <w:szCs w:val="28"/>
        </w:rPr>
        <w:t>c</w:t>
      </w:r>
      <w:r w:rsidRPr="003E1E64">
        <w:rPr>
          <w:spacing w:val="-1"/>
          <w:sz w:val="28"/>
          <w:szCs w:val="28"/>
        </w:rPr>
        <w:t>ha</w:t>
      </w:r>
      <w:r w:rsidRPr="003E1E64">
        <w:rPr>
          <w:sz w:val="28"/>
          <w:szCs w:val="28"/>
        </w:rPr>
        <w:t xml:space="preserve">ses </w:t>
      </w:r>
      <w:r w:rsidRPr="003E1E64">
        <w:rPr>
          <w:spacing w:val="-3"/>
          <w:sz w:val="28"/>
          <w:szCs w:val="28"/>
        </w:rPr>
        <w:t>f</w:t>
      </w:r>
      <w:r w:rsidRPr="003E1E64">
        <w:rPr>
          <w:spacing w:val="1"/>
          <w:sz w:val="28"/>
          <w:szCs w:val="28"/>
        </w:rPr>
        <w:t>o</w:t>
      </w:r>
      <w:r w:rsidRPr="003E1E64">
        <w:rPr>
          <w:sz w:val="28"/>
          <w:szCs w:val="28"/>
        </w:rPr>
        <w:t xml:space="preserve">r </w:t>
      </w:r>
      <w:r w:rsidRPr="003E1E64">
        <w:rPr>
          <w:spacing w:val="-1"/>
          <w:sz w:val="28"/>
          <w:szCs w:val="28"/>
        </w:rPr>
        <w:t>Fi</w:t>
      </w:r>
      <w:r w:rsidRPr="003E1E64">
        <w:rPr>
          <w:spacing w:val="-3"/>
          <w:sz w:val="28"/>
          <w:szCs w:val="28"/>
        </w:rPr>
        <w:t>s</w:t>
      </w:r>
      <w:r w:rsidRPr="003E1E64">
        <w:rPr>
          <w:sz w:val="28"/>
          <w:szCs w:val="28"/>
        </w:rPr>
        <w:t>c</w:t>
      </w:r>
      <w:r w:rsidRPr="003E1E64">
        <w:rPr>
          <w:spacing w:val="-1"/>
          <w:sz w:val="28"/>
          <w:szCs w:val="28"/>
        </w:rPr>
        <w:t>a</w:t>
      </w:r>
      <w:r w:rsidRPr="003E1E64">
        <w:rPr>
          <w:sz w:val="28"/>
          <w:szCs w:val="28"/>
        </w:rPr>
        <w:t xml:space="preserve">l </w:t>
      </w:r>
      <w:r w:rsidRPr="003E1E64">
        <w:rPr>
          <w:spacing w:val="-2"/>
          <w:sz w:val="28"/>
          <w:szCs w:val="28"/>
        </w:rPr>
        <w:t>Ye</w:t>
      </w:r>
      <w:r w:rsidRPr="003E1E64">
        <w:rPr>
          <w:spacing w:val="-1"/>
          <w:sz w:val="28"/>
          <w:szCs w:val="28"/>
        </w:rPr>
        <w:t>a</w:t>
      </w:r>
      <w:r w:rsidRPr="003E1E64">
        <w:rPr>
          <w:sz w:val="28"/>
          <w:szCs w:val="28"/>
        </w:rPr>
        <w:t>r 26</w:t>
      </w:r>
    </w:p>
    <w:tbl>
      <w:tblPr>
        <w:tblW w:w="9440" w:type="dxa"/>
        <w:tblInd w:w="108" w:type="dxa"/>
        <w:tblLook w:val="04A0" w:firstRow="1" w:lastRow="0" w:firstColumn="1" w:lastColumn="0" w:noHBand="0" w:noVBand="1"/>
      </w:tblPr>
      <w:tblGrid>
        <w:gridCol w:w="4050"/>
        <w:gridCol w:w="3990"/>
        <w:gridCol w:w="1400"/>
      </w:tblGrid>
      <w:tr w:rsidR="003E1E64" w:rsidRPr="00966A71" w14:paraId="189EB862" w14:textId="77777777" w:rsidTr="00112CA1">
        <w:trPr>
          <w:trHeight w:hRule="exact" w:val="300"/>
        </w:trPr>
        <w:tc>
          <w:tcPr>
            <w:tcW w:w="4050" w:type="dxa"/>
            <w:tcBorders>
              <w:top w:val="single" w:sz="4" w:space="0" w:color="auto"/>
              <w:left w:val="single" w:sz="4" w:space="0" w:color="auto"/>
              <w:bottom w:val="single" w:sz="4" w:space="0" w:color="auto"/>
              <w:right w:val="single" w:sz="4" w:space="0" w:color="auto"/>
            </w:tcBorders>
            <w:shd w:val="clear" w:color="auto" w:fill="F6D2D4" w:themeFill="accent1" w:themeFillTint="33"/>
            <w:noWrap/>
            <w:vAlign w:val="bottom"/>
            <w:hideMark/>
          </w:tcPr>
          <w:p w14:paraId="355B1CCC" w14:textId="77777777" w:rsidR="003E1E64" w:rsidRPr="00966A71" w:rsidRDefault="003E1E64" w:rsidP="00112CA1">
            <w:pPr>
              <w:widowControl/>
              <w:autoSpaceDE/>
              <w:autoSpaceDN/>
              <w:rPr>
                <w:rFonts w:cs="Calibri"/>
                <w:color w:val="000000"/>
                <w:sz w:val="22"/>
              </w:rPr>
            </w:pPr>
            <w:r>
              <w:rPr>
                <w:rFonts w:cs="Calibri"/>
                <w:color w:val="000000"/>
                <w:sz w:val="22"/>
              </w:rPr>
              <w:t>State Agency</w:t>
            </w:r>
          </w:p>
        </w:tc>
        <w:tc>
          <w:tcPr>
            <w:tcW w:w="3990" w:type="dxa"/>
            <w:tcBorders>
              <w:top w:val="single" w:sz="4" w:space="0" w:color="auto"/>
              <w:left w:val="nil"/>
              <w:bottom w:val="single" w:sz="4" w:space="0" w:color="auto"/>
              <w:right w:val="single" w:sz="4" w:space="0" w:color="auto"/>
            </w:tcBorders>
            <w:shd w:val="clear" w:color="000000" w:fill="DDEBF7"/>
            <w:noWrap/>
            <w:vAlign w:val="bottom"/>
            <w:hideMark/>
          </w:tcPr>
          <w:p w14:paraId="036C909C" w14:textId="77777777" w:rsidR="003E1E64" w:rsidRPr="00966A71" w:rsidRDefault="003E1E64" w:rsidP="00112CA1">
            <w:pPr>
              <w:widowControl/>
              <w:autoSpaceDE/>
              <w:autoSpaceDN/>
              <w:rPr>
                <w:rFonts w:cs="Calibri"/>
                <w:color w:val="000000"/>
                <w:sz w:val="22"/>
              </w:rPr>
            </w:pPr>
            <w:r w:rsidRPr="00966A71">
              <w:rPr>
                <w:rFonts w:cs="Calibri"/>
                <w:color w:val="000000"/>
                <w:sz w:val="22"/>
              </w:rPr>
              <w:t>DESCRIPTION</w:t>
            </w:r>
          </w:p>
        </w:tc>
        <w:tc>
          <w:tcPr>
            <w:tcW w:w="1400" w:type="dxa"/>
            <w:tcBorders>
              <w:top w:val="single" w:sz="4" w:space="0" w:color="auto"/>
              <w:left w:val="nil"/>
              <w:bottom w:val="single" w:sz="4" w:space="0" w:color="auto"/>
              <w:right w:val="single" w:sz="4" w:space="0" w:color="auto"/>
            </w:tcBorders>
            <w:shd w:val="clear" w:color="000000" w:fill="DDEBF7"/>
            <w:noWrap/>
            <w:vAlign w:val="bottom"/>
            <w:hideMark/>
          </w:tcPr>
          <w:p w14:paraId="76F4639F" w14:textId="77777777" w:rsidR="003E1E64" w:rsidRPr="00966A71" w:rsidRDefault="003E1E64" w:rsidP="00112CA1">
            <w:pPr>
              <w:widowControl/>
              <w:autoSpaceDE/>
              <w:autoSpaceDN/>
              <w:jc w:val="center"/>
              <w:rPr>
                <w:rFonts w:cs="Calibri"/>
                <w:color w:val="000000"/>
                <w:sz w:val="22"/>
              </w:rPr>
            </w:pPr>
            <w:r w:rsidRPr="00966A71">
              <w:rPr>
                <w:rFonts w:cs="Calibri"/>
                <w:sz w:val="22"/>
              </w:rPr>
              <w:t>Quantity</w:t>
            </w:r>
          </w:p>
        </w:tc>
      </w:tr>
      <w:tr w:rsidR="003E1E64" w:rsidRPr="00966A71" w14:paraId="377D100B" w14:textId="77777777" w:rsidTr="00112CA1">
        <w:trPr>
          <w:trHeight w:hRule="exact" w:val="300"/>
        </w:trPr>
        <w:tc>
          <w:tcPr>
            <w:tcW w:w="4050" w:type="dxa"/>
            <w:tcBorders>
              <w:top w:val="nil"/>
              <w:left w:val="single" w:sz="4" w:space="0" w:color="auto"/>
              <w:bottom w:val="single" w:sz="4" w:space="0" w:color="auto"/>
              <w:right w:val="single" w:sz="4" w:space="0" w:color="auto"/>
            </w:tcBorders>
            <w:noWrap/>
            <w:vAlign w:val="bottom"/>
            <w:hideMark/>
          </w:tcPr>
          <w:p w14:paraId="1C14578D" w14:textId="77777777" w:rsidR="003E1E64" w:rsidRPr="00966A71" w:rsidRDefault="003E1E64" w:rsidP="00112CA1">
            <w:pPr>
              <w:widowControl/>
              <w:autoSpaceDE/>
              <w:autoSpaceDN/>
              <w:rPr>
                <w:rFonts w:cs="Calibri"/>
                <w:color w:val="000000"/>
                <w:sz w:val="22"/>
              </w:rPr>
            </w:pPr>
            <w:r w:rsidRPr="00966A71">
              <w:rPr>
                <w:rFonts w:cs="Calibri"/>
                <w:spacing w:val="-1"/>
                <w:sz w:val="22"/>
              </w:rPr>
              <w:t>Tennessee Department of Transportation (TDOT)</w:t>
            </w:r>
          </w:p>
        </w:tc>
        <w:tc>
          <w:tcPr>
            <w:tcW w:w="3990" w:type="dxa"/>
            <w:tcBorders>
              <w:top w:val="nil"/>
              <w:left w:val="nil"/>
              <w:bottom w:val="single" w:sz="4" w:space="0" w:color="auto"/>
              <w:right w:val="single" w:sz="4" w:space="0" w:color="auto"/>
            </w:tcBorders>
            <w:noWrap/>
            <w:vAlign w:val="bottom"/>
            <w:hideMark/>
          </w:tcPr>
          <w:p w14:paraId="536F8ECB" w14:textId="77777777" w:rsidR="003E1E64" w:rsidRPr="00966A71" w:rsidRDefault="003E1E64" w:rsidP="00112CA1">
            <w:pPr>
              <w:widowControl/>
              <w:autoSpaceDE/>
              <w:autoSpaceDN/>
              <w:rPr>
                <w:rFonts w:cs="Calibri"/>
                <w:color w:val="000000"/>
                <w:sz w:val="22"/>
              </w:rPr>
            </w:pPr>
            <w:r w:rsidRPr="00966A71">
              <w:rPr>
                <w:rFonts w:cs="Calibri"/>
                <w:color w:val="000000"/>
                <w:sz w:val="22"/>
              </w:rPr>
              <w:t> </w:t>
            </w:r>
          </w:p>
        </w:tc>
        <w:tc>
          <w:tcPr>
            <w:tcW w:w="1400" w:type="dxa"/>
            <w:tcBorders>
              <w:top w:val="nil"/>
              <w:left w:val="nil"/>
              <w:bottom w:val="single" w:sz="4" w:space="0" w:color="auto"/>
              <w:right w:val="single" w:sz="4" w:space="0" w:color="auto"/>
            </w:tcBorders>
            <w:noWrap/>
            <w:vAlign w:val="bottom"/>
            <w:hideMark/>
          </w:tcPr>
          <w:p w14:paraId="79C5E207" w14:textId="77777777" w:rsidR="003E1E64" w:rsidRPr="00966A71" w:rsidRDefault="003E1E64" w:rsidP="00112CA1">
            <w:pPr>
              <w:widowControl/>
              <w:autoSpaceDE/>
              <w:autoSpaceDN/>
              <w:jc w:val="center"/>
              <w:rPr>
                <w:rFonts w:cs="Calibri"/>
                <w:color w:val="000000"/>
                <w:sz w:val="22"/>
              </w:rPr>
            </w:pPr>
            <w:r w:rsidRPr="00966A71">
              <w:rPr>
                <w:rFonts w:cs="Calibri"/>
                <w:sz w:val="22"/>
              </w:rPr>
              <w:t> </w:t>
            </w:r>
          </w:p>
        </w:tc>
      </w:tr>
      <w:tr w:rsidR="003E1E64" w:rsidRPr="00CA0180" w14:paraId="0F18E0E7" w14:textId="77777777" w:rsidTr="00112CA1">
        <w:trPr>
          <w:trHeight w:hRule="exact" w:val="300"/>
        </w:trPr>
        <w:tc>
          <w:tcPr>
            <w:tcW w:w="4050" w:type="dxa"/>
            <w:tcBorders>
              <w:top w:val="nil"/>
              <w:left w:val="single" w:sz="4" w:space="0" w:color="auto"/>
              <w:bottom w:val="single" w:sz="4" w:space="0" w:color="auto"/>
              <w:right w:val="single" w:sz="4" w:space="0" w:color="auto"/>
            </w:tcBorders>
            <w:noWrap/>
            <w:vAlign w:val="bottom"/>
            <w:hideMark/>
          </w:tcPr>
          <w:p w14:paraId="53DD463E" w14:textId="77777777" w:rsidR="003E1E64" w:rsidRPr="00966A71" w:rsidRDefault="003E1E64" w:rsidP="00112CA1">
            <w:pPr>
              <w:widowControl/>
              <w:autoSpaceDE/>
              <w:autoSpaceDN/>
              <w:rPr>
                <w:rFonts w:cs="Calibri"/>
                <w:color w:val="000000"/>
                <w:sz w:val="22"/>
              </w:rPr>
            </w:pPr>
            <w:r w:rsidRPr="00966A71">
              <w:rPr>
                <w:rFonts w:cs="Calibri"/>
                <w:color w:val="000000"/>
                <w:spacing w:val="-1"/>
                <w:sz w:val="22"/>
              </w:rPr>
              <w:t> </w:t>
            </w:r>
          </w:p>
        </w:tc>
        <w:tc>
          <w:tcPr>
            <w:tcW w:w="3990" w:type="dxa"/>
            <w:tcBorders>
              <w:top w:val="nil"/>
              <w:left w:val="nil"/>
              <w:bottom w:val="single" w:sz="4" w:space="0" w:color="auto"/>
              <w:right w:val="single" w:sz="4" w:space="0" w:color="auto"/>
            </w:tcBorders>
            <w:noWrap/>
            <w:vAlign w:val="bottom"/>
            <w:hideMark/>
          </w:tcPr>
          <w:p w14:paraId="6ADCA6F7" w14:textId="77777777" w:rsidR="003E1E64" w:rsidRPr="00966A71" w:rsidRDefault="003E1E64" w:rsidP="00112CA1">
            <w:pPr>
              <w:widowControl/>
              <w:autoSpaceDE/>
              <w:autoSpaceDN/>
              <w:rPr>
                <w:rFonts w:cs="Calibri"/>
                <w:color w:val="000000"/>
                <w:sz w:val="22"/>
              </w:rPr>
            </w:pPr>
            <w:r w:rsidRPr="00966A71">
              <w:rPr>
                <w:rFonts w:cs="Calibri"/>
                <w:color w:val="000000"/>
                <w:sz w:val="22"/>
              </w:rPr>
              <w:t>Sedan, Midsize, Generic Asset</w:t>
            </w:r>
          </w:p>
        </w:tc>
        <w:tc>
          <w:tcPr>
            <w:tcW w:w="1400" w:type="dxa"/>
            <w:tcBorders>
              <w:top w:val="nil"/>
              <w:left w:val="nil"/>
              <w:bottom w:val="single" w:sz="4" w:space="0" w:color="auto"/>
              <w:right w:val="single" w:sz="4" w:space="0" w:color="auto"/>
            </w:tcBorders>
            <w:noWrap/>
            <w:vAlign w:val="bottom"/>
            <w:hideMark/>
          </w:tcPr>
          <w:p w14:paraId="2DFE47E5" w14:textId="77777777" w:rsidR="003E1E64" w:rsidRPr="00CA0180" w:rsidRDefault="003E1E64" w:rsidP="00112CA1">
            <w:pPr>
              <w:widowControl/>
              <w:autoSpaceDE/>
              <w:autoSpaceDN/>
              <w:jc w:val="center"/>
              <w:rPr>
                <w:rFonts w:cs="Calibri"/>
                <w:color w:val="000000"/>
                <w:sz w:val="22"/>
              </w:rPr>
            </w:pPr>
            <w:r>
              <w:rPr>
                <w:rFonts w:cs="Calibri"/>
                <w:color w:val="000000"/>
                <w:sz w:val="22"/>
              </w:rPr>
              <w:t>62</w:t>
            </w:r>
          </w:p>
        </w:tc>
      </w:tr>
      <w:tr w:rsidR="003E1E64" w:rsidRPr="00CA0180" w14:paraId="3685252C" w14:textId="77777777" w:rsidTr="00112CA1">
        <w:trPr>
          <w:trHeight w:val="300"/>
        </w:trPr>
        <w:tc>
          <w:tcPr>
            <w:tcW w:w="4050" w:type="dxa"/>
            <w:tcBorders>
              <w:top w:val="nil"/>
              <w:left w:val="single" w:sz="4" w:space="0" w:color="auto"/>
              <w:bottom w:val="single" w:sz="4" w:space="0" w:color="auto"/>
              <w:right w:val="single" w:sz="4" w:space="0" w:color="auto"/>
            </w:tcBorders>
            <w:noWrap/>
            <w:vAlign w:val="bottom"/>
            <w:hideMark/>
          </w:tcPr>
          <w:p w14:paraId="4878C70C" w14:textId="77777777" w:rsidR="003E1E64" w:rsidRPr="00966A71" w:rsidRDefault="003E1E64" w:rsidP="00112CA1">
            <w:pPr>
              <w:widowControl/>
              <w:autoSpaceDE/>
              <w:autoSpaceDN/>
              <w:rPr>
                <w:rFonts w:cs="Calibri"/>
                <w:color w:val="000000"/>
                <w:sz w:val="22"/>
              </w:rPr>
            </w:pPr>
            <w:r w:rsidRPr="00966A71">
              <w:rPr>
                <w:rFonts w:cs="Calibri"/>
                <w:color w:val="000000"/>
                <w:sz w:val="22"/>
              </w:rPr>
              <w:t> </w:t>
            </w:r>
          </w:p>
        </w:tc>
        <w:tc>
          <w:tcPr>
            <w:tcW w:w="3990" w:type="dxa"/>
            <w:tcBorders>
              <w:top w:val="nil"/>
              <w:left w:val="nil"/>
              <w:bottom w:val="single" w:sz="4" w:space="0" w:color="auto"/>
              <w:right w:val="single" w:sz="4" w:space="0" w:color="auto"/>
            </w:tcBorders>
            <w:noWrap/>
            <w:vAlign w:val="bottom"/>
            <w:hideMark/>
          </w:tcPr>
          <w:p w14:paraId="5C78FBFD" w14:textId="77777777" w:rsidR="003E1E64" w:rsidRPr="00966A71" w:rsidRDefault="003E1E64" w:rsidP="00112CA1">
            <w:pPr>
              <w:widowControl/>
              <w:autoSpaceDE/>
              <w:autoSpaceDN/>
              <w:rPr>
                <w:rFonts w:cs="Calibri"/>
                <w:color w:val="000000"/>
                <w:sz w:val="22"/>
              </w:rPr>
            </w:pPr>
            <w:r w:rsidRPr="00966A71">
              <w:rPr>
                <w:rFonts w:cs="Calibri"/>
                <w:color w:val="000000"/>
                <w:sz w:val="22"/>
              </w:rPr>
              <w:t>SUV, Generic Asset</w:t>
            </w:r>
          </w:p>
        </w:tc>
        <w:tc>
          <w:tcPr>
            <w:tcW w:w="1400" w:type="dxa"/>
            <w:tcBorders>
              <w:top w:val="nil"/>
              <w:left w:val="nil"/>
              <w:bottom w:val="single" w:sz="4" w:space="0" w:color="auto"/>
              <w:right w:val="single" w:sz="4" w:space="0" w:color="auto"/>
            </w:tcBorders>
            <w:noWrap/>
            <w:vAlign w:val="bottom"/>
            <w:hideMark/>
          </w:tcPr>
          <w:p w14:paraId="2867F094" w14:textId="77777777" w:rsidR="003E1E64" w:rsidRPr="00CA0180" w:rsidRDefault="003E1E64" w:rsidP="00112CA1">
            <w:pPr>
              <w:widowControl/>
              <w:autoSpaceDE/>
              <w:autoSpaceDN/>
              <w:jc w:val="center"/>
              <w:rPr>
                <w:rFonts w:cs="Calibri"/>
                <w:color w:val="000000"/>
                <w:sz w:val="22"/>
              </w:rPr>
            </w:pPr>
            <w:r w:rsidRPr="00CA0180">
              <w:rPr>
                <w:rFonts w:cs="Calibri"/>
                <w:color w:val="000000"/>
                <w:sz w:val="22"/>
              </w:rPr>
              <w:t>10</w:t>
            </w:r>
          </w:p>
        </w:tc>
      </w:tr>
      <w:tr w:rsidR="003E1E64" w:rsidRPr="00CA0180" w14:paraId="26C71C78" w14:textId="77777777" w:rsidTr="00112CA1">
        <w:trPr>
          <w:trHeight w:val="300"/>
        </w:trPr>
        <w:tc>
          <w:tcPr>
            <w:tcW w:w="4050" w:type="dxa"/>
            <w:tcBorders>
              <w:top w:val="nil"/>
              <w:left w:val="single" w:sz="4" w:space="0" w:color="auto"/>
              <w:bottom w:val="single" w:sz="4" w:space="0" w:color="auto"/>
              <w:right w:val="single" w:sz="4" w:space="0" w:color="auto"/>
            </w:tcBorders>
            <w:noWrap/>
            <w:vAlign w:val="bottom"/>
            <w:hideMark/>
          </w:tcPr>
          <w:p w14:paraId="2CEFE6CC" w14:textId="77777777" w:rsidR="003E1E64" w:rsidRPr="00966A71" w:rsidRDefault="003E1E64" w:rsidP="00112CA1">
            <w:pPr>
              <w:widowControl/>
              <w:autoSpaceDE/>
              <w:autoSpaceDN/>
              <w:rPr>
                <w:rFonts w:cs="Calibri"/>
                <w:color w:val="000000"/>
                <w:sz w:val="22"/>
              </w:rPr>
            </w:pPr>
            <w:r w:rsidRPr="00966A71">
              <w:rPr>
                <w:rFonts w:cs="Calibri"/>
                <w:color w:val="000000"/>
                <w:sz w:val="22"/>
              </w:rPr>
              <w:t> </w:t>
            </w:r>
          </w:p>
        </w:tc>
        <w:tc>
          <w:tcPr>
            <w:tcW w:w="3990" w:type="dxa"/>
            <w:tcBorders>
              <w:top w:val="nil"/>
              <w:left w:val="nil"/>
              <w:bottom w:val="single" w:sz="4" w:space="0" w:color="auto"/>
              <w:right w:val="single" w:sz="4" w:space="0" w:color="auto"/>
            </w:tcBorders>
            <w:noWrap/>
            <w:vAlign w:val="bottom"/>
            <w:hideMark/>
          </w:tcPr>
          <w:p w14:paraId="0A75E379" w14:textId="77777777" w:rsidR="003E1E64" w:rsidRPr="00966A71" w:rsidRDefault="003E1E64" w:rsidP="00112CA1">
            <w:pPr>
              <w:widowControl/>
              <w:autoSpaceDE/>
              <w:autoSpaceDN/>
              <w:rPr>
                <w:rFonts w:cs="Calibri"/>
                <w:color w:val="000000"/>
                <w:sz w:val="22"/>
              </w:rPr>
            </w:pPr>
            <w:r w:rsidRPr="00966A71">
              <w:rPr>
                <w:rFonts w:cs="Calibri"/>
                <w:color w:val="000000"/>
                <w:sz w:val="22"/>
              </w:rPr>
              <w:t>Truck, 1 Ton, Generic Asset</w:t>
            </w:r>
          </w:p>
        </w:tc>
        <w:tc>
          <w:tcPr>
            <w:tcW w:w="1400" w:type="dxa"/>
            <w:tcBorders>
              <w:top w:val="nil"/>
              <w:left w:val="nil"/>
              <w:bottom w:val="single" w:sz="4" w:space="0" w:color="auto"/>
              <w:right w:val="single" w:sz="4" w:space="0" w:color="auto"/>
            </w:tcBorders>
            <w:noWrap/>
            <w:vAlign w:val="bottom"/>
            <w:hideMark/>
          </w:tcPr>
          <w:p w14:paraId="67A457BF" w14:textId="77777777" w:rsidR="003E1E64" w:rsidRPr="00CA0180" w:rsidRDefault="003E1E64" w:rsidP="00112CA1">
            <w:pPr>
              <w:widowControl/>
              <w:autoSpaceDE/>
              <w:autoSpaceDN/>
              <w:jc w:val="center"/>
              <w:rPr>
                <w:rFonts w:cs="Calibri"/>
                <w:color w:val="000000"/>
                <w:sz w:val="22"/>
              </w:rPr>
            </w:pPr>
            <w:r w:rsidRPr="00CA0180">
              <w:rPr>
                <w:rFonts w:cs="Calibri"/>
                <w:color w:val="000000"/>
                <w:sz w:val="22"/>
              </w:rPr>
              <w:t>40</w:t>
            </w:r>
          </w:p>
        </w:tc>
      </w:tr>
      <w:tr w:rsidR="003E1E64" w:rsidRPr="00CA0180" w14:paraId="4F5BB2A3" w14:textId="77777777" w:rsidTr="00112CA1">
        <w:trPr>
          <w:trHeight w:val="300"/>
        </w:trPr>
        <w:tc>
          <w:tcPr>
            <w:tcW w:w="4050" w:type="dxa"/>
            <w:tcBorders>
              <w:top w:val="nil"/>
              <w:left w:val="single" w:sz="4" w:space="0" w:color="auto"/>
              <w:bottom w:val="single" w:sz="4" w:space="0" w:color="auto"/>
              <w:right w:val="single" w:sz="4" w:space="0" w:color="auto"/>
            </w:tcBorders>
            <w:noWrap/>
            <w:vAlign w:val="bottom"/>
            <w:hideMark/>
          </w:tcPr>
          <w:p w14:paraId="3F9BF884" w14:textId="77777777" w:rsidR="003E1E64" w:rsidRPr="00966A71" w:rsidRDefault="003E1E64" w:rsidP="00112CA1">
            <w:pPr>
              <w:widowControl/>
              <w:autoSpaceDE/>
              <w:autoSpaceDN/>
              <w:rPr>
                <w:rFonts w:cs="Calibri"/>
                <w:color w:val="000000"/>
                <w:sz w:val="22"/>
              </w:rPr>
            </w:pPr>
            <w:r w:rsidRPr="00966A71">
              <w:rPr>
                <w:rFonts w:cs="Calibri"/>
                <w:color w:val="000000"/>
                <w:sz w:val="22"/>
              </w:rPr>
              <w:t> </w:t>
            </w:r>
          </w:p>
        </w:tc>
        <w:tc>
          <w:tcPr>
            <w:tcW w:w="3990" w:type="dxa"/>
            <w:tcBorders>
              <w:top w:val="nil"/>
              <w:left w:val="nil"/>
              <w:bottom w:val="single" w:sz="4" w:space="0" w:color="auto"/>
              <w:right w:val="single" w:sz="4" w:space="0" w:color="auto"/>
            </w:tcBorders>
            <w:noWrap/>
            <w:vAlign w:val="bottom"/>
            <w:hideMark/>
          </w:tcPr>
          <w:p w14:paraId="5D99C062" w14:textId="77777777" w:rsidR="003E1E64" w:rsidRPr="00966A71" w:rsidRDefault="003E1E64" w:rsidP="00112CA1">
            <w:pPr>
              <w:widowControl/>
              <w:autoSpaceDE/>
              <w:autoSpaceDN/>
              <w:rPr>
                <w:rFonts w:cs="Calibri"/>
                <w:color w:val="000000"/>
                <w:sz w:val="22"/>
              </w:rPr>
            </w:pPr>
            <w:r w:rsidRPr="00966A71">
              <w:rPr>
                <w:rFonts w:cs="Calibri"/>
                <w:color w:val="000000"/>
                <w:sz w:val="22"/>
              </w:rPr>
              <w:t>Truck, 3/4 Ton, Generic Asset</w:t>
            </w:r>
          </w:p>
        </w:tc>
        <w:tc>
          <w:tcPr>
            <w:tcW w:w="1400" w:type="dxa"/>
            <w:tcBorders>
              <w:top w:val="nil"/>
              <w:left w:val="nil"/>
              <w:bottom w:val="single" w:sz="4" w:space="0" w:color="auto"/>
              <w:right w:val="single" w:sz="4" w:space="0" w:color="auto"/>
            </w:tcBorders>
            <w:noWrap/>
            <w:vAlign w:val="bottom"/>
            <w:hideMark/>
          </w:tcPr>
          <w:p w14:paraId="6E766709" w14:textId="77777777" w:rsidR="003E1E64" w:rsidRPr="00CA0180" w:rsidRDefault="003E1E64" w:rsidP="00112CA1">
            <w:pPr>
              <w:widowControl/>
              <w:autoSpaceDE/>
              <w:autoSpaceDN/>
              <w:jc w:val="center"/>
              <w:rPr>
                <w:rFonts w:cs="Calibri"/>
                <w:color w:val="000000"/>
                <w:sz w:val="22"/>
              </w:rPr>
            </w:pPr>
            <w:r w:rsidRPr="00CA0180">
              <w:rPr>
                <w:rFonts w:cs="Calibri"/>
                <w:color w:val="000000"/>
                <w:sz w:val="22"/>
              </w:rPr>
              <w:t>20</w:t>
            </w:r>
          </w:p>
        </w:tc>
      </w:tr>
      <w:tr w:rsidR="003E1E64" w:rsidRPr="00CA0180" w14:paraId="53B07ADD" w14:textId="77777777" w:rsidTr="00112CA1">
        <w:trPr>
          <w:trHeight w:val="300"/>
        </w:trPr>
        <w:tc>
          <w:tcPr>
            <w:tcW w:w="4050" w:type="dxa"/>
            <w:tcBorders>
              <w:top w:val="nil"/>
              <w:left w:val="single" w:sz="4" w:space="0" w:color="auto"/>
              <w:bottom w:val="single" w:sz="4" w:space="0" w:color="auto"/>
              <w:right w:val="single" w:sz="4" w:space="0" w:color="auto"/>
            </w:tcBorders>
            <w:noWrap/>
            <w:vAlign w:val="bottom"/>
            <w:hideMark/>
          </w:tcPr>
          <w:p w14:paraId="0BE1067D" w14:textId="77777777" w:rsidR="003E1E64" w:rsidRPr="00966A71" w:rsidRDefault="003E1E64" w:rsidP="00112CA1">
            <w:pPr>
              <w:widowControl/>
              <w:autoSpaceDE/>
              <w:autoSpaceDN/>
              <w:rPr>
                <w:rFonts w:cs="Calibri"/>
                <w:color w:val="000000"/>
                <w:sz w:val="22"/>
              </w:rPr>
            </w:pPr>
            <w:r w:rsidRPr="00966A71">
              <w:rPr>
                <w:rFonts w:cs="Calibri"/>
                <w:color w:val="000000"/>
                <w:sz w:val="22"/>
              </w:rPr>
              <w:t> </w:t>
            </w:r>
          </w:p>
        </w:tc>
        <w:tc>
          <w:tcPr>
            <w:tcW w:w="3990" w:type="dxa"/>
            <w:tcBorders>
              <w:top w:val="nil"/>
              <w:left w:val="nil"/>
              <w:bottom w:val="single" w:sz="4" w:space="0" w:color="auto"/>
              <w:right w:val="single" w:sz="4" w:space="0" w:color="auto"/>
            </w:tcBorders>
            <w:noWrap/>
            <w:vAlign w:val="bottom"/>
            <w:hideMark/>
          </w:tcPr>
          <w:p w14:paraId="52C292C5" w14:textId="77777777" w:rsidR="003E1E64" w:rsidRPr="00966A71" w:rsidRDefault="003E1E64" w:rsidP="00112CA1">
            <w:pPr>
              <w:widowControl/>
              <w:autoSpaceDE/>
              <w:autoSpaceDN/>
              <w:rPr>
                <w:rFonts w:cs="Calibri"/>
                <w:color w:val="000000"/>
                <w:sz w:val="22"/>
              </w:rPr>
            </w:pPr>
            <w:r w:rsidRPr="00966A71">
              <w:rPr>
                <w:rFonts w:cs="Calibri"/>
                <w:color w:val="000000"/>
                <w:sz w:val="22"/>
              </w:rPr>
              <w:t>Truck, ½ Ton, Generic Asset</w:t>
            </w:r>
          </w:p>
        </w:tc>
        <w:tc>
          <w:tcPr>
            <w:tcW w:w="1400" w:type="dxa"/>
            <w:tcBorders>
              <w:top w:val="nil"/>
              <w:left w:val="nil"/>
              <w:bottom w:val="single" w:sz="4" w:space="0" w:color="auto"/>
              <w:right w:val="single" w:sz="4" w:space="0" w:color="auto"/>
            </w:tcBorders>
            <w:noWrap/>
            <w:vAlign w:val="bottom"/>
            <w:hideMark/>
          </w:tcPr>
          <w:p w14:paraId="0D857399" w14:textId="77777777" w:rsidR="003E1E64" w:rsidRPr="00CA0180" w:rsidRDefault="003E1E64" w:rsidP="00112CA1">
            <w:pPr>
              <w:widowControl/>
              <w:autoSpaceDE/>
              <w:autoSpaceDN/>
              <w:jc w:val="center"/>
              <w:rPr>
                <w:rFonts w:cs="Calibri"/>
                <w:color w:val="000000"/>
                <w:sz w:val="22"/>
              </w:rPr>
            </w:pPr>
            <w:r>
              <w:rPr>
                <w:rFonts w:cs="Calibri"/>
                <w:color w:val="000000"/>
                <w:sz w:val="22"/>
              </w:rPr>
              <w:t>50</w:t>
            </w:r>
          </w:p>
        </w:tc>
      </w:tr>
      <w:tr w:rsidR="003E1E64" w:rsidRPr="00CA0180" w14:paraId="5E4A758F" w14:textId="77777777" w:rsidTr="00112CA1">
        <w:trPr>
          <w:trHeight w:val="300"/>
        </w:trPr>
        <w:tc>
          <w:tcPr>
            <w:tcW w:w="4050" w:type="dxa"/>
            <w:tcBorders>
              <w:top w:val="nil"/>
              <w:left w:val="single" w:sz="4" w:space="0" w:color="auto"/>
              <w:bottom w:val="single" w:sz="4" w:space="0" w:color="auto"/>
              <w:right w:val="single" w:sz="4" w:space="0" w:color="auto"/>
            </w:tcBorders>
            <w:noWrap/>
            <w:vAlign w:val="bottom"/>
            <w:hideMark/>
          </w:tcPr>
          <w:p w14:paraId="346658A9" w14:textId="77777777" w:rsidR="003E1E64" w:rsidRPr="00966A71" w:rsidRDefault="003E1E64" w:rsidP="00112CA1">
            <w:pPr>
              <w:widowControl/>
              <w:autoSpaceDE/>
              <w:autoSpaceDN/>
              <w:rPr>
                <w:rFonts w:cs="Calibri"/>
                <w:color w:val="000000"/>
                <w:sz w:val="22"/>
              </w:rPr>
            </w:pPr>
            <w:r w:rsidRPr="00966A71">
              <w:rPr>
                <w:rFonts w:cs="Calibri"/>
                <w:color w:val="000000"/>
                <w:sz w:val="22"/>
              </w:rPr>
              <w:t> </w:t>
            </w:r>
          </w:p>
        </w:tc>
        <w:tc>
          <w:tcPr>
            <w:tcW w:w="3990" w:type="dxa"/>
            <w:tcBorders>
              <w:top w:val="nil"/>
              <w:left w:val="nil"/>
              <w:bottom w:val="single" w:sz="4" w:space="0" w:color="auto"/>
              <w:right w:val="single" w:sz="4" w:space="0" w:color="auto"/>
            </w:tcBorders>
            <w:noWrap/>
            <w:vAlign w:val="bottom"/>
            <w:hideMark/>
          </w:tcPr>
          <w:p w14:paraId="55642635" w14:textId="77777777" w:rsidR="003E1E64" w:rsidRPr="00966A71" w:rsidRDefault="003E1E64" w:rsidP="00112CA1">
            <w:pPr>
              <w:widowControl/>
              <w:autoSpaceDE/>
              <w:autoSpaceDN/>
              <w:rPr>
                <w:rFonts w:cs="Calibri"/>
                <w:color w:val="000000"/>
                <w:sz w:val="22"/>
              </w:rPr>
            </w:pPr>
            <w:r w:rsidRPr="00966A71">
              <w:rPr>
                <w:rFonts w:cs="Calibri"/>
                <w:color w:val="000000"/>
                <w:sz w:val="22"/>
              </w:rPr>
              <w:t>Truck, Class 5, Generic Asset</w:t>
            </w:r>
          </w:p>
        </w:tc>
        <w:tc>
          <w:tcPr>
            <w:tcW w:w="1400" w:type="dxa"/>
            <w:tcBorders>
              <w:top w:val="nil"/>
              <w:left w:val="nil"/>
              <w:bottom w:val="single" w:sz="4" w:space="0" w:color="auto"/>
              <w:right w:val="single" w:sz="4" w:space="0" w:color="auto"/>
            </w:tcBorders>
            <w:noWrap/>
            <w:vAlign w:val="bottom"/>
            <w:hideMark/>
          </w:tcPr>
          <w:p w14:paraId="7E1A9EC9" w14:textId="77777777" w:rsidR="003E1E64" w:rsidRPr="00CA0180" w:rsidRDefault="003E1E64" w:rsidP="00112CA1">
            <w:pPr>
              <w:widowControl/>
              <w:autoSpaceDE/>
              <w:autoSpaceDN/>
              <w:jc w:val="center"/>
              <w:rPr>
                <w:rFonts w:cs="Calibri"/>
                <w:color w:val="000000"/>
                <w:sz w:val="22"/>
              </w:rPr>
            </w:pPr>
            <w:r w:rsidRPr="00CA0180">
              <w:rPr>
                <w:rFonts w:cs="Calibri"/>
                <w:color w:val="000000"/>
                <w:sz w:val="22"/>
              </w:rPr>
              <w:t>0</w:t>
            </w:r>
          </w:p>
        </w:tc>
      </w:tr>
      <w:tr w:rsidR="003E1E64" w:rsidRPr="00CA0180" w14:paraId="4FADCD85" w14:textId="77777777" w:rsidTr="00112CA1">
        <w:trPr>
          <w:trHeight w:val="300"/>
        </w:trPr>
        <w:tc>
          <w:tcPr>
            <w:tcW w:w="4050" w:type="dxa"/>
            <w:tcBorders>
              <w:top w:val="nil"/>
              <w:left w:val="single" w:sz="4" w:space="0" w:color="auto"/>
              <w:bottom w:val="single" w:sz="4" w:space="0" w:color="auto"/>
              <w:right w:val="single" w:sz="4" w:space="0" w:color="auto"/>
            </w:tcBorders>
            <w:noWrap/>
            <w:vAlign w:val="bottom"/>
            <w:hideMark/>
          </w:tcPr>
          <w:p w14:paraId="698CE88E" w14:textId="77777777" w:rsidR="003E1E64" w:rsidRPr="00966A71" w:rsidRDefault="003E1E64" w:rsidP="00112CA1">
            <w:pPr>
              <w:widowControl/>
              <w:autoSpaceDE/>
              <w:autoSpaceDN/>
              <w:rPr>
                <w:rFonts w:cs="Calibri"/>
                <w:color w:val="000000"/>
                <w:sz w:val="22"/>
              </w:rPr>
            </w:pPr>
            <w:r w:rsidRPr="00966A71">
              <w:rPr>
                <w:rFonts w:cs="Calibri"/>
                <w:color w:val="000000"/>
                <w:sz w:val="22"/>
              </w:rPr>
              <w:t> </w:t>
            </w:r>
          </w:p>
        </w:tc>
        <w:tc>
          <w:tcPr>
            <w:tcW w:w="3990" w:type="dxa"/>
            <w:tcBorders>
              <w:top w:val="nil"/>
              <w:left w:val="nil"/>
              <w:bottom w:val="single" w:sz="4" w:space="0" w:color="auto"/>
              <w:right w:val="single" w:sz="4" w:space="0" w:color="auto"/>
            </w:tcBorders>
            <w:noWrap/>
            <w:vAlign w:val="bottom"/>
            <w:hideMark/>
          </w:tcPr>
          <w:p w14:paraId="5DC28838" w14:textId="77777777" w:rsidR="003E1E64" w:rsidRPr="00966A71" w:rsidRDefault="003E1E64" w:rsidP="00112CA1">
            <w:pPr>
              <w:widowControl/>
              <w:autoSpaceDE/>
              <w:autoSpaceDN/>
              <w:rPr>
                <w:rFonts w:cs="Calibri"/>
                <w:color w:val="000000"/>
                <w:sz w:val="22"/>
              </w:rPr>
            </w:pPr>
            <w:r w:rsidRPr="00966A71">
              <w:rPr>
                <w:rFonts w:cs="Calibri"/>
                <w:color w:val="000000"/>
                <w:spacing w:val="-1"/>
                <w:sz w:val="22"/>
              </w:rPr>
              <w:t>Van, Generic Asset</w:t>
            </w:r>
          </w:p>
        </w:tc>
        <w:tc>
          <w:tcPr>
            <w:tcW w:w="1400" w:type="dxa"/>
            <w:tcBorders>
              <w:top w:val="nil"/>
              <w:left w:val="nil"/>
              <w:bottom w:val="single" w:sz="4" w:space="0" w:color="auto"/>
              <w:right w:val="single" w:sz="4" w:space="0" w:color="auto"/>
            </w:tcBorders>
            <w:noWrap/>
            <w:vAlign w:val="bottom"/>
            <w:hideMark/>
          </w:tcPr>
          <w:p w14:paraId="0AF0B71F" w14:textId="77777777" w:rsidR="003E1E64" w:rsidRPr="00CA0180" w:rsidRDefault="003E1E64" w:rsidP="00112CA1">
            <w:pPr>
              <w:widowControl/>
              <w:autoSpaceDE/>
              <w:autoSpaceDN/>
              <w:jc w:val="center"/>
              <w:rPr>
                <w:rFonts w:cs="Calibri"/>
                <w:color w:val="000000"/>
                <w:sz w:val="22"/>
              </w:rPr>
            </w:pPr>
            <w:r w:rsidRPr="00CA0180">
              <w:rPr>
                <w:rFonts w:cs="Calibri"/>
                <w:color w:val="000000"/>
                <w:sz w:val="22"/>
              </w:rPr>
              <w:t>0</w:t>
            </w:r>
          </w:p>
        </w:tc>
      </w:tr>
      <w:tr w:rsidR="003E1E64" w:rsidRPr="00966A71" w14:paraId="05696360" w14:textId="77777777" w:rsidTr="00112CA1">
        <w:trPr>
          <w:trHeight w:hRule="exact" w:val="300"/>
        </w:trPr>
        <w:tc>
          <w:tcPr>
            <w:tcW w:w="4050" w:type="dxa"/>
            <w:tcBorders>
              <w:top w:val="nil"/>
              <w:left w:val="single" w:sz="4" w:space="0" w:color="auto"/>
              <w:bottom w:val="single" w:sz="4" w:space="0" w:color="auto"/>
              <w:right w:val="single" w:sz="4" w:space="0" w:color="auto"/>
            </w:tcBorders>
            <w:shd w:val="clear" w:color="000000" w:fill="DDEBF7"/>
            <w:noWrap/>
            <w:vAlign w:val="bottom"/>
            <w:hideMark/>
          </w:tcPr>
          <w:p w14:paraId="59B23611" w14:textId="77777777" w:rsidR="003E1E64" w:rsidRPr="00966A71" w:rsidRDefault="003E1E64" w:rsidP="00112CA1">
            <w:pPr>
              <w:widowControl/>
              <w:autoSpaceDE/>
              <w:autoSpaceDN/>
              <w:rPr>
                <w:rFonts w:cs="Calibri"/>
                <w:color w:val="000000"/>
                <w:sz w:val="22"/>
              </w:rPr>
            </w:pPr>
            <w:r w:rsidRPr="00966A71">
              <w:rPr>
                <w:rFonts w:cs="Calibri"/>
                <w:spacing w:val="-1"/>
                <w:sz w:val="22"/>
              </w:rPr>
              <w:t>Tennessee Department of Transportation Total</w:t>
            </w:r>
          </w:p>
        </w:tc>
        <w:tc>
          <w:tcPr>
            <w:tcW w:w="3990" w:type="dxa"/>
            <w:tcBorders>
              <w:top w:val="nil"/>
              <w:left w:val="nil"/>
              <w:bottom w:val="single" w:sz="4" w:space="0" w:color="auto"/>
              <w:right w:val="single" w:sz="4" w:space="0" w:color="auto"/>
            </w:tcBorders>
            <w:shd w:val="clear" w:color="000000" w:fill="DDEBF7"/>
            <w:noWrap/>
            <w:vAlign w:val="bottom"/>
            <w:hideMark/>
          </w:tcPr>
          <w:p w14:paraId="24D10058" w14:textId="77777777" w:rsidR="003E1E64" w:rsidRPr="00966A71" w:rsidRDefault="003E1E64" w:rsidP="00112CA1">
            <w:pPr>
              <w:widowControl/>
              <w:autoSpaceDE/>
              <w:autoSpaceDN/>
              <w:rPr>
                <w:rFonts w:cs="Calibri"/>
                <w:color w:val="000000"/>
                <w:sz w:val="22"/>
              </w:rPr>
            </w:pPr>
            <w:r w:rsidRPr="00966A71">
              <w:rPr>
                <w:rFonts w:cs="Calibri"/>
                <w:color w:val="000000"/>
                <w:spacing w:val="-1"/>
                <w:sz w:val="22"/>
              </w:rPr>
              <w:t> </w:t>
            </w:r>
          </w:p>
        </w:tc>
        <w:tc>
          <w:tcPr>
            <w:tcW w:w="1400" w:type="dxa"/>
            <w:tcBorders>
              <w:top w:val="nil"/>
              <w:left w:val="nil"/>
              <w:bottom w:val="single" w:sz="4" w:space="0" w:color="auto"/>
              <w:right w:val="single" w:sz="4" w:space="0" w:color="auto"/>
            </w:tcBorders>
            <w:shd w:val="clear" w:color="000000" w:fill="DDEBF7"/>
            <w:noWrap/>
            <w:vAlign w:val="bottom"/>
            <w:hideMark/>
          </w:tcPr>
          <w:p w14:paraId="01070577" w14:textId="77777777" w:rsidR="003E1E64" w:rsidRPr="00966A71" w:rsidRDefault="003E1E64" w:rsidP="00112CA1">
            <w:pPr>
              <w:widowControl/>
              <w:autoSpaceDE/>
              <w:autoSpaceDN/>
              <w:jc w:val="center"/>
              <w:rPr>
                <w:rFonts w:cs="Calibri"/>
                <w:color w:val="000000"/>
                <w:sz w:val="22"/>
              </w:rPr>
            </w:pPr>
            <w:r>
              <w:rPr>
                <w:rFonts w:cs="Calibri"/>
                <w:color w:val="000000"/>
                <w:sz w:val="22"/>
              </w:rPr>
              <w:t>182</w:t>
            </w:r>
          </w:p>
        </w:tc>
      </w:tr>
      <w:tr w:rsidR="003E1E64" w:rsidRPr="00966A71" w14:paraId="66EFE2A0" w14:textId="77777777" w:rsidTr="00112CA1">
        <w:trPr>
          <w:trHeight w:val="300"/>
        </w:trPr>
        <w:tc>
          <w:tcPr>
            <w:tcW w:w="4050" w:type="dxa"/>
            <w:tcBorders>
              <w:top w:val="nil"/>
              <w:left w:val="single" w:sz="4" w:space="0" w:color="auto"/>
              <w:bottom w:val="single" w:sz="4" w:space="0" w:color="auto"/>
              <w:right w:val="single" w:sz="4" w:space="0" w:color="auto"/>
            </w:tcBorders>
            <w:noWrap/>
            <w:vAlign w:val="bottom"/>
            <w:hideMark/>
          </w:tcPr>
          <w:p w14:paraId="371615BF" w14:textId="77777777" w:rsidR="003E1E64" w:rsidRPr="00966A71" w:rsidRDefault="003E1E64" w:rsidP="00112CA1">
            <w:pPr>
              <w:widowControl/>
              <w:autoSpaceDE/>
              <w:autoSpaceDN/>
              <w:rPr>
                <w:rFonts w:cs="Calibri"/>
                <w:color w:val="000000"/>
                <w:sz w:val="22"/>
              </w:rPr>
            </w:pPr>
            <w:r w:rsidRPr="00966A71">
              <w:rPr>
                <w:rFonts w:cs="Calibri"/>
                <w:color w:val="000000"/>
                <w:sz w:val="22"/>
              </w:rPr>
              <w:t>Vehicle and Asset Management (VAM)</w:t>
            </w:r>
          </w:p>
        </w:tc>
        <w:tc>
          <w:tcPr>
            <w:tcW w:w="3990" w:type="dxa"/>
            <w:tcBorders>
              <w:top w:val="nil"/>
              <w:left w:val="nil"/>
              <w:bottom w:val="single" w:sz="4" w:space="0" w:color="auto"/>
              <w:right w:val="single" w:sz="4" w:space="0" w:color="auto"/>
            </w:tcBorders>
            <w:noWrap/>
            <w:vAlign w:val="bottom"/>
            <w:hideMark/>
          </w:tcPr>
          <w:p w14:paraId="654D0461" w14:textId="77777777" w:rsidR="003E1E64" w:rsidRPr="00966A71" w:rsidRDefault="003E1E64" w:rsidP="00112CA1">
            <w:pPr>
              <w:widowControl/>
              <w:autoSpaceDE/>
              <w:autoSpaceDN/>
              <w:rPr>
                <w:rFonts w:cs="Calibri"/>
                <w:color w:val="000000"/>
                <w:sz w:val="22"/>
              </w:rPr>
            </w:pPr>
            <w:r w:rsidRPr="00966A71">
              <w:rPr>
                <w:rFonts w:cs="Calibri"/>
                <w:color w:val="000000"/>
                <w:sz w:val="22"/>
              </w:rPr>
              <w:t> </w:t>
            </w:r>
          </w:p>
        </w:tc>
        <w:tc>
          <w:tcPr>
            <w:tcW w:w="1400" w:type="dxa"/>
            <w:tcBorders>
              <w:top w:val="nil"/>
              <w:left w:val="nil"/>
              <w:bottom w:val="single" w:sz="4" w:space="0" w:color="auto"/>
              <w:right w:val="single" w:sz="4" w:space="0" w:color="auto"/>
            </w:tcBorders>
            <w:noWrap/>
            <w:vAlign w:val="bottom"/>
            <w:hideMark/>
          </w:tcPr>
          <w:p w14:paraId="56ADDC79" w14:textId="77777777" w:rsidR="003E1E64" w:rsidRPr="00966A71" w:rsidRDefault="003E1E64" w:rsidP="00112CA1">
            <w:pPr>
              <w:widowControl/>
              <w:autoSpaceDE/>
              <w:autoSpaceDN/>
              <w:jc w:val="center"/>
              <w:rPr>
                <w:rFonts w:cs="Calibri"/>
                <w:color w:val="000000"/>
                <w:sz w:val="22"/>
              </w:rPr>
            </w:pPr>
            <w:r w:rsidRPr="00966A71">
              <w:rPr>
                <w:rFonts w:cs="Calibri"/>
                <w:color w:val="000000"/>
                <w:sz w:val="22"/>
              </w:rPr>
              <w:t> </w:t>
            </w:r>
          </w:p>
        </w:tc>
      </w:tr>
      <w:tr w:rsidR="003E1E64" w14:paraId="669993DB" w14:textId="77777777" w:rsidTr="00112CA1">
        <w:trPr>
          <w:trHeight w:hRule="exact" w:val="340"/>
        </w:trPr>
        <w:tc>
          <w:tcPr>
            <w:tcW w:w="4050" w:type="dxa"/>
            <w:tcBorders>
              <w:top w:val="nil"/>
              <w:left w:val="single" w:sz="4" w:space="0" w:color="auto"/>
              <w:bottom w:val="single" w:sz="4" w:space="0" w:color="auto"/>
              <w:right w:val="single" w:sz="4" w:space="0" w:color="auto"/>
            </w:tcBorders>
            <w:noWrap/>
            <w:vAlign w:val="bottom"/>
          </w:tcPr>
          <w:p w14:paraId="1BD5F7B5" w14:textId="77777777" w:rsidR="003E1E64" w:rsidRPr="00CC78B4" w:rsidRDefault="003E1E64" w:rsidP="00112CA1">
            <w:pPr>
              <w:widowControl/>
              <w:autoSpaceDE/>
              <w:autoSpaceDN/>
              <w:rPr>
                <w:rFonts w:cs="Calibri"/>
                <w:color w:val="FF0000"/>
                <w:spacing w:val="-1"/>
                <w:sz w:val="22"/>
              </w:rPr>
            </w:pPr>
          </w:p>
        </w:tc>
        <w:tc>
          <w:tcPr>
            <w:tcW w:w="3990" w:type="dxa"/>
            <w:tcBorders>
              <w:top w:val="nil"/>
              <w:left w:val="nil"/>
              <w:bottom w:val="single" w:sz="4" w:space="0" w:color="auto"/>
              <w:right w:val="single" w:sz="4" w:space="0" w:color="auto"/>
            </w:tcBorders>
            <w:vAlign w:val="bottom"/>
          </w:tcPr>
          <w:p w14:paraId="7A8C9D96" w14:textId="77777777" w:rsidR="003E1E64" w:rsidRPr="00CC78B4" w:rsidRDefault="003E1E64" w:rsidP="00112CA1">
            <w:pPr>
              <w:widowControl/>
              <w:autoSpaceDE/>
              <w:autoSpaceDN/>
              <w:rPr>
                <w:rFonts w:cs="Calibri"/>
                <w:sz w:val="22"/>
              </w:rPr>
            </w:pPr>
            <w:r w:rsidRPr="0003144E">
              <w:rPr>
                <w:rFonts w:cs="Calibri"/>
                <w:sz w:val="22"/>
              </w:rPr>
              <w:t>Sedan, Midsize, Generic Asset</w:t>
            </w:r>
            <w:r w:rsidRPr="0003144E">
              <w:rPr>
                <w:rFonts w:cs="Calibri"/>
                <w:sz w:val="22"/>
              </w:rPr>
              <w:tab/>
            </w:r>
          </w:p>
        </w:tc>
        <w:tc>
          <w:tcPr>
            <w:tcW w:w="1400" w:type="dxa"/>
            <w:tcBorders>
              <w:top w:val="nil"/>
              <w:left w:val="nil"/>
              <w:bottom w:val="single" w:sz="4" w:space="0" w:color="auto"/>
              <w:right w:val="single" w:sz="4" w:space="0" w:color="auto"/>
            </w:tcBorders>
            <w:noWrap/>
            <w:vAlign w:val="bottom"/>
          </w:tcPr>
          <w:p w14:paraId="7F868497" w14:textId="77777777" w:rsidR="003E1E64" w:rsidRDefault="003E1E64" w:rsidP="00112CA1">
            <w:pPr>
              <w:widowControl/>
              <w:autoSpaceDE/>
              <w:autoSpaceDN/>
              <w:jc w:val="center"/>
              <w:rPr>
                <w:rFonts w:cs="Calibri"/>
                <w:color w:val="000000"/>
                <w:sz w:val="22"/>
              </w:rPr>
            </w:pPr>
            <w:r>
              <w:rPr>
                <w:rFonts w:cs="Calibri"/>
                <w:color w:val="000000"/>
                <w:sz w:val="22"/>
              </w:rPr>
              <w:t>62</w:t>
            </w:r>
          </w:p>
        </w:tc>
      </w:tr>
      <w:tr w:rsidR="003E1E64" w:rsidRPr="00966A71" w14:paraId="4270A0C2" w14:textId="77777777" w:rsidTr="00112CA1">
        <w:trPr>
          <w:trHeight w:hRule="exact" w:val="340"/>
        </w:trPr>
        <w:tc>
          <w:tcPr>
            <w:tcW w:w="4050" w:type="dxa"/>
            <w:tcBorders>
              <w:top w:val="nil"/>
              <w:left w:val="single" w:sz="4" w:space="0" w:color="auto"/>
              <w:bottom w:val="single" w:sz="4" w:space="0" w:color="auto"/>
              <w:right w:val="single" w:sz="4" w:space="0" w:color="auto"/>
            </w:tcBorders>
            <w:noWrap/>
            <w:vAlign w:val="bottom"/>
            <w:hideMark/>
          </w:tcPr>
          <w:p w14:paraId="2CCA3444" w14:textId="77777777" w:rsidR="003E1E64" w:rsidRPr="00CC78B4" w:rsidRDefault="003E1E64" w:rsidP="00112CA1">
            <w:pPr>
              <w:widowControl/>
              <w:autoSpaceDE/>
              <w:autoSpaceDN/>
              <w:rPr>
                <w:rFonts w:cs="Calibri"/>
                <w:color w:val="FF0000"/>
                <w:sz w:val="22"/>
              </w:rPr>
            </w:pPr>
            <w:r w:rsidRPr="00CC78B4">
              <w:rPr>
                <w:rFonts w:cs="Calibri"/>
                <w:color w:val="FF0000"/>
                <w:spacing w:val="-1"/>
                <w:sz w:val="22"/>
              </w:rPr>
              <w:t> </w:t>
            </w:r>
          </w:p>
        </w:tc>
        <w:tc>
          <w:tcPr>
            <w:tcW w:w="3990" w:type="dxa"/>
            <w:tcBorders>
              <w:top w:val="nil"/>
              <w:left w:val="nil"/>
              <w:bottom w:val="single" w:sz="4" w:space="0" w:color="auto"/>
              <w:right w:val="single" w:sz="4" w:space="0" w:color="auto"/>
            </w:tcBorders>
            <w:vAlign w:val="bottom"/>
            <w:hideMark/>
          </w:tcPr>
          <w:p w14:paraId="6443EA45" w14:textId="77777777" w:rsidR="003E1E64" w:rsidRPr="00CC78B4" w:rsidRDefault="003E1E64" w:rsidP="00112CA1">
            <w:pPr>
              <w:widowControl/>
              <w:autoSpaceDE/>
              <w:autoSpaceDN/>
              <w:rPr>
                <w:rFonts w:cs="Calibri"/>
                <w:sz w:val="22"/>
              </w:rPr>
            </w:pPr>
            <w:r w:rsidRPr="00CC78B4">
              <w:rPr>
                <w:rFonts w:cs="Calibri"/>
                <w:sz w:val="22"/>
              </w:rPr>
              <w:t>Police, SSV Truck</w:t>
            </w:r>
          </w:p>
        </w:tc>
        <w:tc>
          <w:tcPr>
            <w:tcW w:w="1400" w:type="dxa"/>
            <w:tcBorders>
              <w:top w:val="nil"/>
              <w:left w:val="nil"/>
              <w:bottom w:val="single" w:sz="4" w:space="0" w:color="auto"/>
              <w:right w:val="single" w:sz="4" w:space="0" w:color="auto"/>
            </w:tcBorders>
            <w:noWrap/>
            <w:vAlign w:val="bottom"/>
            <w:hideMark/>
          </w:tcPr>
          <w:p w14:paraId="1C7F438B" w14:textId="77777777" w:rsidR="003E1E64" w:rsidRDefault="003E1E64" w:rsidP="00112CA1">
            <w:pPr>
              <w:widowControl/>
              <w:autoSpaceDE/>
              <w:autoSpaceDN/>
              <w:jc w:val="center"/>
              <w:rPr>
                <w:rFonts w:cs="Calibri"/>
                <w:color w:val="000000"/>
                <w:sz w:val="22"/>
              </w:rPr>
            </w:pPr>
            <w:r>
              <w:rPr>
                <w:rFonts w:cs="Calibri"/>
                <w:color w:val="000000"/>
                <w:sz w:val="22"/>
              </w:rPr>
              <w:t>15</w:t>
            </w:r>
          </w:p>
          <w:p w14:paraId="594EE33E" w14:textId="77777777" w:rsidR="003E1E64" w:rsidRPr="00966A71" w:rsidRDefault="003E1E64" w:rsidP="00112CA1">
            <w:pPr>
              <w:widowControl/>
              <w:autoSpaceDE/>
              <w:autoSpaceDN/>
              <w:rPr>
                <w:rFonts w:cs="Calibri"/>
                <w:color w:val="000000"/>
                <w:sz w:val="22"/>
              </w:rPr>
            </w:pPr>
          </w:p>
        </w:tc>
      </w:tr>
      <w:tr w:rsidR="003E1E64" w:rsidRPr="00966A71" w14:paraId="5C250310" w14:textId="77777777" w:rsidTr="00112CA1">
        <w:trPr>
          <w:trHeight w:val="300"/>
        </w:trPr>
        <w:tc>
          <w:tcPr>
            <w:tcW w:w="4050" w:type="dxa"/>
            <w:tcBorders>
              <w:top w:val="nil"/>
              <w:left w:val="single" w:sz="4" w:space="0" w:color="auto"/>
              <w:bottom w:val="single" w:sz="4" w:space="0" w:color="auto"/>
              <w:right w:val="single" w:sz="4" w:space="0" w:color="auto"/>
            </w:tcBorders>
            <w:noWrap/>
            <w:vAlign w:val="bottom"/>
            <w:hideMark/>
          </w:tcPr>
          <w:p w14:paraId="75D40724" w14:textId="77777777" w:rsidR="003E1E64" w:rsidRPr="00966A71" w:rsidRDefault="003E1E64" w:rsidP="00112CA1">
            <w:pPr>
              <w:widowControl/>
              <w:autoSpaceDE/>
              <w:autoSpaceDN/>
              <w:rPr>
                <w:rFonts w:cs="Calibri"/>
                <w:color w:val="000000"/>
                <w:sz w:val="22"/>
              </w:rPr>
            </w:pPr>
            <w:r w:rsidRPr="00966A71">
              <w:rPr>
                <w:rFonts w:cs="Calibri"/>
                <w:color w:val="000000"/>
                <w:sz w:val="22"/>
              </w:rPr>
              <w:t> </w:t>
            </w:r>
          </w:p>
        </w:tc>
        <w:tc>
          <w:tcPr>
            <w:tcW w:w="3990" w:type="dxa"/>
            <w:tcBorders>
              <w:top w:val="nil"/>
              <w:left w:val="nil"/>
              <w:bottom w:val="single" w:sz="4" w:space="0" w:color="auto"/>
              <w:right w:val="single" w:sz="4" w:space="0" w:color="auto"/>
            </w:tcBorders>
            <w:noWrap/>
            <w:vAlign w:val="bottom"/>
            <w:hideMark/>
          </w:tcPr>
          <w:p w14:paraId="6222FA05" w14:textId="77777777" w:rsidR="003E1E64" w:rsidRPr="00966A71" w:rsidRDefault="003E1E64" w:rsidP="00112CA1">
            <w:pPr>
              <w:widowControl/>
              <w:autoSpaceDE/>
              <w:autoSpaceDN/>
              <w:rPr>
                <w:rFonts w:cs="Calibri"/>
                <w:color w:val="000000"/>
                <w:sz w:val="22"/>
              </w:rPr>
            </w:pPr>
            <w:r w:rsidRPr="00966A71">
              <w:rPr>
                <w:rFonts w:cs="Calibri"/>
                <w:color w:val="000000"/>
                <w:sz w:val="22"/>
              </w:rPr>
              <w:t>Police Pursuit</w:t>
            </w:r>
            <w:r>
              <w:rPr>
                <w:rFonts w:cs="Calibri"/>
                <w:color w:val="000000"/>
                <w:sz w:val="22"/>
              </w:rPr>
              <w:t xml:space="preserve"> SUV AWD</w:t>
            </w:r>
            <w:r w:rsidRPr="00966A71">
              <w:rPr>
                <w:rFonts w:cs="Calibri"/>
                <w:color w:val="000000"/>
                <w:sz w:val="22"/>
              </w:rPr>
              <w:t xml:space="preserve">, Generic Asset, </w:t>
            </w:r>
          </w:p>
        </w:tc>
        <w:tc>
          <w:tcPr>
            <w:tcW w:w="1400" w:type="dxa"/>
            <w:tcBorders>
              <w:top w:val="nil"/>
              <w:left w:val="nil"/>
              <w:bottom w:val="single" w:sz="4" w:space="0" w:color="auto"/>
              <w:right w:val="single" w:sz="4" w:space="0" w:color="auto"/>
            </w:tcBorders>
            <w:noWrap/>
            <w:vAlign w:val="bottom"/>
            <w:hideMark/>
          </w:tcPr>
          <w:p w14:paraId="72DE7B16" w14:textId="77777777" w:rsidR="003E1E64" w:rsidRPr="00966A71" w:rsidRDefault="003E1E64" w:rsidP="00112CA1">
            <w:pPr>
              <w:widowControl/>
              <w:autoSpaceDE/>
              <w:autoSpaceDN/>
              <w:jc w:val="center"/>
              <w:rPr>
                <w:rFonts w:cs="Calibri"/>
                <w:color w:val="000000"/>
                <w:sz w:val="22"/>
              </w:rPr>
            </w:pPr>
            <w:r>
              <w:rPr>
                <w:rFonts w:cs="Calibri"/>
                <w:color w:val="000000"/>
                <w:sz w:val="22"/>
              </w:rPr>
              <w:t>141</w:t>
            </w:r>
          </w:p>
        </w:tc>
      </w:tr>
      <w:tr w:rsidR="003E1E64" w:rsidRPr="00966A71" w14:paraId="22CED644" w14:textId="77777777" w:rsidTr="00112CA1">
        <w:trPr>
          <w:trHeight w:val="300"/>
        </w:trPr>
        <w:tc>
          <w:tcPr>
            <w:tcW w:w="4050" w:type="dxa"/>
            <w:tcBorders>
              <w:top w:val="nil"/>
              <w:left w:val="single" w:sz="4" w:space="0" w:color="auto"/>
              <w:bottom w:val="single" w:sz="4" w:space="0" w:color="auto"/>
              <w:right w:val="single" w:sz="4" w:space="0" w:color="auto"/>
            </w:tcBorders>
            <w:noWrap/>
            <w:vAlign w:val="bottom"/>
            <w:hideMark/>
          </w:tcPr>
          <w:p w14:paraId="12F35142" w14:textId="77777777" w:rsidR="003E1E64" w:rsidRPr="00966A71" w:rsidRDefault="003E1E64" w:rsidP="00112CA1">
            <w:pPr>
              <w:widowControl/>
              <w:autoSpaceDE/>
              <w:autoSpaceDN/>
              <w:rPr>
                <w:rFonts w:cs="Calibri"/>
                <w:color w:val="000000"/>
                <w:sz w:val="22"/>
              </w:rPr>
            </w:pPr>
          </w:p>
        </w:tc>
        <w:tc>
          <w:tcPr>
            <w:tcW w:w="3990" w:type="dxa"/>
            <w:tcBorders>
              <w:top w:val="nil"/>
              <w:left w:val="nil"/>
              <w:bottom w:val="single" w:sz="4" w:space="0" w:color="auto"/>
              <w:right w:val="single" w:sz="4" w:space="0" w:color="auto"/>
            </w:tcBorders>
            <w:noWrap/>
            <w:vAlign w:val="bottom"/>
            <w:hideMark/>
          </w:tcPr>
          <w:p w14:paraId="1B811FA7" w14:textId="77777777" w:rsidR="003E1E64" w:rsidRPr="00966A71" w:rsidRDefault="003E1E64" w:rsidP="00112CA1">
            <w:pPr>
              <w:widowControl/>
              <w:autoSpaceDE/>
              <w:autoSpaceDN/>
              <w:rPr>
                <w:rFonts w:cs="Calibri"/>
                <w:color w:val="000000"/>
                <w:sz w:val="22"/>
              </w:rPr>
            </w:pPr>
            <w:r>
              <w:rPr>
                <w:rFonts w:cs="Calibri"/>
                <w:color w:val="000000"/>
                <w:sz w:val="22"/>
              </w:rPr>
              <w:t>Police, Admin SUV Pursuit</w:t>
            </w:r>
          </w:p>
        </w:tc>
        <w:tc>
          <w:tcPr>
            <w:tcW w:w="1400" w:type="dxa"/>
            <w:tcBorders>
              <w:top w:val="nil"/>
              <w:left w:val="nil"/>
              <w:bottom w:val="single" w:sz="4" w:space="0" w:color="auto"/>
              <w:right w:val="single" w:sz="4" w:space="0" w:color="auto"/>
            </w:tcBorders>
            <w:noWrap/>
            <w:vAlign w:val="bottom"/>
            <w:hideMark/>
          </w:tcPr>
          <w:p w14:paraId="43A818DE" w14:textId="77777777" w:rsidR="003E1E64" w:rsidRPr="00966A71" w:rsidRDefault="003E1E64" w:rsidP="00112CA1">
            <w:pPr>
              <w:widowControl/>
              <w:autoSpaceDE/>
              <w:autoSpaceDN/>
              <w:jc w:val="center"/>
              <w:rPr>
                <w:rFonts w:cs="Calibri"/>
                <w:color w:val="000000"/>
                <w:sz w:val="22"/>
              </w:rPr>
            </w:pPr>
            <w:r>
              <w:rPr>
                <w:rFonts w:cs="Calibri"/>
                <w:color w:val="000000"/>
                <w:sz w:val="22"/>
              </w:rPr>
              <w:t>39</w:t>
            </w:r>
          </w:p>
        </w:tc>
      </w:tr>
      <w:tr w:rsidR="003E1E64" w:rsidRPr="00966A71" w14:paraId="75C0EF61" w14:textId="77777777" w:rsidTr="00112CA1">
        <w:trPr>
          <w:trHeight w:val="300"/>
        </w:trPr>
        <w:tc>
          <w:tcPr>
            <w:tcW w:w="4050" w:type="dxa"/>
            <w:tcBorders>
              <w:top w:val="nil"/>
              <w:left w:val="single" w:sz="4" w:space="0" w:color="auto"/>
              <w:bottom w:val="single" w:sz="4" w:space="0" w:color="auto"/>
              <w:right w:val="single" w:sz="4" w:space="0" w:color="auto"/>
            </w:tcBorders>
            <w:noWrap/>
            <w:vAlign w:val="bottom"/>
            <w:hideMark/>
          </w:tcPr>
          <w:p w14:paraId="73FEAB78" w14:textId="77777777" w:rsidR="003E1E64" w:rsidRPr="00966A71" w:rsidRDefault="003E1E64" w:rsidP="00112CA1">
            <w:pPr>
              <w:widowControl/>
              <w:autoSpaceDE/>
              <w:autoSpaceDN/>
              <w:rPr>
                <w:rFonts w:cs="Calibri"/>
                <w:color w:val="000000"/>
                <w:sz w:val="22"/>
              </w:rPr>
            </w:pPr>
          </w:p>
        </w:tc>
        <w:tc>
          <w:tcPr>
            <w:tcW w:w="3990" w:type="dxa"/>
            <w:tcBorders>
              <w:top w:val="nil"/>
              <w:left w:val="nil"/>
              <w:bottom w:val="single" w:sz="4" w:space="0" w:color="auto"/>
              <w:right w:val="single" w:sz="4" w:space="0" w:color="auto"/>
            </w:tcBorders>
            <w:noWrap/>
            <w:vAlign w:val="bottom"/>
            <w:hideMark/>
          </w:tcPr>
          <w:p w14:paraId="0C05005A" w14:textId="77777777" w:rsidR="003E1E64" w:rsidRPr="00966A71" w:rsidRDefault="003E1E64" w:rsidP="00112CA1">
            <w:pPr>
              <w:widowControl/>
              <w:autoSpaceDE/>
              <w:autoSpaceDN/>
              <w:rPr>
                <w:rFonts w:cs="Calibri"/>
                <w:color w:val="000000"/>
                <w:sz w:val="22"/>
              </w:rPr>
            </w:pPr>
            <w:r w:rsidRPr="00D52F03">
              <w:rPr>
                <w:rFonts w:cs="Calibri"/>
                <w:color w:val="000000"/>
                <w:sz w:val="22"/>
              </w:rPr>
              <w:t xml:space="preserve">Police, </w:t>
            </w:r>
            <w:r>
              <w:rPr>
                <w:rFonts w:cs="Calibri"/>
                <w:color w:val="000000"/>
                <w:sz w:val="22"/>
              </w:rPr>
              <w:t>Pursuit</w:t>
            </w:r>
            <w:r w:rsidRPr="00D52F03">
              <w:rPr>
                <w:rFonts w:cs="Calibri"/>
                <w:color w:val="000000"/>
                <w:sz w:val="22"/>
              </w:rPr>
              <w:t xml:space="preserve"> Truck</w:t>
            </w:r>
          </w:p>
        </w:tc>
        <w:tc>
          <w:tcPr>
            <w:tcW w:w="1400" w:type="dxa"/>
            <w:tcBorders>
              <w:top w:val="nil"/>
              <w:left w:val="nil"/>
              <w:bottom w:val="single" w:sz="4" w:space="0" w:color="auto"/>
              <w:right w:val="single" w:sz="4" w:space="0" w:color="auto"/>
            </w:tcBorders>
            <w:noWrap/>
            <w:vAlign w:val="bottom"/>
            <w:hideMark/>
          </w:tcPr>
          <w:p w14:paraId="36EB2395" w14:textId="77777777" w:rsidR="003E1E64" w:rsidRPr="00966A71" w:rsidRDefault="003E1E64" w:rsidP="00112CA1">
            <w:pPr>
              <w:widowControl/>
              <w:autoSpaceDE/>
              <w:autoSpaceDN/>
              <w:jc w:val="center"/>
              <w:rPr>
                <w:rFonts w:cs="Calibri"/>
                <w:color w:val="000000"/>
                <w:sz w:val="22"/>
              </w:rPr>
            </w:pPr>
            <w:r>
              <w:rPr>
                <w:rFonts w:cs="Calibri"/>
                <w:color w:val="000000"/>
                <w:sz w:val="22"/>
              </w:rPr>
              <w:t>15</w:t>
            </w:r>
          </w:p>
        </w:tc>
      </w:tr>
      <w:tr w:rsidR="003E1E64" w14:paraId="418A5F59" w14:textId="77777777" w:rsidTr="00112CA1">
        <w:trPr>
          <w:trHeight w:val="300"/>
        </w:trPr>
        <w:tc>
          <w:tcPr>
            <w:tcW w:w="4050" w:type="dxa"/>
            <w:tcBorders>
              <w:top w:val="nil"/>
              <w:left w:val="single" w:sz="4" w:space="0" w:color="auto"/>
              <w:bottom w:val="single" w:sz="4" w:space="0" w:color="auto"/>
              <w:right w:val="single" w:sz="4" w:space="0" w:color="auto"/>
            </w:tcBorders>
            <w:noWrap/>
            <w:vAlign w:val="bottom"/>
          </w:tcPr>
          <w:p w14:paraId="05AC5DCB" w14:textId="77777777" w:rsidR="003E1E64" w:rsidRPr="00966A71" w:rsidRDefault="003E1E64" w:rsidP="00112CA1">
            <w:pPr>
              <w:widowControl/>
              <w:autoSpaceDE/>
              <w:autoSpaceDN/>
              <w:rPr>
                <w:rFonts w:cs="Calibri"/>
                <w:color w:val="000000"/>
                <w:sz w:val="22"/>
              </w:rPr>
            </w:pPr>
          </w:p>
        </w:tc>
        <w:tc>
          <w:tcPr>
            <w:tcW w:w="3990" w:type="dxa"/>
            <w:tcBorders>
              <w:top w:val="nil"/>
              <w:left w:val="nil"/>
              <w:bottom w:val="single" w:sz="4" w:space="0" w:color="auto"/>
              <w:right w:val="single" w:sz="4" w:space="0" w:color="auto"/>
            </w:tcBorders>
            <w:noWrap/>
            <w:vAlign w:val="bottom"/>
          </w:tcPr>
          <w:p w14:paraId="4096EA78" w14:textId="77777777" w:rsidR="003E1E64" w:rsidRPr="00966A71" w:rsidRDefault="003E1E64" w:rsidP="00112CA1">
            <w:pPr>
              <w:widowControl/>
              <w:autoSpaceDE/>
              <w:autoSpaceDN/>
              <w:rPr>
                <w:rFonts w:cs="Calibri"/>
                <w:color w:val="000000"/>
                <w:sz w:val="22"/>
              </w:rPr>
            </w:pPr>
            <w:r>
              <w:rPr>
                <w:rFonts w:cs="Calibri"/>
                <w:color w:val="000000"/>
                <w:sz w:val="22"/>
              </w:rPr>
              <w:t>SUV Full Size SSV</w:t>
            </w:r>
          </w:p>
        </w:tc>
        <w:tc>
          <w:tcPr>
            <w:tcW w:w="1400" w:type="dxa"/>
            <w:tcBorders>
              <w:top w:val="nil"/>
              <w:left w:val="nil"/>
              <w:bottom w:val="single" w:sz="4" w:space="0" w:color="auto"/>
              <w:right w:val="single" w:sz="4" w:space="0" w:color="auto"/>
            </w:tcBorders>
            <w:noWrap/>
            <w:vAlign w:val="bottom"/>
          </w:tcPr>
          <w:p w14:paraId="78ADE07F" w14:textId="77777777" w:rsidR="003E1E64" w:rsidRDefault="003E1E64" w:rsidP="00112CA1">
            <w:pPr>
              <w:widowControl/>
              <w:autoSpaceDE/>
              <w:autoSpaceDN/>
              <w:jc w:val="center"/>
              <w:rPr>
                <w:rFonts w:cs="Calibri"/>
                <w:color w:val="000000"/>
                <w:sz w:val="22"/>
              </w:rPr>
            </w:pPr>
            <w:r>
              <w:rPr>
                <w:rFonts w:cs="Calibri"/>
                <w:color w:val="000000"/>
                <w:sz w:val="22"/>
              </w:rPr>
              <w:t>17</w:t>
            </w:r>
          </w:p>
        </w:tc>
      </w:tr>
      <w:tr w:rsidR="003E1E64" w14:paraId="189B9A64" w14:textId="77777777" w:rsidTr="00112CA1">
        <w:trPr>
          <w:trHeight w:val="300"/>
        </w:trPr>
        <w:tc>
          <w:tcPr>
            <w:tcW w:w="4050" w:type="dxa"/>
            <w:tcBorders>
              <w:top w:val="nil"/>
              <w:left w:val="single" w:sz="4" w:space="0" w:color="auto"/>
              <w:bottom w:val="single" w:sz="4" w:space="0" w:color="auto"/>
              <w:right w:val="single" w:sz="4" w:space="0" w:color="auto"/>
            </w:tcBorders>
            <w:noWrap/>
            <w:vAlign w:val="bottom"/>
          </w:tcPr>
          <w:p w14:paraId="7478B2DE" w14:textId="77777777" w:rsidR="003E1E64" w:rsidRPr="00966A71" w:rsidRDefault="003E1E64" w:rsidP="00112CA1">
            <w:pPr>
              <w:widowControl/>
              <w:autoSpaceDE/>
              <w:autoSpaceDN/>
              <w:rPr>
                <w:rFonts w:cs="Calibri"/>
                <w:color w:val="000000"/>
                <w:sz w:val="22"/>
              </w:rPr>
            </w:pPr>
          </w:p>
        </w:tc>
        <w:tc>
          <w:tcPr>
            <w:tcW w:w="3990" w:type="dxa"/>
            <w:tcBorders>
              <w:top w:val="nil"/>
              <w:left w:val="nil"/>
              <w:bottom w:val="single" w:sz="4" w:space="0" w:color="auto"/>
              <w:right w:val="single" w:sz="4" w:space="0" w:color="auto"/>
            </w:tcBorders>
            <w:noWrap/>
            <w:vAlign w:val="bottom"/>
          </w:tcPr>
          <w:p w14:paraId="5572F12C" w14:textId="77777777" w:rsidR="003E1E64" w:rsidRDefault="003E1E64" w:rsidP="00112CA1">
            <w:pPr>
              <w:widowControl/>
              <w:autoSpaceDE/>
              <w:autoSpaceDN/>
              <w:rPr>
                <w:rFonts w:cs="Calibri"/>
                <w:color w:val="000000"/>
                <w:sz w:val="22"/>
              </w:rPr>
            </w:pPr>
            <w:r w:rsidRPr="00CC78B4">
              <w:rPr>
                <w:rFonts w:cs="Calibri"/>
                <w:color w:val="000000"/>
                <w:sz w:val="22"/>
              </w:rPr>
              <w:t xml:space="preserve">SUV Full Size </w:t>
            </w:r>
            <w:r>
              <w:rPr>
                <w:rFonts w:cs="Calibri"/>
                <w:color w:val="000000"/>
                <w:sz w:val="22"/>
              </w:rPr>
              <w:t>PPV</w:t>
            </w:r>
          </w:p>
        </w:tc>
        <w:tc>
          <w:tcPr>
            <w:tcW w:w="1400" w:type="dxa"/>
            <w:tcBorders>
              <w:top w:val="nil"/>
              <w:left w:val="nil"/>
              <w:bottom w:val="single" w:sz="4" w:space="0" w:color="auto"/>
              <w:right w:val="single" w:sz="4" w:space="0" w:color="auto"/>
            </w:tcBorders>
            <w:noWrap/>
            <w:vAlign w:val="bottom"/>
          </w:tcPr>
          <w:p w14:paraId="359B0F02" w14:textId="77777777" w:rsidR="003E1E64" w:rsidRDefault="003E1E64" w:rsidP="00112CA1">
            <w:pPr>
              <w:widowControl/>
              <w:autoSpaceDE/>
              <w:autoSpaceDN/>
              <w:jc w:val="center"/>
              <w:rPr>
                <w:rFonts w:cs="Calibri"/>
                <w:color w:val="000000"/>
                <w:sz w:val="22"/>
              </w:rPr>
            </w:pPr>
            <w:r>
              <w:rPr>
                <w:rFonts w:cs="Calibri"/>
                <w:color w:val="000000"/>
                <w:sz w:val="22"/>
              </w:rPr>
              <w:t>10</w:t>
            </w:r>
          </w:p>
        </w:tc>
      </w:tr>
      <w:tr w:rsidR="003E1E64" w14:paraId="2DAF4623" w14:textId="77777777" w:rsidTr="00112CA1">
        <w:trPr>
          <w:trHeight w:val="300"/>
        </w:trPr>
        <w:tc>
          <w:tcPr>
            <w:tcW w:w="4050" w:type="dxa"/>
            <w:tcBorders>
              <w:top w:val="nil"/>
              <w:left w:val="single" w:sz="4" w:space="0" w:color="auto"/>
              <w:bottom w:val="single" w:sz="4" w:space="0" w:color="auto"/>
              <w:right w:val="single" w:sz="4" w:space="0" w:color="auto"/>
            </w:tcBorders>
            <w:noWrap/>
            <w:vAlign w:val="bottom"/>
          </w:tcPr>
          <w:p w14:paraId="247EBFED" w14:textId="77777777" w:rsidR="003E1E64" w:rsidRPr="00966A71" w:rsidRDefault="003E1E64" w:rsidP="00112CA1">
            <w:pPr>
              <w:widowControl/>
              <w:autoSpaceDE/>
              <w:autoSpaceDN/>
              <w:rPr>
                <w:rFonts w:cs="Calibri"/>
                <w:color w:val="000000"/>
                <w:sz w:val="22"/>
              </w:rPr>
            </w:pPr>
            <w:r w:rsidRPr="00966A71">
              <w:rPr>
                <w:rFonts w:cs="Calibri"/>
                <w:color w:val="000000"/>
                <w:sz w:val="22"/>
              </w:rPr>
              <w:t> </w:t>
            </w:r>
          </w:p>
        </w:tc>
        <w:tc>
          <w:tcPr>
            <w:tcW w:w="3990" w:type="dxa"/>
            <w:tcBorders>
              <w:top w:val="nil"/>
              <w:left w:val="nil"/>
              <w:bottom w:val="single" w:sz="4" w:space="0" w:color="auto"/>
              <w:right w:val="single" w:sz="4" w:space="0" w:color="auto"/>
            </w:tcBorders>
            <w:noWrap/>
            <w:vAlign w:val="bottom"/>
          </w:tcPr>
          <w:p w14:paraId="2D95B985" w14:textId="77777777" w:rsidR="003E1E64" w:rsidRPr="00966A71" w:rsidRDefault="003E1E64" w:rsidP="00112CA1">
            <w:pPr>
              <w:widowControl/>
              <w:autoSpaceDE/>
              <w:autoSpaceDN/>
              <w:rPr>
                <w:rFonts w:cs="Calibri"/>
                <w:color w:val="000000"/>
                <w:sz w:val="22"/>
              </w:rPr>
            </w:pPr>
            <w:r w:rsidRPr="00966A71">
              <w:rPr>
                <w:rFonts w:cs="Calibri"/>
                <w:color w:val="000000"/>
                <w:sz w:val="22"/>
              </w:rPr>
              <w:t xml:space="preserve">SUV, </w:t>
            </w:r>
            <w:r>
              <w:rPr>
                <w:rFonts w:cs="Calibri"/>
                <w:color w:val="000000"/>
                <w:sz w:val="22"/>
              </w:rPr>
              <w:t>Full Size</w:t>
            </w:r>
          </w:p>
        </w:tc>
        <w:tc>
          <w:tcPr>
            <w:tcW w:w="1400" w:type="dxa"/>
            <w:tcBorders>
              <w:top w:val="nil"/>
              <w:left w:val="nil"/>
              <w:bottom w:val="single" w:sz="4" w:space="0" w:color="auto"/>
              <w:right w:val="single" w:sz="4" w:space="0" w:color="auto"/>
            </w:tcBorders>
            <w:noWrap/>
            <w:vAlign w:val="bottom"/>
          </w:tcPr>
          <w:p w14:paraId="63FAF5A9" w14:textId="77777777" w:rsidR="003E1E64" w:rsidRDefault="003E1E64" w:rsidP="00112CA1">
            <w:pPr>
              <w:widowControl/>
              <w:autoSpaceDE/>
              <w:autoSpaceDN/>
              <w:jc w:val="center"/>
              <w:rPr>
                <w:rFonts w:cs="Calibri"/>
                <w:color w:val="000000"/>
                <w:sz w:val="22"/>
              </w:rPr>
            </w:pPr>
            <w:r>
              <w:rPr>
                <w:rFonts w:cs="Calibri"/>
                <w:color w:val="000000"/>
                <w:sz w:val="22"/>
              </w:rPr>
              <w:t>14</w:t>
            </w:r>
          </w:p>
        </w:tc>
      </w:tr>
      <w:tr w:rsidR="003E1E64" w14:paraId="2FDF9065" w14:textId="77777777" w:rsidTr="00112CA1">
        <w:trPr>
          <w:trHeight w:val="300"/>
        </w:trPr>
        <w:tc>
          <w:tcPr>
            <w:tcW w:w="4050" w:type="dxa"/>
            <w:tcBorders>
              <w:top w:val="nil"/>
              <w:left w:val="single" w:sz="4" w:space="0" w:color="auto"/>
              <w:bottom w:val="single" w:sz="4" w:space="0" w:color="auto"/>
              <w:right w:val="single" w:sz="4" w:space="0" w:color="auto"/>
            </w:tcBorders>
            <w:noWrap/>
            <w:vAlign w:val="bottom"/>
          </w:tcPr>
          <w:p w14:paraId="38227C37" w14:textId="77777777" w:rsidR="003E1E64" w:rsidRPr="00966A71" w:rsidRDefault="003E1E64" w:rsidP="00112CA1">
            <w:pPr>
              <w:widowControl/>
              <w:autoSpaceDE/>
              <w:autoSpaceDN/>
              <w:rPr>
                <w:rFonts w:cs="Calibri"/>
                <w:color w:val="000000"/>
                <w:sz w:val="22"/>
              </w:rPr>
            </w:pPr>
          </w:p>
        </w:tc>
        <w:tc>
          <w:tcPr>
            <w:tcW w:w="3990" w:type="dxa"/>
            <w:tcBorders>
              <w:top w:val="nil"/>
              <w:left w:val="nil"/>
              <w:bottom w:val="single" w:sz="4" w:space="0" w:color="auto"/>
              <w:right w:val="single" w:sz="4" w:space="0" w:color="auto"/>
            </w:tcBorders>
            <w:noWrap/>
            <w:vAlign w:val="bottom"/>
          </w:tcPr>
          <w:p w14:paraId="1E04191B" w14:textId="77777777" w:rsidR="003E1E64" w:rsidRPr="00966A71" w:rsidRDefault="003E1E64" w:rsidP="00112CA1">
            <w:pPr>
              <w:widowControl/>
              <w:autoSpaceDE/>
              <w:autoSpaceDN/>
              <w:rPr>
                <w:rFonts w:cs="Calibri"/>
                <w:color w:val="000000"/>
                <w:sz w:val="22"/>
              </w:rPr>
            </w:pPr>
            <w:r>
              <w:rPr>
                <w:rFonts w:cs="Calibri"/>
                <w:color w:val="000000"/>
                <w:sz w:val="22"/>
              </w:rPr>
              <w:t>SUV Midsize</w:t>
            </w:r>
          </w:p>
        </w:tc>
        <w:tc>
          <w:tcPr>
            <w:tcW w:w="1400" w:type="dxa"/>
            <w:tcBorders>
              <w:top w:val="nil"/>
              <w:left w:val="nil"/>
              <w:bottom w:val="single" w:sz="4" w:space="0" w:color="auto"/>
              <w:right w:val="single" w:sz="4" w:space="0" w:color="auto"/>
            </w:tcBorders>
            <w:noWrap/>
            <w:vAlign w:val="bottom"/>
          </w:tcPr>
          <w:p w14:paraId="1E43F375" w14:textId="77777777" w:rsidR="003E1E64" w:rsidRDefault="003E1E64" w:rsidP="00112CA1">
            <w:pPr>
              <w:widowControl/>
              <w:autoSpaceDE/>
              <w:autoSpaceDN/>
              <w:jc w:val="center"/>
              <w:rPr>
                <w:rFonts w:cs="Calibri"/>
                <w:color w:val="000000"/>
                <w:sz w:val="22"/>
              </w:rPr>
            </w:pPr>
            <w:r>
              <w:rPr>
                <w:rFonts w:cs="Calibri"/>
                <w:color w:val="000000"/>
                <w:sz w:val="22"/>
              </w:rPr>
              <w:t>82</w:t>
            </w:r>
          </w:p>
        </w:tc>
      </w:tr>
      <w:tr w:rsidR="003E1E64" w:rsidRPr="00966A71" w14:paraId="2AD7D1AB" w14:textId="77777777" w:rsidTr="00112CA1">
        <w:trPr>
          <w:trHeight w:val="300"/>
        </w:trPr>
        <w:tc>
          <w:tcPr>
            <w:tcW w:w="4050" w:type="dxa"/>
            <w:tcBorders>
              <w:top w:val="nil"/>
              <w:left w:val="single" w:sz="4" w:space="0" w:color="auto"/>
              <w:bottom w:val="single" w:sz="4" w:space="0" w:color="auto"/>
              <w:right w:val="single" w:sz="4" w:space="0" w:color="auto"/>
            </w:tcBorders>
            <w:noWrap/>
            <w:vAlign w:val="bottom"/>
            <w:hideMark/>
          </w:tcPr>
          <w:p w14:paraId="2EB331B5" w14:textId="77777777" w:rsidR="003E1E64" w:rsidRPr="00966A71" w:rsidRDefault="003E1E64" w:rsidP="00112CA1">
            <w:pPr>
              <w:widowControl/>
              <w:autoSpaceDE/>
              <w:autoSpaceDN/>
              <w:rPr>
                <w:rFonts w:cs="Calibri"/>
                <w:color w:val="000000"/>
                <w:sz w:val="22"/>
              </w:rPr>
            </w:pPr>
          </w:p>
        </w:tc>
        <w:tc>
          <w:tcPr>
            <w:tcW w:w="3990" w:type="dxa"/>
            <w:tcBorders>
              <w:top w:val="nil"/>
              <w:left w:val="nil"/>
              <w:bottom w:val="single" w:sz="4" w:space="0" w:color="auto"/>
              <w:right w:val="single" w:sz="4" w:space="0" w:color="auto"/>
            </w:tcBorders>
            <w:noWrap/>
            <w:vAlign w:val="bottom"/>
            <w:hideMark/>
          </w:tcPr>
          <w:p w14:paraId="2B86BD61" w14:textId="77777777" w:rsidR="003E1E64" w:rsidRPr="00966A71" w:rsidRDefault="003E1E64" w:rsidP="00112CA1">
            <w:pPr>
              <w:widowControl/>
              <w:autoSpaceDE/>
              <w:autoSpaceDN/>
              <w:rPr>
                <w:rFonts w:cs="Calibri"/>
                <w:color w:val="000000"/>
                <w:sz w:val="22"/>
              </w:rPr>
            </w:pPr>
            <w:r>
              <w:rPr>
                <w:rFonts w:cs="Calibri"/>
                <w:color w:val="000000"/>
                <w:sz w:val="22"/>
              </w:rPr>
              <w:t>SUV Compact</w:t>
            </w:r>
          </w:p>
        </w:tc>
        <w:tc>
          <w:tcPr>
            <w:tcW w:w="1400" w:type="dxa"/>
            <w:tcBorders>
              <w:top w:val="nil"/>
              <w:left w:val="nil"/>
              <w:bottom w:val="single" w:sz="4" w:space="0" w:color="auto"/>
              <w:right w:val="single" w:sz="4" w:space="0" w:color="auto"/>
            </w:tcBorders>
            <w:noWrap/>
            <w:vAlign w:val="bottom"/>
            <w:hideMark/>
          </w:tcPr>
          <w:p w14:paraId="6B1BF6CC" w14:textId="77777777" w:rsidR="003E1E64" w:rsidRPr="00966A71" w:rsidRDefault="003E1E64" w:rsidP="00112CA1">
            <w:pPr>
              <w:widowControl/>
              <w:autoSpaceDE/>
              <w:autoSpaceDN/>
              <w:jc w:val="center"/>
              <w:rPr>
                <w:rFonts w:cs="Calibri"/>
                <w:color w:val="000000"/>
                <w:sz w:val="22"/>
              </w:rPr>
            </w:pPr>
            <w:r>
              <w:rPr>
                <w:rFonts w:cs="Calibri"/>
                <w:color w:val="000000"/>
                <w:sz w:val="22"/>
              </w:rPr>
              <w:t>17</w:t>
            </w:r>
          </w:p>
        </w:tc>
      </w:tr>
      <w:tr w:rsidR="003E1E64" w14:paraId="1DF03A80" w14:textId="77777777" w:rsidTr="00112CA1">
        <w:trPr>
          <w:trHeight w:val="300"/>
        </w:trPr>
        <w:tc>
          <w:tcPr>
            <w:tcW w:w="4050" w:type="dxa"/>
            <w:tcBorders>
              <w:top w:val="nil"/>
              <w:left w:val="single" w:sz="4" w:space="0" w:color="auto"/>
              <w:bottom w:val="single" w:sz="4" w:space="0" w:color="auto"/>
              <w:right w:val="single" w:sz="4" w:space="0" w:color="auto"/>
            </w:tcBorders>
            <w:noWrap/>
            <w:vAlign w:val="bottom"/>
          </w:tcPr>
          <w:p w14:paraId="349353C8" w14:textId="77777777" w:rsidR="003E1E64" w:rsidRPr="00966A71" w:rsidRDefault="003E1E64" w:rsidP="00112CA1">
            <w:pPr>
              <w:widowControl/>
              <w:autoSpaceDE/>
              <w:autoSpaceDN/>
              <w:rPr>
                <w:rFonts w:cs="Calibri"/>
                <w:color w:val="000000"/>
                <w:sz w:val="22"/>
              </w:rPr>
            </w:pPr>
            <w:r w:rsidRPr="00966A71">
              <w:rPr>
                <w:rFonts w:cs="Calibri"/>
                <w:color w:val="000000"/>
                <w:sz w:val="22"/>
              </w:rPr>
              <w:t> </w:t>
            </w:r>
          </w:p>
        </w:tc>
        <w:tc>
          <w:tcPr>
            <w:tcW w:w="3990" w:type="dxa"/>
            <w:tcBorders>
              <w:top w:val="nil"/>
              <w:left w:val="nil"/>
              <w:bottom w:val="single" w:sz="4" w:space="0" w:color="auto"/>
              <w:right w:val="single" w:sz="4" w:space="0" w:color="auto"/>
            </w:tcBorders>
            <w:noWrap/>
            <w:vAlign w:val="bottom"/>
          </w:tcPr>
          <w:p w14:paraId="1301DE26" w14:textId="77777777" w:rsidR="003E1E64" w:rsidRPr="00966A71" w:rsidRDefault="003E1E64" w:rsidP="00112CA1">
            <w:pPr>
              <w:widowControl/>
              <w:autoSpaceDE/>
              <w:autoSpaceDN/>
              <w:rPr>
                <w:rFonts w:cs="Calibri"/>
                <w:color w:val="000000"/>
                <w:sz w:val="22"/>
              </w:rPr>
            </w:pPr>
            <w:r w:rsidRPr="00966A71">
              <w:rPr>
                <w:rFonts w:cs="Calibri"/>
                <w:color w:val="000000"/>
                <w:sz w:val="22"/>
              </w:rPr>
              <w:t>Truck, 1 Ton, Generic Asset</w:t>
            </w:r>
          </w:p>
        </w:tc>
        <w:tc>
          <w:tcPr>
            <w:tcW w:w="1400" w:type="dxa"/>
            <w:tcBorders>
              <w:top w:val="nil"/>
              <w:left w:val="nil"/>
              <w:bottom w:val="single" w:sz="4" w:space="0" w:color="auto"/>
              <w:right w:val="single" w:sz="4" w:space="0" w:color="auto"/>
            </w:tcBorders>
            <w:noWrap/>
            <w:vAlign w:val="bottom"/>
          </w:tcPr>
          <w:p w14:paraId="49B41E03" w14:textId="77777777" w:rsidR="003E1E64" w:rsidRDefault="003E1E64" w:rsidP="00112CA1">
            <w:pPr>
              <w:widowControl/>
              <w:autoSpaceDE/>
              <w:autoSpaceDN/>
              <w:jc w:val="center"/>
              <w:rPr>
                <w:rFonts w:cs="Calibri"/>
                <w:color w:val="000000"/>
                <w:sz w:val="22"/>
              </w:rPr>
            </w:pPr>
            <w:r>
              <w:rPr>
                <w:rFonts w:cs="Calibri"/>
                <w:color w:val="000000"/>
                <w:sz w:val="22"/>
              </w:rPr>
              <w:t>3</w:t>
            </w:r>
          </w:p>
        </w:tc>
      </w:tr>
      <w:tr w:rsidR="003E1E64" w14:paraId="78209D45" w14:textId="77777777" w:rsidTr="00112CA1">
        <w:trPr>
          <w:trHeight w:val="300"/>
        </w:trPr>
        <w:tc>
          <w:tcPr>
            <w:tcW w:w="4050" w:type="dxa"/>
            <w:tcBorders>
              <w:top w:val="nil"/>
              <w:left w:val="single" w:sz="4" w:space="0" w:color="auto"/>
              <w:bottom w:val="single" w:sz="4" w:space="0" w:color="auto"/>
              <w:right w:val="single" w:sz="4" w:space="0" w:color="auto"/>
            </w:tcBorders>
            <w:noWrap/>
            <w:vAlign w:val="bottom"/>
          </w:tcPr>
          <w:p w14:paraId="2400F913" w14:textId="77777777" w:rsidR="003E1E64" w:rsidRPr="00966A71" w:rsidRDefault="003E1E64" w:rsidP="00112CA1">
            <w:pPr>
              <w:widowControl/>
              <w:autoSpaceDE/>
              <w:autoSpaceDN/>
              <w:rPr>
                <w:rFonts w:cs="Calibri"/>
                <w:color w:val="000000"/>
                <w:sz w:val="22"/>
              </w:rPr>
            </w:pPr>
            <w:r w:rsidRPr="00966A71">
              <w:rPr>
                <w:rFonts w:cs="Calibri"/>
                <w:color w:val="000000"/>
                <w:sz w:val="22"/>
              </w:rPr>
              <w:t> </w:t>
            </w:r>
          </w:p>
        </w:tc>
        <w:tc>
          <w:tcPr>
            <w:tcW w:w="3990" w:type="dxa"/>
            <w:tcBorders>
              <w:top w:val="nil"/>
              <w:left w:val="nil"/>
              <w:bottom w:val="single" w:sz="4" w:space="0" w:color="auto"/>
              <w:right w:val="single" w:sz="4" w:space="0" w:color="auto"/>
            </w:tcBorders>
            <w:noWrap/>
            <w:vAlign w:val="bottom"/>
          </w:tcPr>
          <w:p w14:paraId="546006B2" w14:textId="77777777" w:rsidR="003E1E64" w:rsidRPr="00966A71" w:rsidRDefault="003E1E64" w:rsidP="00112CA1">
            <w:pPr>
              <w:widowControl/>
              <w:autoSpaceDE/>
              <w:autoSpaceDN/>
              <w:rPr>
                <w:rFonts w:cs="Calibri"/>
                <w:color w:val="000000"/>
                <w:sz w:val="22"/>
              </w:rPr>
            </w:pPr>
            <w:r w:rsidRPr="00966A71">
              <w:rPr>
                <w:rFonts w:cs="Calibri"/>
                <w:color w:val="000000"/>
                <w:sz w:val="22"/>
              </w:rPr>
              <w:t>Truck, 1/2 Ton, Generic Asset</w:t>
            </w:r>
          </w:p>
        </w:tc>
        <w:tc>
          <w:tcPr>
            <w:tcW w:w="1400" w:type="dxa"/>
            <w:tcBorders>
              <w:top w:val="nil"/>
              <w:left w:val="nil"/>
              <w:bottom w:val="single" w:sz="4" w:space="0" w:color="auto"/>
              <w:right w:val="single" w:sz="4" w:space="0" w:color="auto"/>
            </w:tcBorders>
            <w:noWrap/>
            <w:vAlign w:val="bottom"/>
          </w:tcPr>
          <w:p w14:paraId="02EDCEBB" w14:textId="77777777" w:rsidR="003E1E64" w:rsidRDefault="003E1E64" w:rsidP="00112CA1">
            <w:pPr>
              <w:widowControl/>
              <w:autoSpaceDE/>
              <w:autoSpaceDN/>
              <w:jc w:val="center"/>
              <w:rPr>
                <w:rFonts w:cs="Calibri"/>
                <w:color w:val="000000"/>
                <w:sz w:val="22"/>
              </w:rPr>
            </w:pPr>
            <w:r>
              <w:rPr>
                <w:rFonts w:cs="Calibri"/>
                <w:color w:val="000000"/>
                <w:sz w:val="22"/>
              </w:rPr>
              <w:t>70</w:t>
            </w:r>
          </w:p>
        </w:tc>
      </w:tr>
      <w:tr w:rsidR="003E1E64" w:rsidRPr="00966A71" w14:paraId="4EE9421E" w14:textId="77777777" w:rsidTr="00112CA1">
        <w:trPr>
          <w:trHeight w:val="300"/>
        </w:trPr>
        <w:tc>
          <w:tcPr>
            <w:tcW w:w="4050" w:type="dxa"/>
            <w:tcBorders>
              <w:top w:val="nil"/>
              <w:left w:val="single" w:sz="4" w:space="0" w:color="auto"/>
              <w:bottom w:val="single" w:sz="4" w:space="0" w:color="auto"/>
              <w:right w:val="single" w:sz="4" w:space="0" w:color="auto"/>
            </w:tcBorders>
            <w:noWrap/>
            <w:vAlign w:val="bottom"/>
            <w:hideMark/>
          </w:tcPr>
          <w:p w14:paraId="163E48E5" w14:textId="77777777" w:rsidR="003E1E64" w:rsidRPr="00966A71" w:rsidRDefault="003E1E64" w:rsidP="00112CA1">
            <w:pPr>
              <w:widowControl/>
              <w:autoSpaceDE/>
              <w:autoSpaceDN/>
              <w:rPr>
                <w:rFonts w:cs="Calibri"/>
                <w:color w:val="000000"/>
                <w:sz w:val="22"/>
              </w:rPr>
            </w:pPr>
            <w:r w:rsidRPr="00966A71">
              <w:rPr>
                <w:rFonts w:cs="Calibri"/>
                <w:color w:val="000000"/>
                <w:sz w:val="22"/>
              </w:rPr>
              <w:t> </w:t>
            </w:r>
          </w:p>
        </w:tc>
        <w:tc>
          <w:tcPr>
            <w:tcW w:w="3990" w:type="dxa"/>
            <w:tcBorders>
              <w:top w:val="nil"/>
              <w:left w:val="nil"/>
              <w:bottom w:val="single" w:sz="4" w:space="0" w:color="auto"/>
              <w:right w:val="single" w:sz="4" w:space="0" w:color="auto"/>
            </w:tcBorders>
            <w:noWrap/>
            <w:vAlign w:val="bottom"/>
            <w:hideMark/>
          </w:tcPr>
          <w:p w14:paraId="6E7F4817" w14:textId="77777777" w:rsidR="003E1E64" w:rsidRPr="00966A71" w:rsidRDefault="003E1E64" w:rsidP="00112CA1">
            <w:pPr>
              <w:widowControl/>
              <w:autoSpaceDE/>
              <w:autoSpaceDN/>
              <w:rPr>
                <w:rFonts w:cs="Calibri"/>
                <w:color w:val="000000"/>
                <w:sz w:val="22"/>
              </w:rPr>
            </w:pPr>
            <w:r w:rsidRPr="00966A71">
              <w:rPr>
                <w:rFonts w:cs="Calibri"/>
                <w:color w:val="000000"/>
                <w:sz w:val="22"/>
              </w:rPr>
              <w:t>Truck, 3/4 Ton, Generic Asset</w:t>
            </w:r>
          </w:p>
        </w:tc>
        <w:tc>
          <w:tcPr>
            <w:tcW w:w="1400" w:type="dxa"/>
            <w:tcBorders>
              <w:top w:val="nil"/>
              <w:left w:val="nil"/>
              <w:bottom w:val="single" w:sz="4" w:space="0" w:color="auto"/>
              <w:right w:val="single" w:sz="4" w:space="0" w:color="auto"/>
            </w:tcBorders>
            <w:noWrap/>
            <w:vAlign w:val="bottom"/>
            <w:hideMark/>
          </w:tcPr>
          <w:p w14:paraId="23FD7E76" w14:textId="77777777" w:rsidR="003E1E64" w:rsidRPr="00966A71" w:rsidRDefault="003E1E64" w:rsidP="00112CA1">
            <w:pPr>
              <w:widowControl/>
              <w:autoSpaceDE/>
              <w:autoSpaceDN/>
              <w:jc w:val="center"/>
              <w:rPr>
                <w:rFonts w:cs="Calibri"/>
                <w:color w:val="000000"/>
                <w:sz w:val="22"/>
              </w:rPr>
            </w:pPr>
            <w:r>
              <w:rPr>
                <w:rFonts w:cs="Calibri"/>
                <w:color w:val="000000"/>
                <w:sz w:val="22"/>
              </w:rPr>
              <w:t>35</w:t>
            </w:r>
          </w:p>
        </w:tc>
      </w:tr>
      <w:tr w:rsidR="003E1E64" w:rsidRPr="00966A71" w14:paraId="3B0B0D7A" w14:textId="77777777" w:rsidTr="00112CA1">
        <w:trPr>
          <w:trHeight w:val="300"/>
        </w:trPr>
        <w:tc>
          <w:tcPr>
            <w:tcW w:w="4050" w:type="dxa"/>
            <w:tcBorders>
              <w:top w:val="nil"/>
              <w:left w:val="single" w:sz="4" w:space="0" w:color="auto"/>
              <w:bottom w:val="single" w:sz="4" w:space="0" w:color="auto"/>
              <w:right w:val="single" w:sz="4" w:space="0" w:color="auto"/>
            </w:tcBorders>
            <w:noWrap/>
            <w:vAlign w:val="bottom"/>
            <w:hideMark/>
          </w:tcPr>
          <w:p w14:paraId="659A5D27" w14:textId="77777777" w:rsidR="003E1E64" w:rsidRPr="00966A71" w:rsidRDefault="003E1E64" w:rsidP="00112CA1">
            <w:pPr>
              <w:widowControl/>
              <w:autoSpaceDE/>
              <w:autoSpaceDN/>
              <w:rPr>
                <w:rFonts w:cs="Calibri"/>
                <w:color w:val="000000"/>
                <w:sz w:val="22"/>
              </w:rPr>
            </w:pPr>
            <w:r w:rsidRPr="00966A71">
              <w:rPr>
                <w:rFonts w:cs="Calibri"/>
                <w:color w:val="000000"/>
                <w:sz w:val="22"/>
              </w:rPr>
              <w:t> </w:t>
            </w:r>
          </w:p>
        </w:tc>
        <w:tc>
          <w:tcPr>
            <w:tcW w:w="3990" w:type="dxa"/>
            <w:tcBorders>
              <w:top w:val="nil"/>
              <w:left w:val="nil"/>
              <w:bottom w:val="single" w:sz="4" w:space="0" w:color="auto"/>
              <w:right w:val="single" w:sz="4" w:space="0" w:color="auto"/>
            </w:tcBorders>
            <w:noWrap/>
            <w:vAlign w:val="bottom"/>
            <w:hideMark/>
          </w:tcPr>
          <w:p w14:paraId="6DF47C5A" w14:textId="77777777" w:rsidR="003E1E64" w:rsidRPr="00966A71" w:rsidRDefault="003E1E64" w:rsidP="00112CA1">
            <w:pPr>
              <w:widowControl/>
              <w:autoSpaceDE/>
              <w:autoSpaceDN/>
              <w:rPr>
                <w:rFonts w:cs="Calibri"/>
                <w:color w:val="000000"/>
                <w:sz w:val="22"/>
              </w:rPr>
            </w:pPr>
            <w:r w:rsidRPr="00966A71">
              <w:rPr>
                <w:rFonts w:cs="Calibri"/>
                <w:color w:val="000000"/>
                <w:spacing w:val="-1"/>
                <w:sz w:val="22"/>
              </w:rPr>
              <w:t xml:space="preserve">Van, </w:t>
            </w:r>
            <w:r>
              <w:rPr>
                <w:rFonts w:cs="Calibri"/>
                <w:color w:val="000000"/>
                <w:spacing w:val="-1"/>
                <w:sz w:val="22"/>
              </w:rPr>
              <w:t xml:space="preserve">Passenger </w:t>
            </w:r>
            <w:r w:rsidRPr="00966A71">
              <w:rPr>
                <w:rFonts w:cs="Calibri"/>
                <w:color w:val="000000"/>
                <w:spacing w:val="-1"/>
                <w:sz w:val="22"/>
              </w:rPr>
              <w:t>Generic Asset</w:t>
            </w:r>
          </w:p>
        </w:tc>
        <w:tc>
          <w:tcPr>
            <w:tcW w:w="1400" w:type="dxa"/>
            <w:tcBorders>
              <w:top w:val="nil"/>
              <w:left w:val="nil"/>
              <w:bottom w:val="single" w:sz="4" w:space="0" w:color="auto"/>
              <w:right w:val="single" w:sz="4" w:space="0" w:color="auto"/>
            </w:tcBorders>
            <w:noWrap/>
            <w:vAlign w:val="bottom"/>
            <w:hideMark/>
          </w:tcPr>
          <w:p w14:paraId="57538B12" w14:textId="77777777" w:rsidR="003E1E64" w:rsidRPr="00966A71" w:rsidRDefault="003E1E64" w:rsidP="00112CA1">
            <w:pPr>
              <w:widowControl/>
              <w:autoSpaceDE/>
              <w:autoSpaceDN/>
              <w:jc w:val="center"/>
              <w:rPr>
                <w:rFonts w:cs="Calibri"/>
                <w:color w:val="000000"/>
                <w:sz w:val="22"/>
              </w:rPr>
            </w:pPr>
            <w:r>
              <w:rPr>
                <w:rFonts w:cs="Calibri"/>
                <w:color w:val="000000"/>
                <w:sz w:val="22"/>
              </w:rPr>
              <w:t>56</w:t>
            </w:r>
          </w:p>
        </w:tc>
      </w:tr>
      <w:tr w:rsidR="003E1E64" w:rsidRPr="00966A71" w14:paraId="34242E39" w14:textId="77777777" w:rsidTr="00112CA1">
        <w:trPr>
          <w:trHeight w:val="300"/>
        </w:trPr>
        <w:tc>
          <w:tcPr>
            <w:tcW w:w="4050" w:type="dxa"/>
            <w:tcBorders>
              <w:top w:val="nil"/>
              <w:left w:val="single" w:sz="4" w:space="0" w:color="auto"/>
              <w:bottom w:val="single" w:sz="4" w:space="0" w:color="auto"/>
              <w:right w:val="single" w:sz="4" w:space="0" w:color="auto"/>
            </w:tcBorders>
            <w:noWrap/>
            <w:vAlign w:val="bottom"/>
            <w:hideMark/>
          </w:tcPr>
          <w:p w14:paraId="3210D64A" w14:textId="77777777" w:rsidR="003E1E64" w:rsidRPr="00966A71" w:rsidRDefault="003E1E64" w:rsidP="00112CA1">
            <w:pPr>
              <w:widowControl/>
              <w:autoSpaceDE/>
              <w:autoSpaceDN/>
              <w:rPr>
                <w:rFonts w:cs="Calibri"/>
                <w:color w:val="000000"/>
                <w:sz w:val="22"/>
              </w:rPr>
            </w:pPr>
          </w:p>
        </w:tc>
        <w:tc>
          <w:tcPr>
            <w:tcW w:w="3990" w:type="dxa"/>
            <w:tcBorders>
              <w:top w:val="nil"/>
              <w:left w:val="nil"/>
              <w:bottom w:val="single" w:sz="4" w:space="0" w:color="auto"/>
              <w:right w:val="single" w:sz="4" w:space="0" w:color="auto"/>
            </w:tcBorders>
            <w:noWrap/>
            <w:vAlign w:val="bottom"/>
            <w:hideMark/>
          </w:tcPr>
          <w:p w14:paraId="4AF9ADF9" w14:textId="77777777" w:rsidR="003E1E64" w:rsidRPr="00966A71" w:rsidRDefault="003E1E64" w:rsidP="00112CA1">
            <w:pPr>
              <w:widowControl/>
              <w:autoSpaceDE/>
              <w:autoSpaceDN/>
              <w:rPr>
                <w:rFonts w:cs="Calibri"/>
                <w:color w:val="000000"/>
                <w:sz w:val="22"/>
              </w:rPr>
            </w:pPr>
            <w:r>
              <w:rPr>
                <w:rFonts w:cs="Calibri"/>
                <w:color w:val="000000"/>
                <w:spacing w:val="-1"/>
                <w:sz w:val="22"/>
              </w:rPr>
              <w:t>Minivan</w:t>
            </w:r>
          </w:p>
        </w:tc>
        <w:tc>
          <w:tcPr>
            <w:tcW w:w="1400" w:type="dxa"/>
            <w:tcBorders>
              <w:top w:val="nil"/>
              <w:left w:val="nil"/>
              <w:bottom w:val="single" w:sz="4" w:space="0" w:color="auto"/>
              <w:right w:val="single" w:sz="4" w:space="0" w:color="auto"/>
            </w:tcBorders>
            <w:noWrap/>
            <w:vAlign w:val="bottom"/>
            <w:hideMark/>
          </w:tcPr>
          <w:p w14:paraId="6794022C" w14:textId="77777777" w:rsidR="003E1E64" w:rsidRPr="00966A71" w:rsidRDefault="003E1E64" w:rsidP="00112CA1">
            <w:pPr>
              <w:widowControl/>
              <w:autoSpaceDE/>
              <w:autoSpaceDN/>
              <w:jc w:val="center"/>
              <w:rPr>
                <w:rFonts w:cs="Calibri"/>
                <w:color w:val="000000"/>
                <w:sz w:val="22"/>
              </w:rPr>
            </w:pPr>
            <w:r>
              <w:rPr>
                <w:rFonts w:cs="Calibri"/>
                <w:color w:val="000000"/>
                <w:sz w:val="22"/>
              </w:rPr>
              <w:t>15</w:t>
            </w:r>
          </w:p>
        </w:tc>
      </w:tr>
      <w:tr w:rsidR="003E1E64" w:rsidRPr="00966A71" w14:paraId="3F7BC6A3" w14:textId="77777777" w:rsidTr="00112CA1">
        <w:trPr>
          <w:trHeight w:val="300"/>
        </w:trPr>
        <w:tc>
          <w:tcPr>
            <w:tcW w:w="4050" w:type="dxa"/>
            <w:tcBorders>
              <w:top w:val="nil"/>
              <w:left w:val="single" w:sz="4" w:space="0" w:color="auto"/>
              <w:bottom w:val="single" w:sz="4" w:space="0" w:color="auto"/>
              <w:right w:val="single" w:sz="4" w:space="0" w:color="auto"/>
            </w:tcBorders>
            <w:noWrap/>
            <w:vAlign w:val="bottom"/>
            <w:hideMark/>
          </w:tcPr>
          <w:p w14:paraId="6B0E0B2F" w14:textId="77777777" w:rsidR="003E1E64" w:rsidRPr="00966A71" w:rsidRDefault="003E1E64" w:rsidP="00112CA1">
            <w:pPr>
              <w:widowControl/>
              <w:autoSpaceDE/>
              <w:autoSpaceDN/>
              <w:rPr>
                <w:rFonts w:cs="Calibri"/>
                <w:color w:val="000000"/>
                <w:sz w:val="22"/>
              </w:rPr>
            </w:pPr>
          </w:p>
        </w:tc>
        <w:tc>
          <w:tcPr>
            <w:tcW w:w="3990" w:type="dxa"/>
            <w:tcBorders>
              <w:top w:val="nil"/>
              <w:left w:val="nil"/>
              <w:bottom w:val="single" w:sz="4" w:space="0" w:color="auto"/>
              <w:right w:val="single" w:sz="4" w:space="0" w:color="auto"/>
            </w:tcBorders>
            <w:noWrap/>
            <w:vAlign w:val="bottom"/>
            <w:hideMark/>
          </w:tcPr>
          <w:p w14:paraId="14CFF90C" w14:textId="77777777" w:rsidR="003E1E64" w:rsidRPr="00966A71" w:rsidRDefault="003E1E64" w:rsidP="00112CA1">
            <w:pPr>
              <w:widowControl/>
              <w:autoSpaceDE/>
              <w:autoSpaceDN/>
              <w:rPr>
                <w:rFonts w:cs="Calibri"/>
                <w:color w:val="000000"/>
                <w:sz w:val="22"/>
              </w:rPr>
            </w:pPr>
            <w:r>
              <w:rPr>
                <w:rFonts w:cs="Calibri"/>
                <w:color w:val="000000"/>
                <w:spacing w:val="-1"/>
                <w:sz w:val="22"/>
              </w:rPr>
              <w:t>Compact Truck</w:t>
            </w:r>
          </w:p>
        </w:tc>
        <w:tc>
          <w:tcPr>
            <w:tcW w:w="1400" w:type="dxa"/>
            <w:tcBorders>
              <w:top w:val="nil"/>
              <w:left w:val="nil"/>
              <w:bottom w:val="single" w:sz="4" w:space="0" w:color="auto"/>
              <w:right w:val="single" w:sz="4" w:space="0" w:color="auto"/>
            </w:tcBorders>
            <w:noWrap/>
            <w:vAlign w:val="bottom"/>
            <w:hideMark/>
          </w:tcPr>
          <w:p w14:paraId="0991F54A" w14:textId="77777777" w:rsidR="003E1E64" w:rsidRPr="00966A71" w:rsidRDefault="003E1E64" w:rsidP="00112CA1">
            <w:pPr>
              <w:widowControl/>
              <w:autoSpaceDE/>
              <w:autoSpaceDN/>
              <w:jc w:val="center"/>
              <w:rPr>
                <w:rFonts w:cs="Calibri"/>
                <w:color w:val="000000"/>
                <w:sz w:val="22"/>
              </w:rPr>
            </w:pPr>
            <w:r>
              <w:rPr>
                <w:rFonts w:cs="Calibri"/>
                <w:color w:val="000000"/>
                <w:sz w:val="22"/>
              </w:rPr>
              <w:t>17</w:t>
            </w:r>
          </w:p>
        </w:tc>
      </w:tr>
      <w:tr w:rsidR="003E1E64" w:rsidRPr="00966A71" w14:paraId="5B2258A2" w14:textId="77777777" w:rsidTr="00112CA1">
        <w:trPr>
          <w:trHeight w:val="300"/>
        </w:trPr>
        <w:tc>
          <w:tcPr>
            <w:tcW w:w="4050" w:type="dxa"/>
            <w:tcBorders>
              <w:top w:val="nil"/>
              <w:left w:val="single" w:sz="4" w:space="0" w:color="auto"/>
              <w:bottom w:val="single" w:sz="4" w:space="0" w:color="auto"/>
              <w:right w:val="single" w:sz="4" w:space="0" w:color="auto"/>
            </w:tcBorders>
            <w:shd w:val="clear" w:color="000000" w:fill="DDEBF7"/>
            <w:noWrap/>
            <w:vAlign w:val="bottom"/>
            <w:hideMark/>
          </w:tcPr>
          <w:p w14:paraId="0A80423F" w14:textId="77777777" w:rsidR="003E1E64" w:rsidRPr="00966A71" w:rsidRDefault="003E1E64" w:rsidP="00112CA1">
            <w:pPr>
              <w:widowControl/>
              <w:autoSpaceDE/>
              <w:autoSpaceDN/>
              <w:rPr>
                <w:rFonts w:cs="Calibri"/>
                <w:color w:val="000000"/>
                <w:sz w:val="22"/>
              </w:rPr>
            </w:pPr>
            <w:r w:rsidRPr="00966A71">
              <w:rPr>
                <w:rFonts w:cs="Calibri"/>
                <w:sz w:val="22"/>
              </w:rPr>
              <w:t>Vehicle and Asset Management Total</w:t>
            </w:r>
          </w:p>
        </w:tc>
        <w:tc>
          <w:tcPr>
            <w:tcW w:w="3990" w:type="dxa"/>
            <w:tcBorders>
              <w:top w:val="nil"/>
              <w:left w:val="nil"/>
              <w:bottom w:val="single" w:sz="4" w:space="0" w:color="auto"/>
              <w:right w:val="single" w:sz="4" w:space="0" w:color="auto"/>
            </w:tcBorders>
            <w:shd w:val="clear" w:color="000000" w:fill="DDEBF7"/>
            <w:noWrap/>
            <w:vAlign w:val="bottom"/>
            <w:hideMark/>
          </w:tcPr>
          <w:p w14:paraId="757A14FE" w14:textId="77777777" w:rsidR="003E1E64" w:rsidRPr="00966A71" w:rsidRDefault="003E1E64" w:rsidP="00112CA1">
            <w:pPr>
              <w:widowControl/>
              <w:autoSpaceDE/>
              <w:autoSpaceDN/>
              <w:rPr>
                <w:rFonts w:cs="Calibri"/>
                <w:color w:val="000000"/>
                <w:sz w:val="22"/>
              </w:rPr>
            </w:pPr>
            <w:r w:rsidRPr="00966A71">
              <w:rPr>
                <w:rFonts w:cs="Calibri"/>
                <w:color w:val="000000"/>
                <w:spacing w:val="-1"/>
                <w:sz w:val="22"/>
              </w:rPr>
              <w:t> </w:t>
            </w:r>
          </w:p>
        </w:tc>
        <w:tc>
          <w:tcPr>
            <w:tcW w:w="1400" w:type="dxa"/>
            <w:tcBorders>
              <w:top w:val="nil"/>
              <w:left w:val="nil"/>
              <w:bottom w:val="single" w:sz="4" w:space="0" w:color="auto"/>
              <w:right w:val="single" w:sz="4" w:space="0" w:color="auto"/>
            </w:tcBorders>
            <w:shd w:val="clear" w:color="000000" w:fill="DDEBF7"/>
            <w:noWrap/>
            <w:vAlign w:val="bottom"/>
            <w:hideMark/>
          </w:tcPr>
          <w:p w14:paraId="6784579F" w14:textId="77777777" w:rsidR="003E1E64" w:rsidRPr="00966A71" w:rsidRDefault="003E1E64" w:rsidP="00112CA1">
            <w:pPr>
              <w:widowControl/>
              <w:autoSpaceDE/>
              <w:autoSpaceDN/>
              <w:jc w:val="center"/>
              <w:rPr>
                <w:rFonts w:cs="Calibri"/>
                <w:color w:val="000000"/>
                <w:sz w:val="22"/>
              </w:rPr>
            </w:pPr>
            <w:r>
              <w:rPr>
                <w:rFonts w:cs="Calibri"/>
                <w:color w:val="000000"/>
                <w:sz w:val="22"/>
              </w:rPr>
              <w:t>608</w:t>
            </w:r>
          </w:p>
        </w:tc>
      </w:tr>
    </w:tbl>
    <w:p w14:paraId="746DAF19" w14:textId="77777777" w:rsidR="003E1E64" w:rsidRPr="003E1E64" w:rsidRDefault="003E1E64" w:rsidP="003E1E64">
      <w:pPr>
        <w:spacing w:after="240"/>
      </w:pPr>
    </w:p>
    <w:p w14:paraId="64866F20" w14:textId="77777777" w:rsidR="003A4906" w:rsidRDefault="003A4906" w:rsidP="003A4906">
      <w:pPr>
        <w:pStyle w:val="Heading2"/>
        <w:kinsoku w:val="0"/>
        <w:overflowPunct w:val="0"/>
        <w:rPr>
          <w:b w:val="0"/>
          <w:bCs/>
        </w:rPr>
      </w:pPr>
      <w:r>
        <w:lastRenderedPageBreak/>
        <w:t>Sec</w:t>
      </w:r>
      <w:r>
        <w:rPr>
          <w:spacing w:val="-1"/>
        </w:rPr>
        <w:t>t</w:t>
      </w:r>
      <w:r>
        <w:t>i</w:t>
      </w:r>
      <w:r>
        <w:rPr>
          <w:spacing w:val="1"/>
        </w:rPr>
        <w:t>o</w:t>
      </w:r>
      <w:r>
        <w:t>n</w:t>
      </w:r>
      <w:r>
        <w:rPr>
          <w:spacing w:val="-20"/>
        </w:rPr>
        <w:t xml:space="preserve"> </w:t>
      </w:r>
      <w:r>
        <w:t>T</w:t>
      </w:r>
      <w:r>
        <w:rPr>
          <w:spacing w:val="-1"/>
        </w:rPr>
        <w:t>w</w:t>
      </w:r>
      <w:r>
        <w:rPr>
          <w:spacing w:val="1"/>
        </w:rPr>
        <w:t>o</w:t>
      </w:r>
      <w:r>
        <w:t>:</w:t>
      </w:r>
      <w:r>
        <w:rPr>
          <w:spacing w:val="-17"/>
        </w:rPr>
        <w:t xml:space="preserve"> </w:t>
      </w:r>
      <w:r>
        <w:t>S</w:t>
      </w:r>
      <w:r>
        <w:rPr>
          <w:spacing w:val="-1"/>
        </w:rPr>
        <w:t>p</w:t>
      </w:r>
      <w:r>
        <w:t>e</w:t>
      </w:r>
      <w:r>
        <w:rPr>
          <w:spacing w:val="3"/>
        </w:rPr>
        <w:t>c</w:t>
      </w:r>
      <w:r>
        <w:t>i</w:t>
      </w:r>
      <w:r>
        <w:rPr>
          <w:spacing w:val="-1"/>
        </w:rPr>
        <w:t>f</w:t>
      </w:r>
      <w:r>
        <w:t>ica</w:t>
      </w:r>
      <w:r>
        <w:rPr>
          <w:spacing w:val="-1"/>
        </w:rPr>
        <w:t>t</w:t>
      </w:r>
      <w:r>
        <w:t>io</w:t>
      </w:r>
      <w:r>
        <w:rPr>
          <w:spacing w:val="-1"/>
        </w:rPr>
        <w:t>n</w:t>
      </w:r>
      <w:r>
        <w:t>s</w:t>
      </w:r>
    </w:p>
    <w:p w14:paraId="34C3FF3A" w14:textId="731297DA" w:rsidR="003E1E64" w:rsidRPr="00404943" w:rsidRDefault="003A4906" w:rsidP="003E1E64">
      <w:pPr>
        <w:pStyle w:val="Heading2"/>
      </w:pPr>
      <w:r>
        <w:rPr>
          <w:u w:val="single"/>
        </w:rPr>
        <w:t>G</w:t>
      </w:r>
      <w:r>
        <w:rPr>
          <w:spacing w:val="-1"/>
          <w:u w:val="single"/>
        </w:rPr>
        <w:t>e</w:t>
      </w:r>
      <w:r>
        <w:rPr>
          <w:spacing w:val="2"/>
          <w:u w:val="single"/>
        </w:rPr>
        <w:t>n</w:t>
      </w:r>
      <w:r>
        <w:rPr>
          <w:spacing w:val="-1"/>
          <w:u w:val="single"/>
        </w:rPr>
        <w:t>e</w:t>
      </w:r>
      <w:r>
        <w:rPr>
          <w:spacing w:val="1"/>
          <w:u w:val="single"/>
        </w:rPr>
        <w:t>r</w:t>
      </w:r>
      <w:r>
        <w:rPr>
          <w:spacing w:val="-1"/>
          <w:u w:val="single"/>
        </w:rPr>
        <w:t>al</w:t>
      </w:r>
      <w:r>
        <w:rPr>
          <w:spacing w:val="-25"/>
          <w:u w:val="single"/>
        </w:rPr>
        <w:t xml:space="preserve"> </w:t>
      </w:r>
      <w:r>
        <w:rPr>
          <w:u w:val="single"/>
        </w:rPr>
        <w:t>R</w:t>
      </w:r>
      <w:r>
        <w:rPr>
          <w:spacing w:val="-1"/>
          <w:u w:val="single"/>
        </w:rPr>
        <w:t>e</w:t>
      </w:r>
      <w:r>
        <w:rPr>
          <w:u w:val="single"/>
        </w:rPr>
        <w:t>qu</w:t>
      </w:r>
      <w:r>
        <w:rPr>
          <w:spacing w:val="3"/>
          <w:u w:val="single"/>
        </w:rPr>
        <w:t>i</w:t>
      </w:r>
      <w:r>
        <w:rPr>
          <w:spacing w:val="-1"/>
          <w:u w:val="single"/>
        </w:rPr>
        <w:t>re</w:t>
      </w:r>
      <w:r>
        <w:rPr>
          <w:spacing w:val="2"/>
          <w:u w:val="single"/>
        </w:rPr>
        <w:t>m</w:t>
      </w:r>
      <w:r>
        <w:rPr>
          <w:spacing w:val="-1"/>
          <w:u w:val="single"/>
        </w:rPr>
        <w:t>e</w:t>
      </w:r>
      <w:r>
        <w:rPr>
          <w:u w:val="single"/>
        </w:rPr>
        <w:t>n</w:t>
      </w:r>
      <w:r>
        <w:rPr>
          <w:spacing w:val="-2"/>
          <w:u w:val="single"/>
        </w:rPr>
        <w:t>t</w:t>
      </w:r>
      <w:r>
        <w:rPr>
          <w:u w:val="single"/>
        </w:rPr>
        <w:t>s</w:t>
      </w:r>
      <w:r w:rsidRPr="003E1E64">
        <w:t xml:space="preserve"> </w:t>
      </w:r>
    </w:p>
    <w:p w14:paraId="5E23134F" w14:textId="35BC7439" w:rsidR="003E1E64" w:rsidRPr="003A4906" w:rsidRDefault="003A4906" w:rsidP="003E1E64">
      <w:pPr>
        <w:pStyle w:val="Heading3"/>
        <w:rPr>
          <w:sz w:val="28"/>
          <w:szCs w:val="28"/>
        </w:rPr>
      </w:pPr>
      <w:r w:rsidRPr="003A4906">
        <w:rPr>
          <w:sz w:val="28"/>
          <w:szCs w:val="28"/>
        </w:rPr>
        <w:t>2.1.1</w:t>
      </w:r>
      <w:r w:rsidRPr="003A4906">
        <w:rPr>
          <w:sz w:val="28"/>
          <w:szCs w:val="28"/>
        </w:rPr>
        <w:tab/>
        <w:t>Dealer Account Manager</w:t>
      </w:r>
    </w:p>
    <w:p w14:paraId="232625C6" w14:textId="77777777" w:rsidR="003A4906" w:rsidRPr="003A4906" w:rsidRDefault="003A4906" w:rsidP="003A4906">
      <w:pPr>
        <w:spacing w:after="240"/>
        <w:rPr>
          <w:rFonts w:cstheme="minorHAnsi"/>
          <w:szCs w:val="24"/>
        </w:rPr>
      </w:pPr>
      <w:r w:rsidRPr="003A4906">
        <w:rPr>
          <w:rFonts w:cstheme="minorHAnsi"/>
          <w:szCs w:val="24"/>
        </w:rPr>
        <w:t>Each Contractor awarded a Contract shall be responsible for identifying a single point of contact at the dealership who will be the Dealer Account Manager for the Contract. The Dealer Account Manager will be, as necessary, responsible for:</w:t>
      </w:r>
    </w:p>
    <w:p w14:paraId="2168F13F" w14:textId="354D5DF3" w:rsidR="003A4906" w:rsidRPr="003A4906" w:rsidRDefault="003A4906" w:rsidP="003A4906">
      <w:pPr>
        <w:spacing w:after="240"/>
        <w:rPr>
          <w:rFonts w:cstheme="minorHAnsi"/>
          <w:szCs w:val="24"/>
        </w:rPr>
      </w:pPr>
      <w:r w:rsidRPr="003A4906">
        <w:rPr>
          <w:rFonts w:cstheme="minorHAnsi"/>
          <w:szCs w:val="24"/>
        </w:rPr>
        <w:t>A.</w:t>
      </w:r>
      <w:r>
        <w:rPr>
          <w:rFonts w:cstheme="minorHAnsi"/>
          <w:szCs w:val="24"/>
        </w:rPr>
        <w:t xml:space="preserve"> </w:t>
      </w:r>
      <w:r w:rsidRPr="003A4906">
        <w:rPr>
          <w:rFonts w:cstheme="minorHAnsi"/>
          <w:szCs w:val="24"/>
        </w:rPr>
        <w:t xml:space="preserve">Receiving electronic transmittal of vehicle </w:t>
      </w:r>
      <w:proofErr w:type="gramStart"/>
      <w:r w:rsidRPr="003A4906">
        <w:rPr>
          <w:rFonts w:cstheme="minorHAnsi"/>
          <w:szCs w:val="24"/>
        </w:rPr>
        <w:t>specifications;</w:t>
      </w:r>
      <w:proofErr w:type="gramEnd"/>
    </w:p>
    <w:p w14:paraId="51FBD148" w14:textId="6BE46D98" w:rsidR="003A4906" w:rsidRPr="003A4906" w:rsidRDefault="003A4906" w:rsidP="003A4906">
      <w:pPr>
        <w:spacing w:after="240"/>
        <w:rPr>
          <w:rFonts w:cstheme="minorHAnsi"/>
          <w:szCs w:val="24"/>
        </w:rPr>
      </w:pPr>
      <w:r w:rsidRPr="003A4906">
        <w:rPr>
          <w:rFonts w:cstheme="minorHAnsi"/>
          <w:szCs w:val="24"/>
        </w:rPr>
        <w:t xml:space="preserve">B. Assisting Authorized Users with ordering of </w:t>
      </w:r>
      <w:proofErr w:type="gramStart"/>
      <w:r w:rsidRPr="003A4906">
        <w:rPr>
          <w:rFonts w:cstheme="minorHAnsi"/>
          <w:szCs w:val="24"/>
        </w:rPr>
        <w:t>vehicles;</w:t>
      </w:r>
      <w:proofErr w:type="gramEnd"/>
    </w:p>
    <w:p w14:paraId="4498975D" w14:textId="254B1706" w:rsidR="003A4906" w:rsidRPr="003A4906" w:rsidRDefault="003A4906" w:rsidP="003A4906">
      <w:pPr>
        <w:spacing w:after="240"/>
        <w:rPr>
          <w:rFonts w:cstheme="minorHAnsi"/>
          <w:szCs w:val="24"/>
        </w:rPr>
      </w:pPr>
      <w:r w:rsidRPr="003A4906">
        <w:rPr>
          <w:rFonts w:cstheme="minorHAnsi"/>
          <w:szCs w:val="24"/>
        </w:rPr>
        <w:t>C.</w:t>
      </w:r>
      <w:r>
        <w:rPr>
          <w:rFonts w:cstheme="minorHAnsi"/>
          <w:szCs w:val="24"/>
        </w:rPr>
        <w:t xml:space="preserve"> </w:t>
      </w:r>
      <w:r w:rsidRPr="003A4906">
        <w:rPr>
          <w:rFonts w:cstheme="minorHAnsi"/>
          <w:szCs w:val="24"/>
        </w:rPr>
        <w:t>Assisting Authorized Users with the Contract; and</w:t>
      </w:r>
    </w:p>
    <w:p w14:paraId="2CF3AD51" w14:textId="55AE17D7" w:rsidR="003A4906" w:rsidRPr="003A4906" w:rsidRDefault="003A4906" w:rsidP="003A4906">
      <w:pPr>
        <w:spacing w:after="240"/>
        <w:rPr>
          <w:rFonts w:cstheme="minorHAnsi"/>
          <w:szCs w:val="24"/>
        </w:rPr>
      </w:pPr>
      <w:r w:rsidRPr="003A4906">
        <w:rPr>
          <w:rFonts w:cstheme="minorHAnsi"/>
          <w:szCs w:val="24"/>
        </w:rPr>
        <w:t>D.</w:t>
      </w:r>
      <w:r>
        <w:rPr>
          <w:rFonts w:cstheme="minorHAnsi"/>
          <w:szCs w:val="24"/>
        </w:rPr>
        <w:t xml:space="preserve"> </w:t>
      </w:r>
      <w:r w:rsidRPr="003A4906">
        <w:rPr>
          <w:rFonts w:cstheme="minorHAnsi"/>
          <w:szCs w:val="24"/>
        </w:rPr>
        <w:t>Coordinating with the State Contract Manager.</w:t>
      </w:r>
    </w:p>
    <w:p w14:paraId="4618A31C" w14:textId="2C6E28B0" w:rsidR="003E1E64" w:rsidRPr="00E5519C" w:rsidRDefault="003A4906" w:rsidP="00E5519C">
      <w:pPr>
        <w:spacing w:after="240"/>
        <w:rPr>
          <w:b/>
          <w:bCs/>
        </w:rPr>
      </w:pPr>
      <w:r w:rsidRPr="003A4906">
        <w:rPr>
          <w:rFonts w:cstheme="minorHAnsi"/>
          <w:szCs w:val="24"/>
        </w:rPr>
        <w:t xml:space="preserve">Contractors awarded a Contract shall provide the State secondary contact information at their dealership to act as a backup, should the Dealer Account Manager be unavailable for any reason. Contractors </w:t>
      </w:r>
      <w:proofErr w:type="gramStart"/>
      <w:r w:rsidRPr="003A4906">
        <w:rPr>
          <w:rFonts w:cstheme="minorHAnsi"/>
          <w:szCs w:val="24"/>
        </w:rPr>
        <w:t>shall</w:t>
      </w:r>
      <w:proofErr w:type="gramEnd"/>
      <w:r w:rsidRPr="003A4906">
        <w:rPr>
          <w:rFonts w:cstheme="minorHAnsi"/>
          <w:szCs w:val="24"/>
        </w:rPr>
        <w:t xml:space="preserve"> provide this information as part of their bid and </w:t>
      </w:r>
      <w:proofErr w:type="gramStart"/>
      <w:r w:rsidRPr="003A4906">
        <w:rPr>
          <w:rFonts w:cstheme="minorHAnsi"/>
          <w:szCs w:val="24"/>
        </w:rPr>
        <w:t>shall</w:t>
      </w:r>
      <w:proofErr w:type="gramEnd"/>
      <w:r w:rsidRPr="003A4906">
        <w:rPr>
          <w:rFonts w:cstheme="minorHAnsi"/>
          <w:szCs w:val="24"/>
        </w:rPr>
        <w:t xml:space="preserve"> keep the State Contract Manager updated as to any changes to these </w:t>
      </w:r>
      <w:proofErr w:type="gramStart"/>
      <w:r w:rsidRPr="003A4906">
        <w:rPr>
          <w:rFonts w:cstheme="minorHAnsi"/>
          <w:szCs w:val="24"/>
        </w:rPr>
        <w:t>contacts</w:t>
      </w:r>
      <w:proofErr w:type="gramEnd"/>
      <w:r w:rsidRPr="003A4906">
        <w:rPr>
          <w:rFonts w:cstheme="minorHAnsi"/>
          <w:szCs w:val="24"/>
        </w:rPr>
        <w:t>. Notwithstanding anything above to the contrary, the Contractor awarded a Contract shall remain responsible to ensure that its Dealer Account Manager is performing in compliance with the terms and conditions of the awarded Contract.</w:t>
      </w:r>
    </w:p>
    <w:p w14:paraId="3A3634A0" w14:textId="5ABBE5FB" w:rsidR="003E1E64" w:rsidRPr="00E5519C" w:rsidRDefault="00E5519C" w:rsidP="00E5519C">
      <w:pPr>
        <w:pStyle w:val="Heading3"/>
        <w:rPr>
          <w:sz w:val="28"/>
          <w:szCs w:val="28"/>
        </w:rPr>
      </w:pPr>
      <w:r w:rsidRPr="00E5519C">
        <w:rPr>
          <w:sz w:val="28"/>
          <w:szCs w:val="28"/>
        </w:rPr>
        <w:t>2.1.2</w:t>
      </w:r>
      <w:r w:rsidRPr="00E5519C">
        <w:rPr>
          <w:sz w:val="28"/>
          <w:szCs w:val="28"/>
        </w:rPr>
        <w:tab/>
        <w:t>Manufacturer’s Order Deadlines</w:t>
      </w:r>
    </w:p>
    <w:p w14:paraId="747BDB41" w14:textId="77777777" w:rsidR="00E5519C" w:rsidRPr="00E5519C" w:rsidRDefault="00E5519C" w:rsidP="00E5519C">
      <w:pPr>
        <w:spacing w:after="240"/>
        <w:rPr>
          <w:rFonts w:cstheme="minorHAnsi"/>
          <w:szCs w:val="24"/>
        </w:rPr>
      </w:pPr>
      <w:r w:rsidRPr="00E5519C">
        <w:rPr>
          <w:rFonts w:cstheme="minorHAnsi"/>
          <w:szCs w:val="24"/>
        </w:rPr>
        <w:t>All Contractors awarded a Contract shall provide the State Contract Manager, in writing, with manufacturer’s order deadline (“Order Deadline”), beyond which a specific vehicle may not be built to order. The Order Deadline provided by a Contractor awarded a Contract shall be by vehicle series number and must be received by the State in writing a minimum of thirty (30) days prior to the Order Deadline going into effect.</w:t>
      </w:r>
    </w:p>
    <w:p w14:paraId="1B14DA93" w14:textId="77777777" w:rsidR="00E5519C" w:rsidRPr="00E5519C" w:rsidRDefault="00E5519C" w:rsidP="00E5519C">
      <w:pPr>
        <w:spacing w:after="240"/>
        <w:rPr>
          <w:rFonts w:cstheme="minorHAnsi"/>
          <w:szCs w:val="24"/>
        </w:rPr>
      </w:pPr>
      <w:r w:rsidRPr="00E5519C">
        <w:rPr>
          <w:rFonts w:cstheme="minorHAnsi"/>
          <w:szCs w:val="24"/>
        </w:rPr>
        <w:t>Vehicles offered under this Contract shall be 2026 model year units that are in production at the time of order. For the purposes of this Contract, the "current model year" refers to the latest model year actively being manufactured and offered for sale by the original equipment manufacturer (OEM) at the time the purchase order is issued (e.g., Model Year 2026 or newer).</w:t>
      </w:r>
    </w:p>
    <w:p w14:paraId="6FAD4365" w14:textId="77777777" w:rsidR="00E5519C" w:rsidRPr="00E5519C" w:rsidRDefault="00E5519C" w:rsidP="00E5519C">
      <w:pPr>
        <w:spacing w:after="240"/>
        <w:rPr>
          <w:rFonts w:cstheme="minorHAnsi"/>
          <w:szCs w:val="24"/>
        </w:rPr>
      </w:pPr>
      <w:r w:rsidRPr="00E5519C">
        <w:rPr>
          <w:rFonts w:cstheme="minorHAnsi"/>
          <w:szCs w:val="24"/>
        </w:rPr>
        <w:t>At the sole discretion of the State, vehicles from the immediately preceding model year (e.g., Model Year 2025) may be accepted if the vehicle is new, unused, available for immediate delivery (e.g., in dealer inventory or on the lot), and meets all other specifications and requirements outlined in this solicitation.</w:t>
      </w:r>
    </w:p>
    <w:p w14:paraId="36700953" w14:textId="77777777" w:rsidR="00E5519C" w:rsidRPr="00E5519C" w:rsidRDefault="00E5519C" w:rsidP="00E5519C">
      <w:pPr>
        <w:spacing w:after="240"/>
        <w:rPr>
          <w:rFonts w:cstheme="minorHAnsi"/>
          <w:szCs w:val="24"/>
        </w:rPr>
      </w:pPr>
      <w:r w:rsidRPr="00E5519C">
        <w:rPr>
          <w:rFonts w:cstheme="minorHAnsi"/>
          <w:szCs w:val="24"/>
        </w:rPr>
        <w:t>Following the model year Order Deadline, in-stock new vehicles may be ordered through the Contract if available. These vehicles must:</w:t>
      </w:r>
    </w:p>
    <w:p w14:paraId="03227B70" w14:textId="6E650E67" w:rsidR="00E5519C" w:rsidRPr="00E5519C" w:rsidRDefault="00E5519C" w:rsidP="00E5519C">
      <w:pPr>
        <w:spacing w:after="240"/>
        <w:rPr>
          <w:rFonts w:cstheme="minorHAnsi"/>
          <w:szCs w:val="24"/>
        </w:rPr>
      </w:pPr>
      <w:r w:rsidRPr="00E5519C">
        <w:rPr>
          <w:rFonts w:cstheme="minorHAnsi"/>
          <w:szCs w:val="24"/>
        </w:rPr>
        <w:lastRenderedPageBreak/>
        <w:t>•</w:t>
      </w:r>
      <w:r>
        <w:rPr>
          <w:rFonts w:cstheme="minorHAnsi"/>
          <w:szCs w:val="24"/>
        </w:rPr>
        <w:t xml:space="preserve"> </w:t>
      </w:r>
      <w:r w:rsidRPr="00E5519C">
        <w:rPr>
          <w:rFonts w:cstheme="minorHAnsi"/>
          <w:szCs w:val="24"/>
        </w:rPr>
        <w:t>Be the same model number as originally bid,</w:t>
      </w:r>
    </w:p>
    <w:p w14:paraId="5CE639B3" w14:textId="665F04FE" w:rsidR="00E5519C" w:rsidRPr="00E5519C" w:rsidRDefault="00E5519C" w:rsidP="00E5519C">
      <w:pPr>
        <w:spacing w:after="240"/>
        <w:rPr>
          <w:rFonts w:cstheme="minorHAnsi"/>
          <w:szCs w:val="24"/>
        </w:rPr>
      </w:pPr>
      <w:r w:rsidRPr="00E5519C">
        <w:rPr>
          <w:rFonts w:cstheme="minorHAnsi"/>
          <w:szCs w:val="24"/>
        </w:rPr>
        <w:t>•</w:t>
      </w:r>
      <w:r>
        <w:rPr>
          <w:rFonts w:cstheme="minorHAnsi"/>
          <w:szCs w:val="24"/>
        </w:rPr>
        <w:t xml:space="preserve"> </w:t>
      </w:r>
      <w:r w:rsidRPr="00E5519C">
        <w:rPr>
          <w:rFonts w:cstheme="minorHAnsi"/>
          <w:szCs w:val="24"/>
        </w:rPr>
        <w:t>Match the pricing of the base model as bid in the previous model year’s solicitation,</w:t>
      </w:r>
    </w:p>
    <w:p w14:paraId="074062D9" w14:textId="0F0262E4" w:rsidR="00E5519C" w:rsidRPr="00E5519C" w:rsidRDefault="00E5519C" w:rsidP="00E5519C">
      <w:pPr>
        <w:spacing w:after="240"/>
        <w:rPr>
          <w:rFonts w:cstheme="minorHAnsi"/>
          <w:szCs w:val="24"/>
        </w:rPr>
      </w:pPr>
      <w:r w:rsidRPr="00E5519C">
        <w:rPr>
          <w:rFonts w:cstheme="minorHAnsi"/>
          <w:szCs w:val="24"/>
        </w:rPr>
        <w:t>•</w:t>
      </w:r>
      <w:r>
        <w:rPr>
          <w:rFonts w:cstheme="minorHAnsi"/>
          <w:szCs w:val="24"/>
        </w:rPr>
        <w:t xml:space="preserve"> </w:t>
      </w:r>
      <w:r w:rsidRPr="00E5519C">
        <w:rPr>
          <w:rFonts w:cstheme="minorHAnsi"/>
          <w:szCs w:val="24"/>
        </w:rPr>
        <w:t>And be approved by the State or Authorized User prior to order.</w:t>
      </w:r>
    </w:p>
    <w:p w14:paraId="074A230F" w14:textId="77777777" w:rsidR="00E5519C" w:rsidRPr="00E5519C" w:rsidRDefault="00E5519C" w:rsidP="00E5519C">
      <w:pPr>
        <w:spacing w:after="240"/>
        <w:rPr>
          <w:rFonts w:cstheme="minorHAnsi"/>
          <w:szCs w:val="24"/>
        </w:rPr>
      </w:pPr>
      <w:r w:rsidRPr="00E5519C">
        <w:rPr>
          <w:rFonts w:cstheme="minorHAnsi"/>
          <w:szCs w:val="24"/>
        </w:rPr>
        <w:t>The State also reserves the right to purchase vehicles from the previous model year as bid, provided the vehicle is available (on the dealer’s lot) and the prior contract remains active. If there was no award for the model in the previous contract cycle, a formal quote must be submitted for review and approval by the State.</w:t>
      </w:r>
    </w:p>
    <w:p w14:paraId="4C8DB498" w14:textId="4D21661D" w:rsidR="003E1E64" w:rsidRPr="00AC425F" w:rsidRDefault="00E5519C" w:rsidP="00E5519C">
      <w:pPr>
        <w:spacing w:after="240"/>
        <w:rPr>
          <w:b/>
          <w:bCs/>
        </w:rPr>
      </w:pPr>
      <w:r w:rsidRPr="00E5519C">
        <w:rPr>
          <w:rFonts w:cstheme="minorHAnsi"/>
          <w:szCs w:val="24"/>
        </w:rPr>
        <w:t>Acceptance of vehicles from the previous model year does not obligate the State to accept non-current model year vehicles for future orders under this Contract. Authorized Users should contact awarded Contractors directly for availability and delivery details of in-stock vehicles for orders placed after the model year Order Deadline.</w:t>
      </w:r>
    </w:p>
    <w:p w14:paraId="69BC8EB4" w14:textId="6894569A" w:rsidR="00317042" w:rsidRPr="00E663AB" w:rsidRDefault="007B6D4A" w:rsidP="007B6D4A">
      <w:pPr>
        <w:pStyle w:val="Heading2"/>
      </w:pPr>
      <w:r w:rsidRPr="007B6D4A">
        <w:t>2.1.3</w:t>
      </w:r>
      <w:r w:rsidRPr="007B6D4A">
        <w:tab/>
        <w:t>Federal and State Standards</w:t>
      </w:r>
    </w:p>
    <w:p w14:paraId="01BB7380" w14:textId="12FE3627" w:rsidR="00317042" w:rsidRPr="00AC425F" w:rsidRDefault="007B6D4A" w:rsidP="00317042">
      <w:pPr>
        <w:spacing w:after="240"/>
        <w:rPr>
          <w:b/>
          <w:bCs/>
        </w:rPr>
      </w:pPr>
      <w:r w:rsidRPr="007B6D4A">
        <w:rPr>
          <w:rFonts w:cstheme="minorHAnsi"/>
          <w:szCs w:val="24"/>
        </w:rPr>
        <w:t>Each Contractor submitting a bid to this ITB certifies that they are in full and complete compliance with all federal and State laws applicable to the type and class of vehicles being requested by the State or an Authorized User. This includes, but is not limited to, Federal Motor Equipment Safety standards, Occupational Safety and Health Administration, or Environmental Protection Agency standards. In addition, any applicable federal or State legislation that should become effective during the term of the Contract, including any renewals regarding the vehicles, shall immediately become a part of any Contract awarded pursuant to this ITB. At all times during the term of any Contract awarded pursuant to this ITB, the awarded Contractor must meet or exceed any applicable federal or State laws.</w:t>
      </w:r>
    </w:p>
    <w:p w14:paraId="5B378E36" w14:textId="3286D97D" w:rsidR="00317042" w:rsidRPr="00E663AB" w:rsidRDefault="00C134B2" w:rsidP="00C134B2">
      <w:pPr>
        <w:pStyle w:val="Heading2"/>
      </w:pPr>
      <w:r w:rsidRPr="00C134B2">
        <w:t>2.1.4</w:t>
      </w:r>
      <w:r w:rsidRPr="00C134B2">
        <w:tab/>
        <w:t>Vehicle Warranty</w:t>
      </w:r>
    </w:p>
    <w:p w14:paraId="7D579BAF" w14:textId="11FCF3B2" w:rsidR="00317042" w:rsidRPr="00AC425F" w:rsidRDefault="00C134B2" w:rsidP="00317042">
      <w:pPr>
        <w:spacing w:after="240"/>
        <w:rPr>
          <w:b/>
          <w:bCs/>
        </w:rPr>
      </w:pPr>
      <w:r w:rsidRPr="00C134B2">
        <w:rPr>
          <w:rFonts w:cstheme="minorHAnsi"/>
          <w:szCs w:val="24"/>
        </w:rPr>
        <w:t>The standard manufacturer warranty shall apply to all vehicles ordered by the State or an Authorized User. Any Contractor awarded a Contract shall contemporaneously provide to the State or an Authorized User a properly executed warranty with each vehicle delivered by the Contractor that is awarded a Contract. The warranty shall not become effective until the Contractor awarded a Contract has provided all required documentation, the vehicle is delivered in accordance with the State’s or the Authorized User’s instructions, and the vehicle is inspected and accepted by the State or the Authorized Entity in accordance with the Contract.</w:t>
      </w:r>
    </w:p>
    <w:p w14:paraId="328FEF93" w14:textId="51CBA9D8" w:rsidR="00317042" w:rsidRPr="00E663AB" w:rsidRDefault="00AC12AB" w:rsidP="00AC12AB">
      <w:pPr>
        <w:pStyle w:val="Heading2"/>
      </w:pPr>
      <w:r>
        <w:t xml:space="preserve">2.1.5 </w:t>
      </w:r>
      <w:r w:rsidRPr="00AC12AB">
        <w:t>Recall Notices</w:t>
      </w:r>
    </w:p>
    <w:p w14:paraId="211AE3D8" w14:textId="77777777" w:rsidR="00AC12AB" w:rsidRPr="00AC12AB" w:rsidRDefault="00AC12AB" w:rsidP="00AC12AB">
      <w:pPr>
        <w:spacing w:after="240"/>
        <w:rPr>
          <w:rFonts w:cstheme="minorHAnsi"/>
          <w:szCs w:val="24"/>
        </w:rPr>
      </w:pPr>
      <w:r w:rsidRPr="00AC12AB">
        <w:rPr>
          <w:rFonts w:cstheme="minorHAnsi"/>
          <w:szCs w:val="24"/>
        </w:rPr>
        <w:t>Each Contractor awarded a Contract shall notify the State by first class mail within sixty (60) days of being notified of a recall decision by the National Highway Traffic Safety Administration (“NHTSA”). Contractors awarded a Contract shall offer the same remedy provided by the manufacturer, which is available to all other purchasers of the manufacturer, to the State or any other Authorized User of the Contract.</w:t>
      </w:r>
    </w:p>
    <w:p w14:paraId="6521C006" w14:textId="77777777" w:rsidR="00AC12AB" w:rsidRPr="00AC12AB" w:rsidRDefault="00AC12AB" w:rsidP="00AC12AB">
      <w:pPr>
        <w:spacing w:after="240"/>
        <w:rPr>
          <w:rFonts w:cstheme="minorHAnsi"/>
          <w:szCs w:val="24"/>
        </w:rPr>
      </w:pPr>
      <w:r w:rsidRPr="00AC12AB">
        <w:rPr>
          <w:rFonts w:cstheme="minorHAnsi"/>
          <w:szCs w:val="24"/>
        </w:rPr>
        <w:lastRenderedPageBreak/>
        <w:t>NHTSA monitors each safety recall to make sure owners receive safe, free, and effective remedies from manufacturers according to the Safety Act and federal regulations.</w:t>
      </w:r>
    </w:p>
    <w:p w14:paraId="56E6B9A3" w14:textId="17555CCD" w:rsidR="00317042" w:rsidRPr="00AC425F" w:rsidRDefault="00AC12AB" w:rsidP="00AC12AB">
      <w:pPr>
        <w:spacing w:after="240"/>
        <w:rPr>
          <w:b/>
          <w:bCs/>
        </w:rPr>
      </w:pPr>
      <w:r w:rsidRPr="00AC12AB">
        <w:rPr>
          <w:rFonts w:cstheme="minorHAnsi"/>
          <w:szCs w:val="24"/>
        </w:rPr>
        <w:t>Each Contractor awarded a Contract, upon notification of a recall, shall work with the State or an Authorized User to develop a remediation plan and proceed to correct all vehicle defects identified by the recall notice within a commercially reasonable time.</w:t>
      </w:r>
    </w:p>
    <w:p w14:paraId="2FE75B48" w14:textId="04024A94" w:rsidR="00317042" w:rsidRPr="00E663AB" w:rsidRDefault="00AC12AB" w:rsidP="00AC12AB">
      <w:pPr>
        <w:pStyle w:val="Heading2"/>
      </w:pPr>
      <w:r w:rsidRPr="00AC12AB">
        <w:t>2.2 Vehicle Ordering</w:t>
      </w:r>
    </w:p>
    <w:p w14:paraId="59A5A56F" w14:textId="03C384E7" w:rsidR="00317042" w:rsidRPr="00AC425F" w:rsidRDefault="00AC12AB" w:rsidP="00317042">
      <w:pPr>
        <w:spacing w:after="240"/>
        <w:rPr>
          <w:b/>
          <w:bCs/>
        </w:rPr>
      </w:pPr>
      <w:r w:rsidRPr="00AC12AB">
        <w:rPr>
          <w:rFonts w:cstheme="minorHAnsi"/>
          <w:szCs w:val="24"/>
        </w:rPr>
        <w:t>Each Contractor awarded a Contract agrees to place orders received, from the State or any Authorized User of the Contract, with their respective manufacturer within seven (7) calendar days after receipt of a purchase order, as validated by the State or the Authorized User that placed the order under the Contract, unless the Contractor awarded a Contract has the exact vehicle meeting the purchase order specifications in its possession. Only vehicles manufactured in compliance with the State’s or an Authorized User’s requirements, specifications, terms, or conditions shall be eligible for delivery. If optional equipment is requested by the State or an Authorized User, it will be quoted by the dealer and may be purchased from or installed by another source if the cost is inconsistent with the current market.</w:t>
      </w:r>
    </w:p>
    <w:p w14:paraId="768B5DE3" w14:textId="07A863B5" w:rsidR="004647EA" w:rsidRPr="00E663AB" w:rsidRDefault="004647EA" w:rsidP="004647EA">
      <w:pPr>
        <w:pStyle w:val="Heading2"/>
      </w:pPr>
      <w:r w:rsidRPr="004647EA">
        <w:t>2.2.1</w:t>
      </w:r>
      <w:r w:rsidRPr="004647EA">
        <w:tab/>
        <w:t>Electronic Transmittal of Order</w:t>
      </w:r>
    </w:p>
    <w:p w14:paraId="4DA8D8F0" w14:textId="77777777" w:rsidR="004647EA" w:rsidRPr="004647EA" w:rsidRDefault="004647EA" w:rsidP="004647EA">
      <w:pPr>
        <w:spacing w:after="240"/>
        <w:rPr>
          <w:rFonts w:cstheme="minorHAnsi"/>
          <w:szCs w:val="24"/>
        </w:rPr>
      </w:pPr>
      <w:r w:rsidRPr="004647EA">
        <w:rPr>
          <w:rFonts w:cstheme="minorHAnsi"/>
          <w:szCs w:val="24"/>
        </w:rPr>
        <w:t>The State or the Authorized Users shall electronically transmit a purchase order through a website or email address provided by the dealer.</w:t>
      </w:r>
    </w:p>
    <w:p w14:paraId="066BA59A" w14:textId="77777777" w:rsidR="004647EA" w:rsidRPr="004647EA" w:rsidRDefault="004647EA" w:rsidP="004647EA">
      <w:pPr>
        <w:spacing w:after="240"/>
        <w:rPr>
          <w:rFonts w:cstheme="minorHAnsi"/>
          <w:szCs w:val="24"/>
        </w:rPr>
      </w:pPr>
      <w:r w:rsidRPr="004647EA">
        <w:rPr>
          <w:rFonts w:cstheme="minorHAnsi"/>
          <w:szCs w:val="24"/>
        </w:rPr>
        <w:t>The purchase order shall include the following information:</w:t>
      </w:r>
    </w:p>
    <w:p w14:paraId="6737DF2B" w14:textId="343CC1DA" w:rsidR="004647EA" w:rsidRPr="004647EA" w:rsidRDefault="004647EA" w:rsidP="004647EA">
      <w:pPr>
        <w:spacing w:after="240"/>
        <w:rPr>
          <w:rFonts w:cstheme="minorHAnsi"/>
          <w:szCs w:val="24"/>
        </w:rPr>
      </w:pPr>
      <w:r w:rsidRPr="004647EA">
        <w:rPr>
          <w:rFonts w:cstheme="minorHAnsi"/>
          <w:szCs w:val="24"/>
        </w:rPr>
        <w:t>A.</w:t>
      </w:r>
      <w:r>
        <w:rPr>
          <w:rFonts w:cstheme="minorHAnsi"/>
          <w:szCs w:val="24"/>
        </w:rPr>
        <w:t xml:space="preserve"> </w:t>
      </w:r>
      <w:r w:rsidRPr="004647EA">
        <w:rPr>
          <w:rFonts w:cstheme="minorHAnsi"/>
          <w:szCs w:val="24"/>
        </w:rPr>
        <w:t>Purchase Order with Detailed Vehicle Specifications (including optional equipment</w:t>
      </w:r>
      <w:proofErr w:type="gramStart"/>
      <w:r w:rsidRPr="004647EA">
        <w:rPr>
          <w:rFonts w:cstheme="minorHAnsi"/>
          <w:szCs w:val="24"/>
        </w:rPr>
        <w:t>);</w:t>
      </w:r>
      <w:proofErr w:type="gramEnd"/>
    </w:p>
    <w:p w14:paraId="657965E9" w14:textId="1694E6D4" w:rsidR="004647EA" w:rsidRPr="004647EA" w:rsidRDefault="004647EA" w:rsidP="004647EA">
      <w:pPr>
        <w:spacing w:after="240"/>
        <w:rPr>
          <w:rFonts w:cstheme="minorHAnsi"/>
          <w:szCs w:val="24"/>
        </w:rPr>
      </w:pPr>
      <w:r w:rsidRPr="004647EA">
        <w:rPr>
          <w:rFonts w:cstheme="minorHAnsi"/>
          <w:szCs w:val="24"/>
        </w:rPr>
        <w:t>B.</w:t>
      </w:r>
      <w:r>
        <w:rPr>
          <w:rFonts w:cstheme="minorHAnsi"/>
          <w:szCs w:val="24"/>
        </w:rPr>
        <w:t xml:space="preserve"> </w:t>
      </w:r>
      <w:r w:rsidRPr="004647EA">
        <w:rPr>
          <w:rFonts w:cstheme="minorHAnsi"/>
          <w:szCs w:val="24"/>
        </w:rPr>
        <w:t xml:space="preserve">Vehicle Exterior </w:t>
      </w:r>
      <w:proofErr w:type="gramStart"/>
      <w:r w:rsidRPr="004647EA">
        <w:rPr>
          <w:rFonts w:cstheme="minorHAnsi"/>
          <w:szCs w:val="24"/>
        </w:rPr>
        <w:t>Color;</w:t>
      </w:r>
      <w:proofErr w:type="gramEnd"/>
    </w:p>
    <w:p w14:paraId="7D478E0E" w14:textId="579158A6" w:rsidR="004647EA" w:rsidRPr="004647EA" w:rsidRDefault="004647EA" w:rsidP="004647EA">
      <w:pPr>
        <w:spacing w:after="240"/>
        <w:rPr>
          <w:rFonts w:cstheme="minorHAnsi"/>
          <w:szCs w:val="24"/>
        </w:rPr>
      </w:pPr>
      <w:r w:rsidRPr="004647EA">
        <w:rPr>
          <w:rFonts w:cstheme="minorHAnsi"/>
          <w:szCs w:val="24"/>
        </w:rPr>
        <w:t>C.</w:t>
      </w:r>
      <w:r>
        <w:rPr>
          <w:rFonts w:cstheme="minorHAnsi"/>
          <w:szCs w:val="24"/>
        </w:rPr>
        <w:t xml:space="preserve"> </w:t>
      </w:r>
      <w:r w:rsidRPr="004647EA">
        <w:rPr>
          <w:rFonts w:cstheme="minorHAnsi"/>
          <w:szCs w:val="24"/>
        </w:rPr>
        <w:t xml:space="preserve">Vehicle Interior </w:t>
      </w:r>
      <w:proofErr w:type="gramStart"/>
      <w:r w:rsidRPr="004647EA">
        <w:rPr>
          <w:rFonts w:cstheme="minorHAnsi"/>
          <w:szCs w:val="24"/>
        </w:rPr>
        <w:t>Color;</w:t>
      </w:r>
      <w:proofErr w:type="gramEnd"/>
    </w:p>
    <w:p w14:paraId="3D21BD4D" w14:textId="4C6719D9" w:rsidR="004647EA" w:rsidRPr="004647EA" w:rsidRDefault="004647EA" w:rsidP="004647EA">
      <w:pPr>
        <w:spacing w:after="240"/>
        <w:rPr>
          <w:rFonts w:cstheme="minorHAnsi"/>
          <w:szCs w:val="24"/>
        </w:rPr>
      </w:pPr>
      <w:r w:rsidRPr="004647EA">
        <w:rPr>
          <w:rFonts w:cstheme="minorHAnsi"/>
          <w:szCs w:val="24"/>
        </w:rPr>
        <w:t>D.</w:t>
      </w:r>
      <w:r>
        <w:rPr>
          <w:rFonts w:cstheme="minorHAnsi"/>
          <w:szCs w:val="24"/>
        </w:rPr>
        <w:t xml:space="preserve"> </w:t>
      </w:r>
      <w:r w:rsidRPr="004647EA">
        <w:rPr>
          <w:rFonts w:cstheme="minorHAnsi"/>
          <w:szCs w:val="24"/>
        </w:rPr>
        <w:t>Vehicle Delivery Requirements/</w:t>
      </w:r>
      <w:proofErr w:type="gramStart"/>
      <w:r w:rsidRPr="004647EA">
        <w:rPr>
          <w:rFonts w:cstheme="minorHAnsi"/>
          <w:szCs w:val="24"/>
        </w:rPr>
        <w:t>Schedule;</w:t>
      </w:r>
      <w:proofErr w:type="gramEnd"/>
    </w:p>
    <w:p w14:paraId="5B9DCA25" w14:textId="7A3C454A" w:rsidR="004647EA" w:rsidRPr="00AC425F" w:rsidRDefault="004647EA" w:rsidP="004647EA">
      <w:pPr>
        <w:spacing w:after="240"/>
        <w:rPr>
          <w:b/>
          <w:bCs/>
        </w:rPr>
      </w:pPr>
      <w:r w:rsidRPr="004647EA">
        <w:rPr>
          <w:rFonts w:cstheme="minorHAnsi"/>
          <w:szCs w:val="24"/>
        </w:rPr>
        <w:t>E.</w:t>
      </w:r>
      <w:r>
        <w:rPr>
          <w:rFonts w:cstheme="minorHAnsi"/>
          <w:szCs w:val="24"/>
        </w:rPr>
        <w:t xml:space="preserve"> </w:t>
      </w:r>
      <w:r w:rsidRPr="004647EA">
        <w:rPr>
          <w:rFonts w:cstheme="minorHAnsi"/>
          <w:szCs w:val="24"/>
        </w:rPr>
        <w:t>Vehicle Delivery Location.</w:t>
      </w:r>
    </w:p>
    <w:p w14:paraId="1F7F17BD" w14:textId="360EA087" w:rsidR="004647EA" w:rsidRPr="00E663AB" w:rsidRDefault="004647EA" w:rsidP="004647EA">
      <w:pPr>
        <w:pStyle w:val="Heading2"/>
      </w:pPr>
      <w:r w:rsidRPr="004647EA">
        <w:t>2.2.2</w:t>
      </w:r>
      <w:r w:rsidRPr="004647EA">
        <w:tab/>
        <w:t>Electronic Transmittal of Acknowledgement of Receipt of Order</w:t>
      </w:r>
    </w:p>
    <w:p w14:paraId="49254DE5" w14:textId="77777777" w:rsidR="004647EA" w:rsidRPr="004647EA" w:rsidRDefault="004647EA" w:rsidP="004647EA">
      <w:pPr>
        <w:spacing w:after="240"/>
        <w:rPr>
          <w:rFonts w:cstheme="minorHAnsi"/>
          <w:szCs w:val="24"/>
        </w:rPr>
      </w:pPr>
      <w:r w:rsidRPr="004647EA">
        <w:rPr>
          <w:rFonts w:cstheme="minorHAnsi"/>
          <w:szCs w:val="24"/>
        </w:rPr>
        <w:t>The Contractor awarded a Contract shall electronically transmit an acknowledgement of the order to the State or an ordering Authorized User within two (2) business days following receipt of the order.</w:t>
      </w:r>
    </w:p>
    <w:p w14:paraId="66369E44" w14:textId="77777777" w:rsidR="004647EA" w:rsidRPr="004647EA" w:rsidRDefault="004647EA" w:rsidP="004647EA">
      <w:pPr>
        <w:spacing w:after="240"/>
        <w:rPr>
          <w:rFonts w:cstheme="minorHAnsi"/>
          <w:szCs w:val="24"/>
        </w:rPr>
      </w:pPr>
      <w:r w:rsidRPr="004647EA">
        <w:rPr>
          <w:rFonts w:cstheme="minorHAnsi"/>
          <w:szCs w:val="24"/>
        </w:rPr>
        <w:t>The acknowledgement of the order shall include the following information:</w:t>
      </w:r>
    </w:p>
    <w:p w14:paraId="57A066D5" w14:textId="7CC58E38" w:rsidR="004647EA" w:rsidRPr="004647EA" w:rsidRDefault="004647EA" w:rsidP="004647EA">
      <w:pPr>
        <w:spacing w:after="240"/>
        <w:rPr>
          <w:rFonts w:cstheme="minorHAnsi"/>
          <w:szCs w:val="24"/>
        </w:rPr>
      </w:pPr>
      <w:r w:rsidRPr="004647EA">
        <w:rPr>
          <w:rFonts w:cstheme="minorHAnsi"/>
          <w:szCs w:val="24"/>
        </w:rPr>
        <w:t>A.</w:t>
      </w:r>
      <w:r>
        <w:rPr>
          <w:rFonts w:cstheme="minorHAnsi"/>
          <w:szCs w:val="24"/>
        </w:rPr>
        <w:t xml:space="preserve"> </w:t>
      </w:r>
      <w:r w:rsidRPr="004647EA">
        <w:rPr>
          <w:rFonts w:cstheme="minorHAnsi"/>
          <w:szCs w:val="24"/>
        </w:rPr>
        <w:t xml:space="preserve">Acknowledgement Receipt of Ordered </w:t>
      </w:r>
      <w:proofErr w:type="gramStart"/>
      <w:r w:rsidRPr="004647EA">
        <w:rPr>
          <w:rFonts w:cstheme="minorHAnsi"/>
          <w:szCs w:val="24"/>
        </w:rPr>
        <w:t>Model;</w:t>
      </w:r>
      <w:proofErr w:type="gramEnd"/>
    </w:p>
    <w:p w14:paraId="3F95ECFE" w14:textId="6058AE20" w:rsidR="004647EA" w:rsidRPr="004647EA" w:rsidRDefault="004647EA" w:rsidP="004647EA">
      <w:pPr>
        <w:spacing w:after="240"/>
        <w:rPr>
          <w:rFonts w:cstheme="minorHAnsi"/>
          <w:szCs w:val="24"/>
        </w:rPr>
      </w:pPr>
      <w:r w:rsidRPr="004647EA">
        <w:rPr>
          <w:rFonts w:cstheme="minorHAnsi"/>
          <w:szCs w:val="24"/>
        </w:rPr>
        <w:lastRenderedPageBreak/>
        <w:t>B.</w:t>
      </w:r>
      <w:r>
        <w:rPr>
          <w:rFonts w:cstheme="minorHAnsi"/>
          <w:szCs w:val="24"/>
        </w:rPr>
        <w:t xml:space="preserve"> </w:t>
      </w:r>
      <w:r w:rsidRPr="004647EA">
        <w:rPr>
          <w:rFonts w:cstheme="minorHAnsi"/>
          <w:szCs w:val="24"/>
        </w:rPr>
        <w:t xml:space="preserve">Detailed vehicle </w:t>
      </w:r>
      <w:proofErr w:type="gramStart"/>
      <w:r w:rsidRPr="004647EA">
        <w:rPr>
          <w:rFonts w:cstheme="minorHAnsi"/>
          <w:szCs w:val="24"/>
        </w:rPr>
        <w:t>specifications;</w:t>
      </w:r>
      <w:proofErr w:type="gramEnd"/>
    </w:p>
    <w:p w14:paraId="75B1B086" w14:textId="7F7551E4" w:rsidR="004647EA" w:rsidRPr="004647EA" w:rsidRDefault="004647EA" w:rsidP="004647EA">
      <w:pPr>
        <w:spacing w:after="240"/>
        <w:rPr>
          <w:rFonts w:cstheme="minorHAnsi"/>
          <w:szCs w:val="24"/>
        </w:rPr>
      </w:pPr>
      <w:r w:rsidRPr="004647EA">
        <w:rPr>
          <w:rFonts w:cstheme="minorHAnsi"/>
          <w:szCs w:val="24"/>
        </w:rPr>
        <w:t>C.</w:t>
      </w:r>
      <w:r>
        <w:rPr>
          <w:rFonts w:cstheme="minorHAnsi"/>
          <w:szCs w:val="24"/>
        </w:rPr>
        <w:t xml:space="preserve"> </w:t>
      </w:r>
      <w:r w:rsidRPr="004647EA">
        <w:rPr>
          <w:rFonts w:cstheme="minorHAnsi"/>
          <w:szCs w:val="24"/>
        </w:rPr>
        <w:t xml:space="preserve">Estimated delivery date of vehicle; </w:t>
      </w:r>
      <w:proofErr w:type="gramStart"/>
      <w:r w:rsidRPr="004647EA">
        <w:rPr>
          <w:rFonts w:cstheme="minorHAnsi"/>
          <w:szCs w:val="24"/>
        </w:rPr>
        <w:t>and;</w:t>
      </w:r>
      <w:proofErr w:type="gramEnd"/>
    </w:p>
    <w:p w14:paraId="69BE7BA9" w14:textId="3B80226B" w:rsidR="004647EA" w:rsidRPr="00AC425F" w:rsidRDefault="004647EA" w:rsidP="004647EA">
      <w:pPr>
        <w:spacing w:after="240"/>
        <w:rPr>
          <w:b/>
          <w:bCs/>
        </w:rPr>
      </w:pPr>
      <w:r w:rsidRPr="004647EA">
        <w:rPr>
          <w:rFonts w:cstheme="minorHAnsi"/>
          <w:szCs w:val="24"/>
        </w:rPr>
        <w:t>D. Contractor’s one (1) year fixed price, as awarded pursuant to this ITB (Attachment A – Sample Pricing Sheet).</w:t>
      </w:r>
    </w:p>
    <w:p w14:paraId="6F74C2D2" w14:textId="2B4E12B3" w:rsidR="004647EA" w:rsidRPr="00404943" w:rsidRDefault="000C6E56" w:rsidP="004647EA">
      <w:pPr>
        <w:pStyle w:val="Heading2"/>
      </w:pPr>
      <w:r w:rsidRPr="000C6E56">
        <w:t xml:space="preserve">Vehicle Delivery </w:t>
      </w:r>
    </w:p>
    <w:p w14:paraId="6D62F796" w14:textId="46E920F2" w:rsidR="004647EA" w:rsidRPr="000C6E56" w:rsidRDefault="000C6E56" w:rsidP="004647EA">
      <w:pPr>
        <w:pStyle w:val="Heading3"/>
        <w:rPr>
          <w:sz w:val="28"/>
          <w:szCs w:val="28"/>
        </w:rPr>
      </w:pPr>
      <w:r w:rsidRPr="000C6E56">
        <w:rPr>
          <w:sz w:val="28"/>
          <w:szCs w:val="28"/>
        </w:rPr>
        <w:t>2.3.1</w:t>
      </w:r>
      <w:r w:rsidRPr="000C6E56">
        <w:rPr>
          <w:sz w:val="28"/>
          <w:szCs w:val="28"/>
        </w:rPr>
        <w:tab/>
        <w:t>FOB Destination</w:t>
      </w:r>
    </w:p>
    <w:p w14:paraId="3C7FFD7B" w14:textId="77777777" w:rsidR="000C6E56" w:rsidRPr="000C6E56" w:rsidRDefault="000C6E56" w:rsidP="000C6E56">
      <w:pPr>
        <w:spacing w:after="240"/>
        <w:rPr>
          <w:rFonts w:cstheme="minorHAnsi"/>
          <w:szCs w:val="24"/>
        </w:rPr>
      </w:pPr>
      <w:r w:rsidRPr="000C6E56">
        <w:rPr>
          <w:rFonts w:cstheme="minorHAnsi"/>
          <w:szCs w:val="24"/>
        </w:rPr>
        <w:t xml:space="preserve">All deliveries of vehicles purchased under the Contract awarded to a Contractor shall be FOB Destination. Delivery </w:t>
      </w:r>
      <w:proofErr w:type="gramStart"/>
      <w:r w:rsidRPr="000C6E56">
        <w:rPr>
          <w:rFonts w:cstheme="minorHAnsi"/>
          <w:szCs w:val="24"/>
        </w:rPr>
        <w:t>destination</w:t>
      </w:r>
      <w:proofErr w:type="gramEnd"/>
      <w:r w:rsidRPr="000C6E56">
        <w:rPr>
          <w:rFonts w:cstheme="minorHAnsi"/>
          <w:szCs w:val="24"/>
        </w:rPr>
        <w:t xml:space="preserve"> will be at the discretion of the State or an ordering Authorized User. Contractors awarded a Contract agree that delivery shall be free of charge to the delivery destination.</w:t>
      </w:r>
    </w:p>
    <w:p w14:paraId="152C2610" w14:textId="77777777" w:rsidR="000C6E56" w:rsidRPr="000C6E56" w:rsidRDefault="000C6E56" w:rsidP="000C6E56">
      <w:pPr>
        <w:spacing w:after="240"/>
        <w:rPr>
          <w:rFonts w:cstheme="minorHAnsi"/>
          <w:szCs w:val="24"/>
        </w:rPr>
      </w:pPr>
      <w:r w:rsidRPr="000C6E56">
        <w:rPr>
          <w:rFonts w:cstheme="minorHAnsi"/>
          <w:szCs w:val="24"/>
        </w:rPr>
        <w:t>Vehicle and Asset Management and Tennessee Highway Patrol Vehicles: Prior to delivery, the Contractors awarded a Contract will email the front of the Manufacturer’s Statement of Origin (MSO), a copy of the Authorized User’s Purchase Order and the vehicle key code to Aaron.Simmons@tn.gov  when vehicles are ready for delivery.  Vehicles will be delivered to the addresses set forth below:</w:t>
      </w:r>
    </w:p>
    <w:p w14:paraId="17E9A6DE" w14:textId="241834FA" w:rsidR="000C6E56" w:rsidRDefault="000C6E56" w:rsidP="000C6E56">
      <w:pPr>
        <w:rPr>
          <w:rFonts w:cstheme="minorHAnsi"/>
          <w:szCs w:val="24"/>
        </w:rPr>
      </w:pPr>
      <w:r w:rsidRPr="000C6E56">
        <w:rPr>
          <w:rFonts w:cstheme="minorHAnsi"/>
          <w:szCs w:val="24"/>
        </w:rPr>
        <w:t xml:space="preserve"> </w:t>
      </w:r>
      <w:r>
        <w:rPr>
          <w:rFonts w:cstheme="minorHAnsi"/>
          <w:szCs w:val="24"/>
        </w:rPr>
        <w:t>Vehicle and Asset Management</w:t>
      </w:r>
    </w:p>
    <w:p w14:paraId="3F8C2B6F" w14:textId="77777777" w:rsidR="000C6E56" w:rsidRPr="000C6E56" w:rsidRDefault="000C6E56" w:rsidP="000C6E56">
      <w:pPr>
        <w:rPr>
          <w:rFonts w:cstheme="minorHAnsi"/>
          <w:szCs w:val="24"/>
        </w:rPr>
      </w:pPr>
      <w:r w:rsidRPr="000C6E56">
        <w:rPr>
          <w:rFonts w:cstheme="minorHAnsi"/>
          <w:szCs w:val="24"/>
        </w:rPr>
        <w:t>6500 Centennial Blvd</w:t>
      </w:r>
    </w:p>
    <w:p w14:paraId="6E6C8BB3" w14:textId="77777777" w:rsidR="000C6E56" w:rsidRPr="000C6E56" w:rsidRDefault="000C6E56" w:rsidP="000C6E56">
      <w:pPr>
        <w:spacing w:after="240"/>
        <w:rPr>
          <w:rFonts w:cstheme="minorHAnsi"/>
          <w:szCs w:val="24"/>
        </w:rPr>
      </w:pPr>
      <w:r w:rsidRPr="000C6E56">
        <w:rPr>
          <w:rFonts w:cstheme="minorHAnsi"/>
          <w:szCs w:val="24"/>
        </w:rPr>
        <w:t>Nashville, TN 37243</w:t>
      </w:r>
    </w:p>
    <w:p w14:paraId="6B03A565" w14:textId="189FACDC" w:rsidR="0079616A" w:rsidRPr="0079616A" w:rsidRDefault="0079616A" w:rsidP="0079616A">
      <w:pPr>
        <w:rPr>
          <w:rFonts w:cstheme="minorHAnsi"/>
          <w:szCs w:val="24"/>
        </w:rPr>
      </w:pPr>
      <w:r w:rsidRPr="0079616A">
        <w:rPr>
          <w:rFonts w:cstheme="minorHAnsi"/>
          <w:szCs w:val="24"/>
        </w:rPr>
        <w:t>Tennessee Highway Patrol</w:t>
      </w:r>
    </w:p>
    <w:p w14:paraId="4F74CD1D" w14:textId="77777777" w:rsidR="0079616A" w:rsidRPr="0079616A" w:rsidRDefault="0079616A" w:rsidP="0079616A">
      <w:pPr>
        <w:rPr>
          <w:rFonts w:cstheme="minorHAnsi"/>
          <w:szCs w:val="24"/>
        </w:rPr>
      </w:pPr>
      <w:r w:rsidRPr="0079616A">
        <w:rPr>
          <w:rFonts w:cstheme="minorHAnsi"/>
          <w:szCs w:val="24"/>
        </w:rPr>
        <w:t>225 Ezell Pike</w:t>
      </w:r>
    </w:p>
    <w:p w14:paraId="08C114BB" w14:textId="1FA162FC" w:rsidR="004647EA" w:rsidRPr="000C6E56" w:rsidRDefault="0079616A" w:rsidP="000C6E56">
      <w:pPr>
        <w:spacing w:after="240"/>
        <w:rPr>
          <w:rFonts w:cstheme="minorHAnsi"/>
          <w:szCs w:val="24"/>
        </w:rPr>
      </w:pPr>
      <w:r w:rsidRPr="0079616A">
        <w:rPr>
          <w:rFonts w:cstheme="minorHAnsi"/>
          <w:szCs w:val="24"/>
        </w:rPr>
        <w:t>Nashville, TN 37217</w:t>
      </w:r>
      <w:r w:rsidR="004647EA" w:rsidRPr="0079616A">
        <w:rPr>
          <w:rFonts w:cstheme="minorHAnsi"/>
          <w:szCs w:val="24"/>
        </w:rPr>
        <w:t>TYPE SECTION INFORMATION HERE</w:t>
      </w:r>
    </w:p>
    <w:p w14:paraId="29EF02B8" w14:textId="1FC450E2" w:rsidR="004647EA" w:rsidRPr="00E663AB" w:rsidRDefault="008C3E91" w:rsidP="008C3E91">
      <w:pPr>
        <w:pStyle w:val="Heading2"/>
      </w:pPr>
      <w:r w:rsidRPr="008C3E91">
        <w:t>2.3.2</w:t>
      </w:r>
      <w:r w:rsidRPr="008C3E91">
        <w:tab/>
        <w:t>Mileage, Odometer Reading</w:t>
      </w:r>
    </w:p>
    <w:p w14:paraId="514811F2" w14:textId="4C72B358" w:rsidR="004647EA" w:rsidRPr="00AC425F" w:rsidRDefault="008C3E91" w:rsidP="004647EA">
      <w:pPr>
        <w:spacing w:after="240"/>
        <w:rPr>
          <w:b/>
          <w:bCs/>
        </w:rPr>
      </w:pPr>
      <w:r w:rsidRPr="008C3E91">
        <w:rPr>
          <w:rFonts w:cstheme="minorHAnsi"/>
          <w:szCs w:val="24"/>
        </w:rPr>
        <w:t>The maximum mileage allowable for any vehicle to be considered acceptable at the point of delivery is no more than five hundred (500) miles (“Maximum Mileage”). All Contractors awarded a Contract shall only deliver vehicles that do not   exceed the Maximum Mileage. Vehicles exceeding the Maximum Mileage may be deemed to be unacceptable in the State’s or an Authorized User’s sole and absolute discretion.</w:t>
      </w:r>
    </w:p>
    <w:p w14:paraId="512D0AF2" w14:textId="738BFAB0" w:rsidR="00317042" w:rsidRPr="00E663AB" w:rsidRDefault="00736B84" w:rsidP="00736B84">
      <w:pPr>
        <w:pStyle w:val="Heading2"/>
      </w:pPr>
      <w:r w:rsidRPr="00736B84">
        <w:t>2.3.3</w:t>
      </w:r>
      <w:r w:rsidRPr="00736B84">
        <w:tab/>
        <w:t>Pre-Delivery Inspection</w:t>
      </w:r>
    </w:p>
    <w:p w14:paraId="1BC035F0" w14:textId="207E2D5C" w:rsidR="00736B84" w:rsidRPr="00736B84" w:rsidRDefault="00736B84" w:rsidP="00736B84">
      <w:pPr>
        <w:spacing w:after="240"/>
        <w:rPr>
          <w:rFonts w:cstheme="minorHAnsi"/>
          <w:szCs w:val="24"/>
        </w:rPr>
      </w:pPr>
      <w:r w:rsidRPr="00736B84">
        <w:rPr>
          <w:rFonts w:cstheme="minorHAnsi"/>
          <w:szCs w:val="24"/>
        </w:rPr>
        <w:t xml:space="preserve">Prior to delivery of any vehicle, the dealer should </w:t>
      </w:r>
      <w:proofErr w:type="gramStart"/>
      <w:r w:rsidRPr="00736B84">
        <w:rPr>
          <w:rFonts w:cstheme="minorHAnsi"/>
          <w:szCs w:val="24"/>
        </w:rPr>
        <w:t>make arrangements</w:t>
      </w:r>
      <w:proofErr w:type="gramEnd"/>
      <w:r w:rsidRPr="00736B84">
        <w:rPr>
          <w:rFonts w:cstheme="minorHAnsi"/>
          <w:szCs w:val="24"/>
        </w:rPr>
        <w:t xml:space="preserve"> with the State or an ordering Authorized User for the purpose of scheduling delivery and conducting an inspection of delivered vehicles.  The State or an ordering Authorized User reserve the right to inspect each delivered vehicle to establish conformity to specifications prior to acceptance. All delivered vehicles shall be ready for immediate operation. All Contractors awarded a Contract shall perform all pre-delivery servicing and adjustments, which includes, without limitation, all </w:t>
      </w:r>
      <w:r w:rsidRPr="00736B84">
        <w:rPr>
          <w:rFonts w:cstheme="minorHAnsi"/>
          <w:szCs w:val="24"/>
        </w:rPr>
        <w:lastRenderedPageBreak/>
        <w:t>manufacturers’ recommendations, and the following:</w:t>
      </w:r>
    </w:p>
    <w:p w14:paraId="7142E89E" w14:textId="1F4FCC6D" w:rsidR="00736B84" w:rsidRPr="00736B84" w:rsidRDefault="00736B84" w:rsidP="00736B84">
      <w:pPr>
        <w:spacing w:after="240"/>
        <w:rPr>
          <w:rFonts w:cstheme="minorHAnsi"/>
          <w:szCs w:val="24"/>
        </w:rPr>
      </w:pPr>
      <w:r w:rsidRPr="00736B84">
        <w:rPr>
          <w:rFonts w:cstheme="minorHAnsi"/>
          <w:szCs w:val="24"/>
        </w:rPr>
        <w:t>A.</w:t>
      </w:r>
      <w:r>
        <w:rPr>
          <w:rFonts w:cstheme="minorHAnsi"/>
          <w:szCs w:val="24"/>
        </w:rPr>
        <w:t xml:space="preserve"> </w:t>
      </w:r>
      <w:r w:rsidRPr="00736B84">
        <w:rPr>
          <w:rFonts w:cstheme="minorHAnsi"/>
          <w:szCs w:val="24"/>
        </w:rPr>
        <w:t xml:space="preserve">Complete vehicle </w:t>
      </w:r>
      <w:proofErr w:type="gramStart"/>
      <w:r w:rsidRPr="00736B84">
        <w:rPr>
          <w:rFonts w:cstheme="minorHAnsi"/>
          <w:szCs w:val="24"/>
        </w:rPr>
        <w:t>winterization;</w:t>
      </w:r>
      <w:proofErr w:type="gramEnd"/>
    </w:p>
    <w:p w14:paraId="2EE2E1D2" w14:textId="7BE3C5A4" w:rsidR="00736B84" w:rsidRPr="00736B84" w:rsidRDefault="00736B84" w:rsidP="00736B84">
      <w:pPr>
        <w:spacing w:after="240"/>
        <w:rPr>
          <w:rFonts w:cstheme="minorHAnsi"/>
          <w:szCs w:val="24"/>
        </w:rPr>
      </w:pPr>
      <w:r w:rsidRPr="00736B84">
        <w:rPr>
          <w:rFonts w:cstheme="minorHAnsi"/>
          <w:szCs w:val="24"/>
        </w:rPr>
        <w:t>B.</w:t>
      </w:r>
      <w:r>
        <w:rPr>
          <w:rFonts w:cstheme="minorHAnsi"/>
          <w:szCs w:val="24"/>
        </w:rPr>
        <w:t xml:space="preserve"> </w:t>
      </w:r>
      <w:r w:rsidRPr="00736B84">
        <w:rPr>
          <w:rFonts w:cstheme="minorHAnsi"/>
          <w:szCs w:val="24"/>
        </w:rPr>
        <w:t xml:space="preserve">Complete lubrication of operating chassis, engine, and mechanisms with manufacturer’s recommended grades of </w:t>
      </w:r>
      <w:proofErr w:type="gramStart"/>
      <w:r w:rsidRPr="00736B84">
        <w:rPr>
          <w:rFonts w:cstheme="minorHAnsi"/>
          <w:szCs w:val="24"/>
        </w:rPr>
        <w:t>lubricants;</w:t>
      </w:r>
      <w:proofErr w:type="gramEnd"/>
    </w:p>
    <w:p w14:paraId="50FE08D5" w14:textId="760671AC" w:rsidR="00736B84" w:rsidRPr="00736B84" w:rsidRDefault="00736B84" w:rsidP="00736B84">
      <w:pPr>
        <w:spacing w:after="240"/>
        <w:rPr>
          <w:rFonts w:cstheme="minorHAnsi"/>
          <w:szCs w:val="24"/>
        </w:rPr>
      </w:pPr>
      <w:r w:rsidRPr="00736B84">
        <w:rPr>
          <w:rFonts w:cstheme="minorHAnsi"/>
          <w:szCs w:val="24"/>
        </w:rPr>
        <w:t>C.</w:t>
      </w:r>
      <w:r>
        <w:rPr>
          <w:rFonts w:cstheme="minorHAnsi"/>
          <w:szCs w:val="24"/>
        </w:rPr>
        <w:t xml:space="preserve"> </w:t>
      </w:r>
      <w:r w:rsidRPr="00736B84">
        <w:rPr>
          <w:rFonts w:cstheme="minorHAnsi"/>
          <w:szCs w:val="24"/>
        </w:rPr>
        <w:t xml:space="preserve">All fluid level checks to ensure that the vehicle meets proper manufacturer’s </w:t>
      </w:r>
      <w:proofErr w:type="gramStart"/>
      <w:r w:rsidRPr="00736B84">
        <w:rPr>
          <w:rFonts w:cstheme="minorHAnsi"/>
          <w:szCs w:val="24"/>
        </w:rPr>
        <w:t>specifications;</w:t>
      </w:r>
      <w:proofErr w:type="gramEnd"/>
    </w:p>
    <w:p w14:paraId="3CA5C186" w14:textId="737EEB4E" w:rsidR="00736B84" w:rsidRPr="00736B84" w:rsidRDefault="00736B84" w:rsidP="00736B84">
      <w:pPr>
        <w:spacing w:after="240"/>
        <w:rPr>
          <w:rFonts w:cstheme="minorHAnsi"/>
          <w:szCs w:val="24"/>
        </w:rPr>
      </w:pPr>
      <w:r w:rsidRPr="00736B84">
        <w:rPr>
          <w:rFonts w:cstheme="minorHAnsi"/>
          <w:szCs w:val="24"/>
        </w:rPr>
        <w:t>D.</w:t>
      </w:r>
      <w:r>
        <w:rPr>
          <w:rFonts w:cstheme="minorHAnsi"/>
          <w:szCs w:val="24"/>
        </w:rPr>
        <w:t xml:space="preserve"> </w:t>
      </w:r>
      <w:r w:rsidRPr="00736B84">
        <w:rPr>
          <w:rFonts w:cstheme="minorHAnsi"/>
          <w:szCs w:val="24"/>
        </w:rPr>
        <w:t xml:space="preserve">Adjustments to each vehicle’s engine/motor/drive to ensure operating conditions consistent with manufacturer </w:t>
      </w:r>
      <w:proofErr w:type="gramStart"/>
      <w:r w:rsidRPr="00736B84">
        <w:rPr>
          <w:rFonts w:cstheme="minorHAnsi"/>
          <w:szCs w:val="24"/>
        </w:rPr>
        <w:t>specifications;</w:t>
      </w:r>
      <w:proofErr w:type="gramEnd"/>
    </w:p>
    <w:p w14:paraId="3DFE0BF8" w14:textId="524E0AAD" w:rsidR="00736B84" w:rsidRPr="00736B84" w:rsidRDefault="00736B84" w:rsidP="00736B84">
      <w:pPr>
        <w:spacing w:after="240"/>
        <w:rPr>
          <w:rFonts w:cstheme="minorHAnsi"/>
          <w:szCs w:val="24"/>
        </w:rPr>
      </w:pPr>
      <w:r w:rsidRPr="00736B84">
        <w:rPr>
          <w:rFonts w:cstheme="minorHAnsi"/>
          <w:szCs w:val="24"/>
        </w:rPr>
        <w:t>E.</w:t>
      </w:r>
      <w:r>
        <w:rPr>
          <w:rFonts w:cstheme="minorHAnsi"/>
          <w:szCs w:val="24"/>
        </w:rPr>
        <w:t xml:space="preserve"> </w:t>
      </w:r>
      <w:r w:rsidRPr="00736B84">
        <w:rPr>
          <w:rFonts w:cstheme="minorHAnsi"/>
          <w:szCs w:val="24"/>
        </w:rPr>
        <w:t xml:space="preserve">Checking to ensure proper operation of all accessories, gauges, lights, and mechanical and hydraulic </w:t>
      </w:r>
      <w:proofErr w:type="gramStart"/>
      <w:r w:rsidRPr="00736B84">
        <w:rPr>
          <w:rFonts w:cstheme="minorHAnsi"/>
          <w:szCs w:val="24"/>
        </w:rPr>
        <w:t>features;</w:t>
      </w:r>
      <w:proofErr w:type="gramEnd"/>
    </w:p>
    <w:p w14:paraId="561DFE36" w14:textId="6BEA1DE0" w:rsidR="00736B84" w:rsidRPr="00736B84" w:rsidRDefault="00736B84" w:rsidP="00736B84">
      <w:pPr>
        <w:spacing w:after="240"/>
        <w:rPr>
          <w:rFonts w:cstheme="minorHAnsi"/>
          <w:szCs w:val="24"/>
        </w:rPr>
      </w:pPr>
      <w:r w:rsidRPr="00736B84">
        <w:rPr>
          <w:rFonts w:cstheme="minorHAnsi"/>
          <w:szCs w:val="24"/>
        </w:rPr>
        <w:t>F.</w:t>
      </w:r>
      <w:r>
        <w:rPr>
          <w:rFonts w:cstheme="minorHAnsi"/>
          <w:szCs w:val="24"/>
        </w:rPr>
        <w:t xml:space="preserve"> </w:t>
      </w:r>
      <w:r w:rsidRPr="00736B84">
        <w:rPr>
          <w:rFonts w:cstheme="minorHAnsi"/>
          <w:szCs w:val="24"/>
        </w:rPr>
        <w:t xml:space="preserve">Charging battery and inspecting electrical, braking, and suspension </w:t>
      </w:r>
      <w:proofErr w:type="gramStart"/>
      <w:r w:rsidRPr="00736B84">
        <w:rPr>
          <w:rFonts w:cstheme="minorHAnsi"/>
          <w:szCs w:val="24"/>
        </w:rPr>
        <w:t>systems;</w:t>
      </w:r>
      <w:proofErr w:type="gramEnd"/>
    </w:p>
    <w:p w14:paraId="57AE44A4" w14:textId="171E7059" w:rsidR="00736B84" w:rsidRPr="00736B84" w:rsidRDefault="00736B84" w:rsidP="00736B84">
      <w:pPr>
        <w:spacing w:after="240"/>
        <w:rPr>
          <w:rFonts w:cstheme="minorHAnsi"/>
          <w:szCs w:val="24"/>
        </w:rPr>
      </w:pPr>
      <w:r w:rsidRPr="00736B84">
        <w:rPr>
          <w:rFonts w:cstheme="minorHAnsi"/>
          <w:szCs w:val="24"/>
        </w:rPr>
        <w:t>G.</w:t>
      </w:r>
      <w:r>
        <w:rPr>
          <w:rFonts w:cstheme="minorHAnsi"/>
          <w:szCs w:val="24"/>
        </w:rPr>
        <w:t xml:space="preserve"> </w:t>
      </w:r>
      <w:r w:rsidRPr="00736B84">
        <w:rPr>
          <w:rFonts w:cstheme="minorHAnsi"/>
          <w:szCs w:val="24"/>
        </w:rPr>
        <w:t xml:space="preserve">Inflating tires, including spare, to optimal </w:t>
      </w:r>
      <w:proofErr w:type="gramStart"/>
      <w:r w:rsidRPr="00736B84">
        <w:rPr>
          <w:rFonts w:cstheme="minorHAnsi"/>
          <w:szCs w:val="24"/>
        </w:rPr>
        <w:t>pressure;</w:t>
      </w:r>
      <w:proofErr w:type="gramEnd"/>
    </w:p>
    <w:p w14:paraId="538C3E6A" w14:textId="045B8009" w:rsidR="00736B84" w:rsidRPr="00736B84" w:rsidRDefault="00736B84" w:rsidP="00736B84">
      <w:pPr>
        <w:spacing w:after="240"/>
        <w:rPr>
          <w:rFonts w:cstheme="minorHAnsi"/>
          <w:szCs w:val="24"/>
        </w:rPr>
      </w:pPr>
      <w:r w:rsidRPr="00736B84">
        <w:rPr>
          <w:rFonts w:cstheme="minorHAnsi"/>
          <w:szCs w:val="24"/>
        </w:rPr>
        <w:t>H.</w:t>
      </w:r>
      <w:r>
        <w:rPr>
          <w:rFonts w:cstheme="minorHAnsi"/>
          <w:szCs w:val="24"/>
        </w:rPr>
        <w:t xml:space="preserve"> </w:t>
      </w:r>
      <w:r w:rsidRPr="00736B84">
        <w:rPr>
          <w:rFonts w:cstheme="minorHAnsi"/>
          <w:szCs w:val="24"/>
        </w:rPr>
        <w:t>Filling gas tanks with gas or alternative fuel to ½ Tank (by Fuel Gauge</w:t>
      </w:r>
      <w:proofErr w:type="gramStart"/>
      <w:r w:rsidRPr="00736B84">
        <w:rPr>
          <w:rFonts w:cstheme="minorHAnsi"/>
          <w:szCs w:val="24"/>
        </w:rPr>
        <w:t>);</w:t>
      </w:r>
      <w:proofErr w:type="gramEnd"/>
    </w:p>
    <w:p w14:paraId="4643457E" w14:textId="7BEDC961" w:rsidR="00736B84" w:rsidRPr="00736B84" w:rsidRDefault="00736B84" w:rsidP="00736B84">
      <w:pPr>
        <w:spacing w:after="240"/>
        <w:rPr>
          <w:rFonts w:cstheme="minorHAnsi"/>
          <w:szCs w:val="24"/>
        </w:rPr>
      </w:pPr>
      <w:r w:rsidRPr="00736B84">
        <w:rPr>
          <w:rFonts w:cstheme="minorHAnsi"/>
          <w:szCs w:val="24"/>
        </w:rPr>
        <w:t>I.</w:t>
      </w:r>
      <w:r>
        <w:rPr>
          <w:rFonts w:cstheme="minorHAnsi"/>
          <w:szCs w:val="24"/>
        </w:rPr>
        <w:t xml:space="preserve"> </w:t>
      </w:r>
      <w:r w:rsidRPr="00736B84">
        <w:rPr>
          <w:rFonts w:cstheme="minorHAnsi"/>
          <w:szCs w:val="24"/>
        </w:rPr>
        <w:t xml:space="preserve">Ensuring that vehicles are thoroughly cleaned and detailed inside and out prior to delivery. All upholstery and floor protection shall be removed. Manufacturer’s floor mats are to be placed, window decals removed, and all adhesives cleaned from the vehicle. The vehicle must be delivered free of any decal or other attached item identifying the dealer. The vehicle is expected to be completely cleaned and operational at the time of </w:t>
      </w:r>
      <w:proofErr w:type="gramStart"/>
      <w:r w:rsidRPr="00736B84">
        <w:rPr>
          <w:rFonts w:cstheme="minorHAnsi"/>
          <w:szCs w:val="24"/>
        </w:rPr>
        <w:t>delivery;</w:t>
      </w:r>
      <w:proofErr w:type="gramEnd"/>
    </w:p>
    <w:p w14:paraId="1DCDDC93" w14:textId="59C09713" w:rsidR="00736B84" w:rsidRPr="00736B84" w:rsidRDefault="00736B84" w:rsidP="00736B84">
      <w:pPr>
        <w:spacing w:after="240"/>
        <w:rPr>
          <w:rFonts w:cstheme="minorHAnsi"/>
          <w:szCs w:val="24"/>
        </w:rPr>
      </w:pPr>
      <w:r w:rsidRPr="00736B84">
        <w:rPr>
          <w:rFonts w:cstheme="minorHAnsi"/>
          <w:szCs w:val="24"/>
        </w:rPr>
        <w:t>J.</w:t>
      </w:r>
      <w:r>
        <w:rPr>
          <w:rFonts w:cstheme="minorHAnsi"/>
          <w:szCs w:val="24"/>
        </w:rPr>
        <w:t xml:space="preserve"> </w:t>
      </w:r>
      <w:r w:rsidRPr="00736B84">
        <w:rPr>
          <w:rFonts w:cstheme="minorHAnsi"/>
          <w:szCs w:val="24"/>
        </w:rPr>
        <w:t xml:space="preserve">Correcting all factory defects prior to delivery, </w:t>
      </w:r>
      <w:proofErr w:type="gramStart"/>
      <w:r w:rsidRPr="00736B84">
        <w:rPr>
          <w:rFonts w:cstheme="minorHAnsi"/>
          <w:szCs w:val="24"/>
        </w:rPr>
        <w:t>and;</w:t>
      </w:r>
      <w:proofErr w:type="gramEnd"/>
    </w:p>
    <w:p w14:paraId="7D93B928" w14:textId="158FFCF9" w:rsidR="00736B84" w:rsidRPr="00736B84" w:rsidRDefault="00736B84" w:rsidP="00736B84">
      <w:pPr>
        <w:spacing w:after="240"/>
        <w:rPr>
          <w:rFonts w:cstheme="minorHAnsi"/>
          <w:szCs w:val="24"/>
        </w:rPr>
      </w:pPr>
      <w:r w:rsidRPr="00736B84">
        <w:rPr>
          <w:rFonts w:cstheme="minorHAnsi"/>
          <w:szCs w:val="24"/>
        </w:rPr>
        <w:t>K.</w:t>
      </w:r>
      <w:r>
        <w:rPr>
          <w:rFonts w:cstheme="minorHAnsi"/>
          <w:szCs w:val="24"/>
        </w:rPr>
        <w:t xml:space="preserve"> </w:t>
      </w:r>
      <w:r w:rsidRPr="00736B84">
        <w:rPr>
          <w:rFonts w:cstheme="minorHAnsi"/>
          <w:szCs w:val="24"/>
        </w:rPr>
        <w:t xml:space="preserve">Providing two (2) pre-tested keys marked with </w:t>
      </w:r>
      <w:proofErr w:type="gramStart"/>
      <w:r w:rsidRPr="00736B84">
        <w:rPr>
          <w:rFonts w:cstheme="minorHAnsi"/>
          <w:szCs w:val="24"/>
        </w:rPr>
        <w:t>the VIN</w:t>
      </w:r>
      <w:proofErr w:type="gramEnd"/>
      <w:r w:rsidRPr="00736B84">
        <w:rPr>
          <w:rFonts w:cstheme="minorHAnsi"/>
          <w:szCs w:val="24"/>
        </w:rPr>
        <w:t xml:space="preserve"> number. The vehicle key code must be provided, attached to the keys.</w:t>
      </w:r>
    </w:p>
    <w:p w14:paraId="4809D422" w14:textId="3757B2E6" w:rsidR="00317042" w:rsidRPr="00AC425F" w:rsidRDefault="00736B84" w:rsidP="00736B84">
      <w:pPr>
        <w:spacing w:after="240"/>
        <w:rPr>
          <w:b/>
          <w:bCs/>
        </w:rPr>
      </w:pPr>
      <w:r w:rsidRPr="00736B84">
        <w:rPr>
          <w:rFonts w:cstheme="minorHAnsi"/>
          <w:szCs w:val="24"/>
        </w:rPr>
        <w:t xml:space="preserve">Only after delivery and approval of the ordering agency/Authorized User, can the vehicle be invoiced </w:t>
      </w:r>
      <w:proofErr w:type="gramStart"/>
      <w:r w:rsidRPr="00736B84">
        <w:rPr>
          <w:rFonts w:cstheme="minorHAnsi"/>
          <w:szCs w:val="24"/>
        </w:rPr>
        <w:t>per</w:t>
      </w:r>
      <w:proofErr w:type="gramEnd"/>
      <w:r w:rsidRPr="00736B84">
        <w:rPr>
          <w:rFonts w:cstheme="minorHAnsi"/>
          <w:szCs w:val="24"/>
        </w:rPr>
        <w:t xml:space="preserve"> the contract T&amp;C’s. </w:t>
      </w:r>
    </w:p>
    <w:p w14:paraId="33D904F0" w14:textId="43A15CB7" w:rsidR="00317042" w:rsidRPr="00E663AB" w:rsidRDefault="00F439C8" w:rsidP="00F439C8">
      <w:pPr>
        <w:pStyle w:val="Heading2"/>
      </w:pPr>
      <w:r w:rsidRPr="00F439C8">
        <w:t>2.3.4</w:t>
      </w:r>
      <w:r w:rsidRPr="00F439C8">
        <w:tab/>
        <w:t>Documentation Requirements</w:t>
      </w:r>
    </w:p>
    <w:p w14:paraId="79DA0730" w14:textId="77777777" w:rsidR="00F439C8" w:rsidRPr="00F439C8" w:rsidRDefault="00F439C8" w:rsidP="00F439C8">
      <w:pPr>
        <w:spacing w:after="240"/>
        <w:rPr>
          <w:rFonts w:cstheme="minorHAnsi"/>
          <w:szCs w:val="24"/>
        </w:rPr>
      </w:pPr>
      <w:r w:rsidRPr="00F439C8">
        <w:rPr>
          <w:rFonts w:cstheme="minorHAnsi"/>
          <w:szCs w:val="24"/>
        </w:rPr>
        <w:t xml:space="preserve">The following document package shall be </w:t>
      </w:r>
      <w:proofErr w:type="gramStart"/>
      <w:r w:rsidRPr="00F439C8">
        <w:rPr>
          <w:rFonts w:cstheme="minorHAnsi"/>
          <w:szCs w:val="24"/>
        </w:rPr>
        <w:t>delivered with each</w:t>
      </w:r>
      <w:proofErr w:type="gramEnd"/>
      <w:r w:rsidRPr="00F439C8">
        <w:rPr>
          <w:rFonts w:cstheme="minorHAnsi"/>
          <w:szCs w:val="24"/>
        </w:rPr>
        <w:t xml:space="preserve"> vehicle:</w:t>
      </w:r>
    </w:p>
    <w:p w14:paraId="3C52A5DD" w14:textId="4AA60AEF" w:rsidR="00F439C8" w:rsidRPr="00F439C8" w:rsidRDefault="00F439C8" w:rsidP="00F439C8">
      <w:pPr>
        <w:spacing w:after="240"/>
        <w:rPr>
          <w:rFonts w:cstheme="minorHAnsi"/>
          <w:szCs w:val="24"/>
        </w:rPr>
      </w:pPr>
      <w:r w:rsidRPr="00F439C8">
        <w:rPr>
          <w:rFonts w:cstheme="minorHAnsi"/>
          <w:szCs w:val="24"/>
        </w:rPr>
        <w:t>A.</w:t>
      </w:r>
      <w:r>
        <w:rPr>
          <w:rFonts w:cstheme="minorHAnsi"/>
          <w:szCs w:val="24"/>
        </w:rPr>
        <w:t xml:space="preserve"> </w:t>
      </w:r>
      <w:r w:rsidRPr="00F439C8">
        <w:rPr>
          <w:rFonts w:cstheme="minorHAnsi"/>
          <w:szCs w:val="24"/>
        </w:rPr>
        <w:t xml:space="preserve">Dealer’s completed Pre-Delivery Inspection </w:t>
      </w:r>
      <w:proofErr w:type="gramStart"/>
      <w:r w:rsidRPr="00F439C8">
        <w:rPr>
          <w:rFonts w:cstheme="minorHAnsi"/>
          <w:szCs w:val="24"/>
        </w:rPr>
        <w:t>Document;</w:t>
      </w:r>
      <w:proofErr w:type="gramEnd"/>
    </w:p>
    <w:p w14:paraId="49B1D8A4" w14:textId="5FF7A316" w:rsidR="00F439C8" w:rsidRPr="00F439C8" w:rsidRDefault="00F439C8" w:rsidP="00F439C8">
      <w:pPr>
        <w:spacing w:after="240"/>
        <w:rPr>
          <w:rFonts w:cstheme="minorHAnsi"/>
          <w:szCs w:val="24"/>
        </w:rPr>
      </w:pPr>
      <w:r w:rsidRPr="00F439C8">
        <w:rPr>
          <w:rFonts w:cstheme="minorHAnsi"/>
          <w:szCs w:val="24"/>
        </w:rPr>
        <w:t>B.</w:t>
      </w:r>
      <w:r>
        <w:rPr>
          <w:rFonts w:cstheme="minorHAnsi"/>
          <w:szCs w:val="24"/>
        </w:rPr>
        <w:t xml:space="preserve"> </w:t>
      </w:r>
      <w:r w:rsidRPr="00F439C8">
        <w:rPr>
          <w:rFonts w:cstheme="minorHAnsi"/>
          <w:szCs w:val="24"/>
        </w:rPr>
        <w:t xml:space="preserve">Operators (owners) </w:t>
      </w:r>
      <w:proofErr w:type="gramStart"/>
      <w:r w:rsidRPr="00F439C8">
        <w:rPr>
          <w:rFonts w:cstheme="minorHAnsi"/>
          <w:szCs w:val="24"/>
        </w:rPr>
        <w:t>Manual;</w:t>
      </w:r>
      <w:proofErr w:type="gramEnd"/>
    </w:p>
    <w:p w14:paraId="46D0DEC0" w14:textId="23EB93E6" w:rsidR="00F439C8" w:rsidRPr="00F439C8" w:rsidRDefault="00F439C8" w:rsidP="00F439C8">
      <w:pPr>
        <w:spacing w:after="240"/>
        <w:rPr>
          <w:rFonts w:cstheme="minorHAnsi"/>
          <w:szCs w:val="24"/>
        </w:rPr>
      </w:pPr>
      <w:r w:rsidRPr="00F439C8">
        <w:rPr>
          <w:rFonts w:cstheme="minorHAnsi"/>
          <w:szCs w:val="24"/>
        </w:rPr>
        <w:t>C.</w:t>
      </w:r>
      <w:r>
        <w:rPr>
          <w:rFonts w:cstheme="minorHAnsi"/>
          <w:szCs w:val="24"/>
        </w:rPr>
        <w:t xml:space="preserve"> </w:t>
      </w:r>
      <w:r w:rsidRPr="00F439C8">
        <w:rPr>
          <w:rFonts w:cstheme="minorHAnsi"/>
          <w:szCs w:val="24"/>
        </w:rPr>
        <w:t xml:space="preserve">Manufacturer’s Warranty </w:t>
      </w:r>
      <w:proofErr w:type="gramStart"/>
      <w:r w:rsidRPr="00F439C8">
        <w:rPr>
          <w:rFonts w:cstheme="minorHAnsi"/>
          <w:szCs w:val="24"/>
        </w:rPr>
        <w:t>Information;</w:t>
      </w:r>
      <w:proofErr w:type="gramEnd"/>
    </w:p>
    <w:p w14:paraId="55FE370D" w14:textId="4CE13719" w:rsidR="00F439C8" w:rsidRPr="00F439C8" w:rsidRDefault="00F439C8" w:rsidP="00F439C8">
      <w:pPr>
        <w:spacing w:after="240"/>
        <w:rPr>
          <w:rFonts w:cstheme="minorHAnsi"/>
          <w:szCs w:val="24"/>
        </w:rPr>
      </w:pPr>
      <w:r w:rsidRPr="00F439C8">
        <w:rPr>
          <w:rFonts w:cstheme="minorHAnsi"/>
          <w:szCs w:val="24"/>
        </w:rPr>
        <w:lastRenderedPageBreak/>
        <w:t>D.</w:t>
      </w:r>
      <w:r>
        <w:rPr>
          <w:rFonts w:cstheme="minorHAnsi"/>
          <w:szCs w:val="24"/>
        </w:rPr>
        <w:t xml:space="preserve"> </w:t>
      </w:r>
      <w:r w:rsidRPr="00F439C8">
        <w:rPr>
          <w:rFonts w:cstheme="minorHAnsi"/>
          <w:szCs w:val="24"/>
        </w:rPr>
        <w:t xml:space="preserve">Dealer Acknowledgement of Receipt of </w:t>
      </w:r>
      <w:proofErr w:type="gramStart"/>
      <w:r w:rsidRPr="00F439C8">
        <w:rPr>
          <w:rFonts w:cstheme="minorHAnsi"/>
          <w:szCs w:val="24"/>
        </w:rPr>
        <w:t>Order;</w:t>
      </w:r>
      <w:proofErr w:type="gramEnd"/>
    </w:p>
    <w:p w14:paraId="1492DC9F" w14:textId="11A9BCBF" w:rsidR="00F439C8" w:rsidRPr="00F439C8" w:rsidRDefault="00F439C8" w:rsidP="00F439C8">
      <w:pPr>
        <w:spacing w:after="240"/>
        <w:rPr>
          <w:rFonts w:cstheme="minorHAnsi"/>
          <w:szCs w:val="24"/>
        </w:rPr>
      </w:pPr>
      <w:r w:rsidRPr="00F439C8">
        <w:rPr>
          <w:rFonts w:cstheme="minorHAnsi"/>
          <w:szCs w:val="24"/>
        </w:rPr>
        <w:t>E.</w:t>
      </w:r>
      <w:r>
        <w:rPr>
          <w:rFonts w:cstheme="minorHAnsi"/>
          <w:szCs w:val="24"/>
        </w:rPr>
        <w:t xml:space="preserve"> </w:t>
      </w:r>
      <w:r w:rsidRPr="00F439C8">
        <w:rPr>
          <w:rFonts w:cstheme="minorHAnsi"/>
          <w:szCs w:val="24"/>
        </w:rPr>
        <w:t xml:space="preserve">Authorized User’s Purchase </w:t>
      </w:r>
      <w:proofErr w:type="gramStart"/>
      <w:r w:rsidRPr="00F439C8">
        <w:rPr>
          <w:rFonts w:cstheme="minorHAnsi"/>
          <w:szCs w:val="24"/>
        </w:rPr>
        <w:t>Order;</w:t>
      </w:r>
      <w:proofErr w:type="gramEnd"/>
    </w:p>
    <w:p w14:paraId="61266CA4" w14:textId="0EE30526" w:rsidR="00F439C8" w:rsidRPr="00F439C8" w:rsidRDefault="00F439C8" w:rsidP="00F439C8">
      <w:pPr>
        <w:spacing w:after="240"/>
        <w:rPr>
          <w:rFonts w:cstheme="minorHAnsi"/>
          <w:szCs w:val="24"/>
        </w:rPr>
      </w:pPr>
      <w:r w:rsidRPr="00F439C8">
        <w:rPr>
          <w:rFonts w:cstheme="minorHAnsi"/>
          <w:szCs w:val="24"/>
        </w:rPr>
        <w:t>F.</w:t>
      </w:r>
      <w:r>
        <w:rPr>
          <w:rFonts w:cstheme="minorHAnsi"/>
          <w:szCs w:val="24"/>
        </w:rPr>
        <w:t xml:space="preserve"> </w:t>
      </w:r>
      <w:r w:rsidRPr="00F439C8">
        <w:rPr>
          <w:rFonts w:cstheme="minorHAnsi"/>
          <w:szCs w:val="24"/>
        </w:rPr>
        <w:t xml:space="preserve">Vehicle Window </w:t>
      </w:r>
      <w:proofErr w:type="gramStart"/>
      <w:r w:rsidRPr="00F439C8">
        <w:rPr>
          <w:rFonts w:cstheme="minorHAnsi"/>
          <w:szCs w:val="24"/>
        </w:rPr>
        <w:t>Sticker;</w:t>
      </w:r>
      <w:proofErr w:type="gramEnd"/>
    </w:p>
    <w:p w14:paraId="1A22C837" w14:textId="31D6B847" w:rsidR="00F439C8" w:rsidRPr="00F439C8" w:rsidRDefault="00F439C8" w:rsidP="00F439C8">
      <w:pPr>
        <w:spacing w:after="240"/>
        <w:rPr>
          <w:rFonts w:cstheme="minorHAnsi"/>
          <w:szCs w:val="24"/>
        </w:rPr>
      </w:pPr>
      <w:r w:rsidRPr="00F439C8">
        <w:rPr>
          <w:rFonts w:cstheme="minorHAnsi"/>
          <w:szCs w:val="24"/>
        </w:rPr>
        <w:t>G.</w:t>
      </w:r>
      <w:r>
        <w:rPr>
          <w:rFonts w:cstheme="minorHAnsi"/>
          <w:szCs w:val="24"/>
        </w:rPr>
        <w:t xml:space="preserve"> </w:t>
      </w:r>
      <w:r w:rsidRPr="00F439C8">
        <w:rPr>
          <w:rFonts w:cstheme="minorHAnsi"/>
          <w:szCs w:val="24"/>
        </w:rPr>
        <w:t xml:space="preserve">Original Odometer </w:t>
      </w:r>
      <w:proofErr w:type="gramStart"/>
      <w:r w:rsidRPr="00F439C8">
        <w:rPr>
          <w:rFonts w:cstheme="minorHAnsi"/>
          <w:szCs w:val="24"/>
        </w:rPr>
        <w:t>Statement;</w:t>
      </w:r>
      <w:proofErr w:type="gramEnd"/>
    </w:p>
    <w:p w14:paraId="279F2901" w14:textId="5CEF4D70" w:rsidR="00317042" w:rsidRPr="00AC425F" w:rsidRDefault="00F439C8" w:rsidP="00F439C8">
      <w:pPr>
        <w:spacing w:after="240"/>
        <w:rPr>
          <w:b/>
          <w:bCs/>
        </w:rPr>
      </w:pPr>
      <w:r w:rsidRPr="00F439C8">
        <w:rPr>
          <w:rFonts w:cstheme="minorHAnsi"/>
          <w:szCs w:val="24"/>
        </w:rPr>
        <w:t>H.</w:t>
      </w:r>
      <w:r>
        <w:rPr>
          <w:rFonts w:cstheme="minorHAnsi"/>
          <w:szCs w:val="24"/>
        </w:rPr>
        <w:t xml:space="preserve"> </w:t>
      </w:r>
      <w:r w:rsidRPr="00F439C8">
        <w:rPr>
          <w:rFonts w:cstheme="minorHAnsi"/>
          <w:szCs w:val="24"/>
        </w:rPr>
        <w:t>Manufacturer’s Statement of Origin (MSO).</w:t>
      </w:r>
    </w:p>
    <w:p w14:paraId="06F38E7F" w14:textId="06561700" w:rsidR="000607B3" w:rsidRPr="00404943" w:rsidRDefault="0093382F" w:rsidP="000607B3">
      <w:pPr>
        <w:pStyle w:val="Heading2"/>
      </w:pPr>
      <w:r w:rsidRPr="0093382F">
        <w:t>2.3.5</w:t>
      </w:r>
      <w:r w:rsidRPr="0093382F">
        <w:tab/>
        <w:t>Final Inspection, Delivery, and Acceptance of Vehicle</w:t>
      </w:r>
    </w:p>
    <w:p w14:paraId="48AE585B" w14:textId="5B72D798" w:rsidR="000607B3" w:rsidRPr="0093382F" w:rsidRDefault="0093382F" w:rsidP="0093382F">
      <w:pPr>
        <w:rPr>
          <w:rFonts w:asciiTheme="majorHAnsi" w:eastAsiaTheme="majorEastAsia" w:hAnsiTheme="majorHAnsi" w:cstheme="majorBidi"/>
          <w:b/>
          <w:szCs w:val="24"/>
        </w:rPr>
      </w:pPr>
      <w:r w:rsidRPr="0093382F">
        <w:rPr>
          <w:rFonts w:asciiTheme="majorHAnsi" w:eastAsiaTheme="majorEastAsia" w:hAnsiTheme="majorHAnsi" w:cstheme="majorBidi"/>
          <w:b/>
          <w:szCs w:val="24"/>
        </w:rPr>
        <w:t>Transportation and delivery of the vehicle to the State or an Authorized User does not constitute acceptance for the purpose of payment.</w:t>
      </w:r>
    </w:p>
    <w:p w14:paraId="61BE13D3" w14:textId="77777777" w:rsidR="0093382F" w:rsidRPr="0093382F" w:rsidRDefault="0093382F" w:rsidP="0093382F">
      <w:pPr>
        <w:spacing w:after="240"/>
        <w:rPr>
          <w:rFonts w:cstheme="minorHAnsi"/>
          <w:szCs w:val="24"/>
        </w:rPr>
      </w:pPr>
      <w:proofErr w:type="gramStart"/>
      <w:r w:rsidRPr="0093382F">
        <w:rPr>
          <w:rFonts w:cstheme="minorHAnsi"/>
          <w:szCs w:val="24"/>
        </w:rPr>
        <w:t>he</w:t>
      </w:r>
      <w:proofErr w:type="gramEnd"/>
      <w:r w:rsidRPr="0093382F">
        <w:rPr>
          <w:rFonts w:cstheme="minorHAnsi"/>
          <w:szCs w:val="24"/>
        </w:rPr>
        <w:t xml:space="preserve"> State or an ordering Authorized User shall have three (3) business days from delivery to thoroughly inspect each delivered vehicle and notify the Contractor awarded a Contract in writing that the vehicle meets specifications and is accepted, or it does not meet specifications, or the vehicle is otherwise defective and is not accepted. The Contractor awarded a Contract shall have the vehicle transported for any required service or adjustments within two (2) business days following notification by the State or an Authorized User that the delivered vehicle is not accepted. The State or an Authorized User reserves the right, in its sole and absolute discretion, to withhold acceptance of any delivered vehicle until such time as the vehicle meets all specifications, service, or adjustments made to the vehicle to the State’s or an Authorized User’s satisfaction. The costs of any transportation and delivery required as part of the initial delivery or any re-deliveries are the responsibility of the Contractor awarded the Contract.</w:t>
      </w:r>
    </w:p>
    <w:p w14:paraId="52D7C44D" w14:textId="72439C48" w:rsidR="000607B3" w:rsidRPr="00404943" w:rsidRDefault="003A22EA" w:rsidP="000607B3">
      <w:pPr>
        <w:pStyle w:val="Heading2"/>
      </w:pPr>
      <w:r w:rsidRPr="003A22EA">
        <w:t>Vehicle Pricing</w:t>
      </w:r>
    </w:p>
    <w:p w14:paraId="3A92ADEB" w14:textId="26E1A8ED" w:rsidR="000607B3" w:rsidRPr="003A22EA" w:rsidRDefault="003A22EA" w:rsidP="000607B3">
      <w:pPr>
        <w:pStyle w:val="Heading3"/>
        <w:rPr>
          <w:sz w:val="28"/>
          <w:szCs w:val="28"/>
        </w:rPr>
      </w:pPr>
      <w:r w:rsidRPr="003A22EA">
        <w:rPr>
          <w:sz w:val="28"/>
          <w:szCs w:val="28"/>
        </w:rPr>
        <w:t>Vehicle Government Fleet Price (See Attachment A, Sample Pricing Sheets</w:t>
      </w:r>
      <w:r>
        <w:rPr>
          <w:sz w:val="28"/>
          <w:szCs w:val="28"/>
        </w:rPr>
        <w:t>)</w:t>
      </w:r>
    </w:p>
    <w:p w14:paraId="69243162" w14:textId="68F3EC2A" w:rsidR="000607B3" w:rsidRPr="003A22EA" w:rsidRDefault="003A22EA" w:rsidP="003A22EA">
      <w:pPr>
        <w:spacing w:after="240"/>
        <w:rPr>
          <w:b/>
          <w:bCs/>
        </w:rPr>
      </w:pPr>
      <w:r w:rsidRPr="003A22EA">
        <w:rPr>
          <w:rFonts w:cstheme="minorHAnsi"/>
          <w:szCs w:val="24"/>
        </w:rPr>
        <w:t>Vehicle pricing paid by the State, or an Authorized Users under the Contract shall be the State Government Fleet Price, which is fixed for two (2) year. The dealer invoice will show the State’s Government Fleet 2 Year Fixed Price, plus any optional equipment. For pricing for manufacturers that a specific bid sheet is not listed in the attachments, please use the attachment A general bid sheet and fill in the manufacturer and fleet models offered as needed</w:t>
      </w:r>
    </w:p>
    <w:sectPr w:rsidR="000607B3" w:rsidRPr="003A22EA" w:rsidSect="00834054">
      <w:headerReference w:type="default" r:id="rId8"/>
      <w:footerReference w:type="default" r:id="rId9"/>
      <w:type w:val="continuous"/>
      <w:pgSz w:w="12240" w:h="15840"/>
      <w:pgMar w:top="720" w:right="1440" w:bottom="1220" w:left="1440" w:header="720" w:footer="1021"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12B34" w14:textId="77777777" w:rsidR="009B625E" w:rsidRDefault="009B625E">
      <w:r>
        <w:separator/>
      </w:r>
    </w:p>
  </w:endnote>
  <w:endnote w:type="continuationSeparator" w:id="0">
    <w:p w14:paraId="23DF211A" w14:textId="77777777" w:rsidR="009B625E" w:rsidRDefault="009B6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PermianSlabSerifTypeface-Bold">
    <w:altName w:val="PermianSlabSerifTypeface-Bold"/>
    <w:panose1 w:val="02000000000000000000"/>
    <w:charset w:val="00"/>
    <w:family w:val="auto"/>
    <w:pitch w:val="variable"/>
    <w:sig w:usb0="A00002AF" w:usb1="4000A07A" w:usb2="00000000"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F5265" w14:textId="544BC71D" w:rsidR="006B0660" w:rsidRPr="006B0660" w:rsidRDefault="002B3F02" w:rsidP="006B0660">
    <w:pPr>
      <w:rPr>
        <w:rFonts w:cstheme="minorHAnsi"/>
      </w:rPr>
    </w:pPr>
    <w:r w:rsidRPr="006B0660">
      <w:rPr>
        <w:rFonts w:cstheme="minorHAnsi"/>
        <w:noProof/>
      </w:rPr>
      <mc:AlternateContent>
        <mc:Choice Requires="wps">
          <w:drawing>
            <wp:anchor distT="0" distB="0" distL="0" distR="0" simplePos="0" relativeHeight="251657216" behindDoc="1" locked="0" layoutInCell="1" allowOverlap="1" wp14:anchorId="1666374A" wp14:editId="09AF5020">
              <wp:simplePos x="0" y="0"/>
              <wp:positionH relativeFrom="margin">
                <wp:align>left</wp:align>
              </wp:positionH>
              <wp:positionV relativeFrom="page">
                <wp:posOffset>8844915</wp:posOffset>
              </wp:positionV>
              <wp:extent cx="5692140" cy="1270"/>
              <wp:effectExtent l="0" t="0" r="0" b="0"/>
              <wp:wrapNone/>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2140" cy="1270"/>
                      </a:xfrm>
                      <a:custGeom>
                        <a:avLst/>
                        <a:gdLst/>
                        <a:ahLst/>
                        <a:cxnLst/>
                        <a:rect l="l" t="t" r="r" b="b"/>
                        <a:pathLst>
                          <a:path w="5692140">
                            <a:moveTo>
                              <a:pt x="0" y="0"/>
                            </a:moveTo>
                            <a:lnTo>
                              <a:pt x="5692140" y="0"/>
                            </a:lnTo>
                          </a:path>
                        </a:pathLst>
                      </a:custGeom>
                      <a:ln w="6350">
                        <a:solidFill>
                          <a:srgbClr val="DB333A"/>
                        </a:solidFill>
                        <a:prstDash val="solid"/>
                      </a:ln>
                    </wps:spPr>
                    <wps:bodyPr wrap="square" lIns="0" tIns="0" rIns="0" bIns="0" rtlCol="0">
                      <a:prstTxWarp prst="textNoShape">
                        <a:avLst/>
                      </a:prstTxWarp>
                      <a:noAutofit/>
                    </wps:bodyPr>
                  </wps:wsp>
                </a:graphicData>
              </a:graphic>
            </wp:anchor>
          </w:drawing>
        </mc:Choice>
        <mc:Fallback>
          <w:pict>
            <v:shape w14:anchorId="4047AF43" id="Graphic 1" o:spid="_x0000_s1026" alt="&quot;&quot;" style="position:absolute;margin-left:0;margin-top:696.45pt;width:448.2pt;height:.1pt;z-index:-251659264;visibility:visible;mso-wrap-style:square;mso-wrap-distance-left:0;mso-wrap-distance-top:0;mso-wrap-distance-right:0;mso-wrap-distance-bottom:0;mso-position-horizontal:left;mso-position-horizontal-relative:margin;mso-position-vertical:absolute;mso-position-vertical-relative:page;v-text-anchor:top" coordsize="5692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" path="m,l5692140,e" filled="f" strokecolor="#db333a" strokeweight=".5pt">
              <v:path arrowok="t"/>
              <w10:wrap anchorx="margin" anchory="page"/>
            </v:shape>
          </w:pict>
        </mc:Fallback>
      </mc:AlternateContent>
    </w:r>
    <w:r w:rsidR="006B0660" w:rsidRPr="006B0660">
      <w:rPr>
        <w:rFonts w:cstheme="minorHAnsi"/>
      </w:rPr>
      <w:t>Central Procurement Office • Tennessee Tower, 3</w:t>
    </w:r>
    <w:r w:rsidR="006B0660" w:rsidRPr="006B0660">
      <w:rPr>
        <w:rFonts w:cstheme="minorHAnsi"/>
        <w:vertAlign w:val="superscript"/>
      </w:rPr>
      <w:t>rd</w:t>
    </w:r>
    <w:r w:rsidR="006B0660" w:rsidRPr="006B0660">
      <w:rPr>
        <w:rFonts w:cstheme="minorHAnsi"/>
      </w:rPr>
      <w:t xml:space="preserve"> Floor</w:t>
    </w:r>
  </w:p>
  <w:p w14:paraId="1E88B812" w14:textId="77777777" w:rsidR="006B0660" w:rsidRPr="006B0660" w:rsidRDefault="006B0660" w:rsidP="006B0660">
    <w:pPr>
      <w:rPr>
        <w:rFonts w:cstheme="minorHAnsi"/>
      </w:rPr>
    </w:pPr>
    <w:r w:rsidRPr="006B0660">
      <w:rPr>
        <w:rFonts w:cstheme="minorHAnsi"/>
      </w:rPr>
      <w:t>312 Rosa L. Parks Avenue, Nashville, TN 37243</w:t>
    </w:r>
  </w:p>
  <w:p w14:paraId="7E0A5A09" w14:textId="7FA2D573" w:rsidR="006B0660" w:rsidRPr="006B0660" w:rsidRDefault="006B0660" w:rsidP="006B0660">
    <w:pPr>
      <w:rPr>
        <w:rFonts w:cstheme="minorHAnsi"/>
      </w:rPr>
    </w:pPr>
    <w:r w:rsidRPr="006B0660">
      <w:rPr>
        <w:rFonts w:cstheme="minorHAnsi"/>
      </w:rPr>
      <w:t xml:space="preserve">Tel: 615-741-1035 • Fax: 615-741-0684 Website: </w:t>
    </w:r>
    <w:hyperlink r:id="rId1" w:history="1">
      <w:r w:rsidRPr="006B0660">
        <w:rPr>
          <w:rStyle w:val="Hyperlink"/>
          <w:rFonts w:cstheme="minorHAnsi"/>
        </w:rPr>
        <w:t>tn.gov/</w:t>
      </w:r>
      <w:proofErr w:type="spellStart"/>
      <w:r w:rsidRPr="006B0660">
        <w:rPr>
          <w:rStyle w:val="Hyperlink"/>
          <w:rFonts w:cstheme="minorHAnsi"/>
        </w:rPr>
        <w:t>generalservices</w:t>
      </w:r>
      <w:proofErr w:type="spellEnd"/>
      <w:r w:rsidRPr="006B0660">
        <w:rPr>
          <w:rStyle w:val="Hyperlink"/>
          <w:rFonts w:cstheme="minorHAnsi"/>
        </w:rPr>
        <w:t>/</w:t>
      </w:r>
    </w:hyperlink>
  </w:p>
  <w:p w14:paraId="0B3510D9" w14:textId="436D5467" w:rsidR="00DE7308" w:rsidRPr="006B0660" w:rsidRDefault="00DE7308">
    <w:pPr>
      <w:pStyle w:val="BodyText"/>
      <w:spacing w:line="14" w:lineRule="auto"/>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34B59" w14:textId="77777777" w:rsidR="009B625E" w:rsidRDefault="009B625E">
      <w:r>
        <w:separator/>
      </w:r>
    </w:p>
  </w:footnote>
  <w:footnote w:type="continuationSeparator" w:id="0">
    <w:p w14:paraId="3E0EE73F" w14:textId="77777777" w:rsidR="009B625E" w:rsidRDefault="009B62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28B54" w14:textId="4B50325C" w:rsidR="00E419F2" w:rsidRDefault="00E419F2" w:rsidP="00E419F2">
    <w:pPr>
      <w:pStyle w:val="Header"/>
      <w:ind w:left="-720"/>
    </w:pPr>
    <w:r>
      <w:rPr>
        <w:noProof/>
      </w:rPr>
      <w:drawing>
        <wp:inline distT="0" distB="0" distL="0" distR="0" wp14:anchorId="495D49A3" wp14:editId="4F611AA3">
          <wp:extent cx="3585405" cy="590823"/>
          <wp:effectExtent l="0" t="0" r="0" b="6350"/>
          <wp:docPr id="1997545469" name="Picture 4" descr="Department of General Services, Central Procurement Off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914393" name="Picture 4" descr="Department of General Services, Central Procurement Office logo"/>
                  <pic:cNvPicPr/>
                </pic:nvPicPr>
                <pic:blipFill>
                  <a:blip r:embed="rId1">
                    <a:extLst>
                      <a:ext uri="{28A0092B-C50C-407E-A947-70E740481C1C}">
                        <a14:useLocalDpi xmlns:a14="http://schemas.microsoft.com/office/drawing/2010/main" val="0"/>
                      </a:ext>
                    </a:extLst>
                  </a:blip>
                  <a:stretch>
                    <a:fillRect/>
                  </a:stretch>
                </pic:blipFill>
                <pic:spPr>
                  <a:xfrm>
                    <a:off x="0" y="0"/>
                    <a:ext cx="3722264" cy="6133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E0CA610"/>
    <w:lvl w:ilvl="0">
      <w:start w:val="1"/>
      <w:numFmt w:val="decimal"/>
      <w:lvlText w:val="%1"/>
      <w:lvlJc w:val="left"/>
      <w:pPr>
        <w:ind w:hanging="333"/>
      </w:pPr>
      <w:rPr>
        <w:rFonts w:cs="Times New Roman"/>
      </w:rPr>
    </w:lvl>
    <w:lvl w:ilvl="1">
      <w:start w:val="1"/>
      <w:numFmt w:val="decimal"/>
      <w:lvlText w:val="%1.%2"/>
      <w:lvlJc w:val="left"/>
      <w:pPr>
        <w:ind w:hanging="333"/>
      </w:pPr>
      <w:rPr>
        <w:rFonts w:cs="Times New Roman"/>
        <w:b/>
        <w:bCs/>
        <w:sz w:val="26"/>
        <w:szCs w:val="26"/>
        <w:u w:val="single"/>
      </w:rPr>
    </w:lvl>
    <w:lvl w:ilvl="2">
      <w:start w:val="1"/>
      <w:numFmt w:val="decimal"/>
      <w:lvlText w:val="%3."/>
      <w:lvlJc w:val="left"/>
      <w:pPr>
        <w:ind w:hanging="361"/>
      </w:pPr>
      <w:rPr>
        <w:rFonts w:ascii="Calibri" w:hAnsi="Calibri" w:cs="Calibri"/>
        <w:b w:val="0"/>
        <w:bCs w:val="0"/>
        <w:sz w:val="22"/>
        <w:szCs w:val="22"/>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num w:numId="1" w16cid:durableId="1939361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308"/>
    <w:rsid w:val="000607B3"/>
    <w:rsid w:val="000C6E56"/>
    <w:rsid w:val="000E3E30"/>
    <w:rsid w:val="00104B86"/>
    <w:rsid w:val="00121EBC"/>
    <w:rsid w:val="00172D1D"/>
    <w:rsid w:val="001D1FE7"/>
    <w:rsid w:val="0027416F"/>
    <w:rsid w:val="002B3F02"/>
    <w:rsid w:val="002C4162"/>
    <w:rsid w:val="002C4791"/>
    <w:rsid w:val="002D720E"/>
    <w:rsid w:val="002E4DAA"/>
    <w:rsid w:val="00317042"/>
    <w:rsid w:val="003308F3"/>
    <w:rsid w:val="003A22EA"/>
    <w:rsid w:val="003A4906"/>
    <w:rsid w:val="003E1E64"/>
    <w:rsid w:val="00433409"/>
    <w:rsid w:val="004647EA"/>
    <w:rsid w:val="004B29A2"/>
    <w:rsid w:val="004C0890"/>
    <w:rsid w:val="004E4F0E"/>
    <w:rsid w:val="005073C2"/>
    <w:rsid w:val="00552F1C"/>
    <w:rsid w:val="00581AF8"/>
    <w:rsid w:val="00631839"/>
    <w:rsid w:val="006B0660"/>
    <w:rsid w:val="006E216D"/>
    <w:rsid w:val="00736B84"/>
    <w:rsid w:val="0074213E"/>
    <w:rsid w:val="0079616A"/>
    <w:rsid w:val="007B6D4A"/>
    <w:rsid w:val="008007A9"/>
    <w:rsid w:val="00834054"/>
    <w:rsid w:val="00884DC4"/>
    <w:rsid w:val="008C3E91"/>
    <w:rsid w:val="0093382F"/>
    <w:rsid w:val="009806C4"/>
    <w:rsid w:val="009A6A7F"/>
    <w:rsid w:val="009B21C0"/>
    <w:rsid w:val="009B4819"/>
    <w:rsid w:val="009B625E"/>
    <w:rsid w:val="009C0C37"/>
    <w:rsid w:val="00AC12AB"/>
    <w:rsid w:val="00AC425F"/>
    <w:rsid w:val="00B144AB"/>
    <w:rsid w:val="00C134B2"/>
    <w:rsid w:val="00D23329"/>
    <w:rsid w:val="00DB7A2D"/>
    <w:rsid w:val="00DE7308"/>
    <w:rsid w:val="00E158EC"/>
    <w:rsid w:val="00E419F2"/>
    <w:rsid w:val="00E5519C"/>
    <w:rsid w:val="00EE3B0B"/>
    <w:rsid w:val="00EF4644"/>
    <w:rsid w:val="00F03CF9"/>
    <w:rsid w:val="00F30F78"/>
    <w:rsid w:val="00F439C8"/>
    <w:rsid w:val="00F6607F"/>
    <w:rsid w:val="00FA6517"/>
    <w:rsid w:val="00FB6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DE49A"/>
  <w15:docId w15:val="{6111779C-89DA-034E-A944-81F686F2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7EA"/>
    <w:rPr>
      <w:rFonts w:eastAsia="Open Sans" w:cs="Open Sans"/>
      <w:sz w:val="24"/>
    </w:rPr>
  </w:style>
  <w:style w:type="paragraph" w:styleId="Heading1">
    <w:name w:val="heading 1"/>
    <w:basedOn w:val="Normal"/>
    <w:next w:val="Normal"/>
    <w:link w:val="Heading1Char"/>
    <w:uiPriority w:val="9"/>
    <w:qFormat/>
    <w:rsid w:val="00834054"/>
    <w:pPr>
      <w:keepNext/>
      <w:keepLines/>
      <w:spacing w:before="240"/>
      <w:outlineLvl w:val="0"/>
    </w:pPr>
    <w:rPr>
      <w:rFonts w:asciiTheme="majorHAnsi" w:eastAsiaTheme="majorEastAsia" w:hAnsiTheme="majorHAnsi" w:cstheme="majorBidi"/>
      <w:b/>
      <w:color w:val="000000"/>
      <w:sz w:val="36"/>
      <w:szCs w:val="32"/>
    </w:rPr>
  </w:style>
  <w:style w:type="paragraph" w:styleId="Heading2">
    <w:name w:val="heading 2"/>
    <w:basedOn w:val="Normal"/>
    <w:next w:val="Normal"/>
    <w:link w:val="Heading2Char"/>
    <w:uiPriority w:val="9"/>
    <w:unhideWhenUsed/>
    <w:qFormat/>
    <w:rsid w:val="00834054"/>
    <w:pPr>
      <w:keepNext/>
      <w:keepLines/>
      <w:spacing w:before="40"/>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9"/>
    <w:unhideWhenUsed/>
    <w:qFormat/>
    <w:rsid w:val="00834054"/>
    <w:pPr>
      <w:keepNext/>
      <w:keepLines/>
      <w:spacing w:before="40"/>
      <w:outlineLvl w:val="2"/>
    </w:pPr>
    <w:rPr>
      <w:rFonts w:asciiTheme="majorHAnsi" w:eastAsiaTheme="majorEastAsia" w:hAnsiTheme="majorHAnsi" w:cstheme="majorBidi"/>
      <w:b/>
      <w:szCs w:val="24"/>
    </w:rPr>
  </w:style>
  <w:style w:type="paragraph" w:styleId="Heading4">
    <w:name w:val="heading 4"/>
    <w:basedOn w:val="Normal"/>
    <w:next w:val="Normal"/>
    <w:link w:val="Heading4Char"/>
    <w:uiPriority w:val="9"/>
    <w:semiHidden/>
    <w:unhideWhenUsed/>
    <w:qFormat/>
    <w:rsid w:val="003A4906"/>
    <w:pPr>
      <w:keepNext/>
      <w:keepLines/>
      <w:spacing w:before="40"/>
      <w:outlineLvl w:val="3"/>
    </w:pPr>
    <w:rPr>
      <w:rFonts w:asciiTheme="majorHAnsi" w:eastAsiaTheme="majorEastAsia" w:hAnsiTheme="majorHAnsi" w:cstheme="majorBidi"/>
      <w:i/>
      <w:iCs/>
      <w:color w:val="9D1D23"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rsid w:val="00B144AB"/>
    <w:pPr>
      <w:spacing w:before="294"/>
      <w:ind w:right="177"/>
      <w:jc w:val="right"/>
    </w:pPr>
    <w:rPr>
      <w:rFonts w:ascii="PermianSlabSerifTypeface-Bold" w:eastAsia="PermianSlabSerifTypeface-Bold" w:hAnsi="PermianSlabSerifTypeface-Bold" w:cs="PermianSlabSerifTypeface-Bold"/>
      <w:b/>
      <w:bCs/>
      <w:color w:val="767779" w:themeColor="accent3"/>
      <w:sz w:val="60"/>
      <w:szCs w:val="6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419F2"/>
    <w:pPr>
      <w:tabs>
        <w:tab w:val="center" w:pos="4680"/>
        <w:tab w:val="right" w:pos="9360"/>
      </w:tabs>
    </w:pPr>
  </w:style>
  <w:style w:type="character" w:customStyle="1" w:styleId="HeaderChar">
    <w:name w:val="Header Char"/>
    <w:basedOn w:val="DefaultParagraphFont"/>
    <w:link w:val="Header"/>
    <w:uiPriority w:val="99"/>
    <w:rsid w:val="00E419F2"/>
    <w:rPr>
      <w:rFonts w:ascii="Open Sans" w:eastAsia="Open Sans" w:hAnsi="Open Sans" w:cs="Open Sans"/>
    </w:rPr>
  </w:style>
  <w:style w:type="paragraph" w:styleId="Footer">
    <w:name w:val="footer"/>
    <w:basedOn w:val="Normal"/>
    <w:link w:val="FooterChar"/>
    <w:uiPriority w:val="99"/>
    <w:unhideWhenUsed/>
    <w:rsid w:val="00E419F2"/>
    <w:pPr>
      <w:tabs>
        <w:tab w:val="center" w:pos="4680"/>
        <w:tab w:val="right" w:pos="9360"/>
      </w:tabs>
    </w:pPr>
  </w:style>
  <w:style w:type="character" w:customStyle="1" w:styleId="FooterChar">
    <w:name w:val="Footer Char"/>
    <w:basedOn w:val="DefaultParagraphFont"/>
    <w:link w:val="Footer"/>
    <w:uiPriority w:val="99"/>
    <w:rsid w:val="00E419F2"/>
    <w:rPr>
      <w:rFonts w:ascii="Open Sans" w:eastAsia="Open Sans" w:hAnsi="Open Sans" w:cs="Open Sans"/>
    </w:rPr>
  </w:style>
  <w:style w:type="character" w:customStyle="1" w:styleId="Heading1Char">
    <w:name w:val="Heading 1 Char"/>
    <w:basedOn w:val="DefaultParagraphFont"/>
    <w:link w:val="Heading1"/>
    <w:uiPriority w:val="9"/>
    <w:rsid w:val="00834054"/>
    <w:rPr>
      <w:rFonts w:asciiTheme="majorHAnsi" w:eastAsiaTheme="majorEastAsia" w:hAnsiTheme="majorHAnsi" w:cstheme="majorBidi"/>
      <w:b/>
      <w:color w:val="000000"/>
      <w:sz w:val="36"/>
      <w:szCs w:val="32"/>
    </w:rPr>
  </w:style>
  <w:style w:type="character" w:customStyle="1" w:styleId="Heading2Char">
    <w:name w:val="Heading 2 Char"/>
    <w:basedOn w:val="DefaultParagraphFont"/>
    <w:link w:val="Heading2"/>
    <w:uiPriority w:val="9"/>
    <w:rsid w:val="00834054"/>
    <w:rPr>
      <w:rFonts w:asciiTheme="majorHAnsi" w:eastAsiaTheme="majorEastAsia" w:hAnsiTheme="majorHAnsi" w:cstheme="majorBidi"/>
      <w:b/>
      <w:sz w:val="28"/>
      <w:szCs w:val="26"/>
    </w:rPr>
  </w:style>
  <w:style w:type="character" w:customStyle="1" w:styleId="Heading3Char">
    <w:name w:val="Heading 3 Char"/>
    <w:basedOn w:val="DefaultParagraphFont"/>
    <w:link w:val="Heading3"/>
    <w:uiPriority w:val="9"/>
    <w:rsid w:val="00834054"/>
    <w:rPr>
      <w:rFonts w:asciiTheme="majorHAnsi" w:eastAsiaTheme="majorEastAsia" w:hAnsiTheme="majorHAnsi" w:cstheme="majorBidi"/>
      <w:b/>
      <w:sz w:val="24"/>
      <w:szCs w:val="24"/>
    </w:rPr>
  </w:style>
  <w:style w:type="character" w:styleId="Hyperlink">
    <w:name w:val="Hyperlink"/>
    <w:unhideWhenUsed/>
    <w:rsid w:val="00834054"/>
    <w:rPr>
      <w:color w:val="0000FF"/>
      <w:u w:val="single"/>
    </w:rPr>
  </w:style>
  <w:style w:type="character" w:styleId="UnresolvedMention">
    <w:name w:val="Unresolved Mention"/>
    <w:basedOn w:val="DefaultParagraphFont"/>
    <w:uiPriority w:val="99"/>
    <w:semiHidden/>
    <w:unhideWhenUsed/>
    <w:rsid w:val="006B0660"/>
    <w:rPr>
      <w:color w:val="605E5C"/>
      <w:shd w:val="clear" w:color="auto" w:fill="E1DFDD"/>
    </w:rPr>
  </w:style>
  <w:style w:type="character" w:styleId="CommentReference">
    <w:name w:val="annotation reference"/>
    <w:basedOn w:val="DefaultParagraphFont"/>
    <w:uiPriority w:val="99"/>
    <w:semiHidden/>
    <w:unhideWhenUsed/>
    <w:rsid w:val="00552F1C"/>
    <w:rPr>
      <w:sz w:val="16"/>
      <w:szCs w:val="16"/>
    </w:rPr>
  </w:style>
  <w:style w:type="paragraph" w:styleId="CommentText">
    <w:name w:val="annotation text"/>
    <w:basedOn w:val="Normal"/>
    <w:link w:val="CommentTextChar"/>
    <w:uiPriority w:val="99"/>
    <w:unhideWhenUsed/>
    <w:rsid w:val="00552F1C"/>
    <w:rPr>
      <w:sz w:val="20"/>
      <w:szCs w:val="20"/>
    </w:rPr>
  </w:style>
  <w:style w:type="character" w:customStyle="1" w:styleId="CommentTextChar">
    <w:name w:val="Comment Text Char"/>
    <w:basedOn w:val="DefaultParagraphFont"/>
    <w:link w:val="CommentText"/>
    <w:uiPriority w:val="99"/>
    <w:rsid w:val="00552F1C"/>
    <w:rPr>
      <w:rFonts w:eastAsia="Open Sans" w:cs="Open Sans"/>
      <w:sz w:val="20"/>
      <w:szCs w:val="20"/>
    </w:rPr>
  </w:style>
  <w:style w:type="paragraph" w:styleId="CommentSubject">
    <w:name w:val="annotation subject"/>
    <w:basedOn w:val="CommentText"/>
    <w:next w:val="CommentText"/>
    <w:link w:val="CommentSubjectChar"/>
    <w:uiPriority w:val="99"/>
    <w:semiHidden/>
    <w:unhideWhenUsed/>
    <w:rsid w:val="00552F1C"/>
    <w:rPr>
      <w:b/>
      <w:bCs/>
    </w:rPr>
  </w:style>
  <w:style w:type="character" w:customStyle="1" w:styleId="CommentSubjectChar">
    <w:name w:val="Comment Subject Char"/>
    <w:basedOn w:val="CommentTextChar"/>
    <w:link w:val="CommentSubject"/>
    <w:uiPriority w:val="99"/>
    <w:semiHidden/>
    <w:rsid w:val="00552F1C"/>
    <w:rPr>
      <w:rFonts w:eastAsia="Open Sans" w:cs="Open Sans"/>
      <w:b/>
      <w:bCs/>
      <w:sz w:val="20"/>
      <w:szCs w:val="20"/>
    </w:rPr>
  </w:style>
  <w:style w:type="character" w:customStyle="1" w:styleId="Heading4Char">
    <w:name w:val="Heading 4 Char"/>
    <w:basedOn w:val="DefaultParagraphFont"/>
    <w:link w:val="Heading4"/>
    <w:uiPriority w:val="9"/>
    <w:semiHidden/>
    <w:rsid w:val="003A4906"/>
    <w:rPr>
      <w:rFonts w:asciiTheme="majorHAnsi" w:eastAsiaTheme="majorEastAsia" w:hAnsiTheme="majorHAnsi" w:cstheme="majorBidi"/>
      <w:i/>
      <w:iCs/>
      <w:color w:val="9D1D23"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file:///C:\Users\ba1000p\Downloads\tn.gov\generalservi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N State Theme">
  <a:themeElements>
    <a:clrScheme name="TN State Primary Color Set">
      <a:dk1>
        <a:srgbClr val="002C71"/>
      </a:dk1>
      <a:lt1>
        <a:srgbClr val="FFFFFF"/>
      </a:lt1>
      <a:dk2>
        <a:srgbClr val="002C71"/>
      </a:dk2>
      <a:lt2>
        <a:srgbClr val="767779"/>
      </a:lt2>
      <a:accent1>
        <a:srgbClr val="D22730"/>
      </a:accent1>
      <a:accent2>
        <a:srgbClr val="002C71"/>
      </a:accent2>
      <a:accent3>
        <a:srgbClr val="767779"/>
      </a:accent3>
      <a:accent4>
        <a:srgbClr val="FFFFFF"/>
      </a:accent4>
      <a:accent5>
        <a:srgbClr val="FFFFFF"/>
      </a:accent5>
      <a:accent6>
        <a:srgbClr val="FFFFFF"/>
      </a:accent6>
      <a:hlink>
        <a:srgbClr val="51728F"/>
      </a:hlink>
      <a:folHlink>
        <a:srgbClr val="E36B66"/>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tx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TN State Theme" id="{2863D5C0-0AFC-B041-8694-0E5CA3776D94}" vid="{F645E7B4-93B2-D545-AAAF-7FF6B7020A7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E91FB-50A8-8C45-AD78-532FFEB45482}">
  <ds:schemaRefs>
    <ds:schemaRef ds:uri="http://schemas.openxmlformats.org/officeDocument/2006/bibliography"/>
  </ds:schemaRefs>
</ds:datastoreItem>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Normal</Template>
  <TotalTime>1</TotalTime>
  <Pages>9</Pages>
  <Words>2915</Words>
  <Characters>16620</Characters>
  <Application>Microsoft Office Word</Application>
  <DocSecurity>4</DocSecurity>
  <Lines>138</Lines>
  <Paragraphs>38</Paragraphs>
  <ScaleCrop>false</ScaleCrop>
  <HeadingPairs>
    <vt:vector size="2" baseType="variant">
      <vt:variant>
        <vt:lpstr>Title</vt:lpstr>
      </vt:variant>
      <vt:variant>
        <vt:i4>1</vt:i4>
      </vt:variant>
    </vt:vector>
  </HeadingPairs>
  <TitlesOfParts>
    <vt:vector size="1" baseType="lpstr">
      <vt:lpstr>SWC XXX Usage Instructions</vt:lpstr>
    </vt:vector>
  </TitlesOfParts>
  <Company/>
  <LinksUpToDate>false</LinksUpToDate>
  <CharactersWithSpaces>19497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SWC XXX Usage Instructions</dc:title>
  <dc:creator>Christopher Baertlein</dc:creator>
  <cp:lastModifiedBy>Celeste Goodman</cp:lastModifiedBy>
  <cp:revision>2</cp:revision>
  <dcterms:created xsi:type="dcterms:W3CDTF">2026-03-18T16:14:00Z</dcterms:created>
  <dcterms:modified xsi:type="dcterms:W3CDTF">2026-03-18T16:14:00Z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2025-09-15T00:00:00Z</vt:filetime>
  </property>
  <property fmtid="{D5CDD505-2E9C-101B-9397-08002B2CF9AE}" pid="3" name="Creator">
    <vt:lpwstr>Adobe InDesign 20.2 (Macintosh)</vt:lpwstr>
  </property>
  <property fmtid="{D5CDD505-2E9C-101B-9397-08002B2CF9AE}" pid="4" name="LastSaved">
    <vt:filetime>2025-09-15T00:00:00Z</vt:filetime>
  </property>
  <property fmtid="{D5CDD505-2E9C-101B-9397-08002B2CF9AE}" pid="5" name="Producer">
    <vt:lpwstr>Adobe PDF Library 17.0</vt:lpwstr>
  </property>
  <property fmtid="{D5CDD505-2E9C-101B-9397-08002B2CF9AE}" pid="6" name="GrammarlyDocumentId">
    <vt:lpwstr>4dce0a29-c8ce-4902-a625-88d805f100f8</vt:lpwstr>
  </property>
</Properties>
</file>