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45E32" w14:textId="37FF040D" w:rsidR="00D87B99" w:rsidRDefault="00D87B99" w:rsidP="00D87B99">
      <w:pPr>
        <w:spacing w:after="0"/>
        <w:jc w:val="right"/>
        <w:rPr>
          <w:b/>
          <w:bCs/>
          <w:sz w:val="28"/>
          <w:szCs w:val="28"/>
        </w:rPr>
      </w:pPr>
    </w:p>
    <w:p w14:paraId="4D4B3266" w14:textId="6CDCBCDF" w:rsidR="00D87B99" w:rsidRDefault="00D87B99" w:rsidP="00D87B99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List of TDOC Policies:</w:t>
      </w:r>
    </w:p>
    <w:p w14:paraId="6B46A5FA" w14:textId="63CF523D" w:rsidR="00D87B99" w:rsidRDefault="00D87B99" w:rsidP="00D87B99">
      <w:pPr>
        <w:spacing w:after="0"/>
        <w:rPr>
          <w:sz w:val="28"/>
          <w:szCs w:val="28"/>
        </w:rPr>
      </w:pPr>
    </w:p>
    <w:p w14:paraId="2392D27E" w14:textId="3404C8E3" w:rsidR="00D87B99" w:rsidRDefault="00D87B99" w:rsidP="00D87B99">
      <w:pPr>
        <w:spacing w:after="0"/>
        <w:rPr>
          <w:sz w:val="28"/>
          <w:szCs w:val="28"/>
        </w:rPr>
      </w:pPr>
      <w:r>
        <w:rPr>
          <w:sz w:val="28"/>
          <w:szCs w:val="28"/>
        </w:rPr>
        <w:t>110.01, Pre-Service (Basic) Training Policy and Employee Orientation</w:t>
      </w:r>
    </w:p>
    <w:p w14:paraId="00E83820" w14:textId="1E488918" w:rsidR="00D87B99" w:rsidRDefault="00D87B99" w:rsidP="00D87B99">
      <w:pPr>
        <w:spacing w:after="0"/>
        <w:rPr>
          <w:sz w:val="28"/>
          <w:szCs w:val="28"/>
        </w:rPr>
      </w:pPr>
      <w:r>
        <w:rPr>
          <w:sz w:val="28"/>
          <w:szCs w:val="28"/>
        </w:rPr>
        <w:t>113.08, Prosthetics and Durable Medical Equipment</w:t>
      </w:r>
    </w:p>
    <w:p w14:paraId="2B34BFAB" w14:textId="4A53EC03" w:rsidR="00D87B99" w:rsidRDefault="00D87B99" w:rsidP="00D87B99">
      <w:pPr>
        <w:spacing w:after="0"/>
        <w:rPr>
          <w:sz w:val="28"/>
          <w:szCs w:val="28"/>
        </w:rPr>
      </w:pPr>
      <w:r>
        <w:rPr>
          <w:sz w:val="28"/>
          <w:szCs w:val="28"/>
        </w:rPr>
        <w:t>113.10, Credentials of Clinical Personnel</w:t>
      </w:r>
    </w:p>
    <w:p w14:paraId="7BE1DE9E" w14:textId="3A09CE7E" w:rsidR="00D87B99" w:rsidRDefault="00D87B99" w:rsidP="00D87B99">
      <w:pPr>
        <w:spacing w:after="0"/>
        <w:rPr>
          <w:sz w:val="28"/>
          <w:szCs w:val="28"/>
        </w:rPr>
      </w:pPr>
      <w:r>
        <w:rPr>
          <w:sz w:val="28"/>
          <w:szCs w:val="28"/>
        </w:rPr>
        <w:t>113.11, Clinical and Nursing Protocols</w:t>
      </w:r>
    </w:p>
    <w:p w14:paraId="2543900A" w14:textId="5F431EDE" w:rsidR="00D87B99" w:rsidRDefault="00D87B99" w:rsidP="00D87B99">
      <w:pPr>
        <w:spacing w:after="0"/>
        <w:rPr>
          <w:sz w:val="28"/>
          <w:szCs w:val="28"/>
        </w:rPr>
      </w:pPr>
      <w:r>
        <w:rPr>
          <w:sz w:val="28"/>
          <w:szCs w:val="28"/>
        </w:rPr>
        <w:t>113.12, Specialty Consultant Services</w:t>
      </w:r>
    </w:p>
    <w:p w14:paraId="39FAFD7F" w14:textId="3CFD8E02" w:rsidR="00D87B99" w:rsidRDefault="00D87B99" w:rsidP="00D87B99">
      <w:pPr>
        <w:spacing w:after="0"/>
        <w:rPr>
          <w:sz w:val="28"/>
          <w:szCs w:val="28"/>
        </w:rPr>
      </w:pPr>
      <w:r>
        <w:rPr>
          <w:sz w:val="28"/>
          <w:szCs w:val="28"/>
        </w:rPr>
        <w:t>113.13, Treatment of Facility Employees and Visitors with Emergent Conditions by Health Care Personnel</w:t>
      </w:r>
    </w:p>
    <w:p w14:paraId="416B64F8" w14:textId="2E526BE9" w:rsidR="00D87B99" w:rsidRDefault="00D87B99" w:rsidP="00D87B99">
      <w:pPr>
        <w:spacing w:after="0"/>
        <w:rPr>
          <w:sz w:val="28"/>
          <w:szCs w:val="28"/>
        </w:rPr>
      </w:pPr>
      <w:r>
        <w:rPr>
          <w:sz w:val="28"/>
          <w:szCs w:val="28"/>
        </w:rPr>
        <w:t>113.15, Inmate Co-Payment for Health Services</w:t>
      </w:r>
    </w:p>
    <w:p w14:paraId="18A16E1B" w14:textId="7E99B7C7" w:rsidR="00D87B99" w:rsidRDefault="00D87B99" w:rsidP="00D87B99">
      <w:pPr>
        <w:spacing w:after="0"/>
        <w:rPr>
          <w:sz w:val="28"/>
          <w:szCs w:val="28"/>
        </w:rPr>
      </w:pPr>
      <w:r>
        <w:rPr>
          <w:sz w:val="28"/>
          <w:szCs w:val="28"/>
        </w:rPr>
        <w:t>113.20, Initial Health Screening and Physical Examinations</w:t>
      </w:r>
    </w:p>
    <w:p w14:paraId="6A23D2F3" w14:textId="19E73383" w:rsidR="00D87B99" w:rsidRDefault="00D87B99" w:rsidP="00D87B99">
      <w:pPr>
        <w:spacing w:after="0"/>
        <w:rPr>
          <w:sz w:val="28"/>
          <w:szCs w:val="28"/>
        </w:rPr>
      </w:pPr>
      <w:r>
        <w:rPr>
          <w:sz w:val="28"/>
          <w:szCs w:val="28"/>
        </w:rPr>
        <w:t>113.23, Standards for Clinical Case Management</w:t>
      </w:r>
    </w:p>
    <w:p w14:paraId="3503E2C8" w14:textId="4142154D" w:rsidR="00D87B99" w:rsidRDefault="00D87B99" w:rsidP="00D87B99">
      <w:pPr>
        <w:spacing w:after="0"/>
        <w:rPr>
          <w:sz w:val="28"/>
          <w:szCs w:val="28"/>
        </w:rPr>
      </w:pPr>
      <w:r>
        <w:rPr>
          <w:sz w:val="28"/>
          <w:szCs w:val="28"/>
        </w:rPr>
        <w:t>113.24, Medical Clearance of Inmates Assigned to Jobs in Food Services</w:t>
      </w:r>
    </w:p>
    <w:p w14:paraId="1EF3E4D0" w14:textId="1D1EBD7F" w:rsidR="00D87B99" w:rsidRDefault="00D87B99" w:rsidP="00D87B99">
      <w:pPr>
        <w:spacing w:after="0"/>
        <w:rPr>
          <w:sz w:val="28"/>
          <w:szCs w:val="28"/>
        </w:rPr>
      </w:pPr>
      <w:r>
        <w:rPr>
          <w:sz w:val="28"/>
          <w:szCs w:val="28"/>
        </w:rPr>
        <w:t>113.31, Sick Call/Assessment of Health Complaints</w:t>
      </w:r>
    </w:p>
    <w:p w14:paraId="159343D9" w14:textId="4ADFC692" w:rsidR="00D87B99" w:rsidRDefault="00D87B99" w:rsidP="00D87B99">
      <w:pPr>
        <w:spacing w:after="0"/>
        <w:rPr>
          <w:sz w:val="28"/>
          <w:szCs w:val="28"/>
        </w:rPr>
      </w:pPr>
      <w:r>
        <w:rPr>
          <w:sz w:val="28"/>
          <w:szCs w:val="28"/>
        </w:rPr>
        <w:t>113.32, Levels of Care</w:t>
      </w:r>
    </w:p>
    <w:p w14:paraId="0B6AFB76" w14:textId="183FBA41" w:rsidR="00D87B99" w:rsidRDefault="00D87B99" w:rsidP="00D87B99">
      <w:pPr>
        <w:spacing w:after="0"/>
        <w:rPr>
          <w:sz w:val="28"/>
          <w:szCs w:val="28"/>
        </w:rPr>
      </w:pPr>
      <w:r>
        <w:rPr>
          <w:sz w:val="28"/>
          <w:szCs w:val="28"/>
        </w:rPr>
        <w:t>113.35, Therapeutic Diets</w:t>
      </w:r>
    </w:p>
    <w:p w14:paraId="15D83511" w14:textId="0BBF5630" w:rsidR="00D87B99" w:rsidRDefault="00D87B99" w:rsidP="00D87B99">
      <w:pPr>
        <w:spacing w:after="0"/>
        <w:rPr>
          <w:sz w:val="28"/>
          <w:szCs w:val="28"/>
        </w:rPr>
      </w:pPr>
      <w:r>
        <w:rPr>
          <w:sz w:val="28"/>
          <w:szCs w:val="28"/>
        </w:rPr>
        <w:t>113.40, Health Education</w:t>
      </w:r>
    </w:p>
    <w:p w14:paraId="74ADCCB9" w14:textId="71AA5B67" w:rsidR="00D87B99" w:rsidRDefault="00D87B99" w:rsidP="00D87B99">
      <w:pPr>
        <w:spacing w:after="0"/>
        <w:rPr>
          <w:sz w:val="28"/>
          <w:szCs w:val="28"/>
        </w:rPr>
      </w:pPr>
      <w:r>
        <w:rPr>
          <w:sz w:val="28"/>
          <w:szCs w:val="28"/>
        </w:rPr>
        <w:t>113.43, Immunizations: Inmate Population</w:t>
      </w:r>
    </w:p>
    <w:p w14:paraId="39B2175C" w14:textId="35E57029" w:rsidR="00D87B99" w:rsidRDefault="00D87B99" w:rsidP="00D87B99">
      <w:pPr>
        <w:spacing w:after="0"/>
        <w:rPr>
          <w:sz w:val="28"/>
          <w:szCs w:val="28"/>
        </w:rPr>
      </w:pPr>
      <w:r>
        <w:rPr>
          <w:sz w:val="28"/>
          <w:szCs w:val="28"/>
        </w:rPr>
        <w:t>113.50, Health Records</w:t>
      </w:r>
    </w:p>
    <w:p w14:paraId="488871AB" w14:textId="08B0831D" w:rsidR="00D87B99" w:rsidRDefault="00D87B99" w:rsidP="00D87B99">
      <w:pPr>
        <w:spacing w:after="0"/>
        <w:rPr>
          <w:sz w:val="28"/>
          <w:szCs w:val="28"/>
        </w:rPr>
      </w:pPr>
      <w:r>
        <w:rPr>
          <w:sz w:val="28"/>
          <w:szCs w:val="28"/>
        </w:rPr>
        <w:t>113.60, Dental Services Administration</w:t>
      </w:r>
    </w:p>
    <w:p w14:paraId="2374ED49" w14:textId="0C87F616" w:rsidR="00D87B99" w:rsidRDefault="00D87B99" w:rsidP="00D87B99">
      <w:pPr>
        <w:spacing w:after="0"/>
        <w:rPr>
          <w:sz w:val="28"/>
          <w:szCs w:val="28"/>
        </w:rPr>
      </w:pPr>
      <w:r>
        <w:rPr>
          <w:sz w:val="28"/>
          <w:szCs w:val="28"/>
        </w:rPr>
        <w:t>113.62, Dental Specialties</w:t>
      </w:r>
    </w:p>
    <w:p w14:paraId="542431C7" w14:textId="2E3475E7" w:rsidR="00D87B99" w:rsidRDefault="00D87B99" w:rsidP="00D87B99">
      <w:pPr>
        <w:spacing w:after="0"/>
        <w:rPr>
          <w:sz w:val="28"/>
          <w:szCs w:val="28"/>
        </w:rPr>
      </w:pPr>
      <w:r>
        <w:rPr>
          <w:sz w:val="28"/>
          <w:szCs w:val="28"/>
        </w:rPr>
        <w:t>113.70, Management of Pharmaceuticals</w:t>
      </w:r>
    </w:p>
    <w:p w14:paraId="0117ED0E" w14:textId="6B91C4A5" w:rsidR="00D87B99" w:rsidRDefault="00D87B99" w:rsidP="00D87B9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113.71, Administration/Distribution of Medication </w:t>
      </w:r>
    </w:p>
    <w:p w14:paraId="6970C80A" w14:textId="517F647B" w:rsidR="00D87B99" w:rsidRDefault="00D87B99" w:rsidP="00D87B99">
      <w:pPr>
        <w:spacing w:after="0"/>
        <w:rPr>
          <w:sz w:val="28"/>
          <w:szCs w:val="28"/>
        </w:rPr>
      </w:pPr>
      <w:r>
        <w:rPr>
          <w:sz w:val="28"/>
          <w:szCs w:val="28"/>
        </w:rPr>
        <w:t>113.75, Laboratory Services</w:t>
      </w:r>
    </w:p>
    <w:p w14:paraId="19DD8C92" w14:textId="092A31C0" w:rsidR="00D87B99" w:rsidRDefault="00D87B99" w:rsidP="00D87B9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113.92, </w:t>
      </w:r>
      <w:r w:rsidR="006B344B">
        <w:rPr>
          <w:sz w:val="28"/>
          <w:szCs w:val="28"/>
        </w:rPr>
        <w:t>DNA Specimen Collection and Documentation</w:t>
      </w:r>
    </w:p>
    <w:p w14:paraId="32A29C3D" w14:textId="5DF32EDA" w:rsidR="00D87B99" w:rsidRDefault="00D87B99" w:rsidP="00D87B99">
      <w:pPr>
        <w:spacing w:after="0"/>
        <w:rPr>
          <w:sz w:val="28"/>
          <w:szCs w:val="28"/>
        </w:rPr>
      </w:pPr>
      <w:r>
        <w:rPr>
          <w:sz w:val="28"/>
          <w:szCs w:val="28"/>
        </w:rPr>
        <w:t>302.12</w:t>
      </w:r>
      <w:r w:rsidR="006B344B">
        <w:rPr>
          <w:sz w:val="28"/>
          <w:szCs w:val="28"/>
        </w:rPr>
        <w:t>, Drug-Free Workplace</w:t>
      </w:r>
    </w:p>
    <w:p w14:paraId="3F2705E3" w14:textId="43D6FD8A" w:rsidR="00D87B99" w:rsidRDefault="00D87B99" w:rsidP="00D87B99">
      <w:pPr>
        <w:spacing w:after="0"/>
        <w:rPr>
          <w:sz w:val="28"/>
          <w:szCs w:val="28"/>
        </w:rPr>
      </w:pPr>
      <w:r>
        <w:rPr>
          <w:sz w:val="28"/>
          <w:szCs w:val="28"/>
        </w:rPr>
        <w:t>305.</w:t>
      </w:r>
      <w:r w:rsidR="006B344B">
        <w:rPr>
          <w:sz w:val="28"/>
          <w:szCs w:val="28"/>
        </w:rPr>
        <w:t>0</w:t>
      </w:r>
      <w:r>
        <w:rPr>
          <w:sz w:val="28"/>
          <w:szCs w:val="28"/>
        </w:rPr>
        <w:t>7</w:t>
      </w:r>
      <w:r w:rsidR="006B344B">
        <w:rPr>
          <w:sz w:val="28"/>
          <w:szCs w:val="28"/>
        </w:rPr>
        <w:t>, Medical Screenings of New Central Office Employees</w:t>
      </w:r>
    </w:p>
    <w:p w14:paraId="3CB64AEF" w14:textId="4CA39FC4" w:rsidR="00D87B99" w:rsidRDefault="00D87B99" w:rsidP="00D87B99">
      <w:pPr>
        <w:spacing w:after="0"/>
        <w:rPr>
          <w:sz w:val="28"/>
          <w:szCs w:val="28"/>
        </w:rPr>
      </w:pPr>
      <w:r>
        <w:rPr>
          <w:sz w:val="28"/>
          <w:szCs w:val="28"/>
        </w:rPr>
        <w:t>506.24</w:t>
      </w:r>
      <w:r w:rsidR="006B344B">
        <w:rPr>
          <w:sz w:val="28"/>
          <w:szCs w:val="28"/>
        </w:rPr>
        <w:t>, Provision and Maintenance of Non-Security Uniforms</w:t>
      </w:r>
    </w:p>
    <w:p w14:paraId="75F5AC1C" w14:textId="77777777" w:rsidR="00D87B99" w:rsidRPr="00D87B99" w:rsidRDefault="00D87B99" w:rsidP="00D87B99">
      <w:pPr>
        <w:spacing w:after="0"/>
        <w:rPr>
          <w:sz w:val="28"/>
          <w:szCs w:val="28"/>
        </w:rPr>
      </w:pPr>
    </w:p>
    <w:sectPr w:rsidR="00D87B99" w:rsidRPr="00D87B9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7D85B" w14:textId="77777777" w:rsidR="00603B4A" w:rsidRDefault="00603B4A" w:rsidP="00D87B99">
      <w:pPr>
        <w:spacing w:after="0" w:line="240" w:lineRule="auto"/>
      </w:pPr>
      <w:r>
        <w:separator/>
      </w:r>
    </w:p>
  </w:endnote>
  <w:endnote w:type="continuationSeparator" w:id="0">
    <w:p w14:paraId="702F826F" w14:textId="77777777" w:rsidR="00603B4A" w:rsidRDefault="00603B4A" w:rsidP="00D87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DA253" w14:textId="77777777" w:rsidR="00603B4A" w:rsidRDefault="00603B4A" w:rsidP="00D87B99">
      <w:pPr>
        <w:spacing w:after="0" w:line="240" w:lineRule="auto"/>
      </w:pPr>
      <w:r>
        <w:separator/>
      </w:r>
    </w:p>
  </w:footnote>
  <w:footnote w:type="continuationSeparator" w:id="0">
    <w:p w14:paraId="2F9E8A85" w14:textId="77777777" w:rsidR="00603B4A" w:rsidRDefault="00603B4A" w:rsidP="00D87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0690" w14:textId="77777777" w:rsidR="00D87B99" w:rsidRPr="00D87B99" w:rsidRDefault="00D87B99" w:rsidP="00D87B99">
    <w:pPr>
      <w:spacing w:after="0"/>
      <w:jc w:val="right"/>
      <w:rPr>
        <w:b/>
        <w:bCs/>
        <w:sz w:val="28"/>
        <w:szCs w:val="28"/>
      </w:rPr>
    </w:pPr>
    <w:r w:rsidRPr="00D87B99">
      <w:rPr>
        <w:b/>
        <w:bCs/>
        <w:sz w:val="28"/>
        <w:szCs w:val="28"/>
      </w:rPr>
      <w:t>RFP ATTACHMENT 6.7</w:t>
    </w:r>
  </w:p>
  <w:p w14:paraId="608DB8FF" w14:textId="77777777" w:rsidR="00D87B99" w:rsidRPr="00D87B99" w:rsidRDefault="00D87B99" w:rsidP="00D87B99">
    <w:pPr>
      <w:spacing w:after="0"/>
      <w:jc w:val="right"/>
      <w:rPr>
        <w:b/>
        <w:bCs/>
        <w:sz w:val="24"/>
        <w:szCs w:val="24"/>
      </w:rPr>
    </w:pPr>
    <w:r w:rsidRPr="00D87B99">
      <w:rPr>
        <w:b/>
        <w:bCs/>
        <w:sz w:val="24"/>
        <w:szCs w:val="24"/>
      </w:rPr>
      <w:t xml:space="preserve">TDOC Policies </w:t>
    </w:r>
  </w:p>
  <w:p w14:paraId="0CC2936E" w14:textId="77777777" w:rsidR="00D87B99" w:rsidRDefault="00D87B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B99"/>
    <w:rsid w:val="0017116A"/>
    <w:rsid w:val="00603B4A"/>
    <w:rsid w:val="006B344B"/>
    <w:rsid w:val="00964412"/>
    <w:rsid w:val="00D87B99"/>
    <w:rsid w:val="00EB0B2D"/>
    <w:rsid w:val="00FA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BAD42"/>
  <w15:chartTrackingRefBased/>
  <w15:docId w15:val="{F793DE29-F879-48E8-BC53-A109E9793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7B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B99"/>
  </w:style>
  <w:style w:type="paragraph" w:styleId="Footer">
    <w:name w:val="footer"/>
    <w:basedOn w:val="Normal"/>
    <w:link w:val="FooterChar"/>
    <w:uiPriority w:val="99"/>
    <w:unhideWhenUsed/>
    <w:rsid w:val="00D87B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P. Weigum</dc:creator>
  <cp:keywords/>
  <dc:description/>
  <cp:lastModifiedBy>Sarah P. Weigum</cp:lastModifiedBy>
  <cp:revision>1</cp:revision>
  <dcterms:created xsi:type="dcterms:W3CDTF">2023-03-30T13:05:00Z</dcterms:created>
  <dcterms:modified xsi:type="dcterms:W3CDTF">2023-03-30T13:18:00Z</dcterms:modified>
</cp:coreProperties>
</file>