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5E32" w14:textId="37FF040D" w:rsidR="00D87B99" w:rsidRDefault="00D87B99" w:rsidP="00D87B99">
      <w:pPr>
        <w:spacing w:after="0"/>
        <w:jc w:val="right"/>
        <w:rPr>
          <w:b/>
          <w:bCs/>
          <w:sz w:val="28"/>
          <w:szCs w:val="28"/>
        </w:rPr>
      </w:pPr>
    </w:p>
    <w:p w14:paraId="4D4B3266" w14:textId="6CDCBCDF" w:rsidR="00D87B99" w:rsidRDefault="00D87B99" w:rsidP="00D87B9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 of TDOC Policies:</w:t>
      </w:r>
    </w:p>
    <w:p w14:paraId="6B46A5FA" w14:textId="63CF523D" w:rsidR="00D87B99" w:rsidRDefault="00D87B99" w:rsidP="00D87B99">
      <w:pPr>
        <w:spacing w:after="0"/>
        <w:rPr>
          <w:sz w:val="28"/>
          <w:szCs w:val="28"/>
        </w:rPr>
      </w:pPr>
    </w:p>
    <w:p w14:paraId="2392D27E" w14:textId="3404C8E3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110.01, Pre-Service (Basic) Training Policy and Employee Orientation</w:t>
      </w:r>
    </w:p>
    <w:p w14:paraId="00E83820" w14:textId="1E488918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113.08, Prosthetics and Durable Medical Equipment</w:t>
      </w:r>
    </w:p>
    <w:p w14:paraId="2B34BFAB" w14:textId="4A53EC03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113.10, Credentials of Clinical Personnel</w:t>
      </w:r>
    </w:p>
    <w:p w14:paraId="7BE1DE9E" w14:textId="3A09CE7E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113.11, Clinical and Nursing Protocols</w:t>
      </w:r>
    </w:p>
    <w:p w14:paraId="2543900A" w14:textId="5F431EDE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113.12, Specialty Consultant Services</w:t>
      </w:r>
    </w:p>
    <w:p w14:paraId="39FAFD7F" w14:textId="3CFD8E02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113.13, Treatment of Facility Employees and Visitors with Emergent Conditions by Health Care Personnel</w:t>
      </w:r>
    </w:p>
    <w:p w14:paraId="416B64F8" w14:textId="2E526BE9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113.15, Inmate Co-Payment for Health Services</w:t>
      </w:r>
    </w:p>
    <w:p w14:paraId="18A16E1B" w14:textId="7E99B7C7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113.20, Initial Health Screening and Physical Examinations</w:t>
      </w:r>
    </w:p>
    <w:p w14:paraId="6A23D2F3" w14:textId="19E73383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113.23, Standards for Clinical Case Management</w:t>
      </w:r>
    </w:p>
    <w:p w14:paraId="3503E2C8" w14:textId="4142154D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113.24, Medical Clearance of Inmates Assigned to Jobs in Food Services</w:t>
      </w:r>
    </w:p>
    <w:p w14:paraId="1EF3E4D0" w14:textId="1D1EBD7F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113.31, Sick Call/Assessment of Health Complaints</w:t>
      </w:r>
    </w:p>
    <w:p w14:paraId="159343D9" w14:textId="4ADFC692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113.32, Levels of Care</w:t>
      </w:r>
    </w:p>
    <w:p w14:paraId="0B6AFB76" w14:textId="183FBA41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113.35, Therapeutic Diets</w:t>
      </w:r>
    </w:p>
    <w:p w14:paraId="15D83511" w14:textId="0BBF5630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113.40, Health Education</w:t>
      </w:r>
    </w:p>
    <w:p w14:paraId="74ADCCB9" w14:textId="71AA5B67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113.43, Immunizations: Inmate Population</w:t>
      </w:r>
    </w:p>
    <w:p w14:paraId="39B2175C" w14:textId="35E57029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113.50, Health Records</w:t>
      </w:r>
    </w:p>
    <w:p w14:paraId="488871AB" w14:textId="08B0831D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113.60, Dental Services Administration</w:t>
      </w:r>
    </w:p>
    <w:p w14:paraId="2374ED49" w14:textId="0C87F616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113.62, Dental Specialties</w:t>
      </w:r>
    </w:p>
    <w:p w14:paraId="542431C7" w14:textId="2E3475E7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113.70, Management of Pharmaceuticals</w:t>
      </w:r>
    </w:p>
    <w:p w14:paraId="0117ED0E" w14:textId="6B91C4A5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113.71, Administration/Distribution of Medication </w:t>
      </w:r>
    </w:p>
    <w:p w14:paraId="6970C80A" w14:textId="517F647B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113.75, Laboratory Services</w:t>
      </w:r>
    </w:p>
    <w:p w14:paraId="19DD8C92" w14:textId="092A31C0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113.92, </w:t>
      </w:r>
      <w:r w:rsidR="006B344B">
        <w:rPr>
          <w:sz w:val="28"/>
          <w:szCs w:val="28"/>
        </w:rPr>
        <w:t>DNA Specimen Collection and Documentation</w:t>
      </w:r>
    </w:p>
    <w:p w14:paraId="32A29C3D" w14:textId="5DF32EDA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302.12</w:t>
      </w:r>
      <w:r w:rsidR="006B344B">
        <w:rPr>
          <w:sz w:val="28"/>
          <w:szCs w:val="28"/>
        </w:rPr>
        <w:t>, Drug-Free Workplace</w:t>
      </w:r>
    </w:p>
    <w:p w14:paraId="3F2705E3" w14:textId="43D6FD8A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305.</w:t>
      </w:r>
      <w:r w:rsidR="006B344B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6B344B">
        <w:rPr>
          <w:sz w:val="28"/>
          <w:szCs w:val="28"/>
        </w:rPr>
        <w:t>, Medical Screenings of New Central Office Employees</w:t>
      </w:r>
    </w:p>
    <w:p w14:paraId="3CB64AEF" w14:textId="4CA39FC4" w:rsidR="00D87B99" w:rsidRDefault="00D87B99" w:rsidP="00D87B99">
      <w:pPr>
        <w:spacing w:after="0"/>
        <w:rPr>
          <w:sz w:val="28"/>
          <w:szCs w:val="28"/>
        </w:rPr>
      </w:pPr>
      <w:r>
        <w:rPr>
          <w:sz w:val="28"/>
          <w:szCs w:val="28"/>
        </w:rPr>
        <w:t>506.24</w:t>
      </w:r>
      <w:r w:rsidR="006B344B">
        <w:rPr>
          <w:sz w:val="28"/>
          <w:szCs w:val="28"/>
        </w:rPr>
        <w:t>, Provision and Maintenance of Non-Security Uniforms</w:t>
      </w:r>
    </w:p>
    <w:p w14:paraId="75F5AC1C" w14:textId="77777777" w:rsidR="00D87B99" w:rsidRPr="00D87B99" w:rsidRDefault="00D87B99" w:rsidP="00D87B99">
      <w:pPr>
        <w:spacing w:after="0"/>
        <w:rPr>
          <w:sz w:val="28"/>
          <w:szCs w:val="28"/>
        </w:rPr>
      </w:pPr>
    </w:p>
    <w:sectPr w:rsidR="00D87B99" w:rsidRPr="00D87B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D85B" w14:textId="77777777" w:rsidR="00603B4A" w:rsidRDefault="00603B4A" w:rsidP="00D87B99">
      <w:pPr>
        <w:spacing w:after="0" w:line="240" w:lineRule="auto"/>
      </w:pPr>
      <w:r>
        <w:separator/>
      </w:r>
    </w:p>
  </w:endnote>
  <w:endnote w:type="continuationSeparator" w:id="0">
    <w:p w14:paraId="702F826F" w14:textId="77777777" w:rsidR="00603B4A" w:rsidRDefault="00603B4A" w:rsidP="00D8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A253" w14:textId="77777777" w:rsidR="00603B4A" w:rsidRDefault="00603B4A" w:rsidP="00D87B99">
      <w:pPr>
        <w:spacing w:after="0" w:line="240" w:lineRule="auto"/>
      </w:pPr>
      <w:r>
        <w:separator/>
      </w:r>
    </w:p>
  </w:footnote>
  <w:footnote w:type="continuationSeparator" w:id="0">
    <w:p w14:paraId="2F9E8A85" w14:textId="77777777" w:rsidR="00603B4A" w:rsidRDefault="00603B4A" w:rsidP="00D8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0690" w14:textId="77777777" w:rsidR="00D87B99" w:rsidRPr="00D87B99" w:rsidRDefault="00D87B99" w:rsidP="00D87B99">
    <w:pPr>
      <w:spacing w:after="0"/>
      <w:jc w:val="right"/>
      <w:rPr>
        <w:b/>
        <w:bCs/>
        <w:sz w:val="28"/>
        <w:szCs w:val="28"/>
      </w:rPr>
    </w:pPr>
    <w:r w:rsidRPr="00D87B99">
      <w:rPr>
        <w:b/>
        <w:bCs/>
        <w:sz w:val="28"/>
        <w:szCs w:val="28"/>
      </w:rPr>
      <w:t>RFP ATTACHMENT 6.7</w:t>
    </w:r>
  </w:p>
  <w:p w14:paraId="608DB8FF" w14:textId="77777777" w:rsidR="00D87B99" w:rsidRPr="00D87B99" w:rsidRDefault="00D87B99" w:rsidP="00D87B99">
    <w:pPr>
      <w:spacing w:after="0"/>
      <w:jc w:val="right"/>
      <w:rPr>
        <w:b/>
        <w:bCs/>
        <w:sz w:val="24"/>
        <w:szCs w:val="24"/>
      </w:rPr>
    </w:pPr>
    <w:r w:rsidRPr="00D87B99">
      <w:rPr>
        <w:b/>
        <w:bCs/>
        <w:sz w:val="24"/>
        <w:szCs w:val="24"/>
      </w:rPr>
      <w:t xml:space="preserve">TDOC Policies </w:t>
    </w:r>
  </w:p>
  <w:p w14:paraId="0CC2936E" w14:textId="77777777" w:rsidR="00D87B99" w:rsidRDefault="00D87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99"/>
    <w:rsid w:val="0017116A"/>
    <w:rsid w:val="00603B4A"/>
    <w:rsid w:val="006B344B"/>
    <w:rsid w:val="00964412"/>
    <w:rsid w:val="00D87B99"/>
    <w:rsid w:val="00EB0B2D"/>
    <w:rsid w:val="00F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AD42"/>
  <w15:chartTrackingRefBased/>
  <w15:docId w15:val="{F793DE29-F879-48E8-BC53-A109E979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99"/>
  </w:style>
  <w:style w:type="paragraph" w:styleId="Footer">
    <w:name w:val="footer"/>
    <w:basedOn w:val="Normal"/>
    <w:link w:val="FooterChar"/>
    <w:uiPriority w:val="99"/>
    <w:unhideWhenUsed/>
    <w:rsid w:val="00D8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P. Weigum</dc:creator>
  <cp:keywords/>
  <dc:description/>
  <cp:lastModifiedBy>Sarah P. Weigum</cp:lastModifiedBy>
  <cp:revision>1</cp:revision>
  <dcterms:created xsi:type="dcterms:W3CDTF">2023-03-30T13:05:00Z</dcterms:created>
  <dcterms:modified xsi:type="dcterms:W3CDTF">2023-03-30T13:18:00Z</dcterms:modified>
</cp:coreProperties>
</file>