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58FEFCDE" w:rsidR="00DE7308" w:rsidRDefault="005D5892" w:rsidP="00834054">
      <w:pPr>
        <w:pStyle w:val="Heading1"/>
        <w:jc w:val="center"/>
      </w:pPr>
      <w:r>
        <w:t>Manhole Cover Repair/Replacement in McNairy County Specifications</w:t>
      </w:r>
    </w:p>
    <w:p w14:paraId="2171EC62" w14:textId="77777777" w:rsidR="00834054" w:rsidRDefault="00834054" w:rsidP="00834054">
      <w:pPr>
        <w:pStyle w:val="Heading2"/>
      </w:pPr>
      <w:r w:rsidRPr="00404943">
        <w:t>Summary/Background Information:</w:t>
      </w:r>
    </w:p>
    <w:p w14:paraId="150AB85F" w14:textId="1BA86081" w:rsidR="00254E09" w:rsidRPr="006B0660" w:rsidRDefault="005D5892" w:rsidP="00254E09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Tennessee Department of Transportation (TDOT) is seeking a </w:t>
      </w:r>
      <w:r w:rsidR="008776A9">
        <w:rPr>
          <w:rFonts w:cstheme="minorHAnsi"/>
          <w:szCs w:val="24"/>
        </w:rPr>
        <w:t>C</w:t>
      </w:r>
      <w:r>
        <w:rPr>
          <w:rFonts w:cstheme="minorHAnsi"/>
          <w:szCs w:val="24"/>
        </w:rPr>
        <w:t xml:space="preserve">ontractor to perform junction box/manhole removal and brick replacement or repairs to a total of 15 locations along State Route 15 in McNairy County. All work shall be completed in accordance with the specifications outlined below. One </w:t>
      </w:r>
      <w:r w:rsidR="008776A9">
        <w:rPr>
          <w:rFonts w:cstheme="minorHAnsi"/>
          <w:szCs w:val="24"/>
        </w:rPr>
        <w:t>C</w:t>
      </w:r>
      <w:r>
        <w:rPr>
          <w:rFonts w:cstheme="minorHAnsi"/>
          <w:szCs w:val="24"/>
        </w:rPr>
        <w:t>ontractor will be selected to perform the full scope of services described in this document.</w:t>
      </w:r>
    </w:p>
    <w:p w14:paraId="5F791E20" w14:textId="4B2BBEAF" w:rsidR="00B73688" w:rsidRDefault="00AA3AD1">
      <w:pPr>
        <w:pStyle w:val="Heading2"/>
      </w:pPr>
      <w:r>
        <w:t xml:space="preserve">Independent </w:t>
      </w:r>
      <w:r w:rsidR="00B73688">
        <w:t>Site Visit:</w:t>
      </w:r>
    </w:p>
    <w:p w14:paraId="60C02A50" w14:textId="579948BC" w:rsidR="00B73688" w:rsidRPr="00B73688" w:rsidRDefault="00B73688" w:rsidP="00B73688">
      <w:pPr>
        <w:spacing w:after="240"/>
      </w:pPr>
      <w:r>
        <w:t>Bidders are strongly encouraged to conduct a</w:t>
      </w:r>
      <w:r w:rsidR="00AA3AD1">
        <w:t>n independent</w:t>
      </w:r>
      <w:r>
        <w:t xml:space="preserve"> site visit of all 15 locations prior to submitting a proposal to inspect existing conditions, verify dimensions, and understand the full scope of work. Failure to conduct a site visit or to provide a complete and accurate bid submission shall not constitute grounds for price adjustments, change orders, or claims for additional compensation after contract award.</w:t>
      </w:r>
    </w:p>
    <w:p w14:paraId="77490997" w14:textId="27258404" w:rsidR="00834054" w:rsidRDefault="005D5892" w:rsidP="000F2203">
      <w:pPr>
        <w:pStyle w:val="Heading2"/>
      </w:pPr>
      <w:r>
        <w:t>Scope of Work</w:t>
      </w:r>
      <w:r w:rsidR="000F2203">
        <w:t>:</w:t>
      </w:r>
    </w:p>
    <w:p w14:paraId="5FDD0D20" w14:textId="1C2D26AD" w:rsidR="005D5892" w:rsidRDefault="005D5892" w:rsidP="00EB0EAF">
      <w:pPr>
        <w:spacing w:after="240"/>
      </w:pPr>
      <w:r>
        <w:t xml:space="preserve">The </w:t>
      </w:r>
      <w:r w:rsidR="008776A9">
        <w:t>C</w:t>
      </w:r>
      <w:r>
        <w:t>ontractor shall provide all labor, equipment, traffic control, and material</w:t>
      </w:r>
      <w:r w:rsidR="008971D8">
        <w:t>,</w:t>
      </w:r>
      <w:r>
        <w:t xml:space="preserve"> and perform all services necessary to complete the following tasks. </w:t>
      </w:r>
    </w:p>
    <w:p w14:paraId="788F67BF" w14:textId="46F777C0" w:rsidR="005D5892" w:rsidRDefault="005D5892" w:rsidP="005D5892">
      <w:pPr>
        <w:pStyle w:val="ListParagraph"/>
        <w:numPr>
          <w:ilvl w:val="0"/>
          <w:numId w:val="11"/>
        </w:numPr>
      </w:pPr>
      <w:r>
        <w:t>Junction Box Removal and Site Conditions</w:t>
      </w:r>
    </w:p>
    <w:p w14:paraId="0E99EC72" w14:textId="697BB621" w:rsidR="005D5892" w:rsidRDefault="005D5892" w:rsidP="005D5892">
      <w:pPr>
        <w:pStyle w:val="ListParagraph"/>
        <w:numPr>
          <w:ilvl w:val="0"/>
          <w:numId w:val="12"/>
        </w:numPr>
        <w:ind w:hanging="270"/>
      </w:pPr>
      <w:r>
        <w:t xml:space="preserve">Sawcut asphalt, as needed, to create a clean, uniform edge around the lid location, </w:t>
      </w:r>
      <w:r w:rsidR="008971D8">
        <w:t>and maintain</w:t>
      </w:r>
      <w:r>
        <w:t xml:space="preserve"> the structural integrity of the junction box during lid removal.</w:t>
      </w:r>
    </w:p>
    <w:p w14:paraId="1BD3C40D" w14:textId="254F0598" w:rsidR="005D5892" w:rsidRDefault="005D5892" w:rsidP="005D5892">
      <w:pPr>
        <w:pStyle w:val="ListParagraph"/>
        <w:numPr>
          <w:ilvl w:val="0"/>
          <w:numId w:val="12"/>
        </w:numPr>
        <w:ind w:hanging="270"/>
      </w:pPr>
      <w:r>
        <w:t xml:space="preserve">Remove and dispose of all debris, broken concrete, damaged lids, and surrounding materials displaced during removal </w:t>
      </w:r>
      <w:r w:rsidR="008971D8">
        <w:t>and/</w:t>
      </w:r>
      <w:r>
        <w:t>or installation.</w:t>
      </w:r>
    </w:p>
    <w:p w14:paraId="67B7410E" w14:textId="4E69ABFA" w:rsidR="005D5892" w:rsidRDefault="005D5892" w:rsidP="005D5892">
      <w:pPr>
        <w:pStyle w:val="ListParagraph"/>
        <w:numPr>
          <w:ilvl w:val="0"/>
          <w:numId w:val="11"/>
        </w:numPr>
      </w:pPr>
      <w:r>
        <w:t>Traffic Control</w:t>
      </w:r>
    </w:p>
    <w:p w14:paraId="1AEF768E" w14:textId="55B1F78D" w:rsidR="005D5892" w:rsidRDefault="005D5892" w:rsidP="005D5892">
      <w:pPr>
        <w:pStyle w:val="ListParagraph"/>
        <w:numPr>
          <w:ilvl w:val="0"/>
          <w:numId w:val="13"/>
        </w:numPr>
        <w:ind w:hanging="270"/>
      </w:pPr>
      <w:r>
        <w:t xml:space="preserve">Provide all necessary traffic control devices, signage, and personnel required to safely perform work on an active </w:t>
      </w:r>
      <w:r w:rsidR="003F50FD">
        <w:t>S</w:t>
      </w:r>
      <w:r>
        <w:t xml:space="preserve">tate route. </w:t>
      </w:r>
    </w:p>
    <w:p w14:paraId="3B894239" w14:textId="3B8E3F29" w:rsidR="005D5892" w:rsidRDefault="005D5892" w:rsidP="005D5892">
      <w:pPr>
        <w:pStyle w:val="ListParagraph"/>
        <w:numPr>
          <w:ilvl w:val="0"/>
          <w:numId w:val="13"/>
        </w:numPr>
        <w:ind w:hanging="270"/>
      </w:pPr>
      <w:r>
        <w:t>Ensure all work zones remain protected for the duration of operations at each site and adhere to TDOT Standard Drawings and MUTC</w:t>
      </w:r>
      <w:r w:rsidR="008444E6">
        <w:t>D</w:t>
      </w:r>
      <w:r>
        <w:t xml:space="preserve"> Standards.</w:t>
      </w:r>
    </w:p>
    <w:p w14:paraId="1E1AA5EB" w14:textId="7E639C21" w:rsidR="00EB0EAF" w:rsidRDefault="00EB0EAF" w:rsidP="00EB0EAF">
      <w:pPr>
        <w:pStyle w:val="ListParagraph"/>
        <w:numPr>
          <w:ilvl w:val="0"/>
          <w:numId w:val="11"/>
        </w:numPr>
      </w:pPr>
      <w:r>
        <w:t>Junction Box Brick Repair</w:t>
      </w:r>
    </w:p>
    <w:p w14:paraId="56192672" w14:textId="774492D1" w:rsidR="00EB0EAF" w:rsidRDefault="00EB0EAF" w:rsidP="00EB0EAF">
      <w:pPr>
        <w:pStyle w:val="ListParagraph"/>
        <w:numPr>
          <w:ilvl w:val="0"/>
          <w:numId w:val="14"/>
        </w:numPr>
        <w:ind w:hanging="270"/>
      </w:pPr>
      <w:r>
        <w:t xml:space="preserve">Inspect junction box for loose, damaged, or missing brick. </w:t>
      </w:r>
    </w:p>
    <w:p w14:paraId="41684AC4" w14:textId="376709E4" w:rsidR="00EB0EAF" w:rsidRDefault="00EB0EAF" w:rsidP="00EB0EAF">
      <w:pPr>
        <w:pStyle w:val="ListParagraph"/>
        <w:numPr>
          <w:ilvl w:val="0"/>
          <w:numId w:val="14"/>
        </w:numPr>
        <w:ind w:hanging="270"/>
      </w:pPr>
      <w:r>
        <w:t>Repair brickwork using appropriate materials to restore a stable, level surface capable of supporting the new lid.</w:t>
      </w:r>
    </w:p>
    <w:p w14:paraId="60A3C7D0" w14:textId="4BAE724C" w:rsidR="00084F89" w:rsidRDefault="00084F89" w:rsidP="00084F89">
      <w:pPr>
        <w:pStyle w:val="ListParagraph"/>
        <w:numPr>
          <w:ilvl w:val="0"/>
          <w:numId w:val="11"/>
        </w:numPr>
      </w:pPr>
      <w:r>
        <w:t>Pouring of New Lids</w:t>
      </w:r>
    </w:p>
    <w:p w14:paraId="6CBFD909" w14:textId="5A5C85D0" w:rsidR="00084F89" w:rsidRDefault="00084F89" w:rsidP="00084F89">
      <w:pPr>
        <w:pStyle w:val="ListParagraph"/>
        <w:numPr>
          <w:ilvl w:val="0"/>
          <w:numId w:val="15"/>
        </w:numPr>
        <w:ind w:hanging="270"/>
      </w:pPr>
      <w:r>
        <w:t>New junction box lids shall be fabricated to the correct dimensions for each location using two (2) rebar mats, with reinforcements placed at six-centers (6” in).</w:t>
      </w:r>
    </w:p>
    <w:p w14:paraId="031FCBE1" w14:textId="7D2DA506" w:rsidR="00084F89" w:rsidRDefault="00084F89" w:rsidP="00084F89">
      <w:pPr>
        <w:pStyle w:val="ListParagraph"/>
        <w:numPr>
          <w:ilvl w:val="0"/>
          <w:numId w:val="15"/>
        </w:numPr>
        <w:ind w:hanging="270"/>
        <w:rPr>
          <w:b/>
          <w:bCs/>
        </w:rPr>
      </w:pPr>
      <w:r>
        <w:t xml:space="preserve">Use hi-early strength concrete for all lid fabrication as solid covers with </w:t>
      </w:r>
      <w:r w:rsidRPr="00084F89">
        <w:rPr>
          <w:b/>
          <w:bCs/>
        </w:rPr>
        <w:t xml:space="preserve">no </w:t>
      </w:r>
      <w:r w:rsidRPr="00084F89">
        <w:rPr>
          <w:b/>
          <w:bCs/>
        </w:rPr>
        <w:lastRenderedPageBreak/>
        <w:t>manhole access openings.</w:t>
      </w:r>
    </w:p>
    <w:p w14:paraId="179A296A" w14:textId="343761C4" w:rsidR="00084F89" w:rsidRDefault="00084F89" w:rsidP="00084F89">
      <w:pPr>
        <w:pStyle w:val="ListParagraph"/>
        <w:numPr>
          <w:ilvl w:val="0"/>
          <w:numId w:val="11"/>
        </w:numPr>
      </w:pPr>
      <w:r w:rsidRPr="00084F89">
        <w:t>Asphalt</w:t>
      </w:r>
      <w:r>
        <w:t xml:space="preserve"> Restorations</w:t>
      </w:r>
    </w:p>
    <w:p w14:paraId="5D56A9C1" w14:textId="483B70B3" w:rsidR="00084F89" w:rsidRDefault="00084F89" w:rsidP="00084F89">
      <w:pPr>
        <w:pStyle w:val="ListParagraph"/>
        <w:numPr>
          <w:ilvl w:val="0"/>
          <w:numId w:val="16"/>
        </w:numPr>
        <w:ind w:hanging="270"/>
      </w:pPr>
      <w:r>
        <w:t xml:space="preserve">Hot-mix asphalt shall be placed around the perimeter of each installed lid to restore the pavement section affected during removal. </w:t>
      </w:r>
    </w:p>
    <w:p w14:paraId="05A574E0" w14:textId="2A3F909D" w:rsidR="00084F89" w:rsidRDefault="00084F89" w:rsidP="00084F89">
      <w:pPr>
        <w:pStyle w:val="ListParagraph"/>
        <w:numPr>
          <w:ilvl w:val="0"/>
          <w:numId w:val="16"/>
        </w:numPr>
        <w:ind w:hanging="270"/>
      </w:pPr>
      <w:r>
        <w:t>Compact asphalt shall match the grade, slope, and smoothness of the existing roadway with a seamless transition between new pavement and existing driving surface.</w:t>
      </w:r>
    </w:p>
    <w:p w14:paraId="634E1C0B" w14:textId="470DA4E2" w:rsidR="00084F89" w:rsidRDefault="00084F89" w:rsidP="00084F89">
      <w:pPr>
        <w:pStyle w:val="ListParagraph"/>
        <w:numPr>
          <w:ilvl w:val="0"/>
          <w:numId w:val="11"/>
        </w:numPr>
      </w:pPr>
      <w:r>
        <w:t>Materials</w:t>
      </w:r>
    </w:p>
    <w:p w14:paraId="245EF43B" w14:textId="26EC8236" w:rsidR="00084F89" w:rsidRDefault="00084F89" w:rsidP="00084F89">
      <w:pPr>
        <w:ind w:left="720"/>
      </w:pPr>
      <w:r>
        <w:t>All materials incorporated into the final product shall be:</w:t>
      </w:r>
    </w:p>
    <w:p w14:paraId="20FE3076" w14:textId="306D34C9" w:rsidR="00084F89" w:rsidRDefault="00084F89" w:rsidP="00084F89">
      <w:pPr>
        <w:pStyle w:val="ListParagraph"/>
        <w:numPr>
          <w:ilvl w:val="0"/>
          <w:numId w:val="18"/>
        </w:numPr>
        <w:ind w:hanging="270"/>
      </w:pPr>
      <w:r>
        <w:t xml:space="preserve">Sourced from the State of Tennessee, Department of Transportation’s </w:t>
      </w:r>
      <w:hyperlink r:id="rId8" w:history="1">
        <w:r>
          <w:rPr>
            <w:rStyle w:val="Hyperlink"/>
          </w:rPr>
          <w:t>Qualified Producer list</w:t>
        </w:r>
      </w:hyperlink>
      <w:r w:rsidR="008971D8">
        <w:t>;</w:t>
      </w:r>
      <w:r>
        <w:t xml:space="preserve"> and/or</w:t>
      </w:r>
    </w:p>
    <w:p w14:paraId="45953E37" w14:textId="7F666EF4" w:rsidR="00084F89" w:rsidRDefault="00084F89" w:rsidP="00084F89">
      <w:pPr>
        <w:pStyle w:val="ListParagraph"/>
        <w:numPr>
          <w:ilvl w:val="0"/>
          <w:numId w:val="18"/>
        </w:numPr>
        <w:spacing w:after="240"/>
        <w:ind w:hanging="270"/>
      </w:pPr>
      <w:r>
        <w:t xml:space="preserve">Listed on the Department of Transportation’s </w:t>
      </w:r>
      <w:hyperlink r:id="rId9" w:history="1">
        <w:r>
          <w:rPr>
            <w:rStyle w:val="Hyperlink"/>
          </w:rPr>
          <w:t>Qualified Products List</w:t>
        </w:r>
      </w:hyperlink>
      <w:r>
        <w:t>.</w:t>
      </w:r>
    </w:p>
    <w:p w14:paraId="4FB954FE" w14:textId="2772CC78" w:rsidR="00084F89" w:rsidRDefault="00084F89" w:rsidP="00084F89">
      <w:pPr>
        <w:spacing w:after="240"/>
      </w:pPr>
      <w:r>
        <w:t xml:space="preserve">By submitting bids for this work, the </w:t>
      </w:r>
      <w:r w:rsidR="00DA47FD">
        <w:t xml:space="preserve">Contractor </w:t>
      </w:r>
      <w:r>
        <w:t>represents that it has:</w:t>
      </w:r>
    </w:p>
    <w:p w14:paraId="59B85C66" w14:textId="14A07940" w:rsidR="00084F89" w:rsidRDefault="00C53772" w:rsidP="00084F89">
      <w:pPr>
        <w:pStyle w:val="ListParagraph"/>
        <w:numPr>
          <w:ilvl w:val="0"/>
          <w:numId w:val="20"/>
        </w:numPr>
      </w:pPr>
      <w:r>
        <w:t>C</w:t>
      </w:r>
      <w:r w:rsidR="00084F89">
        <w:t>arefully examined the site of the work described herein</w:t>
      </w:r>
      <w:r w:rsidR="008971D8">
        <w:t>;</w:t>
      </w:r>
    </w:p>
    <w:p w14:paraId="028DE103" w14:textId="521C3898" w:rsidR="00084F89" w:rsidRDefault="008971D8" w:rsidP="00084F89">
      <w:pPr>
        <w:pStyle w:val="ListParagraph"/>
        <w:numPr>
          <w:ilvl w:val="0"/>
          <w:numId w:val="20"/>
        </w:numPr>
      </w:pPr>
      <w:r>
        <w:t xml:space="preserve">Is </w:t>
      </w:r>
      <w:r w:rsidR="00084F89">
        <w:t>familiar with local conditions and the character and extent of the work;</w:t>
      </w:r>
    </w:p>
    <w:p w14:paraId="4A9FB989" w14:textId="158BA68D" w:rsidR="00084F89" w:rsidRDefault="00C53772" w:rsidP="000F2203">
      <w:pPr>
        <w:pStyle w:val="ListParagraph"/>
        <w:numPr>
          <w:ilvl w:val="0"/>
          <w:numId w:val="20"/>
        </w:numPr>
        <w:spacing w:after="240"/>
      </w:pPr>
      <w:r>
        <w:t>H</w:t>
      </w:r>
      <w:r w:rsidR="00084F89">
        <w:t xml:space="preserve">as carefully examined the </w:t>
      </w:r>
      <w:r w:rsidR="009D6BEE">
        <w:t>p</w:t>
      </w:r>
      <w:r w:rsidR="00084F89">
        <w:t xml:space="preserve">lans </w:t>
      </w:r>
      <w:r w:rsidR="00B6515E">
        <w:t xml:space="preserve">(example images provided) </w:t>
      </w:r>
      <w:r w:rsidR="00084F89">
        <w:t xml:space="preserve">and the </w:t>
      </w:r>
      <w:hyperlink r:id="rId10" w:history="1">
        <w:r w:rsidR="000F2203">
          <w:rPr>
            <w:rStyle w:val="Hyperlink"/>
          </w:rPr>
          <w:t>Standard Specifications for Road and Bridge Construction (January 1, 2021)</w:t>
        </w:r>
      </w:hyperlink>
      <w:r w:rsidR="000F2203">
        <w:t xml:space="preserve"> adopted by the State of Tennessee, Department of Transportation and recognizes and attests that all work will be conducted in accordance with these plans and standards.</w:t>
      </w:r>
    </w:p>
    <w:p w14:paraId="554FDE25" w14:textId="65465E39" w:rsidR="002C4162" w:rsidRPr="00E663AB" w:rsidRDefault="000F2203" w:rsidP="002C4162">
      <w:pPr>
        <w:pStyle w:val="Heading2"/>
      </w:pPr>
      <w:r>
        <w:t>Contractor Qualifications:</w:t>
      </w:r>
    </w:p>
    <w:p w14:paraId="4C368AE0" w14:textId="4AAAFD1C" w:rsidR="0082214B" w:rsidRPr="00424223" w:rsidRDefault="00DE3159" w:rsidP="00424223">
      <w:pPr>
        <w:pStyle w:val="ListParagraph"/>
        <w:numPr>
          <w:ilvl w:val="0"/>
          <w:numId w:val="25"/>
        </w:numPr>
        <w:tabs>
          <w:tab w:val="left" w:pos="900"/>
        </w:tabs>
        <w:ind w:left="990" w:hanging="360"/>
        <w:rPr>
          <w:color w:val="1F1FC3"/>
        </w:rPr>
      </w:pPr>
      <w:r>
        <w:t xml:space="preserve"> </w:t>
      </w:r>
      <w:r w:rsidR="000F2203">
        <w:t xml:space="preserve">Contractor must come from </w:t>
      </w:r>
      <w:hyperlink r:id="rId11" w:history="1">
        <w:r w:rsidR="000F2203" w:rsidRPr="00C8182F">
          <w:rPr>
            <w:rStyle w:val="Hyperlink"/>
            <w:color w:val="1F1FC3"/>
          </w:rPr>
          <w:t>TDOT’s Prequalified Contractors list.</w:t>
        </w:r>
      </w:hyperlink>
      <w:r>
        <w:t xml:space="preserve"> </w:t>
      </w:r>
      <w:r w:rsidR="00273587">
        <w:t xml:space="preserve">The </w:t>
      </w:r>
      <w:r>
        <w:t>p</w:t>
      </w:r>
      <w:r w:rsidR="00273587">
        <w:t xml:space="preserve">requalification process </w:t>
      </w:r>
      <w:r>
        <w:t xml:space="preserve">typically takes approximately 14 days from the date </w:t>
      </w:r>
      <w:r w:rsidR="008971D8">
        <w:t xml:space="preserve">which </w:t>
      </w:r>
      <w:r>
        <w:t>the application is received.</w:t>
      </w:r>
    </w:p>
    <w:p w14:paraId="5372FE9A" w14:textId="0612DDD2" w:rsidR="00C8182F" w:rsidRDefault="00C8182F" w:rsidP="00424223">
      <w:pPr>
        <w:tabs>
          <w:tab w:val="left" w:pos="1170"/>
        </w:tabs>
        <w:spacing w:after="240"/>
        <w:ind w:left="990" w:hanging="360"/>
      </w:pPr>
      <w:r>
        <w:t xml:space="preserve">ii.  </w:t>
      </w:r>
      <w:r w:rsidR="00424223">
        <w:t xml:space="preserve"> </w:t>
      </w:r>
      <w:r w:rsidRPr="00C8182F">
        <w:t>Contractors must submit proof of previously completed precast concrete work in the past.</w:t>
      </w:r>
      <w:r>
        <w:t xml:space="preserve"> </w:t>
      </w:r>
      <w:r w:rsidR="00F46A8D">
        <w:t>Supported by documentation such as photos, invoices, permits, or completion records.</w:t>
      </w:r>
    </w:p>
    <w:p w14:paraId="2A0035E2" w14:textId="2C27252C" w:rsidR="00C8182F" w:rsidRPr="00E663AB" w:rsidRDefault="00C8182F" w:rsidP="00C8182F">
      <w:pPr>
        <w:pStyle w:val="Heading2"/>
        <w:spacing w:after="240"/>
      </w:pPr>
      <w:r>
        <w:t>Project Logistics and Coordination:</w:t>
      </w:r>
    </w:p>
    <w:p w14:paraId="0E79DF9D" w14:textId="662AB55F" w:rsidR="002331B4" w:rsidRDefault="002331B4" w:rsidP="002331B4">
      <w:pPr>
        <w:pStyle w:val="ListParagraph"/>
        <w:numPr>
          <w:ilvl w:val="1"/>
          <w:numId w:val="11"/>
        </w:numPr>
        <w:spacing w:after="240"/>
        <w:ind w:left="720"/>
      </w:pPr>
      <w:r>
        <w:t>Project Location: McNairy County on State Route 15, at fifteen (15) locations with East Bound logged mile markers listed below:</w:t>
      </w:r>
    </w:p>
    <w:tbl>
      <w:tblPr>
        <w:tblStyle w:val="TableGrid"/>
        <w:tblW w:w="0" w:type="auto"/>
        <w:tblInd w:w="3100" w:type="dxa"/>
        <w:tblLook w:val="04A0" w:firstRow="1" w:lastRow="0" w:firstColumn="1" w:lastColumn="0" w:noHBand="0" w:noVBand="1"/>
      </w:tblPr>
      <w:tblGrid>
        <w:gridCol w:w="1615"/>
        <w:gridCol w:w="1530"/>
      </w:tblGrid>
      <w:tr w:rsidR="002331B4" w14:paraId="6DEFF859" w14:textId="77777777" w:rsidTr="0021264B">
        <w:tc>
          <w:tcPr>
            <w:tcW w:w="1615" w:type="dxa"/>
            <w:shd w:val="clear" w:color="auto" w:fill="D9D9D9" w:themeFill="accent4" w:themeFillShade="D9"/>
          </w:tcPr>
          <w:p w14:paraId="58444E33" w14:textId="0DBB8FAF" w:rsidR="002331B4" w:rsidRDefault="0021264B" w:rsidP="0021264B">
            <w:pPr>
              <w:pStyle w:val="ListParagraph"/>
              <w:spacing w:after="240"/>
              <w:jc w:val="center"/>
            </w:pPr>
            <w:r>
              <w:t>Address</w:t>
            </w:r>
          </w:p>
        </w:tc>
        <w:tc>
          <w:tcPr>
            <w:tcW w:w="1530" w:type="dxa"/>
            <w:shd w:val="clear" w:color="auto" w:fill="D9D9D9" w:themeFill="accent4" w:themeFillShade="D9"/>
          </w:tcPr>
          <w:p w14:paraId="4F78F230" w14:textId="41A04FE8" w:rsidR="002331B4" w:rsidRDefault="0021264B" w:rsidP="0021264B">
            <w:pPr>
              <w:pStyle w:val="ListParagraph"/>
              <w:spacing w:after="240"/>
              <w:jc w:val="center"/>
            </w:pPr>
            <w:r>
              <w:t>Log Mile</w:t>
            </w:r>
          </w:p>
        </w:tc>
      </w:tr>
      <w:tr w:rsidR="002331B4" w14:paraId="783D362B" w14:textId="77777777" w:rsidTr="00C53772">
        <w:trPr>
          <w:trHeight w:val="533"/>
        </w:trPr>
        <w:tc>
          <w:tcPr>
            <w:tcW w:w="1615" w:type="dxa"/>
          </w:tcPr>
          <w:p w14:paraId="2A17512A" w14:textId="71C3478C" w:rsidR="002331B4" w:rsidRDefault="0021264B" w:rsidP="0021264B">
            <w:pPr>
              <w:pStyle w:val="ListParagraph"/>
              <w:spacing w:after="240"/>
              <w:jc w:val="center"/>
            </w:pPr>
            <w:r>
              <w:t>873</w:t>
            </w:r>
          </w:p>
        </w:tc>
        <w:tc>
          <w:tcPr>
            <w:tcW w:w="1530" w:type="dxa"/>
          </w:tcPr>
          <w:p w14:paraId="5B918236" w14:textId="1000BE5F" w:rsidR="002331B4" w:rsidRDefault="0021264B" w:rsidP="0021264B">
            <w:pPr>
              <w:pStyle w:val="ListParagraph"/>
              <w:spacing w:after="240"/>
              <w:jc w:val="center"/>
            </w:pPr>
            <w:r>
              <w:t>13.231</w:t>
            </w:r>
          </w:p>
        </w:tc>
      </w:tr>
      <w:tr w:rsidR="002331B4" w14:paraId="1E6529C1" w14:textId="77777777" w:rsidTr="00C53772">
        <w:trPr>
          <w:trHeight w:val="533"/>
        </w:trPr>
        <w:tc>
          <w:tcPr>
            <w:tcW w:w="1615" w:type="dxa"/>
          </w:tcPr>
          <w:p w14:paraId="5F5406AE" w14:textId="4E8A0C10" w:rsidR="002331B4" w:rsidRDefault="0021264B" w:rsidP="0021264B">
            <w:pPr>
              <w:pStyle w:val="ListParagraph"/>
              <w:spacing w:after="240"/>
              <w:jc w:val="center"/>
            </w:pPr>
            <w:r>
              <w:t>889</w:t>
            </w:r>
          </w:p>
        </w:tc>
        <w:tc>
          <w:tcPr>
            <w:tcW w:w="1530" w:type="dxa"/>
          </w:tcPr>
          <w:p w14:paraId="3591332E" w14:textId="50A5B5AD" w:rsidR="002331B4" w:rsidRDefault="0021264B" w:rsidP="0021264B">
            <w:pPr>
              <w:pStyle w:val="ListParagraph"/>
              <w:spacing w:after="240"/>
              <w:jc w:val="center"/>
            </w:pPr>
            <w:r>
              <w:t>13.269</w:t>
            </w:r>
          </w:p>
        </w:tc>
      </w:tr>
      <w:tr w:rsidR="002331B4" w14:paraId="341C8421" w14:textId="77777777" w:rsidTr="00C53772">
        <w:trPr>
          <w:trHeight w:val="533"/>
        </w:trPr>
        <w:tc>
          <w:tcPr>
            <w:tcW w:w="1615" w:type="dxa"/>
          </w:tcPr>
          <w:p w14:paraId="29FF93E0" w14:textId="21053941" w:rsidR="002331B4" w:rsidRDefault="0021264B" w:rsidP="0021264B">
            <w:pPr>
              <w:pStyle w:val="ListParagraph"/>
              <w:spacing w:after="240"/>
              <w:jc w:val="center"/>
            </w:pPr>
            <w:r>
              <w:t>920</w:t>
            </w:r>
          </w:p>
        </w:tc>
        <w:tc>
          <w:tcPr>
            <w:tcW w:w="1530" w:type="dxa"/>
          </w:tcPr>
          <w:p w14:paraId="4CD8CC25" w14:textId="2CB38A29" w:rsidR="002331B4" w:rsidRDefault="0021264B" w:rsidP="0021264B">
            <w:pPr>
              <w:pStyle w:val="ListParagraph"/>
              <w:spacing w:after="240"/>
              <w:jc w:val="center"/>
            </w:pPr>
            <w:r>
              <w:t>13.352</w:t>
            </w:r>
          </w:p>
        </w:tc>
      </w:tr>
      <w:tr w:rsidR="002331B4" w14:paraId="0B67E9B7" w14:textId="77777777" w:rsidTr="00C53772">
        <w:trPr>
          <w:trHeight w:val="533"/>
        </w:trPr>
        <w:tc>
          <w:tcPr>
            <w:tcW w:w="1615" w:type="dxa"/>
          </w:tcPr>
          <w:p w14:paraId="4505B3EA" w14:textId="7A96B8E0" w:rsidR="002331B4" w:rsidRDefault="0021264B" w:rsidP="0021264B">
            <w:pPr>
              <w:pStyle w:val="ListParagraph"/>
              <w:spacing w:after="240"/>
              <w:jc w:val="center"/>
            </w:pPr>
            <w:r>
              <w:lastRenderedPageBreak/>
              <w:t>935</w:t>
            </w:r>
          </w:p>
        </w:tc>
        <w:tc>
          <w:tcPr>
            <w:tcW w:w="1530" w:type="dxa"/>
          </w:tcPr>
          <w:p w14:paraId="06D3EE41" w14:textId="44199CC8" w:rsidR="002331B4" w:rsidRDefault="0021264B" w:rsidP="0021264B">
            <w:pPr>
              <w:pStyle w:val="ListParagraph"/>
              <w:spacing w:after="240"/>
              <w:jc w:val="center"/>
            </w:pPr>
            <w:r>
              <w:t>13.350</w:t>
            </w:r>
          </w:p>
        </w:tc>
      </w:tr>
      <w:tr w:rsidR="002331B4" w14:paraId="3B22AE26" w14:textId="77777777" w:rsidTr="00C53772">
        <w:trPr>
          <w:trHeight w:val="533"/>
        </w:trPr>
        <w:tc>
          <w:tcPr>
            <w:tcW w:w="1615" w:type="dxa"/>
          </w:tcPr>
          <w:p w14:paraId="2C7DCA81" w14:textId="650B5E10" w:rsidR="002331B4" w:rsidRDefault="0021264B" w:rsidP="0021264B">
            <w:pPr>
              <w:pStyle w:val="ListParagraph"/>
              <w:spacing w:after="240"/>
              <w:jc w:val="center"/>
            </w:pPr>
            <w:r>
              <w:t>959</w:t>
            </w:r>
          </w:p>
        </w:tc>
        <w:tc>
          <w:tcPr>
            <w:tcW w:w="1530" w:type="dxa"/>
          </w:tcPr>
          <w:p w14:paraId="70CE731A" w14:textId="7AA27A29" w:rsidR="002331B4" w:rsidRDefault="0021264B" w:rsidP="0021264B">
            <w:pPr>
              <w:pStyle w:val="ListParagraph"/>
              <w:spacing w:after="240"/>
              <w:jc w:val="center"/>
            </w:pPr>
            <w:r>
              <w:t>13.394</w:t>
            </w:r>
          </w:p>
        </w:tc>
      </w:tr>
      <w:tr w:rsidR="002331B4" w14:paraId="59CAF8C9" w14:textId="77777777" w:rsidTr="00C53772">
        <w:trPr>
          <w:trHeight w:val="533"/>
        </w:trPr>
        <w:tc>
          <w:tcPr>
            <w:tcW w:w="1615" w:type="dxa"/>
          </w:tcPr>
          <w:p w14:paraId="3C7FAB77" w14:textId="12A9A129" w:rsidR="002331B4" w:rsidRDefault="0021264B" w:rsidP="0021264B">
            <w:pPr>
              <w:pStyle w:val="ListParagraph"/>
              <w:spacing w:after="240"/>
              <w:jc w:val="center"/>
            </w:pPr>
            <w:r>
              <w:t>1073</w:t>
            </w:r>
          </w:p>
        </w:tc>
        <w:tc>
          <w:tcPr>
            <w:tcW w:w="1530" w:type="dxa"/>
          </w:tcPr>
          <w:p w14:paraId="08E1CEE6" w14:textId="3F1AE237" w:rsidR="002331B4" w:rsidRDefault="0021264B" w:rsidP="0021264B">
            <w:pPr>
              <w:pStyle w:val="ListParagraph"/>
              <w:spacing w:after="240"/>
              <w:jc w:val="center"/>
            </w:pPr>
            <w:r>
              <w:t>13.632</w:t>
            </w:r>
          </w:p>
        </w:tc>
      </w:tr>
      <w:tr w:rsidR="002331B4" w14:paraId="7EC00A73" w14:textId="77777777" w:rsidTr="0021264B">
        <w:tc>
          <w:tcPr>
            <w:tcW w:w="1615" w:type="dxa"/>
          </w:tcPr>
          <w:p w14:paraId="5AB72FCD" w14:textId="368558FF" w:rsidR="002331B4" w:rsidRDefault="0021264B" w:rsidP="0021264B">
            <w:pPr>
              <w:pStyle w:val="ListParagraph"/>
              <w:spacing w:after="240"/>
              <w:jc w:val="center"/>
            </w:pPr>
            <w:r>
              <w:t>1121</w:t>
            </w:r>
          </w:p>
        </w:tc>
        <w:tc>
          <w:tcPr>
            <w:tcW w:w="1530" w:type="dxa"/>
          </w:tcPr>
          <w:p w14:paraId="40B1C42F" w14:textId="3C525150" w:rsidR="002331B4" w:rsidRDefault="0021264B" w:rsidP="0021264B">
            <w:pPr>
              <w:pStyle w:val="ListParagraph"/>
              <w:spacing w:after="240"/>
              <w:jc w:val="center"/>
            </w:pPr>
            <w:r>
              <w:t>13.689</w:t>
            </w:r>
          </w:p>
        </w:tc>
      </w:tr>
      <w:tr w:rsidR="002331B4" w14:paraId="67BCF0E8" w14:textId="77777777" w:rsidTr="0021264B">
        <w:tc>
          <w:tcPr>
            <w:tcW w:w="1615" w:type="dxa"/>
          </w:tcPr>
          <w:p w14:paraId="285DD3A4" w14:textId="22887D6B" w:rsidR="002331B4" w:rsidRDefault="0021264B" w:rsidP="0021264B">
            <w:pPr>
              <w:pStyle w:val="ListParagraph"/>
              <w:spacing w:after="240"/>
              <w:jc w:val="center"/>
            </w:pPr>
            <w:r>
              <w:t>1190</w:t>
            </w:r>
          </w:p>
        </w:tc>
        <w:tc>
          <w:tcPr>
            <w:tcW w:w="1530" w:type="dxa"/>
          </w:tcPr>
          <w:p w14:paraId="328D09C7" w14:textId="72EA0693" w:rsidR="002331B4" w:rsidRDefault="0021264B" w:rsidP="0021264B">
            <w:pPr>
              <w:pStyle w:val="ListParagraph"/>
              <w:spacing w:after="240"/>
              <w:jc w:val="center"/>
            </w:pPr>
            <w:r>
              <w:t>13.837</w:t>
            </w:r>
          </w:p>
        </w:tc>
      </w:tr>
      <w:tr w:rsidR="002331B4" w14:paraId="466190A8" w14:textId="77777777" w:rsidTr="0021264B">
        <w:tc>
          <w:tcPr>
            <w:tcW w:w="1615" w:type="dxa"/>
          </w:tcPr>
          <w:p w14:paraId="5672D769" w14:textId="2E6F463D" w:rsidR="002331B4" w:rsidRDefault="0021264B" w:rsidP="0021264B">
            <w:pPr>
              <w:pStyle w:val="ListParagraph"/>
              <w:spacing w:after="240"/>
              <w:jc w:val="center"/>
            </w:pPr>
            <w:r>
              <w:t>1207</w:t>
            </w:r>
          </w:p>
        </w:tc>
        <w:tc>
          <w:tcPr>
            <w:tcW w:w="1530" w:type="dxa"/>
          </w:tcPr>
          <w:p w14:paraId="0EBEBCE7" w14:textId="5798C4A3" w:rsidR="002331B4" w:rsidRDefault="0021264B" w:rsidP="0021264B">
            <w:pPr>
              <w:pStyle w:val="ListParagraph"/>
              <w:spacing w:after="240"/>
              <w:jc w:val="center"/>
            </w:pPr>
            <w:r>
              <w:t>13.894</w:t>
            </w:r>
          </w:p>
        </w:tc>
      </w:tr>
      <w:tr w:rsidR="0021264B" w14:paraId="6EF43013" w14:textId="77777777" w:rsidTr="0021264B">
        <w:tc>
          <w:tcPr>
            <w:tcW w:w="1615" w:type="dxa"/>
          </w:tcPr>
          <w:p w14:paraId="144D1CAC" w14:textId="2E5DE3CC" w:rsidR="0021264B" w:rsidRDefault="0021264B" w:rsidP="0021264B">
            <w:pPr>
              <w:pStyle w:val="ListParagraph"/>
              <w:spacing w:after="240"/>
              <w:jc w:val="center"/>
            </w:pPr>
            <w:r>
              <w:t>1263</w:t>
            </w:r>
          </w:p>
        </w:tc>
        <w:tc>
          <w:tcPr>
            <w:tcW w:w="1530" w:type="dxa"/>
          </w:tcPr>
          <w:p w14:paraId="6D519CAB" w14:textId="05314DA0" w:rsidR="0021264B" w:rsidRDefault="0021264B" w:rsidP="0021264B">
            <w:pPr>
              <w:pStyle w:val="ListParagraph"/>
              <w:spacing w:after="240"/>
              <w:jc w:val="center"/>
            </w:pPr>
            <w:r>
              <w:t>13.937</w:t>
            </w:r>
          </w:p>
        </w:tc>
      </w:tr>
      <w:tr w:rsidR="0021264B" w14:paraId="64B17736" w14:textId="77777777" w:rsidTr="0021264B">
        <w:tc>
          <w:tcPr>
            <w:tcW w:w="1615" w:type="dxa"/>
          </w:tcPr>
          <w:p w14:paraId="6D2E67D2" w14:textId="7770AB68" w:rsidR="0021264B" w:rsidRDefault="0021264B" w:rsidP="0021264B">
            <w:pPr>
              <w:pStyle w:val="ListParagraph"/>
              <w:spacing w:after="240"/>
              <w:jc w:val="center"/>
            </w:pPr>
            <w:r>
              <w:t>1329</w:t>
            </w:r>
          </w:p>
        </w:tc>
        <w:tc>
          <w:tcPr>
            <w:tcW w:w="1530" w:type="dxa"/>
          </w:tcPr>
          <w:p w14:paraId="2851C9A5" w14:textId="08356C94" w:rsidR="0021264B" w:rsidRDefault="0021264B" w:rsidP="0021264B">
            <w:pPr>
              <w:pStyle w:val="ListParagraph"/>
              <w:spacing w:after="240"/>
              <w:jc w:val="center"/>
            </w:pPr>
            <w:r>
              <w:t>14.087</w:t>
            </w:r>
          </w:p>
        </w:tc>
      </w:tr>
      <w:tr w:rsidR="0021264B" w14:paraId="4D3AE2CC" w14:textId="77777777" w:rsidTr="0021264B">
        <w:tc>
          <w:tcPr>
            <w:tcW w:w="1615" w:type="dxa"/>
          </w:tcPr>
          <w:p w14:paraId="1A0BD396" w14:textId="7F6F5F14" w:rsidR="0021264B" w:rsidRDefault="0021264B" w:rsidP="0021264B">
            <w:pPr>
              <w:pStyle w:val="ListParagraph"/>
              <w:spacing w:after="240"/>
              <w:jc w:val="center"/>
            </w:pPr>
            <w:r>
              <w:t>1377</w:t>
            </w:r>
          </w:p>
        </w:tc>
        <w:tc>
          <w:tcPr>
            <w:tcW w:w="1530" w:type="dxa"/>
          </w:tcPr>
          <w:p w14:paraId="52C0E5C0" w14:textId="49F1EC4E" w:rsidR="0021264B" w:rsidRDefault="0021264B" w:rsidP="0021264B">
            <w:pPr>
              <w:pStyle w:val="ListParagraph"/>
              <w:spacing w:after="240"/>
              <w:jc w:val="center"/>
            </w:pPr>
            <w:r>
              <w:t>14.196</w:t>
            </w:r>
          </w:p>
        </w:tc>
      </w:tr>
      <w:tr w:rsidR="0021264B" w14:paraId="3B93CC5C" w14:textId="77777777" w:rsidTr="0021264B">
        <w:tc>
          <w:tcPr>
            <w:tcW w:w="1615" w:type="dxa"/>
          </w:tcPr>
          <w:p w14:paraId="369FAF9E" w14:textId="6FE0E555" w:rsidR="0021264B" w:rsidRDefault="0021264B" w:rsidP="0021264B">
            <w:pPr>
              <w:pStyle w:val="ListParagraph"/>
              <w:spacing w:after="240"/>
              <w:jc w:val="center"/>
            </w:pPr>
            <w:r>
              <w:t>1423</w:t>
            </w:r>
          </w:p>
        </w:tc>
        <w:tc>
          <w:tcPr>
            <w:tcW w:w="1530" w:type="dxa"/>
          </w:tcPr>
          <w:p w14:paraId="2721179E" w14:textId="31A26513" w:rsidR="0021264B" w:rsidRDefault="0021264B" w:rsidP="0021264B">
            <w:pPr>
              <w:pStyle w:val="ListParagraph"/>
              <w:spacing w:after="240"/>
              <w:jc w:val="center"/>
            </w:pPr>
            <w:r>
              <w:t>14.296</w:t>
            </w:r>
          </w:p>
        </w:tc>
      </w:tr>
      <w:tr w:rsidR="0021264B" w14:paraId="04CF9E84" w14:textId="77777777" w:rsidTr="0021264B">
        <w:tc>
          <w:tcPr>
            <w:tcW w:w="1615" w:type="dxa"/>
          </w:tcPr>
          <w:p w14:paraId="055068CC" w14:textId="45682CFC" w:rsidR="0021264B" w:rsidRDefault="0021264B" w:rsidP="0021264B">
            <w:pPr>
              <w:pStyle w:val="ListParagraph"/>
              <w:spacing w:after="240"/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78D0FEE5" w14:textId="4BF41AD5" w:rsidR="0021264B" w:rsidRDefault="0021264B" w:rsidP="0021264B">
            <w:pPr>
              <w:pStyle w:val="ListParagraph"/>
              <w:spacing w:after="240"/>
              <w:jc w:val="center"/>
            </w:pPr>
            <w:r>
              <w:t>14.330</w:t>
            </w:r>
          </w:p>
        </w:tc>
      </w:tr>
      <w:tr w:rsidR="0021264B" w14:paraId="53C4AD29" w14:textId="77777777" w:rsidTr="0021264B">
        <w:trPr>
          <w:trHeight w:val="323"/>
        </w:trPr>
        <w:tc>
          <w:tcPr>
            <w:tcW w:w="1615" w:type="dxa"/>
          </w:tcPr>
          <w:p w14:paraId="2B396E30" w14:textId="0A70BFCF" w:rsidR="0021264B" w:rsidRDefault="0021264B" w:rsidP="0021264B">
            <w:pPr>
              <w:pStyle w:val="ListParagraph"/>
              <w:spacing w:after="240"/>
              <w:jc w:val="center"/>
            </w:pPr>
            <w:r>
              <w:t>1460</w:t>
            </w:r>
          </w:p>
        </w:tc>
        <w:tc>
          <w:tcPr>
            <w:tcW w:w="1530" w:type="dxa"/>
          </w:tcPr>
          <w:p w14:paraId="55450459" w14:textId="3FDC3789" w:rsidR="0021264B" w:rsidRDefault="0021264B" w:rsidP="0021264B">
            <w:pPr>
              <w:pStyle w:val="ListParagraph"/>
              <w:spacing w:after="240"/>
              <w:jc w:val="center"/>
            </w:pPr>
            <w:r>
              <w:t>14.367</w:t>
            </w:r>
          </w:p>
        </w:tc>
      </w:tr>
    </w:tbl>
    <w:p w14:paraId="6B8E45B1" w14:textId="156754E1" w:rsidR="002331B4" w:rsidRDefault="0021264B" w:rsidP="007D3921">
      <w:pPr>
        <w:pStyle w:val="ListParagraph"/>
        <w:numPr>
          <w:ilvl w:val="1"/>
          <w:numId w:val="11"/>
        </w:numPr>
        <w:spacing w:before="240"/>
        <w:ind w:left="720"/>
      </w:pPr>
      <w:r>
        <w:t>Work Period: All work must be completed with</w:t>
      </w:r>
      <w:r w:rsidR="008971D8">
        <w:t>in</w:t>
      </w:r>
      <w:r>
        <w:t xml:space="preserve"> 45 calendar days from the time a Purchase Order (PO) is issued to the </w:t>
      </w:r>
      <w:r w:rsidR="003F50FD">
        <w:t>C</w:t>
      </w:r>
      <w:r>
        <w:t xml:space="preserve">ontractor. The Contractor is solely responsible for scheduling its activities. TDOT does not impose specific time-of-day restrictions; however, the Contractor should consider local conditions, such as school zones and traffic patterns, when making its scheduling decisions. </w:t>
      </w:r>
    </w:p>
    <w:p w14:paraId="65B5A304" w14:textId="3E107AD8" w:rsidR="0021264B" w:rsidRDefault="0021264B" w:rsidP="00A108E3">
      <w:pPr>
        <w:pStyle w:val="ListParagraph"/>
        <w:numPr>
          <w:ilvl w:val="1"/>
          <w:numId w:val="11"/>
        </w:numPr>
        <w:ind w:left="720"/>
      </w:pPr>
      <w:r>
        <w:t xml:space="preserve">Coordination: The </w:t>
      </w:r>
      <w:r w:rsidR="00A12BFB">
        <w:t>C</w:t>
      </w:r>
      <w:r>
        <w:t>ontractor shall coordinate with TDOT’s designated project representative.</w:t>
      </w:r>
      <w:r w:rsidR="003F50FD">
        <w:t xml:space="preserve"> The representative information will be provided upon Contract award.</w:t>
      </w:r>
    </w:p>
    <w:p w14:paraId="73BE808C" w14:textId="3666745F" w:rsidR="0021264B" w:rsidRPr="00EE0BB6" w:rsidRDefault="0021264B" w:rsidP="00A108E3">
      <w:pPr>
        <w:pStyle w:val="ListParagraph"/>
        <w:numPr>
          <w:ilvl w:val="1"/>
          <w:numId w:val="11"/>
        </w:numPr>
        <w:spacing w:after="240"/>
        <w:ind w:left="720"/>
      </w:pPr>
      <w:r>
        <w:t xml:space="preserve">Inspection and approval: TDOT shall serve as the final authority in determining whether </w:t>
      </w:r>
      <w:r w:rsidR="008971D8">
        <w:t xml:space="preserve">the </w:t>
      </w:r>
      <w:r>
        <w:t xml:space="preserve">work meets the required specifications. Any work deemed deficient shall be corrected by the </w:t>
      </w:r>
      <w:r w:rsidR="00A12BFB">
        <w:t>C</w:t>
      </w:r>
      <w:r>
        <w:t xml:space="preserve">ontractor at the </w:t>
      </w:r>
      <w:r w:rsidR="00A12BFB">
        <w:t>C</w:t>
      </w:r>
      <w:r>
        <w:t xml:space="preserve">ontractor’s expense, including rework, material replacement, </w:t>
      </w:r>
      <w:r w:rsidR="008971D8">
        <w:t>and/</w:t>
      </w:r>
      <w:r>
        <w:t xml:space="preserve">or regrading as necessary. </w:t>
      </w:r>
    </w:p>
    <w:sectPr w:rsidR="0021264B" w:rsidRPr="00EE0BB6" w:rsidSect="00747F62">
      <w:headerReference w:type="default" r:id="rId12"/>
      <w:footerReference w:type="default" r:id="rId13"/>
      <w:type w:val="continuous"/>
      <w:pgSz w:w="12240" w:h="15840"/>
      <w:pgMar w:top="720" w:right="1440" w:bottom="1220" w:left="1440" w:header="72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B8E3" w14:textId="77777777" w:rsidR="00B74696" w:rsidRDefault="00B74696">
      <w:r>
        <w:separator/>
      </w:r>
    </w:p>
  </w:endnote>
  <w:endnote w:type="continuationSeparator" w:id="0">
    <w:p w14:paraId="61E33749" w14:textId="77777777" w:rsidR="00B74696" w:rsidRDefault="00B7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2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A8327" w14:textId="436472BB" w:rsidR="00B54526" w:rsidRDefault="00B545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7E05" w14:textId="77777777" w:rsidR="00B74696" w:rsidRDefault="00B74696">
      <w:r>
        <w:separator/>
      </w:r>
    </w:p>
  </w:footnote>
  <w:footnote w:type="continuationSeparator" w:id="0">
    <w:p w14:paraId="57E5C0DF" w14:textId="77777777" w:rsidR="00B74696" w:rsidRDefault="00B7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2279198B" w:rsidR="00E419F2" w:rsidRDefault="00C53772" w:rsidP="005D5892">
    <w:pPr>
      <w:pStyle w:val="Header"/>
      <w:ind w:left="-720"/>
      <w:jc w:val="center"/>
    </w:pPr>
    <w:r w:rsidRPr="009267BF">
      <w:rPr>
        <w:b/>
        <w:noProof/>
        <w:sz w:val="30"/>
        <w:szCs w:val="30"/>
      </w:rPr>
      <w:drawing>
        <wp:inline distT="0" distB="0" distL="0" distR="0" wp14:anchorId="5D4C56D4" wp14:editId="00FF5BFF">
          <wp:extent cx="1828800" cy="825910"/>
          <wp:effectExtent l="0" t="0" r="0" b="0"/>
          <wp:docPr id="2" name="Picture 2" descr="Tennessee Department of Transportation (TDOT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nnessee Department of Transportation (TDOT)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r="25530" b="11111"/>
                  <a:stretch/>
                </pic:blipFill>
                <pic:spPr bwMode="auto">
                  <a:xfrm>
                    <a:off x="0" y="0"/>
                    <a:ext cx="1828800" cy="825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26C"/>
    <w:multiLevelType w:val="hybridMultilevel"/>
    <w:tmpl w:val="A3F095C2"/>
    <w:lvl w:ilvl="0" w:tplc="C584E3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C2B07"/>
    <w:multiLevelType w:val="hybridMultilevel"/>
    <w:tmpl w:val="7AB0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B2F"/>
    <w:multiLevelType w:val="hybridMultilevel"/>
    <w:tmpl w:val="A5A2D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0CC4"/>
    <w:multiLevelType w:val="hybridMultilevel"/>
    <w:tmpl w:val="02A61200"/>
    <w:lvl w:ilvl="0" w:tplc="E178342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4C8E"/>
    <w:multiLevelType w:val="hybridMultilevel"/>
    <w:tmpl w:val="37D8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C408A"/>
    <w:multiLevelType w:val="hybridMultilevel"/>
    <w:tmpl w:val="BD3C4532"/>
    <w:lvl w:ilvl="0" w:tplc="DC0C6FF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30E39"/>
    <w:multiLevelType w:val="hybridMultilevel"/>
    <w:tmpl w:val="562C3E52"/>
    <w:lvl w:ilvl="0" w:tplc="17BA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713F"/>
    <w:multiLevelType w:val="hybridMultilevel"/>
    <w:tmpl w:val="B468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6C73"/>
    <w:multiLevelType w:val="hybridMultilevel"/>
    <w:tmpl w:val="BB02B95C"/>
    <w:lvl w:ilvl="0" w:tplc="B87287C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444F42"/>
    <w:multiLevelType w:val="hybridMultilevel"/>
    <w:tmpl w:val="A808E96A"/>
    <w:lvl w:ilvl="0" w:tplc="CEB21032">
      <w:start w:val="1"/>
      <w:numFmt w:val="lowerRoman"/>
      <w:lvlText w:val="%1.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04C3C96"/>
    <w:multiLevelType w:val="hybridMultilevel"/>
    <w:tmpl w:val="A998AEB6"/>
    <w:lvl w:ilvl="0" w:tplc="1E228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C2D64"/>
    <w:multiLevelType w:val="hybridMultilevel"/>
    <w:tmpl w:val="13249DD8"/>
    <w:lvl w:ilvl="0" w:tplc="745EA3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61319E"/>
    <w:multiLevelType w:val="hybridMultilevel"/>
    <w:tmpl w:val="8630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A208C"/>
    <w:multiLevelType w:val="hybridMultilevel"/>
    <w:tmpl w:val="B5CE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755A5"/>
    <w:multiLevelType w:val="hybridMultilevel"/>
    <w:tmpl w:val="6E9013E8"/>
    <w:lvl w:ilvl="0" w:tplc="258A82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F31669"/>
    <w:multiLevelType w:val="hybridMultilevel"/>
    <w:tmpl w:val="FDB4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93E4F"/>
    <w:multiLevelType w:val="hybridMultilevel"/>
    <w:tmpl w:val="E35A97E8"/>
    <w:lvl w:ilvl="0" w:tplc="965A7D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B77FCA"/>
    <w:multiLevelType w:val="hybridMultilevel"/>
    <w:tmpl w:val="05588032"/>
    <w:lvl w:ilvl="0" w:tplc="C826F0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52240"/>
    <w:multiLevelType w:val="hybridMultilevel"/>
    <w:tmpl w:val="62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D7019"/>
    <w:multiLevelType w:val="hybridMultilevel"/>
    <w:tmpl w:val="74E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D23C4"/>
    <w:multiLevelType w:val="hybridMultilevel"/>
    <w:tmpl w:val="AB4C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39F2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BAD706A"/>
    <w:multiLevelType w:val="hybridMultilevel"/>
    <w:tmpl w:val="768075CA"/>
    <w:lvl w:ilvl="0" w:tplc="6BF06E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F3915"/>
    <w:multiLevelType w:val="hybridMultilevel"/>
    <w:tmpl w:val="51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62F3C"/>
    <w:multiLevelType w:val="hybridMultilevel"/>
    <w:tmpl w:val="B7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83051">
    <w:abstractNumId w:val="24"/>
  </w:num>
  <w:num w:numId="2" w16cid:durableId="777027254">
    <w:abstractNumId w:val="18"/>
  </w:num>
  <w:num w:numId="3" w16cid:durableId="1736079967">
    <w:abstractNumId w:val="13"/>
  </w:num>
  <w:num w:numId="4" w16cid:durableId="1956670790">
    <w:abstractNumId w:val="12"/>
  </w:num>
  <w:num w:numId="5" w16cid:durableId="1574774738">
    <w:abstractNumId w:val="15"/>
  </w:num>
  <w:num w:numId="6" w16cid:durableId="1767532650">
    <w:abstractNumId w:val="20"/>
  </w:num>
  <w:num w:numId="7" w16cid:durableId="429280451">
    <w:abstractNumId w:val="1"/>
  </w:num>
  <w:num w:numId="8" w16cid:durableId="1265109823">
    <w:abstractNumId w:val="4"/>
  </w:num>
  <w:num w:numId="9" w16cid:durableId="1318418591">
    <w:abstractNumId w:val="7"/>
  </w:num>
  <w:num w:numId="10" w16cid:durableId="1022055945">
    <w:abstractNumId w:val="19"/>
  </w:num>
  <w:num w:numId="11" w16cid:durableId="174345013">
    <w:abstractNumId w:val="3"/>
  </w:num>
  <w:num w:numId="12" w16cid:durableId="384061923">
    <w:abstractNumId w:val="16"/>
  </w:num>
  <w:num w:numId="13" w16cid:durableId="909078829">
    <w:abstractNumId w:val="14"/>
  </w:num>
  <w:num w:numId="14" w16cid:durableId="1748763829">
    <w:abstractNumId w:val="22"/>
  </w:num>
  <w:num w:numId="15" w16cid:durableId="1062489071">
    <w:abstractNumId w:val="8"/>
  </w:num>
  <w:num w:numId="16" w16cid:durableId="1512833129">
    <w:abstractNumId w:val="17"/>
  </w:num>
  <w:num w:numId="17" w16cid:durableId="1479685561">
    <w:abstractNumId w:val="11"/>
  </w:num>
  <w:num w:numId="18" w16cid:durableId="745882987">
    <w:abstractNumId w:val="0"/>
  </w:num>
  <w:num w:numId="19" w16cid:durableId="1073938934">
    <w:abstractNumId w:val="21"/>
  </w:num>
  <w:num w:numId="20" w16cid:durableId="1894808330">
    <w:abstractNumId w:val="23"/>
  </w:num>
  <w:num w:numId="21" w16cid:durableId="2059740861">
    <w:abstractNumId w:val="2"/>
  </w:num>
  <w:num w:numId="22" w16cid:durableId="731778165">
    <w:abstractNumId w:val="5"/>
  </w:num>
  <w:num w:numId="23" w16cid:durableId="516509367">
    <w:abstractNumId w:val="10"/>
  </w:num>
  <w:num w:numId="24" w16cid:durableId="1154417039">
    <w:abstractNumId w:val="6"/>
  </w:num>
  <w:num w:numId="25" w16cid:durableId="1472792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631BA"/>
    <w:rsid w:val="00084F89"/>
    <w:rsid w:val="000F2203"/>
    <w:rsid w:val="00104B86"/>
    <w:rsid w:val="0011700C"/>
    <w:rsid w:val="00121EBC"/>
    <w:rsid w:val="0013081A"/>
    <w:rsid w:val="00154194"/>
    <w:rsid w:val="001D518E"/>
    <w:rsid w:val="0021264B"/>
    <w:rsid w:val="002331B4"/>
    <w:rsid w:val="00254E09"/>
    <w:rsid w:val="002619D4"/>
    <w:rsid w:val="00273587"/>
    <w:rsid w:val="0027416F"/>
    <w:rsid w:val="00290252"/>
    <w:rsid w:val="002B3F02"/>
    <w:rsid w:val="002C4162"/>
    <w:rsid w:val="002C4791"/>
    <w:rsid w:val="002D720E"/>
    <w:rsid w:val="003308F3"/>
    <w:rsid w:val="0035670C"/>
    <w:rsid w:val="003F50FD"/>
    <w:rsid w:val="00406837"/>
    <w:rsid w:val="00411C04"/>
    <w:rsid w:val="00412AAC"/>
    <w:rsid w:val="00424223"/>
    <w:rsid w:val="00433409"/>
    <w:rsid w:val="00445AA3"/>
    <w:rsid w:val="004A3335"/>
    <w:rsid w:val="004B29A2"/>
    <w:rsid w:val="004E6138"/>
    <w:rsid w:val="00517BCA"/>
    <w:rsid w:val="00524BEC"/>
    <w:rsid w:val="00533CF2"/>
    <w:rsid w:val="0055300F"/>
    <w:rsid w:val="00581AF8"/>
    <w:rsid w:val="0058641C"/>
    <w:rsid w:val="005D5892"/>
    <w:rsid w:val="005D669A"/>
    <w:rsid w:val="005E4873"/>
    <w:rsid w:val="00631839"/>
    <w:rsid w:val="00651EE3"/>
    <w:rsid w:val="00655FFE"/>
    <w:rsid w:val="006B0660"/>
    <w:rsid w:val="006D3D01"/>
    <w:rsid w:val="006E216D"/>
    <w:rsid w:val="0074213E"/>
    <w:rsid w:val="007447C2"/>
    <w:rsid w:val="00747F62"/>
    <w:rsid w:val="007727D2"/>
    <w:rsid w:val="0079693F"/>
    <w:rsid w:val="007D3921"/>
    <w:rsid w:val="008007A9"/>
    <w:rsid w:val="0082214B"/>
    <w:rsid w:val="00834054"/>
    <w:rsid w:val="00834CE2"/>
    <w:rsid w:val="00843D09"/>
    <w:rsid w:val="008444E6"/>
    <w:rsid w:val="00851CCB"/>
    <w:rsid w:val="008776A9"/>
    <w:rsid w:val="00884DC4"/>
    <w:rsid w:val="008971D8"/>
    <w:rsid w:val="008C579E"/>
    <w:rsid w:val="009806C4"/>
    <w:rsid w:val="009A1A39"/>
    <w:rsid w:val="009B21C0"/>
    <w:rsid w:val="009B4819"/>
    <w:rsid w:val="009C0C37"/>
    <w:rsid w:val="009D6BEE"/>
    <w:rsid w:val="00A108E3"/>
    <w:rsid w:val="00A12BFB"/>
    <w:rsid w:val="00A76FC2"/>
    <w:rsid w:val="00AA3AD1"/>
    <w:rsid w:val="00AC425F"/>
    <w:rsid w:val="00B144AB"/>
    <w:rsid w:val="00B156F0"/>
    <w:rsid w:val="00B1731A"/>
    <w:rsid w:val="00B27336"/>
    <w:rsid w:val="00B54526"/>
    <w:rsid w:val="00B57BB2"/>
    <w:rsid w:val="00B614FF"/>
    <w:rsid w:val="00B63A9F"/>
    <w:rsid w:val="00B6515E"/>
    <w:rsid w:val="00B734CA"/>
    <w:rsid w:val="00B73688"/>
    <w:rsid w:val="00B74696"/>
    <w:rsid w:val="00BB0F51"/>
    <w:rsid w:val="00BF3CAE"/>
    <w:rsid w:val="00C53772"/>
    <w:rsid w:val="00C649F4"/>
    <w:rsid w:val="00C8182F"/>
    <w:rsid w:val="00C84463"/>
    <w:rsid w:val="00D14D01"/>
    <w:rsid w:val="00D23329"/>
    <w:rsid w:val="00D401FB"/>
    <w:rsid w:val="00DA47FD"/>
    <w:rsid w:val="00DA67DA"/>
    <w:rsid w:val="00DB06A9"/>
    <w:rsid w:val="00DC4ECA"/>
    <w:rsid w:val="00DE3159"/>
    <w:rsid w:val="00DE7308"/>
    <w:rsid w:val="00E149F2"/>
    <w:rsid w:val="00E419F2"/>
    <w:rsid w:val="00E60328"/>
    <w:rsid w:val="00E6296D"/>
    <w:rsid w:val="00E91C8B"/>
    <w:rsid w:val="00EB0EAF"/>
    <w:rsid w:val="00EC2BE7"/>
    <w:rsid w:val="00EE0BB6"/>
    <w:rsid w:val="00EE3B0B"/>
    <w:rsid w:val="00EF4644"/>
    <w:rsid w:val="00F46A8D"/>
    <w:rsid w:val="00F6607F"/>
    <w:rsid w:val="00F910CA"/>
    <w:rsid w:val="00FB5465"/>
    <w:rsid w:val="00FB67D6"/>
    <w:rsid w:val="00FC57CD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3772"/>
    <w:pPr>
      <w:widowControl/>
      <w:autoSpaceDE/>
      <w:autoSpaceDN/>
    </w:pPr>
    <w:rPr>
      <w:rFonts w:eastAsia="Open Sans" w:cs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tdot/materials-and-tests/producer-list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n.gov/tdot/tdot-construction-division/construction-contractor-prequalificatio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.gov/tdot/tdot-construction-division/transportation-construction-division-resources/2021-standard-specific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.gov/tdot/materials-and-tests/research---product-evaluation-and-qualified-products-list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TDOT Specifications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TDOT Specifications</dc:title>
  <dc:creator>Christopher Baertlein</dc:creator>
  <cp:lastModifiedBy>Celeste Goodman</cp:lastModifiedBy>
  <cp:revision>2</cp:revision>
  <dcterms:created xsi:type="dcterms:W3CDTF">2026-05-06T19:07:00Z</dcterms:created>
  <dcterms:modified xsi:type="dcterms:W3CDTF">2026-05-06T19:07:00Z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4728993e-8b81-4374-ad2b-0e69e3d349bd</vt:lpwstr>
  </property>
</Properties>
</file>