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5091" w14:textId="354CDB46" w:rsidR="00DB1CD1" w:rsidRDefault="00DB1CD1" w:rsidP="00DB1CD1">
      <w:pPr>
        <w:pStyle w:val="BodyText"/>
        <w:spacing w:before="81"/>
        <w:ind w:right="359"/>
        <w:jc w:val="center"/>
      </w:pP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Tennessee</w:t>
      </w:r>
      <w:r>
        <w:rPr>
          <w:spacing w:val="-3"/>
        </w:rPr>
        <w:t xml:space="preserve"> </w:t>
      </w:r>
      <w:r>
        <w:t>SWC</w:t>
      </w:r>
      <w:r>
        <w:rPr>
          <w:spacing w:val="-5"/>
        </w:rPr>
        <w:t xml:space="preserve"> </w:t>
      </w:r>
      <w:r>
        <w:t>#700</w:t>
      </w:r>
      <w:r>
        <w:rPr>
          <w:spacing w:val="-3"/>
        </w:rPr>
        <w:t xml:space="preserve"> </w:t>
      </w:r>
      <w:r w:rsidR="002F509D" w:rsidRPr="002F509D">
        <w:t>Electrical, HVAC, Plumbing, Boiler, and Chiller Systems Maintenance &amp; Repair</w:t>
      </w:r>
    </w:p>
    <w:p w14:paraId="4597B287" w14:textId="77777777" w:rsidR="00DB1CD1" w:rsidRDefault="00DB1CD1" w:rsidP="00DB1CD1">
      <w:pPr>
        <w:pStyle w:val="BodyText"/>
        <w:spacing w:line="322" w:lineRule="exact"/>
        <w:ind w:right="354"/>
        <w:jc w:val="center"/>
        <w:rPr>
          <w:spacing w:val="-2"/>
        </w:rPr>
      </w:pPr>
      <w:r>
        <w:t>Required</w:t>
      </w:r>
      <w:r>
        <w:rPr>
          <w:spacing w:val="-8"/>
        </w:rPr>
        <w:t xml:space="preserve"> </w:t>
      </w:r>
      <w:r>
        <w:t>Licenses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Certifications*</w:t>
      </w:r>
    </w:p>
    <w:p w14:paraId="662CB3A9" w14:textId="77777777" w:rsidR="00172BB4" w:rsidRDefault="00172BB4" w:rsidP="00DB1CD1">
      <w:pPr>
        <w:pStyle w:val="BodyText"/>
        <w:spacing w:line="322" w:lineRule="exact"/>
        <w:ind w:right="354"/>
        <w:jc w:val="center"/>
      </w:pPr>
    </w:p>
    <w:tbl>
      <w:tblPr>
        <w:tblStyle w:val="TableGrid"/>
        <w:tblW w:w="0" w:type="auto"/>
        <w:tblInd w:w="-191" w:type="dxa"/>
        <w:tblLook w:val="04A0" w:firstRow="1" w:lastRow="0" w:firstColumn="1" w:lastColumn="0" w:noHBand="0" w:noVBand="1"/>
      </w:tblPr>
      <w:tblGrid>
        <w:gridCol w:w="1637"/>
        <w:gridCol w:w="6185"/>
        <w:gridCol w:w="1719"/>
      </w:tblGrid>
      <w:tr w:rsidR="00FF65B0" w:rsidRPr="003602EA" w14:paraId="66552FD6" w14:textId="77777777" w:rsidTr="003602EA">
        <w:tc>
          <w:tcPr>
            <w:tcW w:w="1716" w:type="dxa"/>
          </w:tcPr>
          <w:p w14:paraId="1532526A" w14:textId="02D60B81" w:rsidR="00DB1CD1" w:rsidRPr="003602EA" w:rsidRDefault="00172BB4">
            <w:pPr>
              <w:rPr>
                <w:b/>
                <w:bCs/>
              </w:rPr>
            </w:pPr>
            <w:r w:rsidRPr="003602EA">
              <w:rPr>
                <w:b/>
                <w:bCs/>
              </w:rPr>
              <w:t>License Requirement</w:t>
            </w:r>
          </w:p>
        </w:tc>
        <w:tc>
          <w:tcPr>
            <w:tcW w:w="6106" w:type="dxa"/>
          </w:tcPr>
          <w:p w14:paraId="46907736" w14:textId="161C183E" w:rsidR="00DB1CD1" w:rsidRPr="003602EA" w:rsidRDefault="00172BB4" w:rsidP="00FF65B0">
            <w:pPr>
              <w:jc w:val="center"/>
              <w:rPr>
                <w:b/>
                <w:bCs/>
              </w:rPr>
            </w:pPr>
            <w:r w:rsidRPr="003602EA">
              <w:rPr>
                <w:b/>
                <w:bCs/>
              </w:rPr>
              <w:t>Description</w:t>
            </w:r>
          </w:p>
        </w:tc>
        <w:tc>
          <w:tcPr>
            <w:tcW w:w="1719" w:type="dxa"/>
          </w:tcPr>
          <w:p w14:paraId="2F3A3021" w14:textId="312F490F" w:rsidR="00DB1CD1" w:rsidRPr="003602EA" w:rsidRDefault="00172BB4">
            <w:pPr>
              <w:rPr>
                <w:b/>
                <w:bCs/>
              </w:rPr>
            </w:pPr>
            <w:r w:rsidRPr="003602EA">
              <w:rPr>
                <w:b/>
                <w:bCs/>
              </w:rPr>
              <w:t>Issuing Agency</w:t>
            </w:r>
          </w:p>
        </w:tc>
      </w:tr>
      <w:tr w:rsidR="00FF65B0" w:rsidRPr="003602EA" w14:paraId="16F8B7AF" w14:textId="77777777" w:rsidTr="003602EA">
        <w:tc>
          <w:tcPr>
            <w:tcW w:w="1716" w:type="dxa"/>
          </w:tcPr>
          <w:p w14:paraId="37B9EB9F" w14:textId="77777777" w:rsidR="00DB1CD1" w:rsidRPr="003602EA" w:rsidRDefault="00172BB4">
            <w:r w:rsidRPr="003602EA">
              <w:t>Electrical (CE)</w:t>
            </w:r>
          </w:p>
          <w:p w14:paraId="6D191A61" w14:textId="2FA2CF06" w:rsidR="00172BB4" w:rsidRPr="003602EA" w:rsidRDefault="00172BB4">
            <w:r w:rsidRPr="003602EA">
              <w:t>Applies only to Contractors awarded the Electrical Category</w:t>
            </w:r>
          </w:p>
        </w:tc>
        <w:tc>
          <w:tcPr>
            <w:tcW w:w="6106" w:type="dxa"/>
          </w:tcPr>
          <w:p w14:paraId="7715DBD1" w14:textId="17BCA4F2" w:rsidR="00DB1CD1" w:rsidRPr="003602EA" w:rsidRDefault="00172BB4" w:rsidP="00172BB4">
            <w:r w:rsidRPr="003602EA">
              <w:t xml:space="preserve">The classification CE is noted on licenses issued after 1992 and represents that the licensee has passed the Board licensing </w:t>
            </w:r>
            <w:proofErr w:type="gramStart"/>
            <w:r w:rsidRPr="003602EA">
              <w:t>exam</w:t>
            </w:r>
            <w:proofErr w:type="gramEnd"/>
            <w:r w:rsidRPr="003602EA">
              <w:t xml:space="preserve"> and that no county or municipality shall require such state licensee or its employees to pass any county or municipal test or examination pursuant to TCA 62-6-111(</w:t>
            </w:r>
            <w:proofErr w:type="spellStart"/>
            <w:r w:rsidRPr="003602EA">
              <w:t>i</w:t>
            </w:r>
            <w:proofErr w:type="spellEnd"/>
            <w:r w:rsidRPr="003602EA">
              <w:t>)(2)(C).</w:t>
            </w:r>
          </w:p>
        </w:tc>
        <w:tc>
          <w:tcPr>
            <w:tcW w:w="1719" w:type="dxa"/>
          </w:tcPr>
          <w:p w14:paraId="1C9EE660" w14:textId="07049B13" w:rsidR="00DB1CD1" w:rsidRPr="003602EA" w:rsidRDefault="00172BB4">
            <w:r w:rsidRPr="003602EA">
              <w:t>State of TN Department of Commerce &amp; Insurance</w:t>
            </w:r>
          </w:p>
        </w:tc>
      </w:tr>
      <w:tr w:rsidR="00FF65B0" w:rsidRPr="003602EA" w14:paraId="41CBBF86" w14:textId="77777777" w:rsidTr="003602EA">
        <w:tc>
          <w:tcPr>
            <w:tcW w:w="1716" w:type="dxa"/>
          </w:tcPr>
          <w:p w14:paraId="5EAB8100" w14:textId="38F380D1" w:rsidR="00DB1CD1" w:rsidRPr="003602EA" w:rsidRDefault="00172BB4">
            <w:r w:rsidRPr="003602EA">
              <w:t>Mechanical (CMC) or HVAC (CMC-C)</w:t>
            </w:r>
            <w:r w:rsidR="00682B15" w:rsidRPr="003602EA">
              <w:t xml:space="preserve"> Applies only to Contractors awarded the HVAC or Chiller Categories</w:t>
            </w:r>
          </w:p>
        </w:tc>
        <w:tc>
          <w:tcPr>
            <w:tcW w:w="6106" w:type="dxa"/>
          </w:tcPr>
          <w:p w14:paraId="7480C153" w14:textId="576B3ACF" w:rsidR="00DB1CD1" w:rsidRPr="003602EA" w:rsidRDefault="00682B15">
            <w:r w:rsidRPr="003602EA">
              <w:t xml:space="preserve">The classification CMC is noted on licenses issued after 1992 and represents that the licensee has passed the Board licensing </w:t>
            </w:r>
            <w:proofErr w:type="gramStart"/>
            <w:r w:rsidRPr="003602EA">
              <w:t>exam</w:t>
            </w:r>
            <w:proofErr w:type="gramEnd"/>
            <w:r w:rsidRPr="003602EA">
              <w:t xml:space="preserve"> and that no county or municipality shall require such state licensee or its employees to pass any county or municipal test or examination pursuant to TCA 62-6-111(</w:t>
            </w:r>
            <w:proofErr w:type="spellStart"/>
            <w:r w:rsidRPr="003602EA">
              <w:t>i</w:t>
            </w:r>
            <w:proofErr w:type="spellEnd"/>
            <w:r w:rsidRPr="003602EA">
              <w:t>)(2)(C).</w:t>
            </w:r>
          </w:p>
        </w:tc>
        <w:tc>
          <w:tcPr>
            <w:tcW w:w="1719" w:type="dxa"/>
          </w:tcPr>
          <w:p w14:paraId="0A8595AD" w14:textId="065EE328" w:rsidR="00DB1CD1" w:rsidRPr="003602EA" w:rsidRDefault="00172BB4">
            <w:r w:rsidRPr="003602EA">
              <w:t>State of TN Department of Commerce &amp; Insurance</w:t>
            </w:r>
          </w:p>
        </w:tc>
      </w:tr>
      <w:tr w:rsidR="00FF65B0" w:rsidRPr="003602EA" w14:paraId="4F41579A" w14:textId="77777777" w:rsidTr="003602EA">
        <w:tc>
          <w:tcPr>
            <w:tcW w:w="1716" w:type="dxa"/>
          </w:tcPr>
          <w:p w14:paraId="407F61EE" w14:textId="6F1D2A84" w:rsidR="00DB1CD1" w:rsidRPr="003602EA" w:rsidRDefault="00682B15">
            <w:r w:rsidRPr="003602EA">
              <w:t>Plumbing (CMC-A) Applies only to Contractors awarded the Plumbing Category</w:t>
            </w:r>
          </w:p>
        </w:tc>
        <w:tc>
          <w:tcPr>
            <w:tcW w:w="6106" w:type="dxa"/>
          </w:tcPr>
          <w:p w14:paraId="421D4857" w14:textId="77777777" w:rsidR="00682B15" w:rsidRPr="003602EA" w:rsidRDefault="00682B15" w:rsidP="00682B15">
            <w:r w:rsidRPr="003602EA">
              <w:t>The classification CMC is noted on licenses issued</w:t>
            </w:r>
          </w:p>
          <w:p w14:paraId="71DCB0AA" w14:textId="119B8775" w:rsidR="00DB1CD1" w:rsidRPr="003602EA" w:rsidRDefault="00682B15" w:rsidP="00682B15">
            <w:r w:rsidRPr="003602EA">
              <w:t xml:space="preserve">after 1992 and represents that the licensee has passed the Board licensing </w:t>
            </w:r>
            <w:proofErr w:type="gramStart"/>
            <w:r w:rsidRPr="003602EA">
              <w:t>exam</w:t>
            </w:r>
            <w:proofErr w:type="gramEnd"/>
            <w:r w:rsidRPr="003602EA">
              <w:t xml:space="preserve"> and that no county or municipality shall require such state </w:t>
            </w:r>
            <w:proofErr w:type="gramStart"/>
            <w:r w:rsidRPr="003602EA">
              <w:t>licensee</w:t>
            </w:r>
            <w:proofErr w:type="gramEnd"/>
            <w:r w:rsidRPr="003602EA">
              <w:t xml:space="preserve"> or its employees to pass any county or municipal test or examination pursuant to TCA 62-6-111(</w:t>
            </w:r>
            <w:proofErr w:type="spellStart"/>
            <w:r w:rsidRPr="003602EA">
              <w:t>i</w:t>
            </w:r>
            <w:proofErr w:type="spellEnd"/>
            <w:r w:rsidRPr="003602EA">
              <w:t xml:space="preserve">)(2)(C). </w:t>
            </w:r>
            <w:r w:rsidRPr="003602EA">
              <w:rPr>
                <w:u w:val="single"/>
              </w:rPr>
              <w:t>CMC-A applies to Plumbing and Gas Piping.</w:t>
            </w:r>
          </w:p>
        </w:tc>
        <w:tc>
          <w:tcPr>
            <w:tcW w:w="1719" w:type="dxa"/>
          </w:tcPr>
          <w:p w14:paraId="3A72555B" w14:textId="013D3034" w:rsidR="00DB1CD1" w:rsidRPr="003602EA" w:rsidRDefault="00172BB4">
            <w:r w:rsidRPr="003602EA">
              <w:t>State of TN Department of Commerce &amp; Insurance</w:t>
            </w:r>
          </w:p>
        </w:tc>
      </w:tr>
      <w:tr w:rsidR="00FF65B0" w:rsidRPr="003602EA" w14:paraId="3472D67A" w14:textId="77777777" w:rsidTr="003602EA">
        <w:tc>
          <w:tcPr>
            <w:tcW w:w="1716" w:type="dxa"/>
          </w:tcPr>
          <w:p w14:paraId="18CA9D18" w14:textId="5D54BF13" w:rsidR="00DB1CD1" w:rsidRPr="003602EA" w:rsidRDefault="0028052A">
            <w:r w:rsidRPr="003602EA">
              <w:t>Mechanical (CMC) or Boilers (CMC-I) Applies only to Contractors awarded the Boiler Category</w:t>
            </w:r>
          </w:p>
        </w:tc>
        <w:tc>
          <w:tcPr>
            <w:tcW w:w="6106" w:type="dxa"/>
          </w:tcPr>
          <w:p w14:paraId="2FF955A5" w14:textId="27185FF8" w:rsidR="00DB1CD1" w:rsidRPr="003602EA" w:rsidRDefault="00682B15" w:rsidP="00682B15">
            <w:r w:rsidRPr="003602EA">
              <w:t xml:space="preserve">The classification CMC is noted on licenses issued after 1992 and represents that the licensee has passed the Board licensing </w:t>
            </w:r>
            <w:proofErr w:type="gramStart"/>
            <w:r w:rsidRPr="003602EA">
              <w:t>exam</w:t>
            </w:r>
            <w:proofErr w:type="gramEnd"/>
            <w:r w:rsidRPr="003602EA">
              <w:t xml:space="preserve"> and that no county or municipality shall require such state licensee or its employees to pass any county or municipal test or examination pursuant to TCA 62-6-111(</w:t>
            </w:r>
            <w:proofErr w:type="spellStart"/>
            <w:r w:rsidRPr="003602EA">
              <w:t>i</w:t>
            </w:r>
            <w:proofErr w:type="spellEnd"/>
            <w:r w:rsidRPr="003602EA">
              <w:t xml:space="preserve">)(2)(C). </w:t>
            </w:r>
            <w:r w:rsidRPr="003602EA">
              <w:rPr>
                <w:u w:val="single"/>
              </w:rPr>
              <w:t>CMC-I</w:t>
            </w:r>
            <w:r w:rsidR="0028052A" w:rsidRPr="003602EA">
              <w:rPr>
                <w:u w:val="single"/>
              </w:rPr>
              <w:t xml:space="preserve"> </w:t>
            </w:r>
            <w:r w:rsidRPr="003602EA">
              <w:rPr>
                <w:u w:val="single"/>
              </w:rPr>
              <w:t>applies to Boiler Construction &amp; Repair</w:t>
            </w:r>
          </w:p>
        </w:tc>
        <w:tc>
          <w:tcPr>
            <w:tcW w:w="1719" w:type="dxa"/>
          </w:tcPr>
          <w:p w14:paraId="0B577010" w14:textId="236EF6FC" w:rsidR="00DB1CD1" w:rsidRPr="003602EA" w:rsidRDefault="00172BB4">
            <w:r w:rsidRPr="003602EA">
              <w:t>State of TN Department of Commerce &amp; Insurance</w:t>
            </w:r>
          </w:p>
        </w:tc>
      </w:tr>
      <w:tr w:rsidR="00FF65B0" w:rsidRPr="003602EA" w14:paraId="6DDB7B0D" w14:textId="77777777" w:rsidTr="003602EA">
        <w:trPr>
          <w:trHeight w:val="1907"/>
        </w:trPr>
        <w:tc>
          <w:tcPr>
            <w:tcW w:w="1716" w:type="dxa"/>
          </w:tcPr>
          <w:p w14:paraId="189E1B1E" w14:textId="77777777" w:rsidR="00DB1CD1" w:rsidRPr="003602EA" w:rsidRDefault="00FF65B0">
            <w:r w:rsidRPr="003602EA">
              <w:lastRenderedPageBreak/>
              <w:t>TN Repair License</w:t>
            </w:r>
          </w:p>
          <w:p w14:paraId="349AD6CB" w14:textId="7AA5D666" w:rsidR="00FF65B0" w:rsidRPr="003602EA" w:rsidRDefault="00FF65B0">
            <w:r w:rsidRPr="003602EA">
              <w:t>Applies only to Contractors awarded the Boiler Category</w:t>
            </w:r>
          </w:p>
        </w:tc>
        <w:tc>
          <w:tcPr>
            <w:tcW w:w="6106" w:type="dxa"/>
          </w:tcPr>
          <w:p w14:paraId="6119C621" w14:textId="77777777" w:rsidR="00FF65B0" w:rsidRPr="003602EA" w:rsidRDefault="00FF65B0" w:rsidP="00FF65B0">
            <w:r w:rsidRPr="003602EA">
              <w:t>Any maintenance and repair work which is required to</w:t>
            </w:r>
          </w:p>
          <w:p w14:paraId="34D2D819" w14:textId="77777777" w:rsidR="00FF65B0" w:rsidRPr="003602EA" w:rsidRDefault="00FF65B0" w:rsidP="00FF65B0">
            <w:r w:rsidRPr="003602EA">
              <w:t xml:space="preserve">be done to the boiler must </w:t>
            </w:r>
            <w:proofErr w:type="gramStart"/>
            <w:r w:rsidRPr="003602EA">
              <w:t>be in compliance with</w:t>
            </w:r>
            <w:proofErr w:type="gramEnd"/>
            <w:r w:rsidRPr="003602EA">
              <w:t xml:space="preserve"> the</w:t>
            </w:r>
          </w:p>
          <w:p w14:paraId="332F06BC" w14:textId="4169E251" w:rsidR="00FF65B0" w:rsidRPr="003602EA" w:rsidRDefault="00FF65B0" w:rsidP="00FF65B0">
            <w:r w:rsidRPr="003602EA">
              <w:t xml:space="preserve">TN Department of Labor &amp; Workforce Development Division of Boiler and Elevator Inspection Board of Boiler Rules as published by the TN Secretary of State’s Office, Tenn. Code Ann. § 68-122-101 et seq. and currently available online at </w:t>
            </w:r>
            <w:hyperlink r:id="rId7" w:history="1">
              <w:r w:rsidRPr="003602EA">
                <w:rPr>
                  <w:rStyle w:val="Hyperlink"/>
                </w:rPr>
                <w:t>https://publications.tnsosfiles.com/rules/0800/0800.html</w:t>
              </w:r>
            </w:hyperlink>
          </w:p>
        </w:tc>
        <w:tc>
          <w:tcPr>
            <w:tcW w:w="1719" w:type="dxa"/>
          </w:tcPr>
          <w:p w14:paraId="2E221DBC" w14:textId="7B2BE187" w:rsidR="00DB1CD1" w:rsidRPr="003602EA" w:rsidRDefault="00FF65B0">
            <w:r w:rsidRPr="003602EA">
              <w:t>TN Dept. of Labor &amp; Workforce Development Division of Boiler &amp; Elevator</w:t>
            </w:r>
          </w:p>
        </w:tc>
      </w:tr>
      <w:tr w:rsidR="0028052A" w:rsidRPr="003602EA" w14:paraId="6014501A" w14:textId="77777777" w:rsidTr="003602EA">
        <w:trPr>
          <w:trHeight w:val="431"/>
        </w:trPr>
        <w:tc>
          <w:tcPr>
            <w:tcW w:w="1716" w:type="dxa"/>
          </w:tcPr>
          <w:p w14:paraId="77F24590" w14:textId="3357AE1F" w:rsidR="00172BB4" w:rsidRPr="003602EA" w:rsidRDefault="0028052A">
            <w:r w:rsidRPr="003602EA">
              <w:t>Equipment- Specific</w:t>
            </w:r>
          </w:p>
        </w:tc>
        <w:tc>
          <w:tcPr>
            <w:tcW w:w="6106" w:type="dxa"/>
          </w:tcPr>
          <w:p w14:paraId="24638C44" w14:textId="65C5FB68" w:rsidR="00172BB4" w:rsidRPr="003602EA" w:rsidRDefault="0028052A">
            <w:r w:rsidRPr="003602EA">
              <w:t>Required by manufacturer to install and perform work on their equipment.</w:t>
            </w:r>
          </w:p>
        </w:tc>
        <w:tc>
          <w:tcPr>
            <w:tcW w:w="1719" w:type="dxa"/>
          </w:tcPr>
          <w:p w14:paraId="1A08D65C" w14:textId="1AD93855" w:rsidR="00172BB4" w:rsidRPr="003602EA" w:rsidRDefault="0028052A">
            <w:r w:rsidRPr="003602EA">
              <w:t>Manufacturer</w:t>
            </w:r>
          </w:p>
        </w:tc>
      </w:tr>
      <w:tr w:rsidR="0028052A" w:rsidRPr="003602EA" w14:paraId="737B9174" w14:textId="77777777" w:rsidTr="003602EA">
        <w:tc>
          <w:tcPr>
            <w:tcW w:w="1716" w:type="dxa"/>
          </w:tcPr>
          <w:p w14:paraId="7B550456" w14:textId="7631AB63" w:rsidR="0028052A" w:rsidRPr="003602EA" w:rsidRDefault="0028052A" w:rsidP="0028052A">
            <w:r w:rsidRPr="003602EA">
              <w:rPr>
                <w:spacing w:val="-2"/>
              </w:rPr>
              <w:t>Geothermal</w:t>
            </w:r>
          </w:p>
        </w:tc>
        <w:tc>
          <w:tcPr>
            <w:tcW w:w="6106" w:type="dxa"/>
          </w:tcPr>
          <w:p w14:paraId="07944C6F" w14:textId="097F31D2" w:rsidR="0028052A" w:rsidRPr="003602EA" w:rsidRDefault="0028052A" w:rsidP="0028052A">
            <w:r w:rsidRPr="003602EA">
              <w:t>Required</w:t>
            </w:r>
            <w:r w:rsidRPr="003602EA">
              <w:rPr>
                <w:spacing w:val="-5"/>
              </w:rPr>
              <w:t xml:space="preserve"> </w:t>
            </w:r>
            <w:r w:rsidRPr="003602EA">
              <w:t>license</w:t>
            </w:r>
            <w:r w:rsidRPr="003602EA">
              <w:rPr>
                <w:spacing w:val="-5"/>
              </w:rPr>
              <w:t xml:space="preserve"> </w:t>
            </w:r>
            <w:r w:rsidRPr="003602EA">
              <w:t>if</w:t>
            </w:r>
            <w:r w:rsidRPr="003602EA">
              <w:rPr>
                <w:spacing w:val="-4"/>
              </w:rPr>
              <w:t xml:space="preserve"> </w:t>
            </w:r>
            <w:r w:rsidRPr="003602EA">
              <w:t>performing</w:t>
            </w:r>
            <w:r w:rsidRPr="003602EA">
              <w:rPr>
                <w:spacing w:val="-5"/>
              </w:rPr>
              <w:t xml:space="preserve"> </w:t>
            </w:r>
            <w:r w:rsidRPr="003602EA">
              <w:t>work</w:t>
            </w:r>
            <w:r w:rsidRPr="003602EA">
              <w:rPr>
                <w:spacing w:val="-6"/>
              </w:rPr>
              <w:t xml:space="preserve"> </w:t>
            </w:r>
            <w:r w:rsidRPr="003602EA">
              <w:t>on</w:t>
            </w:r>
            <w:r w:rsidRPr="003602EA">
              <w:rPr>
                <w:spacing w:val="-7"/>
              </w:rPr>
              <w:t xml:space="preserve"> </w:t>
            </w:r>
            <w:r w:rsidRPr="003602EA">
              <w:t>the</w:t>
            </w:r>
            <w:r w:rsidRPr="003602EA">
              <w:rPr>
                <w:spacing w:val="-3"/>
              </w:rPr>
              <w:t xml:space="preserve"> </w:t>
            </w:r>
            <w:r w:rsidRPr="003602EA">
              <w:t>State’s Geothermal systems</w:t>
            </w:r>
          </w:p>
        </w:tc>
        <w:tc>
          <w:tcPr>
            <w:tcW w:w="1719" w:type="dxa"/>
          </w:tcPr>
          <w:p w14:paraId="5F44F518" w14:textId="7A51C4AB" w:rsidR="0028052A" w:rsidRPr="003602EA" w:rsidRDefault="0028052A" w:rsidP="0028052A">
            <w:r w:rsidRPr="003602EA">
              <w:rPr>
                <w:spacing w:val="-2"/>
              </w:rPr>
              <w:t xml:space="preserve">Various </w:t>
            </w:r>
            <w:r w:rsidRPr="003602EA">
              <w:t>(IGSHPA,</w:t>
            </w:r>
            <w:r w:rsidRPr="003602EA">
              <w:rPr>
                <w:spacing w:val="-16"/>
              </w:rPr>
              <w:t xml:space="preserve"> </w:t>
            </w:r>
            <w:r w:rsidRPr="003602EA">
              <w:t>etc</w:t>
            </w:r>
            <w:r w:rsidR="00FF65B0" w:rsidRPr="003602EA">
              <w:t>.</w:t>
            </w:r>
            <w:r w:rsidRPr="003602EA">
              <w:t>)</w:t>
            </w:r>
          </w:p>
        </w:tc>
      </w:tr>
      <w:tr w:rsidR="00FF65B0" w:rsidRPr="003602EA" w14:paraId="1C16223B" w14:textId="77777777" w:rsidTr="003602EA">
        <w:tc>
          <w:tcPr>
            <w:tcW w:w="1716" w:type="dxa"/>
          </w:tcPr>
          <w:p w14:paraId="3F90788E" w14:textId="6B1025D0" w:rsidR="0028052A" w:rsidRPr="003602EA" w:rsidRDefault="0028052A" w:rsidP="0028052A">
            <w:r w:rsidRPr="003602EA">
              <w:t>EPA Universal 608 Applies only to Contractors awarded the HVAC or Chiller Categories</w:t>
            </w:r>
          </w:p>
        </w:tc>
        <w:tc>
          <w:tcPr>
            <w:tcW w:w="6106" w:type="dxa"/>
          </w:tcPr>
          <w:p w14:paraId="28A56E0F" w14:textId="77777777" w:rsidR="0028052A" w:rsidRPr="003602EA" w:rsidRDefault="0028052A" w:rsidP="0028052A">
            <w:r w:rsidRPr="003602EA">
              <w:t>Required certification for performing maintenance,</w:t>
            </w:r>
          </w:p>
          <w:p w14:paraId="6D7C04B9" w14:textId="77777777" w:rsidR="0028052A" w:rsidRPr="003602EA" w:rsidRDefault="0028052A" w:rsidP="0028052A">
            <w:r w:rsidRPr="003602EA">
              <w:t>service, repair, and disposal of an appliance that</w:t>
            </w:r>
          </w:p>
          <w:p w14:paraId="246DC74A" w14:textId="49CE0DCA" w:rsidR="0028052A" w:rsidRPr="003602EA" w:rsidRDefault="0028052A" w:rsidP="0028052A">
            <w:r w:rsidRPr="003602EA">
              <w:t>contains refrigerant chemicals.</w:t>
            </w:r>
          </w:p>
        </w:tc>
        <w:tc>
          <w:tcPr>
            <w:tcW w:w="1719" w:type="dxa"/>
          </w:tcPr>
          <w:p w14:paraId="22832459" w14:textId="3C98DFEC" w:rsidR="0028052A" w:rsidRPr="003602EA" w:rsidRDefault="0028052A" w:rsidP="0028052A">
            <w:r w:rsidRPr="003602EA">
              <w:t>US Environmental Protection Agency</w:t>
            </w:r>
          </w:p>
        </w:tc>
      </w:tr>
      <w:tr w:rsidR="00FF65B0" w:rsidRPr="003602EA" w14:paraId="2E0EB398" w14:textId="77777777" w:rsidTr="003602EA">
        <w:tc>
          <w:tcPr>
            <w:tcW w:w="1716" w:type="dxa"/>
          </w:tcPr>
          <w:p w14:paraId="02310828" w14:textId="77777777" w:rsidR="0028052A" w:rsidRPr="003602EA" w:rsidRDefault="0028052A" w:rsidP="0028052A">
            <w:r w:rsidRPr="003602EA">
              <w:t>Industrial Combustion</w:t>
            </w:r>
          </w:p>
          <w:p w14:paraId="0C7AE92F" w14:textId="2E128BD9" w:rsidR="0028052A" w:rsidRPr="003602EA" w:rsidRDefault="0028052A" w:rsidP="0028052A">
            <w:r w:rsidRPr="003602EA">
              <w:t>Burner</w:t>
            </w:r>
          </w:p>
        </w:tc>
        <w:tc>
          <w:tcPr>
            <w:tcW w:w="6106" w:type="dxa"/>
          </w:tcPr>
          <w:p w14:paraId="625076BB" w14:textId="38FD68C6" w:rsidR="0028052A" w:rsidRPr="003602EA" w:rsidRDefault="0028052A" w:rsidP="0028052A">
            <w:r w:rsidRPr="003602EA">
              <w:t>Required by manufacturer to install and perform work on their equipment.</w:t>
            </w:r>
          </w:p>
        </w:tc>
        <w:tc>
          <w:tcPr>
            <w:tcW w:w="1719" w:type="dxa"/>
          </w:tcPr>
          <w:p w14:paraId="43E7C8CA" w14:textId="40F1839D" w:rsidR="0028052A" w:rsidRPr="003602EA" w:rsidRDefault="0028052A" w:rsidP="0028052A">
            <w:r w:rsidRPr="003602EA">
              <w:t>Manufacturer</w:t>
            </w:r>
          </w:p>
        </w:tc>
      </w:tr>
    </w:tbl>
    <w:p w14:paraId="362F76FB" w14:textId="3D442525" w:rsidR="00FC7BCE" w:rsidRPr="003602EA" w:rsidRDefault="00FF65B0">
      <w:r w:rsidRPr="003602EA">
        <w:t xml:space="preserve">* Applies to any Contractor &amp; Subcontractor performing work for the State of Tennessee. </w:t>
      </w:r>
    </w:p>
    <w:p w14:paraId="6F37F616" w14:textId="77777777" w:rsidR="0028052A" w:rsidRDefault="0028052A"/>
    <w:sectPr w:rsidR="0028052A" w:rsidSect="00172BB4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6E50" w14:textId="77777777" w:rsidR="008102E8" w:rsidRDefault="008102E8" w:rsidP="00172BB4">
      <w:pPr>
        <w:spacing w:after="0" w:line="240" w:lineRule="auto"/>
      </w:pPr>
      <w:r>
        <w:separator/>
      </w:r>
    </w:p>
  </w:endnote>
  <w:endnote w:type="continuationSeparator" w:id="0">
    <w:p w14:paraId="3C236D79" w14:textId="77777777" w:rsidR="008102E8" w:rsidRDefault="008102E8" w:rsidP="0017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CBC1" w14:textId="77777777" w:rsidR="008102E8" w:rsidRDefault="008102E8" w:rsidP="00172BB4">
      <w:pPr>
        <w:spacing w:after="0" w:line="240" w:lineRule="auto"/>
      </w:pPr>
      <w:r>
        <w:separator/>
      </w:r>
    </w:p>
  </w:footnote>
  <w:footnote w:type="continuationSeparator" w:id="0">
    <w:p w14:paraId="38B3AD85" w14:textId="77777777" w:rsidR="008102E8" w:rsidRDefault="008102E8" w:rsidP="0017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35CA" w14:textId="5D8BC4EC" w:rsidR="00172BB4" w:rsidRPr="00FF65B0" w:rsidRDefault="00172BB4">
    <w:pPr>
      <w:pStyle w:val="Header"/>
      <w:rPr>
        <w:sz w:val="22"/>
        <w:szCs w:val="22"/>
      </w:rPr>
    </w:pPr>
    <w:r w:rsidRPr="00FF65B0">
      <w:rPr>
        <w:sz w:val="22"/>
        <w:szCs w:val="22"/>
      </w:rPr>
      <w:tab/>
    </w:r>
    <w:r w:rsidRPr="00FF65B0">
      <w:rPr>
        <w:sz w:val="22"/>
        <w:szCs w:val="22"/>
      </w:rPr>
      <w:tab/>
      <w:t>Attachment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D1"/>
    <w:rsid w:val="000C26C8"/>
    <w:rsid w:val="001508E5"/>
    <w:rsid w:val="00172BB4"/>
    <w:rsid w:val="00274A6D"/>
    <w:rsid w:val="0028052A"/>
    <w:rsid w:val="002F509D"/>
    <w:rsid w:val="003602EA"/>
    <w:rsid w:val="00444BEC"/>
    <w:rsid w:val="004A12E6"/>
    <w:rsid w:val="004F3B75"/>
    <w:rsid w:val="0056678B"/>
    <w:rsid w:val="00682B15"/>
    <w:rsid w:val="008102E8"/>
    <w:rsid w:val="008E1B63"/>
    <w:rsid w:val="00AE4187"/>
    <w:rsid w:val="00CE054F"/>
    <w:rsid w:val="00D0146F"/>
    <w:rsid w:val="00D63047"/>
    <w:rsid w:val="00DB1CD1"/>
    <w:rsid w:val="00F06857"/>
    <w:rsid w:val="00F77260"/>
    <w:rsid w:val="00FC5202"/>
    <w:rsid w:val="00FC7BCE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8CE8"/>
  <w15:chartTrackingRefBased/>
  <w15:docId w15:val="{BD33E28F-5F93-4333-B568-40D18A9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C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B1C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B1CD1"/>
    <w:rPr>
      <w:rFonts w:ascii="Arial" w:eastAsia="Arial" w:hAnsi="Arial" w:cs="Arial"/>
      <w:b/>
      <w:bCs/>
      <w:kern w:val="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B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CD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B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B4"/>
  </w:style>
  <w:style w:type="paragraph" w:styleId="Footer">
    <w:name w:val="footer"/>
    <w:basedOn w:val="Normal"/>
    <w:link w:val="FooterChar"/>
    <w:uiPriority w:val="99"/>
    <w:unhideWhenUsed/>
    <w:rsid w:val="0017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B4"/>
  </w:style>
  <w:style w:type="character" w:styleId="Hyperlink">
    <w:name w:val="Hyperlink"/>
    <w:basedOn w:val="DefaultParagraphFont"/>
    <w:uiPriority w:val="99"/>
    <w:unhideWhenUsed/>
    <w:rsid w:val="00FF65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ations.tnsosfiles.com/rules/0800/080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5DAA-9665-47D2-9008-9ACC4F17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700 Attachment C - Certifications_Compliant</dc:title>
  <dc:subject>SWC 700 Attachment C-Licenses &amp; Certifications</dc:subject>
  <dc:creator>Taylor Dozier</dc:creator>
  <cp:keywords/>
  <dc:description/>
  <cp:lastModifiedBy>Taylor Dozier</cp:lastModifiedBy>
  <cp:revision>2</cp:revision>
  <dcterms:created xsi:type="dcterms:W3CDTF">2026-03-16T20:33:00Z</dcterms:created>
  <dcterms:modified xsi:type="dcterms:W3CDTF">2026-03-16T20:33:00Z</dcterms:modified>
</cp:coreProperties>
</file>