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1F2" w:rsidRDefault="006131F2" w:rsidP="006131F2">
      <w:pPr>
        <w:pStyle w:val="NoSpacing"/>
        <w:jc w:val="center"/>
      </w:pPr>
      <w:r>
        <w:rPr>
          <w:noProof/>
        </w:rPr>
        <w:drawing>
          <wp:inline distT="0" distB="0" distL="0" distR="0" wp14:anchorId="66BFB866" wp14:editId="64121C16">
            <wp:extent cx="1058545" cy="1058545"/>
            <wp:effectExtent l="0" t="0" r="8255" b="825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cstate="print"/>
                    <a:stretch>
                      <a:fillRect/>
                    </a:stretch>
                  </pic:blipFill>
                  <pic:spPr>
                    <a:xfrm>
                      <a:off x="0" y="0"/>
                      <a:ext cx="1058545" cy="1058545"/>
                    </a:xfrm>
                    <a:prstGeom prst="rect">
                      <a:avLst/>
                    </a:prstGeom>
                  </pic:spPr>
                </pic:pic>
              </a:graphicData>
            </a:graphic>
          </wp:inline>
        </w:drawing>
      </w:r>
    </w:p>
    <w:p w:rsidR="000D0C56" w:rsidRDefault="00C32194" w:rsidP="00817C75">
      <w:pPr>
        <w:pStyle w:val="NoSpacing"/>
        <w:jc w:val="both"/>
        <w:rPr>
          <w:rFonts w:cs="Open Sans"/>
          <w:sz w:val="28"/>
          <w:szCs w:val="28"/>
        </w:rPr>
      </w:pPr>
      <w:r>
        <w:rPr>
          <w:rFonts w:cs="Open Sans"/>
          <w:sz w:val="28"/>
          <w:szCs w:val="28"/>
        </w:rPr>
        <w:t xml:space="preserve">            </w:t>
      </w:r>
    </w:p>
    <w:p w:rsidR="006131F2" w:rsidRDefault="00C32194" w:rsidP="000D0C56">
      <w:pPr>
        <w:pStyle w:val="NoSpacing"/>
        <w:ind w:firstLine="720"/>
        <w:jc w:val="both"/>
        <w:rPr>
          <w:rFonts w:cs="Open Sans"/>
          <w:sz w:val="28"/>
          <w:szCs w:val="28"/>
        </w:rPr>
      </w:pPr>
      <w:r>
        <w:rPr>
          <w:rFonts w:cs="Open Sans"/>
          <w:sz w:val="28"/>
          <w:szCs w:val="28"/>
        </w:rPr>
        <w:t xml:space="preserve"> TENNESSEE DEPARTMENT OF FINANCIAL INSTITUTIONS</w:t>
      </w:r>
    </w:p>
    <w:p w:rsidR="00C32194" w:rsidRDefault="00C32194" w:rsidP="00817C75">
      <w:pPr>
        <w:pStyle w:val="NoSpacing"/>
        <w:rPr>
          <w:rFonts w:cs="Open Sans"/>
          <w:sz w:val="28"/>
          <w:szCs w:val="28"/>
        </w:rPr>
      </w:pPr>
      <w:r>
        <w:rPr>
          <w:rFonts w:cs="Open Sans"/>
          <w:sz w:val="28"/>
          <w:szCs w:val="28"/>
        </w:rPr>
        <w:t xml:space="preserve">                 CREDIT UNION DIVISION - MERGER PROCESS</w:t>
      </w:r>
    </w:p>
    <w:p w:rsidR="00C32194" w:rsidRPr="00817C75" w:rsidRDefault="00C32194" w:rsidP="00817C75">
      <w:pPr>
        <w:pStyle w:val="NoSpacing"/>
        <w:jc w:val="both"/>
        <w:rPr>
          <w:rFonts w:cs="Open Sans"/>
          <w:sz w:val="28"/>
          <w:szCs w:val="28"/>
        </w:rPr>
      </w:pPr>
    </w:p>
    <w:p w:rsidR="006131F2" w:rsidRDefault="006131F2" w:rsidP="008E1D0B">
      <w:pPr>
        <w:pStyle w:val="NoSpacing"/>
      </w:pPr>
    </w:p>
    <w:p w:rsidR="00C32194" w:rsidRDefault="00CC515D" w:rsidP="00CF1F0F">
      <w:pPr>
        <w:pStyle w:val="NoSpacing"/>
        <w:jc w:val="both"/>
      </w:pPr>
      <w:r>
        <w:t>Pursuant to Tennessee Code Annotate</w:t>
      </w:r>
      <w:r w:rsidR="00CD121C">
        <w:t xml:space="preserve">d Section 45-4-903, any credit union may, with the approval of the </w:t>
      </w:r>
      <w:r w:rsidR="00B7229F">
        <w:t>Commissioner of the Tennessee Department of Financial Institutions (the “Department”)</w:t>
      </w:r>
      <w:r w:rsidR="00CD121C">
        <w:t xml:space="preserve">, merge with any other credit union </w:t>
      </w:r>
      <w:r w:rsidR="00B7229F">
        <w:t>under</w:t>
      </w:r>
      <w:r w:rsidR="00CD121C">
        <w:t xml:space="preserve"> the existing charter of the other credit union. </w:t>
      </w:r>
    </w:p>
    <w:p w:rsidR="00C32194" w:rsidRDefault="00C32194" w:rsidP="00CF1F0F">
      <w:pPr>
        <w:pStyle w:val="NoSpacing"/>
        <w:jc w:val="both"/>
      </w:pPr>
    </w:p>
    <w:p w:rsidR="008E1D0B" w:rsidRDefault="00170EF7" w:rsidP="00CF1F0F">
      <w:pPr>
        <w:pStyle w:val="NoSpacing"/>
        <w:jc w:val="both"/>
      </w:pPr>
      <w:r>
        <w:t xml:space="preserve">Credit Unions who wish to merge </w:t>
      </w:r>
      <w:r w:rsidR="00B7229F">
        <w:t>must submit the following information to the Department for its consideration:</w:t>
      </w:r>
    </w:p>
    <w:p w:rsidR="00B9161A" w:rsidRDefault="00B9161A" w:rsidP="00CF1F0F">
      <w:pPr>
        <w:pStyle w:val="NoSpacing"/>
        <w:jc w:val="both"/>
      </w:pPr>
    </w:p>
    <w:p w:rsidR="00C32194" w:rsidRPr="004C29D4" w:rsidRDefault="008E1D0B" w:rsidP="004C29D4">
      <w:r>
        <w:t>The Department will accept a copy of the National Credit Union Administration (“NCUA”) merger application and related documents.  A copy of the NCUA application can be found at the following link:</w:t>
      </w:r>
      <w:r w:rsidR="004C29D4" w:rsidRPr="004C29D4">
        <w:t xml:space="preserve"> </w:t>
      </w:r>
      <w:hyperlink r:id="rId6" w:history="1">
        <w:r w:rsidR="004C29D4">
          <w:rPr>
            <w:rStyle w:val="Hyperlink"/>
          </w:rPr>
          <w:t>https://www.ecfr.gov/cgi-bin/text-idx?SID=824d4</w:t>
        </w:r>
        <w:bookmarkStart w:id="0" w:name="_GoBack"/>
        <w:bookmarkEnd w:id="0"/>
        <w:r w:rsidR="004C29D4">
          <w:rPr>
            <w:rStyle w:val="Hyperlink"/>
          </w:rPr>
          <w:t>8</w:t>
        </w:r>
        <w:r w:rsidR="004C29D4">
          <w:rPr>
            <w:rStyle w:val="Hyperlink"/>
          </w:rPr>
          <w:t>598c00df9987e94d2c14bb009e&amp;mc=true&amp;tpl=/ecfrbrowse/Title12/12cfr708b_main_02.tpl</w:t>
        </w:r>
      </w:hyperlink>
      <w:r w:rsidR="004C29D4">
        <w:t>.</w:t>
      </w:r>
    </w:p>
    <w:p w:rsidR="008E1D0B" w:rsidRDefault="00722F81" w:rsidP="00CF1F0F">
      <w:pPr>
        <w:pStyle w:val="NoSpacing"/>
        <w:ind w:left="720"/>
        <w:jc w:val="both"/>
      </w:pPr>
      <w:r>
        <w:t>In addition, p</w:t>
      </w:r>
      <w:r w:rsidR="00B9161A">
        <w:t xml:space="preserve">lease ensure that the Department is copied on </w:t>
      </w:r>
      <w:r w:rsidR="00170EF7">
        <w:t xml:space="preserve">any documentation submitted to the NCUA throughout the merger process.  </w:t>
      </w:r>
      <w:r w:rsidR="00B9161A">
        <w:t xml:space="preserve"> </w:t>
      </w:r>
    </w:p>
    <w:p w:rsidR="00CC515D" w:rsidRDefault="00CC515D" w:rsidP="00CF1F0F">
      <w:pPr>
        <w:pStyle w:val="NoSpacing"/>
        <w:ind w:left="720"/>
        <w:jc w:val="both"/>
      </w:pPr>
    </w:p>
    <w:p w:rsidR="00CC515D" w:rsidRPr="007F11CB" w:rsidRDefault="00170EF7" w:rsidP="00CF1F0F">
      <w:pPr>
        <w:pStyle w:val="NoSpacing"/>
        <w:numPr>
          <w:ilvl w:val="0"/>
          <w:numId w:val="1"/>
        </w:numPr>
        <w:jc w:val="both"/>
      </w:pPr>
      <w:r>
        <w:t>Tennes</w:t>
      </w:r>
      <w:r w:rsidR="00C32194">
        <w:t>s</w:t>
      </w:r>
      <w:r>
        <w:t xml:space="preserve">ee Code Annotated Section 45-4-903(f), requires that the merger application fee of $300.00 </w:t>
      </w:r>
      <w:r w:rsidR="00B7229F">
        <w:t>be paid by the surviving credit union</w:t>
      </w:r>
      <w:r w:rsidR="00722F81">
        <w:t>,</w:t>
      </w:r>
      <w:r>
        <w:t xml:space="preserve"> if the</w:t>
      </w:r>
      <w:r w:rsidR="00007039">
        <w:t xml:space="preserve"> surviving</w:t>
      </w:r>
      <w:r>
        <w:t xml:space="preserve"> credit union is chartered under the laws of Tennessee.  Otherwise, the application fee is to be paid by the merging credit union.  </w:t>
      </w:r>
      <w:r w:rsidR="00CC515D">
        <w:t xml:space="preserve"> </w:t>
      </w:r>
      <w:r w:rsidR="00B7229F">
        <w:t>The check</w:t>
      </w:r>
      <w:r w:rsidR="00CC515D">
        <w:t xml:space="preserve"> </w:t>
      </w:r>
      <w:r>
        <w:t>must</w:t>
      </w:r>
      <w:r w:rsidR="00CC515D">
        <w:t xml:space="preserve"> be made payable to the Tennessee Department of Financial Institutions</w:t>
      </w:r>
      <w:r>
        <w:t xml:space="preserve"> and submitted with the merger application</w:t>
      </w:r>
      <w:r w:rsidR="00CC515D">
        <w:t xml:space="preserve">.  </w:t>
      </w:r>
    </w:p>
    <w:p w:rsidR="007F11CB" w:rsidRDefault="007F11CB" w:rsidP="00CF1F0F">
      <w:pPr>
        <w:pStyle w:val="NoSpacing"/>
        <w:jc w:val="both"/>
        <w:rPr>
          <w:color w:val="0033CC"/>
        </w:rPr>
      </w:pPr>
    </w:p>
    <w:p w:rsidR="00B9161A" w:rsidRDefault="00B9161A" w:rsidP="00CF1F0F">
      <w:pPr>
        <w:pStyle w:val="NoSpacing"/>
        <w:numPr>
          <w:ilvl w:val="0"/>
          <w:numId w:val="1"/>
        </w:numPr>
        <w:jc w:val="both"/>
      </w:pPr>
      <w:r>
        <w:t xml:space="preserve">Please provide the Department with </w:t>
      </w:r>
      <w:r w:rsidR="00170EF7">
        <w:t xml:space="preserve">a copy of </w:t>
      </w:r>
      <w:r>
        <w:t>any agreements</w:t>
      </w:r>
      <w:r w:rsidR="00C32194">
        <w:t xml:space="preserve"> that</w:t>
      </w:r>
      <w:r w:rsidR="00B7229F">
        <w:t xml:space="preserve"> </w:t>
      </w:r>
      <w:r w:rsidR="00170EF7">
        <w:t>the surviving credit</w:t>
      </w:r>
      <w:r w:rsidR="00C32194">
        <w:t xml:space="preserve"> union proposes</w:t>
      </w:r>
      <w:r w:rsidR="00170EF7">
        <w:t xml:space="preserve"> to enter into in connection with the merger transaction.  </w:t>
      </w:r>
    </w:p>
    <w:p w:rsidR="00B9161A" w:rsidRDefault="00B9161A" w:rsidP="00CF1F0F">
      <w:pPr>
        <w:pStyle w:val="NoSpacing"/>
        <w:jc w:val="both"/>
      </w:pPr>
    </w:p>
    <w:p w:rsidR="00B9161A" w:rsidRDefault="00C7769B" w:rsidP="00CF1F0F">
      <w:pPr>
        <w:pStyle w:val="ListParagraph"/>
        <w:numPr>
          <w:ilvl w:val="0"/>
          <w:numId w:val="1"/>
        </w:numPr>
        <w:jc w:val="both"/>
      </w:pPr>
      <w:r>
        <w:t xml:space="preserve">If the surviving credit union </w:t>
      </w:r>
      <w:r w:rsidR="00722F81">
        <w:t xml:space="preserve">will be </w:t>
      </w:r>
      <w:r>
        <w:t xml:space="preserve">a state chartered credit union, please </w:t>
      </w:r>
      <w:r w:rsidR="00B9161A">
        <w:t>provide a list of any contemplated changes to the directors, managers or officers of the surviving credit union as a result of, or in connection with, the merger.</w:t>
      </w:r>
    </w:p>
    <w:p w:rsidR="00C7769B" w:rsidRDefault="00C117D1" w:rsidP="00CF1F0F">
      <w:pPr>
        <w:pStyle w:val="NoSpacing"/>
        <w:numPr>
          <w:ilvl w:val="0"/>
          <w:numId w:val="1"/>
        </w:numPr>
        <w:jc w:val="both"/>
      </w:pPr>
      <w:r>
        <w:t xml:space="preserve">Pursuant to Tennessee Code Annotated Section 45-4-903(a) two-thirds of ten percent of the credit union’s members must approve the merger at a meeting of members duly called for that purpose.  The credit union must submit to the Department the Notice of </w:t>
      </w:r>
      <w:r w:rsidR="00F56F67">
        <w:t xml:space="preserve">Special </w:t>
      </w:r>
      <w:r>
        <w:t xml:space="preserve">Meeting </w:t>
      </w:r>
      <w:r w:rsidR="00F56F67">
        <w:t>for approval</w:t>
      </w:r>
      <w:r w:rsidR="00170EF7">
        <w:t>,</w:t>
      </w:r>
      <w:r w:rsidR="00F56F67">
        <w:t xml:space="preserve"> prior to </w:t>
      </w:r>
      <w:r w:rsidR="00170EF7">
        <w:t>submitting the notic</w:t>
      </w:r>
      <w:r w:rsidR="00DA1A2E">
        <w:t>e</w:t>
      </w:r>
      <w:r w:rsidR="00F56F67">
        <w:t xml:space="preserve"> to </w:t>
      </w:r>
      <w:r w:rsidR="00722F81">
        <w:t>members of the credit union</w:t>
      </w:r>
      <w:r w:rsidR="00F56F67">
        <w:t xml:space="preserve">. </w:t>
      </w:r>
    </w:p>
    <w:p w:rsidR="00C7769B" w:rsidRDefault="00C7769B" w:rsidP="00CF1F0F">
      <w:pPr>
        <w:pStyle w:val="NoSpacing"/>
        <w:ind w:left="720"/>
        <w:jc w:val="both"/>
      </w:pPr>
    </w:p>
    <w:p w:rsidR="00CC515D" w:rsidRDefault="00F56F67" w:rsidP="00CF1F0F">
      <w:pPr>
        <w:pStyle w:val="NoSpacing"/>
        <w:ind w:left="720"/>
        <w:jc w:val="both"/>
      </w:pPr>
      <w:r>
        <w:t xml:space="preserve">In certain </w:t>
      </w:r>
      <w:r w:rsidR="00C7769B">
        <w:t>situations</w:t>
      </w:r>
      <w:r>
        <w:t xml:space="preserve">, the Commissioner </w:t>
      </w:r>
      <w:r w:rsidR="00722F81">
        <w:t>may</w:t>
      </w:r>
      <w:r>
        <w:t xml:space="preserve"> </w:t>
      </w:r>
      <w:r w:rsidR="00CC515D">
        <w:t>waive the requirement</w:t>
      </w:r>
      <w:r w:rsidR="00C7769B">
        <w:t xml:space="preserve"> of obtaining </w:t>
      </w:r>
      <w:r w:rsidR="00CC515D">
        <w:t xml:space="preserve">member approval of the merger.  If </w:t>
      </w:r>
      <w:r w:rsidR="00C32194">
        <w:t xml:space="preserve">a state chartered </w:t>
      </w:r>
      <w:r w:rsidR="00CC515D">
        <w:t xml:space="preserve">credit union wishes to request a waiver of the </w:t>
      </w:r>
      <w:r w:rsidR="00CC515D">
        <w:lastRenderedPageBreak/>
        <w:t>member vote, please provide a written request to the Commissioner</w:t>
      </w:r>
      <w:r w:rsidR="00C7769B">
        <w:t>,</w:t>
      </w:r>
      <w:r w:rsidR="00B7229F">
        <w:t xml:space="preserve"> from the credit union</w:t>
      </w:r>
      <w:r w:rsidR="00C7769B">
        <w:t>,</w:t>
      </w:r>
      <w:r w:rsidR="00C32194">
        <w:t xml:space="preserve"> making the request.  The letter must detail the</w:t>
      </w:r>
      <w:r w:rsidR="00CC515D">
        <w:t xml:space="preserve"> reason</w:t>
      </w:r>
      <w:r w:rsidR="00722F81">
        <w:t>(s)</w:t>
      </w:r>
      <w:r w:rsidR="00CC515D">
        <w:t xml:space="preserve"> that the credit union feels the membership vote should be waived.</w:t>
      </w:r>
      <w:r w:rsidR="00C7769B">
        <w:t xml:space="preserve"> </w:t>
      </w:r>
    </w:p>
    <w:p w:rsidR="00CC515D" w:rsidRDefault="00CC515D" w:rsidP="00CF1F0F">
      <w:pPr>
        <w:pStyle w:val="NoSpacing"/>
        <w:jc w:val="both"/>
      </w:pPr>
    </w:p>
    <w:p w:rsidR="007F11CB" w:rsidRDefault="00C32194" w:rsidP="00CF1F0F">
      <w:pPr>
        <w:pStyle w:val="NoSpacing"/>
        <w:numPr>
          <w:ilvl w:val="0"/>
          <w:numId w:val="1"/>
        </w:numPr>
        <w:jc w:val="both"/>
      </w:pPr>
      <w:r>
        <w:t>The Department will instruct the merging credit unions when</w:t>
      </w:r>
      <w:r w:rsidR="00722F81">
        <w:t xml:space="preserve"> to provide </w:t>
      </w:r>
      <w:r>
        <w:t xml:space="preserve">the </w:t>
      </w:r>
      <w:r w:rsidR="00CC515D">
        <w:t>Certificate of Merger</w:t>
      </w:r>
      <w:r w:rsidR="00722F81">
        <w:t xml:space="preserve"> (copy attached).  The Certificate of Merger</w:t>
      </w:r>
      <w:r w:rsidR="00CC515D">
        <w:t xml:space="preserve"> must be completed by both credit unions </w:t>
      </w:r>
      <w:r w:rsidR="00B7229F">
        <w:t>and submitted to the Department,</w:t>
      </w:r>
      <w:r w:rsidR="00CC515D">
        <w:t xml:space="preserve"> along with a check in the amount of $100.00 payable to the Tennessee Secretary of State</w:t>
      </w:r>
      <w:r>
        <w:t xml:space="preserve">.  Typically, the merger certificate and </w:t>
      </w:r>
      <w:r w:rsidR="00C7769B">
        <w:t xml:space="preserve">the </w:t>
      </w:r>
      <w:r>
        <w:t>$100.00 filing fee for the Tennessee Secret</w:t>
      </w:r>
      <w:r w:rsidR="00C7769B">
        <w:t>a</w:t>
      </w:r>
      <w:r>
        <w:t>ry of State should not be submitted more than 5 days prior to any proposed date of merger</w:t>
      </w:r>
      <w:r w:rsidR="00CC515D">
        <w:t xml:space="preserve">. </w:t>
      </w:r>
    </w:p>
    <w:p w:rsidR="00CC515D" w:rsidRDefault="00CC515D" w:rsidP="00CF1F0F">
      <w:pPr>
        <w:pStyle w:val="NoSpacing"/>
        <w:jc w:val="both"/>
      </w:pPr>
    </w:p>
    <w:p w:rsidR="00CC515D" w:rsidRDefault="00C32194" w:rsidP="00CF1F0F">
      <w:pPr>
        <w:pStyle w:val="NoSpacing"/>
        <w:numPr>
          <w:ilvl w:val="0"/>
          <w:numId w:val="1"/>
        </w:numPr>
        <w:jc w:val="both"/>
      </w:pPr>
      <w:r>
        <w:t xml:space="preserve">The Commissioner </w:t>
      </w:r>
      <w:r w:rsidR="00CC515D">
        <w:t xml:space="preserve">reserves the right to request </w:t>
      </w:r>
      <w:r>
        <w:t xml:space="preserve">any </w:t>
      </w:r>
      <w:r w:rsidR="00CC515D">
        <w:t xml:space="preserve">additional information </w:t>
      </w:r>
      <w:r>
        <w:t xml:space="preserve">that may be necessary to process the application for merger.  </w:t>
      </w:r>
      <w:r w:rsidR="00CC515D">
        <w:t xml:space="preserve"> </w:t>
      </w:r>
    </w:p>
    <w:p w:rsidR="00CC515D" w:rsidRDefault="00CC515D" w:rsidP="00CF1F0F">
      <w:pPr>
        <w:pStyle w:val="NoSpacing"/>
        <w:jc w:val="both"/>
      </w:pPr>
    </w:p>
    <w:p w:rsidR="00CC515D" w:rsidRDefault="00CC515D" w:rsidP="00CF1F0F">
      <w:pPr>
        <w:pStyle w:val="NoSpacing"/>
        <w:numPr>
          <w:ilvl w:val="0"/>
          <w:numId w:val="1"/>
        </w:numPr>
        <w:jc w:val="both"/>
      </w:pPr>
      <w:r>
        <w:t xml:space="preserve">Applications and additional information relative to the merger may be sent via email to </w:t>
      </w:r>
      <w:hyperlink r:id="rId7" w:history="1">
        <w:r w:rsidRPr="00F539F3">
          <w:rPr>
            <w:rStyle w:val="Hyperlink"/>
          </w:rPr>
          <w:t>memory.little@tn.gov</w:t>
        </w:r>
      </w:hyperlink>
      <w:r>
        <w:t xml:space="preserve"> with a  copy being sent to </w:t>
      </w:r>
      <w:hyperlink r:id="rId8" w:history="1">
        <w:r w:rsidRPr="00F539F3">
          <w:rPr>
            <w:rStyle w:val="Hyperlink"/>
          </w:rPr>
          <w:t>debra.grissom@tn.gov</w:t>
        </w:r>
      </w:hyperlink>
      <w:r>
        <w:t xml:space="preserve"> or via regular mail to the following address:</w:t>
      </w:r>
    </w:p>
    <w:p w:rsidR="00CC515D" w:rsidRDefault="00CC515D" w:rsidP="00CF1F0F">
      <w:pPr>
        <w:pStyle w:val="NoSpacing"/>
        <w:ind w:left="3600"/>
        <w:jc w:val="both"/>
      </w:pPr>
      <w:r>
        <w:t xml:space="preserve">Tennessee Department of Financial Institutions </w:t>
      </w:r>
    </w:p>
    <w:p w:rsidR="00CC515D" w:rsidRDefault="00CC515D" w:rsidP="00CF1F0F">
      <w:pPr>
        <w:pStyle w:val="NoSpacing"/>
        <w:ind w:left="3600"/>
        <w:jc w:val="both"/>
      </w:pPr>
      <w:r>
        <w:t xml:space="preserve">Attn:  Credit Union Division </w:t>
      </w:r>
    </w:p>
    <w:p w:rsidR="00CC515D" w:rsidRDefault="00CC515D" w:rsidP="00CF1F0F">
      <w:pPr>
        <w:pStyle w:val="NoSpacing"/>
        <w:ind w:left="3600"/>
        <w:jc w:val="both"/>
      </w:pPr>
      <w:r>
        <w:t>Tennessee Tower, 26</w:t>
      </w:r>
      <w:r w:rsidRPr="00CC515D">
        <w:rPr>
          <w:vertAlign w:val="superscript"/>
        </w:rPr>
        <w:t>th</w:t>
      </w:r>
      <w:r>
        <w:t xml:space="preserve"> Floor </w:t>
      </w:r>
    </w:p>
    <w:p w:rsidR="00CC515D" w:rsidRDefault="00CC515D" w:rsidP="00CF1F0F">
      <w:pPr>
        <w:pStyle w:val="NoSpacing"/>
        <w:ind w:left="3600"/>
        <w:jc w:val="both"/>
      </w:pPr>
      <w:r>
        <w:t>312 Rosa L. Parks Avenue</w:t>
      </w:r>
    </w:p>
    <w:p w:rsidR="00CC515D" w:rsidRDefault="00CC515D" w:rsidP="00CF1F0F">
      <w:pPr>
        <w:pStyle w:val="NoSpacing"/>
        <w:ind w:left="3600"/>
        <w:jc w:val="both"/>
      </w:pPr>
      <w:r>
        <w:t>Nashville, Tennessee  37243</w:t>
      </w:r>
    </w:p>
    <w:p w:rsidR="000D0C56" w:rsidRDefault="000D0C56" w:rsidP="00CF1F0F">
      <w:pPr>
        <w:pStyle w:val="NoSpacing"/>
        <w:ind w:left="3600"/>
        <w:jc w:val="both"/>
      </w:pPr>
    </w:p>
    <w:p w:rsidR="000D0C56" w:rsidRDefault="000D0C56" w:rsidP="00CF1F0F">
      <w:pPr>
        <w:pStyle w:val="NoSpacing"/>
        <w:ind w:left="3600"/>
        <w:jc w:val="both"/>
      </w:pPr>
    </w:p>
    <w:p w:rsidR="000D0C56" w:rsidRDefault="000D0C56" w:rsidP="00CF1F0F">
      <w:pPr>
        <w:pStyle w:val="NoSpacing"/>
        <w:ind w:left="3600"/>
        <w:jc w:val="both"/>
      </w:pPr>
    </w:p>
    <w:p w:rsidR="000D0C56" w:rsidRDefault="000D0C56" w:rsidP="00CF1F0F">
      <w:pPr>
        <w:pStyle w:val="NoSpacing"/>
        <w:jc w:val="both"/>
      </w:pPr>
      <w:r>
        <w:t>Link to Rule 0180-29-.14</w:t>
      </w:r>
      <w:r w:rsidR="00007039">
        <w:t xml:space="preserve"> regarding field of membership in connection with mergers</w:t>
      </w:r>
      <w:r>
        <w:t xml:space="preserve">: </w:t>
      </w:r>
      <w:hyperlink r:id="rId9" w:history="1">
        <w:r w:rsidRPr="00451E0D">
          <w:rPr>
            <w:rStyle w:val="Hyperlink"/>
          </w:rPr>
          <w:t>https://publications.tnsosfiles.com/rules/0180/0180-29.pdf</w:t>
        </w:r>
      </w:hyperlink>
    </w:p>
    <w:p w:rsidR="000D0C56" w:rsidRDefault="000D0C56" w:rsidP="00CF1F0F">
      <w:pPr>
        <w:pStyle w:val="NoSpacing"/>
        <w:jc w:val="both"/>
      </w:pPr>
    </w:p>
    <w:p w:rsidR="000D0C56" w:rsidRDefault="000D0C56" w:rsidP="00CF1F0F">
      <w:pPr>
        <w:pStyle w:val="NoSpacing"/>
        <w:ind w:left="3600"/>
        <w:jc w:val="both"/>
      </w:pPr>
    </w:p>
    <w:p w:rsidR="000D0C56" w:rsidRDefault="000D0C56" w:rsidP="00CF1F0F">
      <w:pPr>
        <w:pStyle w:val="NoSpacing"/>
        <w:ind w:left="3600"/>
        <w:jc w:val="both"/>
      </w:pPr>
    </w:p>
    <w:p w:rsidR="000D0C56" w:rsidRDefault="000D0C56" w:rsidP="00CF1F0F">
      <w:pPr>
        <w:pStyle w:val="NoSpacing"/>
        <w:ind w:left="3600"/>
        <w:jc w:val="both"/>
      </w:pPr>
    </w:p>
    <w:p w:rsidR="000D0C56" w:rsidRDefault="000D0C56" w:rsidP="00CF1F0F">
      <w:pPr>
        <w:pStyle w:val="NoSpacing"/>
        <w:ind w:left="3600"/>
        <w:jc w:val="both"/>
      </w:pPr>
    </w:p>
    <w:p w:rsidR="000D0C56" w:rsidRDefault="000D0C56" w:rsidP="00CF1F0F">
      <w:pPr>
        <w:pStyle w:val="NoSpacing"/>
        <w:ind w:left="3600"/>
        <w:jc w:val="both"/>
      </w:pPr>
    </w:p>
    <w:p w:rsidR="000D0C56" w:rsidRDefault="000D0C56" w:rsidP="00CF1F0F">
      <w:pPr>
        <w:pStyle w:val="NoSpacing"/>
        <w:ind w:left="3600"/>
        <w:jc w:val="both"/>
      </w:pPr>
    </w:p>
    <w:p w:rsidR="000D0C56" w:rsidRDefault="000D0C56" w:rsidP="00CF1F0F">
      <w:pPr>
        <w:pStyle w:val="NoSpacing"/>
        <w:ind w:left="3600"/>
        <w:jc w:val="both"/>
      </w:pPr>
    </w:p>
    <w:p w:rsidR="000D0C56" w:rsidRDefault="000D0C56" w:rsidP="00CF1F0F">
      <w:pPr>
        <w:pStyle w:val="NoSpacing"/>
        <w:ind w:left="3600"/>
        <w:jc w:val="both"/>
      </w:pPr>
    </w:p>
    <w:p w:rsidR="000D0C56" w:rsidRDefault="000D0C56" w:rsidP="00CF1F0F">
      <w:pPr>
        <w:pStyle w:val="NoSpacing"/>
        <w:ind w:left="3600"/>
        <w:jc w:val="both"/>
      </w:pPr>
    </w:p>
    <w:p w:rsidR="000D0C56" w:rsidRDefault="000D0C56" w:rsidP="00CF1F0F">
      <w:pPr>
        <w:pStyle w:val="NoSpacing"/>
        <w:ind w:left="3600"/>
        <w:jc w:val="both"/>
      </w:pPr>
    </w:p>
    <w:p w:rsidR="000D0C56" w:rsidRDefault="000D0C56" w:rsidP="00CF1F0F">
      <w:pPr>
        <w:pStyle w:val="NoSpacing"/>
        <w:ind w:left="3600"/>
        <w:jc w:val="both"/>
      </w:pPr>
    </w:p>
    <w:p w:rsidR="000D0C56" w:rsidRDefault="000D0C56" w:rsidP="00CF1F0F">
      <w:pPr>
        <w:pStyle w:val="NoSpacing"/>
        <w:ind w:left="3600"/>
        <w:jc w:val="both"/>
      </w:pPr>
    </w:p>
    <w:p w:rsidR="000D0C56" w:rsidRDefault="000D0C56" w:rsidP="00CF1F0F">
      <w:pPr>
        <w:pStyle w:val="NoSpacing"/>
        <w:ind w:left="3600"/>
        <w:jc w:val="both"/>
      </w:pPr>
    </w:p>
    <w:p w:rsidR="000D0C56" w:rsidRDefault="000D0C56" w:rsidP="00CC515D">
      <w:pPr>
        <w:pStyle w:val="NoSpacing"/>
        <w:ind w:left="3600"/>
      </w:pPr>
    </w:p>
    <w:p w:rsidR="000D0C56" w:rsidRDefault="000D0C56" w:rsidP="00CC515D">
      <w:pPr>
        <w:pStyle w:val="NoSpacing"/>
        <w:ind w:left="3600"/>
      </w:pPr>
    </w:p>
    <w:p w:rsidR="000D0C56" w:rsidRDefault="000D0C56" w:rsidP="00CC515D">
      <w:pPr>
        <w:pStyle w:val="NoSpacing"/>
        <w:ind w:left="3600"/>
      </w:pPr>
    </w:p>
    <w:p w:rsidR="000D0C56" w:rsidRDefault="000D0C56" w:rsidP="00CC515D">
      <w:pPr>
        <w:pStyle w:val="NoSpacing"/>
        <w:ind w:left="3600"/>
      </w:pPr>
    </w:p>
    <w:p w:rsidR="000D0C56" w:rsidRDefault="000D0C56" w:rsidP="00CC515D">
      <w:pPr>
        <w:pStyle w:val="NoSpacing"/>
        <w:ind w:left="3600"/>
      </w:pPr>
    </w:p>
    <w:p w:rsidR="000D0C56" w:rsidRDefault="000D0C56" w:rsidP="00CC515D">
      <w:pPr>
        <w:pStyle w:val="NoSpacing"/>
        <w:ind w:left="3600"/>
      </w:pPr>
    </w:p>
    <w:p w:rsidR="000D0C56" w:rsidRDefault="000D0C56" w:rsidP="00CC515D">
      <w:pPr>
        <w:pStyle w:val="NoSpacing"/>
        <w:ind w:left="3600"/>
      </w:pPr>
    </w:p>
    <w:p w:rsidR="000D0C56" w:rsidRDefault="000D0C56" w:rsidP="00CC515D">
      <w:pPr>
        <w:pStyle w:val="NoSpacing"/>
        <w:ind w:left="3600"/>
      </w:pPr>
    </w:p>
    <w:p w:rsidR="000D0C56" w:rsidRDefault="000D0C56" w:rsidP="00CC515D">
      <w:pPr>
        <w:pStyle w:val="NoSpacing"/>
        <w:ind w:left="3600"/>
      </w:pPr>
    </w:p>
    <w:p w:rsidR="000D0C56" w:rsidRDefault="000D0C56" w:rsidP="00CC515D">
      <w:pPr>
        <w:pStyle w:val="NoSpacing"/>
        <w:ind w:left="3600"/>
      </w:pPr>
    </w:p>
    <w:p w:rsidR="000D0C56" w:rsidRDefault="000D0C56" w:rsidP="00CC515D">
      <w:pPr>
        <w:pStyle w:val="NoSpacing"/>
        <w:ind w:left="3600"/>
      </w:pPr>
    </w:p>
    <w:p w:rsidR="000D0C56" w:rsidRDefault="000D0C56" w:rsidP="00CC515D">
      <w:pPr>
        <w:pStyle w:val="NoSpacing"/>
        <w:ind w:left="3600"/>
      </w:pPr>
    </w:p>
    <w:p w:rsidR="000D0C56" w:rsidRPr="000D0C56" w:rsidRDefault="000D0C56" w:rsidP="000D0C56">
      <w:pPr>
        <w:pBdr>
          <w:bottom w:val="single" w:sz="12" w:space="3" w:color="009DDB"/>
        </w:pBdr>
        <w:spacing w:before="100" w:beforeAutospacing="1" w:after="100" w:afterAutospacing="1" w:line="240" w:lineRule="auto"/>
        <w:outlineLvl w:val="1"/>
        <w:rPr>
          <w:rFonts w:ascii="Helvetica" w:eastAsia="Times New Roman" w:hAnsi="Helvetica" w:cs="Helvetica"/>
          <w:color w:val="373739"/>
          <w:sz w:val="32"/>
          <w:szCs w:val="32"/>
        </w:rPr>
      </w:pPr>
      <w:r w:rsidRPr="000D0C56">
        <w:rPr>
          <w:rFonts w:ascii="Helvetica" w:eastAsia="Times New Roman" w:hAnsi="Helvetica" w:cs="Helvetica"/>
          <w:color w:val="373739"/>
          <w:sz w:val="32"/>
          <w:szCs w:val="32"/>
        </w:rPr>
        <w:t>45-4-903. Mergers.</w:t>
      </w:r>
    </w:p>
    <w:p w:rsidR="000D0C56" w:rsidRPr="000D0C56" w:rsidRDefault="000D0C56" w:rsidP="000D0C56">
      <w:pPr>
        <w:spacing w:after="0" w:line="240" w:lineRule="auto"/>
        <w:rPr>
          <w:rFonts w:ascii="Helvetica" w:eastAsia="Times New Roman" w:hAnsi="Helvetica" w:cs="Helvetica"/>
          <w:sz w:val="21"/>
          <w:szCs w:val="21"/>
        </w:rPr>
      </w:pPr>
      <w:r w:rsidRPr="000D0C56">
        <w:rPr>
          <w:rFonts w:ascii="Helvetica" w:eastAsia="Times New Roman" w:hAnsi="Helvetica" w:cs="Helvetica"/>
          <w:b/>
          <w:bCs/>
          <w:color w:val="373739"/>
          <w:sz w:val="21"/>
          <w:szCs w:val="21"/>
        </w:rPr>
        <w:t>(a)</w:t>
      </w:r>
      <w:r w:rsidRPr="000D0C56">
        <w:rPr>
          <w:rFonts w:ascii="Helvetica" w:eastAsia="Times New Roman" w:hAnsi="Helvetica" w:cs="Helvetica"/>
          <w:color w:val="373739"/>
          <w:sz w:val="21"/>
          <w:szCs w:val="21"/>
        </w:rPr>
        <w:t>  Any credit union may, with the approval of the commissioner of financial institutions, merge with any other credit union under the existing charter of the other credit union, pursuant to any plan approved by the board of directors of each credit union joining in the merger, and approved by two thirds (2/3) of the members of each credit union represented at a meeting of members duly called for that purpose, at which a minimum of ten percent (10%) of the entire membership is present, unless the meeting of members of either credit union has been waived by the commissioner. After approval of the board and members of each credit union, the president or chair of the board and secretary of each credit union shall execute a certificate of merger, which shall set forth all of the following:</w:t>
      </w:r>
    </w:p>
    <w:p w:rsidR="000D0C56" w:rsidRPr="000D0C56" w:rsidRDefault="000D0C56" w:rsidP="000D0C56">
      <w:pPr>
        <w:spacing w:after="0" w:line="240" w:lineRule="auto"/>
        <w:rPr>
          <w:rFonts w:ascii="Times New Roman" w:eastAsia="Times New Roman" w:hAnsi="Times New Roman" w:cs="Times New Roman"/>
          <w:sz w:val="24"/>
          <w:szCs w:val="24"/>
        </w:rPr>
      </w:pPr>
      <w:r w:rsidRPr="000D0C56">
        <w:rPr>
          <w:rFonts w:ascii="Helvetica" w:eastAsia="Times New Roman" w:hAnsi="Helvetica" w:cs="Helvetica"/>
          <w:b/>
          <w:bCs/>
          <w:color w:val="373739"/>
          <w:sz w:val="21"/>
          <w:szCs w:val="21"/>
        </w:rPr>
        <w:t>(1)</w:t>
      </w:r>
      <w:r w:rsidRPr="000D0C56">
        <w:rPr>
          <w:rFonts w:ascii="Helvetica" w:eastAsia="Times New Roman" w:hAnsi="Helvetica" w:cs="Helvetica"/>
          <w:color w:val="373739"/>
          <w:sz w:val="21"/>
          <w:szCs w:val="21"/>
        </w:rPr>
        <w:t>  The time and place of the meeting of the board of directors at which the plan was agreed upon;</w:t>
      </w:r>
    </w:p>
    <w:p w:rsidR="000D0C56" w:rsidRPr="000D0C56" w:rsidRDefault="000D0C56" w:rsidP="000D0C56">
      <w:pPr>
        <w:spacing w:after="0" w:line="240" w:lineRule="auto"/>
        <w:rPr>
          <w:rFonts w:ascii="Helvetica" w:eastAsia="Times New Roman" w:hAnsi="Helvetica" w:cs="Helvetica"/>
          <w:color w:val="373739"/>
          <w:sz w:val="21"/>
          <w:szCs w:val="21"/>
        </w:rPr>
      </w:pPr>
      <w:r w:rsidRPr="000D0C56">
        <w:rPr>
          <w:rFonts w:ascii="Helvetica" w:eastAsia="Times New Roman" w:hAnsi="Helvetica" w:cs="Helvetica"/>
          <w:b/>
          <w:bCs/>
          <w:color w:val="373739"/>
          <w:sz w:val="21"/>
          <w:szCs w:val="21"/>
        </w:rPr>
        <w:t>(2)</w:t>
      </w:r>
      <w:r w:rsidRPr="000D0C56">
        <w:rPr>
          <w:rFonts w:ascii="Helvetica" w:eastAsia="Times New Roman" w:hAnsi="Helvetica" w:cs="Helvetica"/>
          <w:color w:val="373739"/>
          <w:sz w:val="21"/>
          <w:szCs w:val="21"/>
        </w:rPr>
        <w:t>  The vote in favor of adoption of the plan;</w:t>
      </w:r>
    </w:p>
    <w:p w:rsidR="000D0C56" w:rsidRPr="000D0C56" w:rsidRDefault="000D0C56" w:rsidP="000D0C56">
      <w:pPr>
        <w:spacing w:after="0" w:line="240" w:lineRule="auto"/>
        <w:rPr>
          <w:rFonts w:ascii="Helvetica" w:eastAsia="Times New Roman" w:hAnsi="Helvetica" w:cs="Helvetica"/>
          <w:color w:val="373739"/>
          <w:sz w:val="21"/>
          <w:szCs w:val="21"/>
        </w:rPr>
      </w:pPr>
      <w:r w:rsidRPr="000D0C56">
        <w:rPr>
          <w:rFonts w:ascii="Helvetica" w:eastAsia="Times New Roman" w:hAnsi="Helvetica" w:cs="Helvetica"/>
          <w:b/>
          <w:bCs/>
          <w:color w:val="373739"/>
          <w:sz w:val="21"/>
          <w:szCs w:val="21"/>
        </w:rPr>
        <w:t>(3)</w:t>
      </w:r>
      <w:r w:rsidRPr="000D0C56">
        <w:rPr>
          <w:rFonts w:ascii="Helvetica" w:eastAsia="Times New Roman" w:hAnsi="Helvetica" w:cs="Helvetica"/>
          <w:color w:val="373739"/>
          <w:sz w:val="21"/>
          <w:szCs w:val="21"/>
        </w:rPr>
        <w:t>  A copy of the resolution or other action by which the plan was agreed upon;</w:t>
      </w:r>
    </w:p>
    <w:p w:rsidR="000D0C56" w:rsidRPr="000D0C56" w:rsidRDefault="000D0C56" w:rsidP="000D0C56">
      <w:pPr>
        <w:spacing w:after="0" w:line="240" w:lineRule="auto"/>
        <w:rPr>
          <w:rFonts w:ascii="Helvetica" w:eastAsia="Times New Roman" w:hAnsi="Helvetica" w:cs="Helvetica"/>
          <w:color w:val="373739"/>
          <w:sz w:val="21"/>
          <w:szCs w:val="21"/>
        </w:rPr>
      </w:pPr>
      <w:r w:rsidRPr="000D0C56">
        <w:rPr>
          <w:rFonts w:ascii="Helvetica" w:eastAsia="Times New Roman" w:hAnsi="Helvetica" w:cs="Helvetica"/>
          <w:b/>
          <w:bCs/>
          <w:color w:val="373739"/>
          <w:sz w:val="21"/>
          <w:szCs w:val="21"/>
        </w:rPr>
        <w:t>(4)</w:t>
      </w:r>
      <w:r w:rsidRPr="000D0C56">
        <w:rPr>
          <w:rFonts w:ascii="Helvetica" w:eastAsia="Times New Roman" w:hAnsi="Helvetica" w:cs="Helvetica"/>
          <w:color w:val="373739"/>
          <w:sz w:val="21"/>
          <w:szCs w:val="21"/>
        </w:rPr>
        <w:t>  The time and place of the meeting of the members at which the plan agreed upon was approved; and</w:t>
      </w:r>
    </w:p>
    <w:p w:rsidR="000D0C56" w:rsidRPr="000D0C56" w:rsidRDefault="000D0C56" w:rsidP="000D0C56">
      <w:pPr>
        <w:spacing w:after="0" w:line="240" w:lineRule="auto"/>
        <w:rPr>
          <w:rFonts w:ascii="Helvetica" w:eastAsia="Times New Roman" w:hAnsi="Helvetica" w:cs="Helvetica"/>
          <w:color w:val="373739"/>
          <w:sz w:val="21"/>
          <w:szCs w:val="21"/>
        </w:rPr>
      </w:pPr>
      <w:r w:rsidRPr="000D0C56">
        <w:rPr>
          <w:rFonts w:ascii="Helvetica" w:eastAsia="Times New Roman" w:hAnsi="Helvetica" w:cs="Helvetica"/>
          <w:b/>
          <w:bCs/>
          <w:color w:val="373739"/>
          <w:sz w:val="21"/>
          <w:szCs w:val="21"/>
        </w:rPr>
        <w:t>(5)</w:t>
      </w:r>
      <w:r w:rsidRPr="000D0C56">
        <w:rPr>
          <w:rFonts w:ascii="Helvetica" w:eastAsia="Times New Roman" w:hAnsi="Helvetica" w:cs="Helvetica"/>
          <w:color w:val="373739"/>
          <w:sz w:val="21"/>
          <w:szCs w:val="21"/>
        </w:rPr>
        <w:t>  The vote by which the plan was approved by the members.</w:t>
      </w:r>
    </w:p>
    <w:p w:rsidR="000D0C56" w:rsidRPr="000D0C56" w:rsidRDefault="000D0C56" w:rsidP="000D0C56">
      <w:pPr>
        <w:spacing w:after="0" w:line="240" w:lineRule="auto"/>
        <w:rPr>
          <w:rFonts w:ascii="Helvetica" w:eastAsia="Times New Roman" w:hAnsi="Helvetica" w:cs="Helvetica"/>
          <w:color w:val="373739"/>
          <w:sz w:val="21"/>
          <w:szCs w:val="21"/>
        </w:rPr>
      </w:pPr>
      <w:r w:rsidRPr="000D0C56">
        <w:rPr>
          <w:rFonts w:ascii="Helvetica" w:eastAsia="Times New Roman" w:hAnsi="Helvetica" w:cs="Helvetica"/>
          <w:b/>
          <w:bCs/>
          <w:color w:val="373739"/>
          <w:sz w:val="21"/>
          <w:szCs w:val="21"/>
        </w:rPr>
        <w:t>(b)</w:t>
      </w:r>
      <w:r w:rsidRPr="000D0C56">
        <w:rPr>
          <w:rFonts w:ascii="Helvetica" w:eastAsia="Times New Roman" w:hAnsi="Helvetica" w:cs="Helvetica"/>
          <w:color w:val="373739"/>
          <w:sz w:val="21"/>
          <w:szCs w:val="21"/>
        </w:rPr>
        <w:t>  The certificates and a copy of the plan of merger agreed upon shall be forwarded to the commissioner and, upon approval, returned to the merging credit unions. The certificate of merger, with the certificate of approval of the commissioner annexed it, shall be recorded in the office of the secretary of state and in the register's office of the county in which each credit union has its principal place of business.</w:t>
      </w:r>
    </w:p>
    <w:p w:rsidR="000D0C56" w:rsidRPr="000D0C56" w:rsidRDefault="000D0C56" w:rsidP="000D0C56">
      <w:pPr>
        <w:spacing w:after="0" w:line="240" w:lineRule="auto"/>
        <w:rPr>
          <w:rFonts w:ascii="Helvetica" w:eastAsia="Times New Roman" w:hAnsi="Helvetica" w:cs="Helvetica"/>
          <w:color w:val="373739"/>
          <w:sz w:val="21"/>
          <w:szCs w:val="21"/>
        </w:rPr>
      </w:pPr>
      <w:r w:rsidRPr="000D0C56">
        <w:rPr>
          <w:rFonts w:ascii="Helvetica" w:eastAsia="Times New Roman" w:hAnsi="Helvetica" w:cs="Helvetica"/>
          <w:b/>
          <w:bCs/>
          <w:color w:val="373739"/>
          <w:sz w:val="21"/>
          <w:szCs w:val="21"/>
        </w:rPr>
        <w:t>(c)</w:t>
      </w:r>
      <w:r w:rsidRPr="000D0C56">
        <w:rPr>
          <w:rFonts w:ascii="Helvetica" w:eastAsia="Times New Roman" w:hAnsi="Helvetica" w:cs="Helvetica"/>
          <w:color w:val="373739"/>
          <w:sz w:val="21"/>
          <w:szCs w:val="21"/>
        </w:rPr>
        <w:t>  Upon a merger so effected, all property, property rights, and interests of the merged credit unions shall vest in the surviving credit union without deed, endorsement, or other instrument of transfer, and all debts, obligations, and liabilities of the merged credit unions shall be deemed to have been assumed by the surviving credit union under whose charter the merger was effected.</w:t>
      </w:r>
    </w:p>
    <w:p w:rsidR="000D0C56" w:rsidRPr="000D0C56" w:rsidRDefault="000D0C56" w:rsidP="000D0C56">
      <w:pPr>
        <w:spacing w:after="0" w:line="240" w:lineRule="auto"/>
        <w:rPr>
          <w:rFonts w:ascii="Helvetica" w:eastAsia="Times New Roman" w:hAnsi="Helvetica" w:cs="Helvetica"/>
          <w:color w:val="373739"/>
          <w:sz w:val="21"/>
          <w:szCs w:val="21"/>
        </w:rPr>
      </w:pPr>
      <w:r w:rsidRPr="000D0C56">
        <w:rPr>
          <w:rFonts w:ascii="Helvetica" w:eastAsia="Times New Roman" w:hAnsi="Helvetica" w:cs="Helvetica"/>
          <w:b/>
          <w:bCs/>
          <w:color w:val="373739"/>
          <w:sz w:val="21"/>
          <w:szCs w:val="21"/>
        </w:rPr>
        <w:t>(d)</w:t>
      </w:r>
      <w:r w:rsidRPr="000D0C56">
        <w:rPr>
          <w:rFonts w:ascii="Helvetica" w:eastAsia="Times New Roman" w:hAnsi="Helvetica" w:cs="Helvetica"/>
          <w:color w:val="373739"/>
          <w:sz w:val="21"/>
          <w:szCs w:val="21"/>
        </w:rPr>
        <w:t>  This section shall be construed, whenever possible, to permit a credit union chartered under any other act to merge with one chartered under this chapter.</w:t>
      </w:r>
    </w:p>
    <w:p w:rsidR="000D0C56" w:rsidRPr="000D0C56" w:rsidRDefault="000D0C56" w:rsidP="000D0C56">
      <w:pPr>
        <w:spacing w:after="0" w:line="240" w:lineRule="auto"/>
        <w:rPr>
          <w:rFonts w:ascii="Helvetica" w:eastAsia="Times New Roman" w:hAnsi="Helvetica" w:cs="Helvetica"/>
          <w:color w:val="373739"/>
          <w:sz w:val="21"/>
          <w:szCs w:val="21"/>
        </w:rPr>
      </w:pPr>
      <w:r w:rsidRPr="000D0C56">
        <w:rPr>
          <w:rFonts w:ascii="Helvetica" w:eastAsia="Times New Roman" w:hAnsi="Helvetica" w:cs="Helvetica"/>
          <w:b/>
          <w:bCs/>
          <w:color w:val="373739"/>
          <w:sz w:val="21"/>
          <w:szCs w:val="21"/>
        </w:rPr>
        <w:t>(e)</w:t>
      </w:r>
      <w:r w:rsidRPr="000D0C56">
        <w:rPr>
          <w:rFonts w:ascii="Helvetica" w:eastAsia="Times New Roman" w:hAnsi="Helvetica" w:cs="Helvetica"/>
          <w:color w:val="373739"/>
          <w:sz w:val="21"/>
          <w:szCs w:val="21"/>
        </w:rPr>
        <w:t>  All members of both credit unions effecting a merger shall be deemed to have a common bond of association, occupation or residence as required by § 45-4-101, for formation of credit unions generally.</w:t>
      </w:r>
    </w:p>
    <w:p w:rsidR="000D0C56" w:rsidRDefault="000D0C56" w:rsidP="000D0C56">
      <w:pPr>
        <w:spacing w:after="0" w:line="240" w:lineRule="auto"/>
        <w:rPr>
          <w:rFonts w:ascii="Helvetica" w:eastAsia="Times New Roman" w:hAnsi="Helvetica" w:cs="Helvetica"/>
          <w:color w:val="373739"/>
          <w:sz w:val="21"/>
          <w:szCs w:val="21"/>
        </w:rPr>
      </w:pPr>
      <w:r w:rsidRPr="000D0C56">
        <w:rPr>
          <w:rFonts w:ascii="Helvetica" w:eastAsia="Times New Roman" w:hAnsi="Helvetica" w:cs="Helvetica"/>
          <w:b/>
          <w:bCs/>
          <w:color w:val="373739"/>
          <w:sz w:val="21"/>
          <w:szCs w:val="21"/>
        </w:rPr>
        <w:t>(f)</w:t>
      </w:r>
      <w:r w:rsidRPr="000D0C56">
        <w:rPr>
          <w:rFonts w:ascii="Helvetica" w:eastAsia="Times New Roman" w:hAnsi="Helvetica" w:cs="Helvetica"/>
          <w:color w:val="373739"/>
          <w:sz w:val="21"/>
          <w:szCs w:val="21"/>
        </w:rPr>
        <w:t>  A merger fee of three hundred dollars ($300) shall be paid to the commissioner to cover the salary and expenses of department personnel assigned to supervise the merger. The fee shall be paid by the surviving credit union if it is chartered under the laws of Tennessee. Otherwise the fee shall be paid by the merging credit union.</w:t>
      </w:r>
    </w:p>
    <w:p w:rsidR="00722F81" w:rsidRDefault="00722F81" w:rsidP="000D0C56">
      <w:pPr>
        <w:spacing w:after="0" w:line="240" w:lineRule="auto"/>
        <w:rPr>
          <w:rFonts w:ascii="Helvetica" w:eastAsia="Times New Roman" w:hAnsi="Helvetica" w:cs="Helvetica"/>
          <w:color w:val="373739"/>
          <w:sz w:val="21"/>
          <w:szCs w:val="21"/>
        </w:rPr>
      </w:pPr>
    </w:p>
    <w:p w:rsidR="00722F81" w:rsidRDefault="00722F81" w:rsidP="000D0C56">
      <w:pPr>
        <w:spacing w:after="0" w:line="240" w:lineRule="auto"/>
        <w:rPr>
          <w:rFonts w:ascii="Helvetica" w:eastAsia="Times New Roman" w:hAnsi="Helvetica" w:cs="Helvetica"/>
          <w:color w:val="373739"/>
          <w:sz w:val="21"/>
          <w:szCs w:val="21"/>
        </w:rPr>
      </w:pPr>
    </w:p>
    <w:p w:rsidR="00722F81" w:rsidRDefault="00722F81" w:rsidP="000D0C56">
      <w:pPr>
        <w:spacing w:after="0" w:line="240" w:lineRule="auto"/>
        <w:rPr>
          <w:rFonts w:ascii="Helvetica" w:eastAsia="Times New Roman" w:hAnsi="Helvetica" w:cs="Helvetica"/>
          <w:color w:val="373739"/>
          <w:sz w:val="21"/>
          <w:szCs w:val="21"/>
        </w:rPr>
      </w:pPr>
    </w:p>
    <w:p w:rsidR="00722F81" w:rsidRDefault="00722F81" w:rsidP="000D0C56">
      <w:pPr>
        <w:spacing w:after="0" w:line="240" w:lineRule="auto"/>
        <w:rPr>
          <w:rFonts w:ascii="Helvetica" w:eastAsia="Times New Roman" w:hAnsi="Helvetica" w:cs="Helvetica"/>
          <w:color w:val="373739"/>
          <w:sz w:val="21"/>
          <w:szCs w:val="21"/>
        </w:rPr>
      </w:pPr>
    </w:p>
    <w:p w:rsidR="00722F81" w:rsidRDefault="00722F81" w:rsidP="000D0C56">
      <w:pPr>
        <w:spacing w:after="0" w:line="240" w:lineRule="auto"/>
        <w:rPr>
          <w:rFonts w:ascii="Helvetica" w:eastAsia="Times New Roman" w:hAnsi="Helvetica" w:cs="Helvetica"/>
          <w:color w:val="373739"/>
          <w:sz w:val="21"/>
          <w:szCs w:val="21"/>
        </w:rPr>
      </w:pPr>
    </w:p>
    <w:p w:rsidR="00722F81" w:rsidRDefault="00722F81" w:rsidP="000D0C56">
      <w:pPr>
        <w:spacing w:after="0" w:line="240" w:lineRule="auto"/>
        <w:rPr>
          <w:rFonts w:ascii="Helvetica" w:eastAsia="Times New Roman" w:hAnsi="Helvetica" w:cs="Helvetica"/>
          <w:color w:val="373739"/>
          <w:sz w:val="21"/>
          <w:szCs w:val="21"/>
        </w:rPr>
      </w:pPr>
    </w:p>
    <w:p w:rsidR="00722F81" w:rsidRDefault="00722F81" w:rsidP="000D0C56">
      <w:pPr>
        <w:spacing w:after="0" w:line="240" w:lineRule="auto"/>
        <w:rPr>
          <w:rFonts w:ascii="Helvetica" w:eastAsia="Times New Roman" w:hAnsi="Helvetica" w:cs="Helvetica"/>
          <w:color w:val="373739"/>
          <w:sz w:val="21"/>
          <w:szCs w:val="21"/>
        </w:rPr>
      </w:pPr>
    </w:p>
    <w:p w:rsidR="00722F81" w:rsidRDefault="00722F81" w:rsidP="000D0C56">
      <w:pPr>
        <w:spacing w:after="0" w:line="240" w:lineRule="auto"/>
        <w:rPr>
          <w:rFonts w:ascii="Helvetica" w:eastAsia="Times New Roman" w:hAnsi="Helvetica" w:cs="Helvetica"/>
          <w:color w:val="373739"/>
          <w:sz w:val="21"/>
          <w:szCs w:val="21"/>
        </w:rPr>
      </w:pPr>
    </w:p>
    <w:p w:rsidR="00722F81" w:rsidRDefault="00722F81" w:rsidP="000D0C56">
      <w:pPr>
        <w:spacing w:after="0" w:line="240" w:lineRule="auto"/>
        <w:rPr>
          <w:rFonts w:ascii="Helvetica" w:eastAsia="Times New Roman" w:hAnsi="Helvetica" w:cs="Helvetica"/>
          <w:color w:val="373739"/>
          <w:sz w:val="21"/>
          <w:szCs w:val="21"/>
        </w:rPr>
      </w:pPr>
    </w:p>
    <w:p w:rsidR="00722F81" w:rsidRDefault="00722F81" w:rsidP="000D0C56">
      <w:pPr>
        <w:spacing w:after="0" w:line="240" w:lineRule="auto"/>
        <w:rPr>
          <w:rFonts w:ascii="Helvetica" w:eastAsia="Times New Roman" w:hAnsi="Helvetica" w:cs="Helvetica"/>
          <w:color w:val="373739"/>
          <w:sz w:val="21"/>
          <w:szCs w:val="21"/>
        </w:rPr>
      </w:pPr>
    </w:p>
    <w:p w:rsidR="00722F81" w:rsidRDefault="00722F81" w:rsidP="000D0C56">
      <w:pPr>
        <w:spacing w:after="0" w:line="240" w:lineRule="auto"/>
        <w:rPr>
          <w:rFonts w:ascii="Helvetica" w:eastAsia="Times New Roman" w:hAnsi="Helvetica" w:cs="Helvetica"/>
          <w:color w:val="373739"/>
          <w:sz w:val="21"/>
          <w:szCs w:val="21"/>
        </w:rPr>
      </w:pPr>
    </w:p>
    <w:p w:rsidR="00722F81" w:rsidRDefault="00722F81" w:rsidP="000D0C56">
      <w:pPr>
        <w:spacing w:after="0" w:line="240" w:lineRule="auto"/>
        <w:rPr>
          <w:rFonts w:ascii="Helvetica" w:eastAsia="Times New Roman" w:hAnsi="Helvetica" w:cs="Helvetica"/>
          <w:color w:val="373739"/>
          <w:sz w:val="21"/>
          <w:szCs w:val="21"/>
        </w:rPr>
      </w:pPr>
    </w:p>
    <w:p w:rsidR="00722F81" w:rsidRDefault="00722F81" w:rsidP="000D0C56">
      <w:pPr>
        <w:spacing w:after="0" w:line="240" w:lineRule="auto"/>
        <w:rPr>
          <w:rFonts w:ascii="Helvetica" w:eastAsia="Times New Roman" w:hAnsi="Helvetica" w:cs="Helvetica"/>
          <w:color w:val="373739"/>
          <w:sz w:val="21"/>
          <w:szCs w:val="21"/>
        </w:rPr>
      </w:pPr>
    </w:p>
    <w:p w:rsidR="00722F81" w:rsidRDefault="00722F81" w:rsidP="000D0C56">
      <w:pPr>
        <w:spacing w:after="0" w:line="240" w:lineRule="auto"/>
        <w:rPr>
          <w:rFonts w:ascii="Helvetica" w:eastAsia="Times New Roman" w:hAnsi="Helvetica" w:cs="Helvetica"/>
          <w:color w:val="373739"/>
          <w:sz w:val="21"/>
          <w:szCs w:val="21"/>
        </w:rPr>
      </w:pPr>
    </w:p>
    <w:sectPr w:rsidR="00722F81" w:rsidSect="00B7229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628A"/>
    <w:multiLevelType w:val="hybridMultilevel"/>
    <w:tmpl w:val="1FB01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FB5F43"/>
    <w:multiLevelType w:val="hybridMultilevel"/>
    <w:tmpl w:val="2AD6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D0B"/>
    <w:rsid w:val="00007039"/>
    <w:rsid w:val="000738C9"/>
    <w:rsid w:val="000D0C56"/>
    <w:rsid w:val="0010195F"/>
    <w:rsid w:val="00170EF7"/>
    <w:rsid w:val="00246AB5"/>
    <w:rsid w:val="004C29D4"/>
    <w:rsid w:val="006131F2"/>
    <w:rsid w:val="00673D07"/>
    <w:rsid w:val="0071654F"/>
    <w:rsid w:val="00722F81"/>
    <w:rsid w:val="007F11CB"/>
    <w:rsid w:val="00817C75"/>
    <w:rsid w:val="008E1D0B"/>
    <w:rsid w:val="00A023AD"/>
    <w:rsid w:val="00B30FB7"/>
    <w:rsid w:val="00B7229F"/>
    <w:rsid w:val="00B9161A"/>
    <w:rsid w:val="00BC0AD3"/>
    <w:rsid w:val="00C117D1"/>
    <w:rsid w:val="00C32194"/>
    <w:rsid w:val="00C7769B"/>
    <w:rsid w:val="00CC515D"/>
    <w:rsid w:val="00CD121C"/>
    <w:rsid w:val="00CF1F0F"/>
    <w:rsid w:val="00D97E5F"/>
    <w:rsid w:val="00DA1A2E"/>
    <w:rsid w:val="00DA224A"/>
    <w:rsid w:val="00F56F67"/>
    <w:rsid w:val="00F6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F773"/>
  <w15:docId w15:val="{400A2F86-FB9B-44CE-B4A2-1F122EB7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D0C56"/>
    <w:pPr>
      <w:spacing w:before="100" w:beforeAutospacing="1" w:after="100" w:afterAutospacing="1" w:line="240" w:lineRule="auto"/>
      <w:outlineLvl w:val="1"/>
    </w:pPr>
    <w:rPr>
      <w:rFonts w:ascii="Helvetica" w:eastAsia="Times New Roman" w:hAnsi="Helvetica" w:cs="Helvetic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D0B"/>
    <w:pPr>
      <w:spacing w:after="0" w:line="240" w:lineRule="auto"/>
    </w:pPr>
  </w:style>
  <w:style w:type="character" w:styleId="Hyperlink">
    <w:name w:val="Hyperlink"/>
    <w:basedOn w:val="DefaultParagraphFont"/>
    <w:uiPriority w:val="99"/>
    <w:unhideWhenUsed/>
    <w:rsid w:val="007F11CB"/>
    <w:rPr>
      <w:color w:val="0000FF" w:themeColor="hyperlink"/>
      <w:u w:val="single"/>
    </w:rPr>
  </w:style>
  <w:style w:type="character" w:styleId="FollowedHyperlink">
    <w:name w:val="FollowedHyperlink"/>
    <w:basedOn w:val="DefaultParagraphFont"/>
    <w:uiPriority w:val="99"/>
    <w:semiHidden/>
    <w:unhideWhenUsed/>
    <w:rsid w:val="007F11CB"/>
    <w:rPr>
      <w:color w:val="800080" w:themeColor="followedHyperlink"/>
      <w:u w:val="single"/>
    </w:rPr>
  </w:style>
  <w:style w:type="paragraph" w:styleId="ListParagraph">
    <w:name w:val="List Paragraph"/>
    <w:basedOn w:val="Normal"/>
    <w:uiPriority w:val="34"/>
    <w:qFormat/>
    <w:rsid w:val="00B9161A"/>
    <w:pPr>
      <w:ind w:left="720"/>
      <w:contextualSpacing/>
    </w:pPr>
  </w:style>
  <w:style w:type="character" w:styleId="CommentReference">
    <w:name w:val="annotation reference"/>
    <w:basedOn w:val="DefaultParagraphFont"/>
    <w:uiPriority w:val="99"/>
    <w:semiHidden/>
    <w:unhideWhenUsed/>
    <w:rsid w:val="00B7229F"/>
    <w:rPr>
      <w:sz w:val="16"/>
      <w:szCs w:val="16"/>
    </w:rPr>
  </w:style>
  <w:style w:type="paragraph" w:styleId="CommentText">
    <w:name w:val="annotation text"/>
    <w:basedOn w:val="Normal"/>
    <w:link w:val="CommentTextChar"/>
    <w:uiPriority w:val="99"/>
    <w:semiHidden/>
    <w:unhideWhenUsed/>
    <w:rsid w:val="00B7229F"/>
    <w:pPr>
      <w:spacing w:line="240" w:lineRule="auto"/>
    </w:pPr>
    <w:rPr>
      <w:szCs w:val="20"/>
    </w:rPr>
  </w:style>
  <w:style w:type="character" w:customStyle="1" w:styleId="CommentTextChar">
    <w:name w:val="Comment Text Char"/>
    <w:basedOn w:val="DefaultParagraphFont"/>
    <w:link w:val="CommentText"/>
    <w:uiPriority w:val="99"/>
    <w:semiHidden/>
    <w:rsid w:val="00B7229F"/>
    <w:rPr>
      <w:szCs w:val="20"/>
    </w:rPr>
  </w:style>
  <w:style w:type="paragraph" w:styleId="CommentSubject">
    <w:name w:val="annotation subject"/>
    <w:basedOn w:val="CommentText"/>
    <w:next w:val="CommentText"/>
    <w:link w:val="CommentSubjectChar"/>
    <w:uiPriority w:val="99"/>
    <w:semiHidden/>
    <w:unhideWhenUsed/>
    <w:rsid w:val="00B7229F"/>
    <w:rPr>
      <w:b/>
      <w:bCs/>
    </w:rPr>
  </w:style>
  <w:style w:type="character" w:customStyle="1" w:styleId="CommentSubjectChar">
    <w:name w:val="Comment Subject Char"/>
    <w:basedOn w:val="CommentTextChar"/>
    <w:link w:val="CommentSubject"/>
    <w:uiPriority w:val="99"/>
    <w:semiHidden/>
    <w:rsid w:val="00B7229F"/>
    <w:rPr>
      <w:b/>
      <w:bCs/>
      <w:szCs w:val="20"/>
    </w:rPr>
  </w:style>
  <w:style w:type="paragraph" w:styleId="BalloonText">
    <w:name w:val="Balloon Text"/>
    <w:basedOn w:val="Normal"/>
    <w:link w:val="BalloonTextChar"/>
    <w:uiPriority w:val="99"/>
    <w:semiHidden/>
    <w:unhideWhenUsed/>
    <w:rsid w:val="00B7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29F"/>
    <w:rPr>
      <w:rFonts w:ascii="Tahoma" w:hAnsi="Tahoma" w:cs="Tahoma"/>
      <w:sz w:val="16"/>
      <w:szCs w:val="16"/>
    </w:rPr>
  </w:style>
  <w:style w:type="character" w:customStyle="1" w:styleId="Heading2Char">
    <w:name w:val="Heading 2 Char"/>
    <w:basedOn w:val="DefaultParagraphFont"/>
    <w:link w:val="Heading2"/>
    <w:uiPriority w:val="9"/>
    <w:rsid w:val="000D0C56"/>
    <w:rPr>
      <w:rFonts w:ascii="Helvetica" w:eastAsia="Times New Roman" w:hAnsi="Helvetica" w:cs="Helvetica"/>
      <w:sz w:val="27"/>
      <w:szCs w:val="27"/>
    </w:rPr>
  </w:style>
  <w:style w:type="character" w:customStyle="1" w:styleId="ssparalabel">
    <w:name w:val="ss_paralabel"/>
    <w:basedOn w:val="DefaultParagraphFont"/>
    <w:rsid w:val="000D0C56"/>
  </w:style>
  <w:style w:type="character" w:customStyle="1" w:styleId="ssbf4">
    <w:name w:val="ss_bf4"/>
    <w:basedOn w:val="DefaultParagraphFont"/>
    <w:rsid w:val="000D0C56"/>
    <w:rPr>
      <w:b/>
      <w:bCs/>
      <w:color w:val="373739"/>
    </w:rPr>
  </w:style>
  <w:style w:type="character" w:customStyle="1" w:styleId="ssparacontent">
    <w:name w:val="ss_paracontent"/>
    <w:basedOn w:val="DefaultParagraphFont"/>
    <w:rsid w:val="000D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344496">
      <w:bodyDiv w:val="1"/>
      <w:marLeft w:val="0"/>
      <w:marRight w:val="0"/>
      <w:marTop w:val="0"/>
      <w:marBottom w:val="0"/>
      <w:divBdr>
        <w:top w:val="none" w:sz="0" w:space="0" w:color="auto"/>
        <w:left w:val="none" w:sz="0" w:space="0" w:color="auto"/>
        <w:bottom w:val="none" w:sz="0" w:space="0" w:color="auto"/>
        <w:right w:val="none" w:sz="0" w:space="0" w:color="auto"/>
      </w:divBdr>
    </w:div>
    <w:div w:id="959461274">
      <w:bodyDiv w:val="1"/>
      <w:marLeft w:val="0"/>
      <w:marRight w:val="0"/>
      <w:marTop w:val="0"/>
      <w:marBottom w:val="0"/>
      <w:divBdr>
        <w:top w:val="none" w:sz="0" w:space="0" w:color="auto"/>
        <w:left w:val="none" w:sz="0" w:space="0" w:color="auto"/>
        <w:bottom w:val="none" w:sz="0" w:space="0" w:color="auto"/>
        <w:right w:val="none" w:sz="0" w:space="0" w:color="auto"/>
      </w:divBdr>
      <w:divsChild>
        <w:div w:id="282075550">
          <w:marLeft w:val="0"/>
          <w:marRight w:val="0"/>
          <w:marTop w:val="0"/>
          <w:marBottom w:val="0"/>
          <w:divBdr>
            <w:top w:val="none" w:sz="0" w:space="0" w:color="auto"/>
            <w:left w:val="none" w:sz="0" w:space="0" w:color="auto"/>
            <w:bottom w:val="none" w:sz="0" w:space="0" w:color="auto"/>
            <w:right w:val="none" w:sz="0" w:space="0" w:color="auto"/>
          </w:divBdr>
          <w:divsChild>
            <w:div w:id="1828008567">
              <w:marLeft w:val="0"/>
              <w:marRight w:val="0"/>
              <w:marTop w:val="0"/>
              <w:marBottom w:val="0"/>
              <w:divBdr>
                <w:top w:val="none" w:sz="0" w:space="0" w:color="auto"/>
                <w:left w:val="none" w:sz="0" w:space="0" w:color="auto"/>
                <w:bottom w:val="none" w:sz="0" w:space="0" w:color="auto"/>
                <w:right w:val="none" w:sz="0" w:space="0" w:color="auto"/>
              </w:divBdr>
              <w:divsChild>
                <w:div w:id="696463363">
                  <w:marLeft w:val="0"/>
                  <w:marRight w:val="300"/>
                  <w:marTop w:val="0"/>
                  <w:marBottom w:val="0"/>
                  <w:divBdr>
                    <w:top w:val="none" w:sz="0" w:space="0" w:color="auto"/>
                    <w:left w:val="none" w:sz="0" w:space="0" w:color="auto"/>
                    <w:bottom w:val="none" w:sz="0" w:space="0" w:color="auto"/>
                    <w:right w:val="none" w:sz="0" w:space="0" w:color="auto"/>
                  </w:divBdr>
                  <w:divsChild>
                    <w:div w:id="1147476708">
                      <w:marLeft w:val="0"/>
                      <w:marRight w:val="0"/>
                      <w:marTop w:val="0"/>
                      <w:marBottom w:val="0"/>
                      <w:divBdr>
                        <w:top w:val="none" w:sz="0" w:space="0" w:color="auto"/>
                        <w:left w:val="none" w:sz="0" w:space="0" w:color="auto"/>
                        <w:bottom w:val="none" w:sz="0" w:space="0" w:color="auto"/>
                        <w:right w:val="none" w:sz="0" w:space="0" w:color="auto"/>
                      </w:divBdr>
                      <w:divsChild>
                        <w:div w:id="705256479">
                          <w:marLeft w:val="0"/>
                          <w:marRight w:val="0"/>
                          <w:marTop w:val="0"/>
                          <w:marBottom w:val="0"/>
                          <w:divBdr>
                            <w:top w:val="none" w:sz="0" w:space="0" w:color="auto"/>
                            <w:left w:val="none" w:sz="0" w:space="0" w:color="auto"/>
                            <w:bottom w:val="none" w:sz="0" w:space="0" w:color="auto"/>
                            <w:right w:val="none" w:sz="0" w:space="0" w:color="auto"/>
                          </w:divBdr>
                          <w:divsChild>
                            <w:div w:id="739864875">
                              <w:marLeft w:val="0"/>
                              <w:marRight w:val="0"/>
                              <w:marTop w:val="0"/>
                              <w:marBottom w:val="0"/>
                              <w:divBdr>
                                <w:top w:val="none" w:sz="0" w:space="0" w:color="auto"/>
                                <w:left w:val="none" w:sz="0" w:space="0" w:color="auto"/>
                                <w:bottom w:val="none" w:sz="0" w:space="0" w:color="auto"/>
                                <w:right w:val="none" w:sz="0" w:space="0" w:color="auto"/>
                              </w:divBdr>
                              <w:divsChild>
                                <w:div w:id="737554121">
                                  <w:marLeft w:val="0"/>
                                  <w:marRight w:val="0"/>
                                  <w:marTop w:val="0"/>
                                  <w:marBottom w:val="0"/>
                                  <w:divBdr>
                                    <w:top w:val="none" w:sz="0" w:space="0" w:color="auto"/>
                                    <w:left w:val="none" w:sz="0" w:space="0" w:color="auto"/>
                                    <w:bottom w:val="none" w:sz="0" w:space="0" w:color="auto"/>
                                    <w:right w:val="none" w:sz="0" w:space="0" w:color="auto"/>
                                  </w:divBdr>
                                </w:div>
                                <w:div w:id="1871215094">
                                  <w:marLeft w:val="0"/>
                                  <w:marRight w:val="0"/>
                                  <w:marTop w:val="0"/>
                                  <w:marBottom w:val="0"/>
                                  <w:divBdr>
                                    <w:top w:val="none" w:sz="0" w:space="0" w:color="auto"/>
                                    <w:left w:val="none" w:sz="0" w:space="0" w:color="auto"/>
                                    <w:bottom w:val="none" w:sz="0" w:space="0" w:color="auto"/>
                                    <w:right w:val="none" w:sz="0" w:space="0" w:color="auto"/>
                                  </w:divBdr>
                                </w:div>
                                <w:div w:id="2085297755">
                                  <w:marLeft w:val="0"/>
                                  <w:marRight w:val="0"/>
                                  <w:marTop w:val="0"/>
                                  <w:marBottom w:val="0"/>
                                  <w:divBdr>
                                    <w:top w:val="none" w:sz="0" w:space="0" w:color="auto"/>
                                    <w:left w:val="none" w:sz="0" w:space="0" w:color="auto"/>
                                    <w:bottom w:val="none" w:sz="0" w:space="0" w:color="auto"/>
                                    <w:right w:val="none" w:sz="0" w:space="0" w:color="auto"/>
                                  </w:divBdr>
                                </w:div>
                                <w:div w:id="387608040">
                                  <w:marLeft w:val="0"/>
                                  <w:marRight w:val="0"/>
                                  <w:marTop w:val="0"/>
                                  <w:marBottom w:val="0"/>
                                  <w:divBdr>
                                    <w:top w:val="none" w:sz="0" w:space="0" w:color="auto"/>
                                    <w:left w:val="none" w:sz="0" w:space="0" w:color="auto"/>
                                    <w:bottom w:val="none" w:sz="0" w:space="0" w:color="auto"/>
                                    <w:right w:val="none" w:sz="0" w:space="0" w:color="auto"/>
                                  </w:divBdr>
                                </w:div>
                                <w:div w:id="256794251">
                                  <w:marLeft w:val="0"/>
                                  <w:marRight w:val="0"/>
                                  <w:marTop w:val="0"/>
                                  <w:marBottom w:val="0"/>
                                  <w:divBdr>
                                    <w:top w:val="none" w:sz="0" w:space="0" w:color="auto"/>
                                    <w:left w:val="none" w:sz="0" w:space="0" w:color="auto"/>
                                    <w:bottom w:val="none" w:sz="0" w:space="0" w:color="auto"/>
                                    <w:right w:val="none" w:sz="0" w:space="0" w:color="auto"/>
                                  </w:divBdr>
                                </w:div>
                              </w:divsChild>
                            </w:div>
                            <w:div w:id="656301482">
                              <w:marLeft w:val="0"/>
                              <w:marRight w:val="0"/>
                              <w:marTop w:val="0"/>
                              <w:marBottom w:val="0"/>
                              <w:divBdr>
                                <w:top w:val="none" w:sz="0" w:space="0" w:color="auto"/>
                                <w:left w:val="none" w:sz="0" w:space="0" w:color="auto"/>
                                <w:bottom w:val="none" w:sz="0" w:space="0" w:color="auto"/>
                                <w:right w:val="none" w:sz="0" w:space="0" w:color="auto"/>
                              </w:divBdr>
                            </w:div>
                            <w:div w:id="1895580530">
                              <w:marLeft w:val="0"/>
                              <w:marRight w:val="0"/>
                              <w:marTop w:val="0"/>
                              <w:marBottom w:val="0"/>
                              <w:divBdr>
                                <w:top w:val="none" w:sz="0" w:space="0" w:color="auto"/>
                                <w:left w:val="none" w:sz="0" w:space="0" w:color="auto"/>
                                <w:bottom w:val="none" w:sz="0" w:space="0" w:color="auto"/>
                                <w:right w:val="none" w:sz="0" w:space="0" w:color="auto"/>
                              </w:divBdr>
                            </w:div>
                            <w:div w:id="92554664">
                              <w:marLeft w:val="0"/>
                              <w:marRight w:val="0"/>
                              <w:marTop w:val="0"/>
                              <w:marBottom w:val="0"/>
                              <w:divBdr>
                                <w:top w:val="none" w:sz="0" w:space="0" w:color="auto"/>
                                <w:left w:val="none" w:sz="0" w:space="0" w:color="auto"/>
                                <w:bottom w:val="none" w:sz="0" w:space="0" w:color="auto"/>
                                <w:right w:val="none" w:sz="0" w:space="0" w:color="auto"/>
                              </w:divBdr>
                            </w:div>
                            <w:div w:id="1713532074">
                              <w:marLeft w:val="0"/>
                              <w:marRight w:val="0"/>
                              <w:marTop w:val="0"/>
                              <w:marBottom w:val="0"/>
                              <w:divBdr>
                                <w:top w:val="none" w:sz="0" w:space="0" w:color="auto"/>
                                <w:left w:val="none" w:sz="0" w:space="0" w:color="auto"/>
                                <w:bottom w:val="none" w:sz="0" w:space="0" w:color="auto"/>
                                <w:right w:val="none" w:sz="0" w:space="0" w:color="auto"/>
                              </w:divBdr>
                            </w:div>
                            <w:div w:id="14303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611022">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grissom@tn.gov" TargetMode="External"/><Relationship Id="rId3" Type="http://schemas.openxmlformats.org/officeDocument/2006/relationships/settings" Target="settings.xml"/><Relationship Id="rId7" Type="http://schemas.openxmlformats.org/officeDocument/2006/relationships/hyperlink" Target="mailto:memory.little@t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text-idx?SID=824d48598c00df9987e94d2c14bb009e&amp;mc=true&amp;tpl=/ecfrbrowse/Title12/12cfr708b_main_02.tp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ations.tnsosfiles.com/rules/0180/0180-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Memory Little</dc:creator>
  <cp:lastModifiedBy>Memory Little</cp:lastModifiedBy>
  <cp:revision>3</cp:revision>
  <dcterms:created xsi:type="dcterms:W3CDTF">2018-07-10T19:40:00Z</dcterms:created>
  <dcterms:modified xsi:type="dcterms:W3CDTF">2019-12-17T19:10:00Z</dcterms:modified>
</cp:coreProperties>
</file>