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A64" w:rsidRPr="008534A8" w:rsidRDefault="008534A8">
      <w:pPr>
        <w:rPr>
          <w:b/>
          <w:sz w:val="32"/>
          <w:szCs w:val="32"/>
        </w:rPr>
      </w:pPr>
      <w:r w:rsidRPr="008534A8">
        <w:rPr>
          <w:b/>
          <w:sz w:val="32"/>
          <w:szCs w:val="32"/>
        </w:rPr>
        <w:t>FSCM&gt;GENERAL LEDGER&gt;GENERAL REPORTS&gt;TRIAL BALANCE</w:t>
      </w:r>
    </w:p>
    <w:p w:rsidR="00365A64" w:rsidRDefault="00365A64"/>
    <w:p w:rsidR="00082C21" w:rsidRDefault="00096C2B">
      <w:r>
        <w:rPr>
          <w:noProof/>
        </w:rPr>
        <w:drawing>
          <wp:inline distT="0" distB="0" distL="0" distR="0">
            <wp:extent cx="5943600" cy="445198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4A2" w:rsidRDefault="00063998">
      <w:r>
        <w:rPr>
          <w:noProof/>
        </w:rPr>
        <w:lastRenderedPageBreak/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5" type="#_x0000_t66" style="position:absolute;margin-left:230.55pt;margin-top:77.15pt;width:47.15pt;height:12pt;z-index:251666432" fillcolor="red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288.85pt;margin-top:253.7pt;width:63.45pt;height:54.9pt;z-index:251665408">
            <v:textbox>
              <w:txbxContent>
                <w:p w:rsidR="008534A8" w:rsidRPr="008534A8" w:rsidRDefault="008534A8">
                  <w:pPr>
                    <w:rPr>
                      <w:b/>
                      <w:color w:val="FF0000"/>
                    </w:rPr>
                  </w:pPr>
                  <w:r w:rsidRPr="008534A8">
                    <w:rPr>
                      <w:b/>
                      <w:color w:val="FF0000"/>
                    </w:rPr>
                    <w:t xml:space="preserve">2. Make </w:t>
                  </w:r>
                  <w:proofErr w:type="spellStart"/>
                  <w:r w:rsidRPr="008534A8">
                    <w:rPr>
                      <w:b/>
                      <w:color w:val="FF0000"/>
                    </w:rPr>
                    <w:t>Chartfield</w:t>
                  </w:r>
                  <w:proofErr w:type="spellEnd"/>
                  <w:r w:rsidRPr="008534A8">
                    <w:rPr>
                      <w:b/>
                      <w:color w:val="FF0000"/>
                    </w:rPr>
                    <w:t xml:space="preserve"> Selections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288.85pt;margin-top:133.7pt;width:71.15pt;height:47.15pt;z-index:251664384">
            <v:textbox>
              <w:txbxContent>
                <w:p w:rsidR="008534A8" w:rsidRDefault="008534A8">
                  <w:r w:rsidRPr="008534A8">
                    <w:rPr>
                      <w:b/>
                      <w:color w:val="FF0000"/>
                    </w:rPr>
                    <w:t>1. Select</w:t>
                  </w:r>
                  <w:r>
                    <w:t xml:space="preserve"> </w:t>
                  </w:r>
                  <w:r w:rsidRPr="008534A8">
                    <w:rPr>
                      <w:b/>
                      <w:color w:val="FF0000"/>
                    </w:rPr>
                    <w:t>Parameters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31" type="#_x0000_t88" style="position:absolute;margin-left:258pt;margin-top:220.3pt;width:24pt;height:121.7pt;z-index:251663360">
            <v:textbox>
              <w:txbxContent>
                <w:p w:rsidR="008534A8" w:rsidRPr="008534A8" w:rsidRDefault="008534A8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0" type="#_x0000_t88" style="position:absolute;margin-left:265.7pt;margin-top:114.85pt;width:12pt;height:1in;z-index:251662336">
            <v:textbox>
              <w:txbxContent>
                <w:p w:rsidR="008534A8" w:rsidRPr="008534A8" w:rsidRDefault="008534A8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="00D844A2">
        <w:rPr>
          <w:noProof/>
        </w:rPr>
        <w:drawing>
          <wp:inline distT="0" distB="0" distL="0" distR="0">
            <wp:extent cx="6071870" cy="4970623"/>
            <wp:effectExtent l="19050" t="0" r="508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499" cy="497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4A2" w:rsidRDefault="00D844A2">
      <w:r>
        <w:t>Unit: Defaults to your BU</w:t>
      </w:r>
    </w:p>
    <w:p w:rsidR="00D844A2" w:rsidRDefault="00D844A2">
      <w:r>
        <w:t>Ledger: Defaults to ACTUALS</w:t>
      </w:r>
    </w:p>
    <w:p w:rsidR="00D844A2" w:rsidRDefault="00D844A2">
      <w:r>
        <w:t>Fiscal Year: Fiscal year you wish to report on</w:t>
      </w:r>
    </w:p>
    <w:p w:rsidR="00D844A2" w:rsidRDefault="00D844A2">
      <w:r>
        <w:t>Period: Enter the period to which you would like to see data</w:t>
      </w:r>
    </w:p>
    <w:p w:rsidR="00D844A2" w:rsidRDefault="00D844A2">
      <w:r>
        <w:t>Currency Option: Defaults to Base</w:t>
      </w:r>
    </w:p>
    <w:p w:rsidR="00D844A2" w:rsidRDefault="00D844A2">
      <w:r>
        <w:t>Currency:  Leave blank</w:t>
      </w:r>
    </w:p>
    <w:p w:rsidR="00D844A2" w:rsidRDefault="00D844A2">
      <w:r>
        <w:t>Display Full Numeric Field box should be checked</w:t>
      </w:r>
    </w:p>
    <w:p w:rsidR="00D844A2" w:rsidRDefault="00D844A2">
      <w:r>
        <w:t>Adjustment Period: Enter adjustment period</w:t>
      </w:r>
      <w:r w:rsidR="00365A64">
        <w:t>(</w:t>
      </w:r>
      <w:r>
        <w:t>s</w:t>
      </w:r>
      <w:r w:rsidR="00365A64">
        <w:t>)</w:t>
      </w:r>
      <w:r>
        <w:t xml:space="preserve"> to include in report</w:t>
      </w:r>
    </w:p>
    <w:p w:rsidR="00096C2B" w:rsidRDefault="00096C2B"/>
    <w:p w:rsidR="00096C2B" w:rsidRDefault="00096C2B"/>
    <w:p w:rsidR="00096C2B" w:rsidRDefault="00063998">
      <w:r>
        <w:rPr>
          <w:noProof/>
        </w:rPr>
        <w:lastRenderedPageBreak/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8" type="#_x0000_t68" style="position:absolute;margin-left:6pt;margin-top:223.7pt;width:16.3pt;height:39.45pt;z-index:251660288" fillcolor="red"/>
        </w:pict>
      </w:r>
      <w:r w:rsidR="00096C2B">
        <w:rPr>
          <w:noProof/>
        </w:rPr>
        <w:drawing>
          <wp:inline distT="0" distB="0" distL="0" distR="0">
            <wp:extent cx="5943600" cy="445198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CB4" w:rsidRDefault="00063998">
      <w:r>
        <w:rPr>
          <w:noProof/>
        </w:rPr>
        <w:lastRenderedPageBreak/>
        <w:pict>
          <v:shape id="_x0000_s1027" type="#_x0000_t66" style="position:absolute;margin-left:351.55pt;margin-top:165.35pt;width:35.65pt;height:15.9pt;rotation:1477894fd;z-index:251659264" fillcolor="red"/>
        </w:pict>
      </w:r>
      <w:r w:rsidR="00356CB4" w:rsidRPr="00356CB4">
        <w:rPr>
          <w:noProof/>
        </w:rPr>
        <w:drawing>
          <wp:inline distT="0" distB="0" distL="0" distR="0">
            <wp:extent cx="5943600" cy="4451985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CB4" w:rsidRDefault="00063998">
      <w:r>
        <w:rPr>
          <w:noProof/>
        </w:rPr>
        <w:lastRenderedPageBreak/>
        <w:pict>
          <v:shape id="_x0000_s1026" type="#_x0000_t66" style="position:absolute;margin-left:208.3pt;margin-top:241.8pt;width:38.7pt;height:12.7pt;rotation:390512fd;z-index:251658240" fillcolor="red"/>
        </w:pict>
      </w:r>
      <w:r w:rsidR="00356CB4">
        <w:rPr>
          <w:noProof/>
        </w:rPr>
        <w:drawing>
          <wp:inline distT="0" distB="0" distL="0" distR="0">
            <wp:extent cx="5943600" cy="4451985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CB4" w:rsidRDefault="00063998">
      <w:r>
        <w:rPr>
          <w:noProof/>
        </w:rPr>
        <w:lastRenderedPageBreak/>
        <w:pict>
          <v:shape id="_x0000_s1029" type="#_x0000_t66" style="position:absolute;margin-left:66pt;margin-top:189.45pt;width:37.7pt;height:10.25pt;z-index:251661312" fillcolor="red"/>
        </w:pict>
      </w:r>
      <w:r w:rsidR="00356CB4">
        <w:rPr>
          <w:noProof/>
        </w:rPr>
        <w:drawing>
          <wp:inline distT="0" distB="0" distL="0" distR="0">
            <wp:extent cx="5943600" cy="4451985"/>
            <wp:effectExtent l="1905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54B" w:rsidRDefault="00F8554B">
      <w:r>
        <w:rPr>
          <w:noProof/>
        </w:rPr>
        <w:lastRenderedPageBreak/>
        <w:drawing>
          <wp:inline distT="0" distB="0" distL="0" distR="0">
            <wp:extent cx="5932805" cy="4419600"/>
            <wp:effectExtent l="1905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8D1" w:rsidRDefault="00B258D1"/>
    <w:p w:rsidR="004D6D9C" w:rsidRDefault="004D6D9C"/>
    <w:p w:rsidR="004D6D9C" w:rsidRDefault="004D6D9C"/>
    <w:p w:rsidR="004D6D9C" w:rsidRDefault="004D6D9C"/>
    <w:p w:rsidR="004D6D9C" w:rsidRDefault="004D6D9C"/>
    <w:p w:rsidR="004D6D9C" w:rsidRDefault="004D6D9C"/>
    <w:p w:rsidR="004D6D9C" w:rsidRDefault="004D6D9C"/>
    <w:p w:rsidR="004D6D9C" w:rsidRDefault="004D6D9C"/>
    <w:p w:rsidR="004D6D9C" w:rsidRDefault="004D6D9C"/>
    <w:p w:rsidR="004D6D9C" w:rsidRDefault="004D6D9C"/>
    <w:p w:rsidR="004D6D9C" w:rsidRDefault="004D6D9C"/>
    <w:p w:rsidR="00B258D1" w:rsidRPr="004D6D9C" w:rsidRDefault="00B258D1">
      <w:pPr>
        <w:rPr>
          <w:b/>
          <w:sz w:val="32"/>
          <w:szCs w:val="32"/>
        </w:rPr>
      </w:pPr>
      <w:r w:rsidRPr="004D6D9C">
        <w:rPr>
          <w:b/>
          <w:sz w:val="32"/>
          <w:szCs w:val="32"/>
        </w:rPr>
        <w:lastRenderedPageBreak/>
        <w:t>FSCM Reporting Tools&gt;FSCM Schedule Query</w:t>
      </w:r>
    </w:p>
    <w:p w:rsidR="00B258D1" w:rsidRDefault="00B258D1"/>
    <w:p w:rsidR="00B258D1" w:rsidRDefault="00B258D1">
      <w:r>
        <w:rPr>
          <w:noProof/>
        </w:rPr>
        <w:drawing>
          <wp:inline distT="0" distB="0" distL="0" distR="0">
            <wp:extent cx="5943600" cy="4451985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D9C" w:rsidRDefault="00063998">
      <w:r>
        <w:rPr>
          <w:noProof/>
        </w:rPr>
        <w:lastRenderedPageBreak/>
        <w:pict>
          <v:shape id="_x0000_s1041" type="#_x0000_t66" style="position:absolute;margin-left:296.85pt;margin-top:86.55pt;width:41.7pt;height:20.6pt;z-index:251671552" fillcolor="red"/>
        </w:pict>
      </w:r>
      <w:r>
        <w:rPr>
          <w:noProof/>
        </w:rPr>
        <w:pict>
          <v:shape id="_x0000_s1040" type="#_x0000_t202" style="position:absolute;margin-left:301.75pt;margin-top:176.55pt;width:1in;height:40.3pt;z-index:251670528">
            <v:textbox>
              <w:txbxContent>
                <w:p w:rsidR="004D6D9C" w:rsidRPr="004D6D9C" w:rsidRDefault="004D6D9C">
                  <w:pPr>
                    <w:rPr>
                      <w:b/>
                      <w:color w:val="FF0000"/>
                    </w:rPr>
                  </w:pPr>
                  <w:r w:rsidRPr="004D6D9C">
                    <w:rPr>
                      <w:b/>
                      <w:color w:val="FF0000"/>
                    </w:rPr>
                    <w:t>Specify Parameters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88" style="position:absolute;margin-left:285.4pt;margin-top:157.75pt;width:12pt;height:1in;z-index:251669504">
            <v:textbox>
              <w:txbxContent>
                <w:p w:rsidR="004D6D9C" w:rsidRDefault="004D6D9C"/>
              </w:txbxContent>
            </v:textbox>
          </v:shape>
        </w:pict>
      </w:r>
      <w:r w:rsidR="004D6D9C">
        <w:rPr>
          <w:noProof/>
        </w:rPr>
        <w:drawing>
          <wp:inline distT="0" distB="0" distL="0" distR="0">
            <wp:extent cx="5943600" cy="4451985"/>
            <wp:effectExtent l="19050" t="0" r="0" b="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8D1" w:rsidRDefault="00B258D1"/>
    <w:p w:rsidR="00B258D1" w:rsidRDefault="00063998">
      <w:r>
        <w:rPr>
          <w:noProof/>
        </w:rPr>
        <w:lastRenderedPageBreak/>
        <w:pict>
          <v:shape id="_x0000_s1044" type="#_x0000_t68" style="position:absolute;margin-left:3.45pt;margin-top:222pt;width:24.85pt;height:36.85pt;z-index:251672576" fillcolor="red"/>
        </w:pict>
      </w:r>
      <w:r w:rsidR="00B258D1">
        <w:rPr>
          <w:noProof/>
        </w:rPr>
        <w:drawing>
          <wp:inline distT="0" distB="0" distL="0" distR="0">
            <wp:extent cx="5943600" cy="4451985"/>
            <wp:effectExtent l="1905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8D1" w:rsidRDefault="00063998">
      <w:r>
        <w:rPr>
          <w:noProof/>
        </w:rPr>
        <w:lastRenderedPageBreak/>
        <w:pict>
          <v:shape id="_x0000_s1045" type="#_x0000_t66" style="position:absolute;margin-left:357.45pt;margin-top:160.3pt;width:46.3pt;height:10.25pt;z-index:251673600" fillcolor="red"/>
        </w:pict>
      </w:r>
      <w:r w:rsidR="00B258D1">
        <w:rPr>
          <w:noProof/>
        </w:rPr>
        <w:drawing>
          <wp:inline distT="0" distB="0" distL="0" distR="0">
            <wp:extent cx="5943600" cy="4451985"/>
            <wp:effectExtent l="1905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D9C" w:rsidRDefault="00063998">
      <w:r>
        <w:rPr>
          <w:noProof/>
        </w:rPr>
        <w:lastRenderedPageBreak/>
        <w:pict>
          <v:shape id="_x0000_s1046" type="#_x0000_t66" style="position:absolute;margin-left:215.15pt;margin-top:240pt;width:38.55pt;height:11.25pt;z-index:251674624" fillcolor="red"/>
        </w:pict>
      </w:r>
      <w:r w:rsidR="004D6D9C">
        <w:rPr>
          <w:noProof/>
        </w:rPr>
        <w:drawing>
          <wp:inline distT="0" distB="0" distL="0" distR="0">
            <wp:extent cx="5943600" cy="4451985"/>
            <wp:effectExtent l="19050" t="0" r="0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D9C" w:rsidRDefault="00063998">
      <w:r>
        <w:rPr>
          <w:noProof/>
        </w:rPr>
        <w:lastRenderedPageBreak/>
        <w:pict>
          <v:shape id="_x0000_s1047" type="#_x0000_t66" style="position:absolute;margin-left:117.25pt;margin-top:197.45pt;width:40.15pt;height:12.75pt;rotation:1279460fd;z-index:251675648" fillcolor="red"/>
        </w:pict>
      </w:r>
      <w:r w:rsidR="004D6D9C">
        <w:rPr>
          <w:noProof/>
        </w:rPr>
        <w:drawing>
          <wp:inline distT="0" distB="0" distL="0" distR="0">
            <wp:extent cx="5943600" cy="4451985"/>
            <wp:effectExtent l="19050" t="0" r="0" b="0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F82" w:rsidRDefault="00A07F82"/>
    <w:p w:rsidR="00A07F82" w:rsidRDefault="00A07F82"/>
    <w:p w:rsidR="00A07F82" w:rsidRDefault="00A07F82"/>
    <w:p w:rsidR="00A07F82" w:rsidRDefault="00A07F82"/>
    <w:p w:rsidR="00A07F82" w:rsidRDefault="00A07F82"/>
    <w:p w:rsidR="00A07F82" w:rsidRDefault="00A07F82"/>
    <w:p w:rsidR="00A07F82" w:rsidRDefault="00A07F82"/>
    <w:p w:rsidR="00A07F82" w:rsidRDefault="00A07F82"/>
    <w:p w:rsidR="00A07F82" w:rsidRDefault="00A07F82"/>
    <w:p w:rsidR="00A07F82" w:rsidRDefault="00A07F82"/>
    <w:p w:rsidR="00A07F82" w:rsidRDefault="00A07F82"/>
    <w:p w:rsidR="00A07F82" w:rsidRPr="00A07F82" w:rsidRDefault="00A07F82">
      <w:pPr>
        <w:rPr>
          <w:b/>
          <w:sz w:val="32"/>
          <w:szCs w:val="32"/>
        </w:rPr>
      </w:pPr>
      <w:r w:rsidRPr="00A07F82">
        <w:rPr>
          <w:b/>
          <w:sz w:val="32"/>
          <w:szCs w:val="32"/>
        </w:rPr>
        <w:lastRenderedPageBreak/>
        <w:t>TO RESEARCH UNUSUAL BALANCES:</w:t>
      </w:r>
    </w:p>
    <w:p w:rsidR="00A07F82" w:rsidRDefault="00A07F82"/>
    <w:p w:rsidR="00A07F82" w:rsidRDefault="00A07F82" w:rsidP="00A07F82">
      <w:pPr>
        <w:rPr>
          <w:b/>
          <w:sz w:val="32"/>
          <w:szCs w:val="32"/>
        </w:rPr>
      </w:pPr>
      <w:r w:rsidRPr="00A07F82">
        <w:rPr>
          <w:b/>
          <w:sz w:val="32"/>
          <w:szCs w:val="32"/>
        </w:rPr>
        <w:t>FSCM&gt;General Ledger&gt;General Reports&gt;Ledger Activity</w:t>
      </w:r>
    </w:p>
    <w:p w:rsidR="00A07F82" w:rsidRDefault="00A07F82" w:rsidP="00A07F82">
      <w:pPr>
        <w:rPr>
          <w:sz w:val="32"/>
          <w:szCs w:val="32"/>
        </w:rPr>
      </w:pPr>
      <w:r>
        <w:rPr>
          <w:sz w:val="32"/>
          <w:szCs w:val="32"/>
        </w:rPr>
        <w:t xml:space="preserve">Can typically be run to </w:t>
      </w:r>
      <w:proofErr w:type="spellStart"/>
      <w:r>
        <w:rPr>
          <w:sz w:val="32"/>
          <w:szCs w:val="32"/>
        </w:rPr>
        <w:t>csv</w:t>
      </w:r>
      <w:proofErr w:type="spellEnd"/>
      <w:r>
        <w:rPr>
          <w:sz w:val="32"/>
          <w:szCs w:val="32"/>
        </w:rPr>
        <w:t xml:space="preserve"> format and opened in Excel without much “</w:t>
      </w:r>
      <w:proofErr w:type="spellStart"/>
      <w:r>
        <w:rPr>
          <w:sz w:val="32"/>
          <w:szCs w:val="32"/>
        </w:rPr>
        <w:t>clean up</w:t>
      </w:r>
      <w:proofErr w:type="spellEnd"/>
      <w:r>
        <w:rPr>
          <w:sz w:val="32"/>
          <w:szCs w:val="32"/>
        </w:rPr>
        <w:t>”</w:t>
      </w:r>
    </w:p>
    <w:p w:rsidR="00A07F82" w:rsidRDefault="00A07F82" w:rsidP="00A07F82">
      <w:pPr>
        <w:rPr>
          <w:sz w:val="32"/>
          <w:szCs w:val="32"/>
        </w:rPr>
      </w:pPr>
    </w:p>
    <w:p w:rsidR="00A07F82" w:rsidRDefault="00A07F82" w:rsidP="00A07F82">
      <w:pPr>
        <w:rPr>
          <w:sz w:val="32"/>
          <w:szCs w:val="32"/>
        </w:rPr>
      </w:pPr>
      <w:r>
        <w:rPr>
          <w:sz w:val="32"/>
          <w:szCs w:val="32"/>
        </w:rPr>
        <w:t>Public queries:</w:t>
      </w:r>
    </w:p>
    <w:p w:rsidR="00A07F82" w:rsidRPr="00A07F82" w:rsidRDefault="00A07F82" w:rsidP="00A07F82">
      <w:pPr>
        <w:rPr>
          <w:b/>
          <w:sz w:val="32"/>
          <w:szCs w:val="32"/>
        </w:rPr>
      </w:pPr>
      <w:r w:rsidRPr="00A07F82">
        <w:rPr>
          <w:b/>
          <w:sz w:val="32"/>
          <w:szCs w:val="32"/>
        </w:rPr>
        <w:t>TN_GL65_ASSET_ENTRIES_PD</w:t>
      </w:r>
    </w:p>
    <w:p w:rsidR="00A07F82" w:rsidRPr="00A07F82" w:rsidRDefault="00A07F82" w:rsidP="00A07F82">
      <w:pPr>
        <w:rPr>
          <w:b/>
          <w:sz w:val="32"/>
          <w:szCs w:val="32"/>
        </w:rPr>
      </w:pPr>
      <w:r w:rsidRPr="00A07F82">
        <w:rPr>
          <w:b/>
          <w:sz w:val="32"/>
          <w:szCs w:val="32"/>
        </w:rPr>
        <w:t>TN_GL66_LIABILITY_ENTRIES_PD</w:t>
      </w:r>
    </w:p>
    <w:p w:rsidR="00A07F82" w:rsidRPr="00651431" w:rsidRDefault="00A07F82" w:rsidP="00A07F82">
      <w:pPr>
        <w:rPr>
          <w:sz w:val="32"/>
          <w:szCs w:val="32"/>
        </w:rPr>
      </w:pPr>
      <w:r>
        <w:rPr>
          <w:sz w:val="32"/>
          <w:szCs w:val="32"/>
        </w:rPr>
        <w:t>(For those of you who were around in the legacy days, these generally mimic the STARS 816 and 818 reports)</w:t>
      </w:r>
    </w:p>
    <w:p w:rsidR="00A07F82" w:rsidRDefault="00A07F82"/>
    <w:p w:rsidR="00A07F82" w:rsidRDefault="00A07F82"/>
    <w:p w:rsidR="00A07F82" w:rsidRDefault="00A07F82"/>
    <w:sectPr w:rsidR="00A07F82" w:rsidSect="00082C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20"/>
  <w:characterSpacingControl w:val="doNotCompress"/>
  <w:compat/>
  <w:rsids>
    <w:rsidRoot w:val="00096C2B"/>
    <w:rsid w:val="00063998"/>
    <w:rsid w:val="00082C21"/>
    <w:rsid w:val="00096C2B"/>
    <w:rsid w:val="00356CB4"/>
    <w:rsid w:val="00365A64"/>
    <w:rsid w:val="004D6D9C"/>
    <w:rsid w:val="00706331"/>
    <w:rsid w:val="0075461F"/>
    <w:rsid w:val="00785138"/>
    <w:rsid w:val="007902A7"/>
    <w:rsid w:val="008534A8"/>
    <w:rsid w:val="00A07F82"/>
    <w:rsid w:val="00A66043"/>
    <w:rsid w:val="00B258D1"/>
    <w:rsid w:val="00D844A2"/>
    <w:rsid w:val="00F8554B"/>
    <w:rsid w:val="00FE7B35"/>
    <w:rsid w:val="00FF40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C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6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C2B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365A6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8534A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14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Finance and Administration</Company>
  <LinksUpToDate>false</LinksUpToDate>
  <CharactersWithSpaces>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State of Tennessee</dc:creator>
  <cp:keywords/>
  <dc:description/>
  <cp:lastModifiedBy>State of Tennessee</cp:lastModifiedBy>
  <cp:revision>3</cp:revision>
  <cp:lastPrinted>2011-02-24T16:00:00Z</cp:lastPrinted>
  <dcterms:created xsi:type="dcterms:W3CDTF">2011-02-21T17:18:00Z</dcterms:created>
  <dcterms:modified xsi:type="dcterms:W3CDTF">2011-02-24T16:00:00Z</dcterms:modified>
</cp:coreProperties>
</file>