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A8" w:rsidRPr="00411131" w:rsidRDefault="00957FA8" w:rsidP="005C1095">
      <w:pPr>
        <w:rPr>
          <w:rFonts w:ascii="Times" w:hAnsi="Times"/>
          <w:b/>
          <w:sz w:val="32"/>
          <w:szCs w:val="32"/>
          <w:u w:val="thick"/>
        </w:rPr>
      </w:pPr>
      <w:bookmarkStart w:id="0" w:name="_GoBack"/>
      <w:bookmarkEnd w:id="0"/>
      <w:r w:rsidRPr="00411131">
        <w:rPr>
          <w:rFonts w:ascii="Times" w:hAnsi="Times"/>
          <w:b/>
          <w:sz w:val="32"/>
          <w:szCs w:val="32"/>
          <w:u w:val="thick"/>
        </w:rPr>
        <w:t>Source Codes</w:t>
      </w:r>
    </w:p>
    <w:p w:rsidR="00957FA8" w:rsidRPr="00133773" w:rsidRDefault="00957FA8" w:rsidP="005C1095">
      <w:pPr>
        <w:rPr>
          <w:sz w:val="28"/>
          <w:szCs w:val="28"/>
        </w:rPr>
      </w:pPr>
      <w:r w:rsidRPr="00133773">
        <w:rPr>
          <w:sz w:val="28"/>
          <w:szCs w:val="28"/>
        </w:rPr>
        <w:t>Purpose</w:t>
      </w:r>
    </w:p>
    <w:p w:rsidR="00957FA8" w:rsidRPr="00133773" w:rsidRDefault="00957FA8" w:rsidP="005C1095">
      <w:pPr>
        <w:rPr>
          <w:sz w:val="24"/>
          <w:szCs w:val="24"/>
        </w:rPr>
      </w:pPr>
      <w:r w:rsidRPr="00133773">
        <w:rPr>
          <w:sz w:val="24"/>
          <w:szCs w:val="24"/>
        </w:rPr>
        <w:t>This job aid gives users a listing of the source codes available for use when creating journals in the General Ledger.  Not all source codes will or should be used by all business units.  For example, source code DA is only used by Division of Accounts.</w:t>
      </w:r>
    </w:p>
    <w:tbl>
      <w:tblPr>
        <w:tblW w:w="4260" w:type="dxa"/>
        <w:tblInd w:w="93" w:type="dxa"/>
        <w:tblLook w:val="0000" w:firstRow="0" w:lastRow="0" w:firstColumn="0" w:lastColumn="0" w:noHBand="0" w:noVBand="0"/>
      </w:tblPr>
      <w:tblGrid>
        <w:gridCol w:w="960"/>
        <w:gridCol w:w="3300"/>
      </w:tblGrid>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u w:val="single"/>
              </w:rPr>
            </w:pPr>
            <w:r w:rsidRPr="00346058">
              <w:rPr>
                <w:rFonts w:cs="Arial"/>
                <w:u w:val="single"/>
              </w:rPr>
              <w:t>Source</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u w:val="single"/>
              </w:rPr>
            </w:pPr>
            <w:r w:rsidRPr="00346058">
              <w:rPr>
                <w:rFonts w:cs="Arial"/>
                <w:u w:val="single"/>
              </w:rPr>
              <w:t>Description</w:t>
            </w:r>
          </w:p>
        </w:tc>
      </w:tr>
      <w:tr w:rsidR="00957FA8" w:rsidRPr="00346058" w:rsidTr="00346058">
        <w:trPr>
          <w:trHeight w:val="229"/>
        </w:trPr>
        <w:tc>
          <w:tcPr>
            <w:tcW w:w="960" w:type="dxa"/>
            <w:tcBorders>
              <w:top w:val="nil"/>
              <w:left w:val="nil"/>
              <w:bottom w:val="nil"/>
              <w:right w:val="nil"/>
            </w:tcBorders>
            <w:noWrap/>
            <w:vAlign w:val="bottom"/>
          </w:tcPr>
          <w:p w:rsidR="00957FA8" w:rsidRPr="001C0DBC" w:rsidRDefault="001C0DBC" w:rsidP="00346058">
            <w:pPr>
              <w:spacing w:after="0" w:line="240" w:lineRule="auto"/>
              <w:rPr>
                <w:rFonts w:cs="Arial"/>
                <w:b/>
              </w:rPr>
            </w:pPr>
            <w:r w:rsidRPr="001C0DBC">
              <w:rPr>
                <w:rFonts w:cs="Arial"/>
                <w:b/>
              </w:rPr>
              <w:t>AG</w:t>
            </w:r>
            <w:r>
              <w:rPr>
                <w:rFonts w:cs="Arial"/>
                <w:b/>
              </w:rPr>
              <w:t xml:space="preserve"> *</w:t>
            </w:r>
            <w:r w:rsidRPr="001C0DBC">
              <w:rPr>
                <w:rFonts w:cs="Arial"/>
                <w:b/>
              </w:rPr>
              <w:t xml:space="preserve">               </w:t>
            </w:r>
          </w:p>
        </w:tc>
        <w:tc>
          <w:tcPr>
            <w:tcW w:w="3300" w:type="dxa"/>
            <w:tcBorders>
              <w:top w:val="nil"/>
              <w:left w:val="nil"/>
              <w:bottom w:val="nil"/>
              <w:right w:val="nil"/>
            </w:tcBorders>
            <w:noWrap/>
            <w:vAlign w:val="bottom"/>
          </w:tcPr>
          <w:p w:rsidR="00957FA8" w:rsidRPr="00346058" w:rsidRDefault="001C0DBC" w:rsidP="00346058">
            <w:pPr>
              <w:spacing w:after="0" w:line="240" w:lineRule="auto"/>
              <w:rPr>
                <w:rFonts w:cs="Arial"/>
              </w:rPr>
            </w:pPr>
            <w:r>
              <w:rPr>
                <w:rFonts w:cs="Arial"/>
              </w:rPr>
              <w:t>Agency Only Approval Journals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smartTag w:uri="urn:schemas-microsoft-com:office:smarttags" w:element="place">
              <w:smartTag w:uri="urn:schemas-microsoft-com:office:smarttags" w:element="State">
                <w:r w:rsidRPr="00346058">
                  <w:rPr>
                    <w:rFonts w:cs="Arial"/>
                  </w:rPr>
                  <w:t>AL</w:t>
                </w:r>
              </w:smartTag>
            </w:smartTag>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Allocation Process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AM</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Assets Management</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AP</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Accounts Payable</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AR</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Accounts Receivable</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BA</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Balances from STARS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BI</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Billing</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CL</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Closing Process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CM</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Cash Management</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CN</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Contracts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DA</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Division of Accounts Approval</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b/>
                <w:bCs/>
              </w:rPr>
            </w:pPr>
            <w:r w:rsidRPr="00346058">
              <w:rPr>
                <w:rFonts w:cs="Arial"/>
                <w:b/>
                <w:bCs/>
              </w:rPr>
              <w:t>EX *</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External Application</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FM</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Fleet Management</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GM</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Grants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IN</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Inventory</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b/>
                <w:bCs/>
              </w:rPr>
            </w:pPr>
            <w:r w:rsidRPr="00346058">
              <w:rPr>
                <w:rFonts w:cs="Arial"/>
                <w:b/>
                <w:bCs/>
              </w:rPr>
              <w:t>IU *</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Inter-Unit Transaction</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b/>
                <w:bCs/>
              </w:rPr>
            </w:pPr>
            <w:r w:rsidRPr="00346058">
              <w:rPr>
                <w:rFonts w:cs="Arial"/>
                <w:b/>
                <w:bCs/>
              </w:rPr>
              <w:t>JV *</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Online Journal Voucher</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KK</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Commitment Control Journals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b/>
                <w:bCs/>
              </w:rPr>
            </w:pPr>
            <w:r w:rsidRPr="00346058">
              <w:rPr>
                <w:rFonts w:cs="Arial"/>
                <w:b/>
                <w:bCs/>
              </w:rPr>
              <w:t>LA *</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Accrued Liabilities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LM</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smartTag w:uri="urn:schemas-microsoft-com:office:smarttags" w:element="City">
              <w:r w:rsidRPr="00346058">
                <w:rPr>
                  <w:rFonts w:cs="Arial"/>
                </w:rPr>
                <w:t>Enterprise</w:t>
              </w:r>
            </w:smartTag>
            <w:r w:rsidRPr="00346058">
              <w:rPr>
                <w:rFonts w:cs="Arial"/>
              </w:rPr>
              <w:t xml:space="preserve"> Learning Management</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b/>
                <w:bCs/>
              </w:rPr>
            </w:pPr>
            <w:r w:rsidRPr="00346058">
              <w:rPr>
                <w:rFonts w:cs="Arial"/>
                <w:b/>
                <w:bCs/>
              </w:rPr>
              <w:t>MU *</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Multi-Unit Transactions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PM</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Plant Management</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PR</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Project Costing</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PY</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Payroll</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b/>
                <w:bCs/>
              </w:rPr>
            </w:pPr>
            <w:r w:rsidRPr="00346058">
              <w:rPr>
                <w:rFonts w:cs="Arial"/>
                <w:b/>
                <w:bCs/>
              </w:rPr>
              <w:t>RA *</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Accrued Revenue</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RV</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PS exp to STARS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TR</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Transactions from STARS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TV</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Travel (Expenses)</w:t>
            </w:r>
          </w:p>
        </w:tc>
      </w:tr>
      <w:tr w:rsidR="00957FA8" w:rsidRPr="00346058" w:rsidTr="00346058">
        <w:trPr>
          <w:trHeight w:val="229"/>
        </w:trPr>
        <w:tc>
          <w:tcPr>
            <w:tcW w:w="96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YA</w:t>
            </w:r>
          </w:p>
        </w:tc>
        <w:tc>
          <w:tcPr>
            <w:tcW w:w="3300" w:type="dxa"/>
            <w:tcBorders>
              <w:top w:val="nil"/>
              <w:left w:val="nil"/>
              <w:bottom w:val="nil"/>
              <w:right w:val="nil"/>
            </w:tcBorders>
            <w:noWrap/>
            <w:vAlign w:val="bottom"/>
          </w:tcPr>
          <w:p w:rsidR="00957FA8" w:rsidRPr="00346058" w:rsidRDefault="00957FA8" w:rsidP="00346058">
            <w:pPr>
              <w:spacing w:after="0" w:line="240" w:lineRule="auto"/>
              <w:rPr>
                <w:rFonts w:cs="Arial"/>
              </w:rPr>
            </w:pPr>
            <w:r w:rsidRPr="00346058">
              <w:rPr>
                <w:rFonts w:cs="Arial"/>
              </w:rPr>
              <w:t>Year End Adjustments</w:t>
            </w:r>
          </w:p>
        </w:tc>
      </w:tr>
    </w:tbl>
    <w:p w:rsidR="00957FA8" w:rsidRDefault="00957FA8" w:rsidP="005C1095"/>
    <w:p w:rsidR="00957FA8" w:rsidRPr="00133773" w:rsidRDefault="00957FA8" w:rsidP="005C1095">
      <w:pPr>
        <w:rPr>
          <w:sz w:val="24"/>
          <w:szCs w:val="24"/>
        </w:rPr>
      </w:pPr>
      <w:r>
        <w:rPr>
          <w:sz w:val="24"/>
          <w:szCs w:val="24"/>
        </w:rPr>
        <w:t>(*</w:t>
      </w:r>
      <w:r w:rsidRPr="00133773">
        <w:rPr>
          <w:sz w:val="24"/>
          <w:szCs w:val="24"/>
        </w:rPr>
        <w:t>)  These source codes are commonly used for online entry.  Other source codes should not be used for online entry by business units without preapproval by Division of Accounts.</w:t>
      </w:r>
    </w:p>
    <w:p w:rsidR="00957FA8" w:rsidRDefault="00957FA8"/>
    <w:sectPr w:rsidR="00957FA8" w:rsidSect="00EC44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A8" w:rsidRDefault="00957FA8" w:rsidP="00A76F20">
      <w:pPr>
        <w:spacing w:after="0" w:line="240" w:lineRule="auto"/>
      </w:pPr>
      <w:r>
        <w:separator/>
      </w:r>
    </w:p>
  </w:endnote>
  <w:endnote w:type="continuationSeparator" w:id="0">
    <w:p w:rsidR="00957FA8" w:rsidRDefault="00957FA8" w:rsidP="00A7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A8" w:rsidRDefault="00E84A44" w:rsidP="00F02469">
    <w:pPr>
      <w:pStyle w:val="Footer"/>
      <w:pBdr>
        <w:top w:val="thinThickSmallGap" w:sz="24" w:space="1" w:color="622423"/>
      </w:pBdr>
      <w:tabs>
        <w:tab w:val="clear" w:pos="4680"/>
      </w:tabs>
      <w:rPr>
        <w:rFonts w:ascii="Cambria" w:hAnsi="Cambria"/>
      </w:rPr>
    </w:pPr>
    <w:r>
      <w:rPr>
        <w:noProof/>
      </w:rPr>
      <w:drawing>
        <wp:inline distT="0" distB="0" distL="0" distR="0">
          <wp:extent cx="409575" cy="45720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r w:rsidR="00957FA8">
      <w:rPr>
        <w:rFonts w:ascii="Cambria" w:hAnsi="Cambria"/>
      </w:rPr>
      <w:t xml:space="preserve">State of </w:t>
    </w:r>
    <w:smartTag w:uri="urn:schemas-microsoft-com:office:smarttags" w:element="State">
      <w:smartTag w:uri="urn:schemas-microsoft-com:office:smarttags" w:element="place">
        <w:r w:rsidR="00957FA8">
          <w:rPr>
            <w:rFonts w:ascii="Cambria" w:hAnsi="Cambria"/>
          </w:rPr>
          <w:t>Tennessee</w:t>
        </w:r>
      </w:smartTag>
    </w:smartTag>
    <w:r w:rsidR="00957FA8">
      <w:rPr>
        <w:rFonts w:ascii="Cambria" w:hAnsi="Cambria"/>
      </w:rPr>
      <w:tab/>
      <w:t xml:space="preserve">Page </w:t>
    </w:r>
    <w:r w:rsidR="008B7528">
      <w:fldChar w:fldCharType="begin"/>
    </w:r>
    <w:r w:rsidR="008B7528">
      <w:instrText xml:space="preserve"> PAGE   \* MERGEFORMAT </w:instrText>
    </w:r>
    <w:r w:rsidR="008B7528">
      <w:fldChar w:fldCharType="separate"/>
    </w:r>
    <w:r w:rsidRPr="00E84A44">
      <w:rPr>
        <w:rFonts w:ascii="Cambria" w:hAnsi="Cambria"/>
        <w:noProof/>
      </w:rPr>
      <w:t>1</w:t>
    </w:r>
    <w:r w:rsidR="008B7528">
      <w:rPr>
        <w:rFonts w:ascii="Cambria" w:hAnsi="Cambria"/>
        <w:noProof/>
      </w:rPr>
      <w:fldChar w:fldCharType="end"/>
    </w:r>
  </w:p>
  <w:p w:rsidR="00957FA8" w:rsidRDefault="00957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A8" w:rsidRDefault="00957FA8" w:rsidP="00A76F20">
      <w:pPr>
        <w:spacing w:after="0" w:line="240" w:lineRule="auto"/>
      </w:pPr>
      <w:r>
        <w:separator/>
      </w:r>
    </w:p>
  </w:footnote>
  <w:footnote w:type="continuationSeparator" w:id="0">
    <w:p w:rsidR="00957FA8" w:rsidRDefault="00957FA8" w:rsidP="00A76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20"/>
    <w:rsid w:val="000052B1"/>
    <w:rsid w:val="00097B99"/>
    <w:rsid w:val="00133773"/>
    <w:rsid w:val="001C0DBC"/>
    <w:rsid w:val="0028406B"/>
    <w:rsid w:val="002A1A4F"/>
    <w:rsid w:val="00346058"/>
    <w:rsid w:val="00411131"/>
    <w:rsid w:val="005250A4"/>
    <w:rsid w:val="005C1095"/>
    <w:rsid w:val="006F5828"/>
    <w:rsid w:val="00875307"/>
    <w:rsid w:val="008B7528"/>
    <w:rsid w:val="008D0553"/>
    <w:rsid w:val="008D1DBA"/>
    <w:rsid w:val="00957FA8"/>
    <w:rsid w:val="00A23F94"/>
    <w:rsid w:val="00A76F20"/>
    <w:rsid w:val="00B47FEE"/>
    <w:rsid w:val="00BD3164"/>
    <w:rsid w:val="00C00B6F"/>
    <w:rsid w:val="00CF78C7"/>
    <w:rsid w:val="00D07810"/>
    <w:rsid w:val="00E129DD"/>
    <w:rsid w:val="00E84A44"/>
    <w:rsid w:val="00EC4403"/>
    <w:rsid w:val="00F02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6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6F20"/>
    <w:rPr>
      <w:rFonts w:cs="Times New Roman"/>
    </w:rPr>
  </w:style>
  <w:style w:type="paragraph" w:styleId="Footer">
    <w:name w:val="footer"/>
    <w:basedOn w:val="Normal"/>
    <w:link w:val="FooterChar"/>
    <w:uiPriority w:val="99"/>
    <w:rsid w:val="00A76F2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F20"/>
    <w:rPr>
      <w:rFonts w:cs="Times New Roman"/>
    </w:rPr>
  </w:style>
  <w:style w:type="paragraph" w:styleId="BalloonText">
    <w:name w:val="Balloon Text"/>
    <w:basedOn w:val="Normal"/>
    <w:link w:val="BalloonTextChar"/>
    <w:uiPriority w:val="99"/>
    <w:semiHidden/>
    <w:rsid w:val="00A7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6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76F20"/>
    <w:rPr>
      <w:rFonts w:cs="Times New Roman"/>
    </w:rPr>
  </w:style>
  <w:style w:type="paragraph" w:styleId="Footer">
    <w:name w:val="footer"/>
    <w:basedOn w:val="Normal"/>
    <w:link w:val="FooterChar"/>
    <w:uiPriority w:val="99"/>
    <w:rsid w:val="00A76F2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6F20"/>
    <w:rPr>
      <w:rFonts w:cs="Times New Roman"/>
    </w:rPr>
  </w:style>
  <w:style w:type="paragraph" w:styleId="BalloonText">
    <w:name w:val="Balloon Text"/>
    <w:basedOn w:val="Normal"/>
    <w:link w:val="BalloonTextChar"/>
    <w:uiPriority w:val="99"/>
    <w:semiHidden/>
    <w:rsid w:val="00A7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41153">
      <w:marLeft w:val="0"/>
      <w:marRight w:val="0"/>
      <w:marTop w:val="0"/>
      <w:marBottom w:val="0"/>
      <w:divBdr>
        <w:top w:val="none" w:sz="0" w:space="0" w:color="auto"/>
        <w:left w:val="none" w:sz="0" w:space="0" w:color="auto"/>
        <w:bottom w:val="none" w:sz="0" w:space="0" w:color="auto"/>
        <w:right w:val="none" w:sz="0" w:space="0" w:color="auto"/>
      </w:divBdr>
    </w:div>
    <w:div w:id="1369841154">
      <w:marLeft w:val="0"/>
      <w:marRight w:val="0"/>
      <w:marTop w:val="0"/>
      <w:marBottom w:val="0"/>
      <w:divBdr>
        <w:top w:val="none" w:sz="0" w:space="0" w:color="auto"/>
        <w:left w:val="none" w:sz="0" w:space="0" w:color="auto"/>
        <w:bottom w:val="none" w:sz="0" w:space="0" w:color="auto"/>
        <w:right w:val="none" w:sz="0" w:space="0" w:color="auto"/>
      </w:divBdr>
    </w:div>
    <w:div w:id="1369841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Company>Finance and Administration</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Codes</dc:title>
  <dc:creator>State of Tennessee</dc:creator>
  <cp:lastModifiedBy>Windows User</cp:lastModifiedBy>
  <cp:revision>2</cp:revision>
  <cp:lastPrinted>2011-03-02T17:00:00Z</cp:lastPrinted>
  <dcterms:created xsi:type="dcterms:W3CDTF">2014-04-25T19:40:00Z</dcterms:created>
  <dcterms:modified xsi:type="dcterms:W3CDTF">2014-04-25T19:40:00Z</dcterms:modified>
</cp:coreProperties>
</file>