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E5" w:rsidRPr="00DA6360" w:rsidRDefault="00DA6360">
      <w:pPr>
        <w:rPr>
          <w:b/>
          <w:sz w:val="28"/>
          <w:szCs w:val="28"/>
        </w:rPr>
      </w:pPr>
      <w:r w:rsidRPr="00DA6360">
        <w:rPr>
          <w:b/>
          <w:sz w:val="28"/>
          <w:szCs w:val="28"/>
        </w:rPr>
        <w:t>Analysis Types</w:t>
      </w:r>
    </w:p>
    <w:p w:rsidR="00496693" w:rsidRDefault="00DA6360" w:rsidP="00496693">
      <w:pPr>
        <w:pStyle w:val="NoSpacing"/>
      </w:pPr>
      <w:r w:rsidRPr="00DA6360">
        <w:t xml:space="preserve">Analysis types must be used with each transaction having Project Costing chartfields (e.g., Project ID). Their function is to identify the nature of the transaction, such as budget, actual cost, and billed cost. They are system-assigned except in general ledger journals and project budget creation. </w:t>
      </w:r>
    </w:p>
    <w:p w:rsidR="00DA6360" w:rsidRDefault="00DA6360" w:rsidP="00496693">
      <w:pPr>
        <w:pStyle w:val="NoSpacing"/>
      </w:pPr>
      <w:r w:rsidRPr="00DA6360">
        <w:t>They drive billing and revenue recognition, so extreme care is required when used in journals.</w:t>
      </w:r>
    </w:p>
    <w:p w:rsidR="00496693" w:rsidRPr="00DA6360" w:rsidRDefault="00496693" w:rsidP="00496693">
      <w:pPr>
        <w:pStyle w:val="NoSpacing"/>
      </w:pPr>
    </w:p>
    <w:p w:rsidR="00DA6360" w:rsidRPr="00496693" w:rsidRDefault="00DA6360">
      <w:pPr>
        <w:rPr>
          <w:b/>
          <w:sz w:val="24"/>
          <w:szCs w:val="24"/>
          <w:u w:val="single"/>
        </w:rPr>
      </w:pPr>
      <w:r w:rsidRPr="00496693">
        <w:rPr>
          <w:b/>
          <w:sz w:val="24"/>
          <w:szCs w:val="24"/>
          <w:u w:val="single"/>
        </w:rPr>
        <w:t>Common Analysis Types:</w:t>
      </w:r>
    </w:p>
    <w:p w:rsidR="00DA6360" w:rsidRPr="000605B3" w:rsidRDefault="00DA6360" w:rsidP="00DA6360">
      <w:pPr>
        <w:pStyle w:val="NoSpacing"/>
        <w:rPr>
          <w:b/>
          <w:u w:val="single"/>
        </w:rPr>
      </w:pPr>
      <w:r>
        <w:tab/>
      </w:r>
      <w:r w:rsidRPr="000605B3">
        <w:rPr>
          <w:b/>
          <w:u w:val="single"/>
        </w:rPr>
        <w:t>Project Budget Related:</w:t>
      </w:r>
    </w:p>
    <w:p w:rsidR="00DA6360" w:rsidRDefault="00DA6360" w:rsidP="00DA6360">
      <w:pPr>
        <w:pStyle w:val="NoSpacing"/>
      </w:pPr>
      <w:r>
        <w:t>BUD</w:t>
      </w:r>
      <w:r>
        <w:tab/>
        <w:t>Budget transaction</w:t>
      </w:r>
    </w:p>
    <w:p w:rsidR="00DA6360" w:rsidRDefault="00DA6360" w:rsidP="00DA6360">
      <w:pPr>
        <w:pStyle w:val="NoSpacing"/>
      </w:pPr>
      <w:r>
        <w:t>CBU</w:t>
      </w:r>
      <w:r>
        <w:tab/>
        <w:t>Cost Share Budget</w:t>
      </w:r>
    </w:p>
    <w:p w:rsidR="00DA6360" w:rsidRDefault="00DA6360" w:rsidP="00DA6360">
      <w:pPr>
        <w:pStyle w:val="NoSpacing"/>
      </w:pPr>
    </w:p>
    <w:p w:rsidR="00DA6360" w:rsidRPr="000605B3" w:rsidRDefault="00DA6360" w:rsidP="00DA6360">
      <w:pPr>
        <w:pStyle w:val="NoSpacing"/>
        <w:rPr>
          <w:b/>
          <w:u w:val="single"/>
        </w:rPr>
      </w:pPr>
      <w:r>
        <w:tab/>
      </w:r>
      <w:r w:rsidRPr="000605B3">
        <w:rPr>
          <w:b/>
          <w:u w:val="single"/>
        </w:rPr>
        <w:t>Cost Related:</w:t>
      </w:r>
    </w:p>
    <w:p w:rsidR="00DA6360" w:rsidRDefault="00DA6360" w:rsidP="00DA6360">
      <w:pPr>
        <w:pStyle w:val="NoSpacing"/>
      </w:pPr>
      <w:r>
        <w:t>ACT</w:t>
      </w:r>
      <w:r>
        <w:tab/>
        <w:t xml:space="preserve">Accounts Payable, Travel/Expenses, or Inventory </w:t>
      </w:r>
      <w:r w:rsidRPr="00496693">
        <w:rPr>
          <w:vertAlign w:val="superscript"/>
        </w:rPr>
        <w:t>(1)</w:t>
      </w:r>
    </w:p>
    <w:p w:rsidR="00DA6360" w:rsidRDefault="00DA6360" w:rsidP="00DA6360">
      <w:pPr>
        <w:pStyle w:val="NoSpacing"/>
      </w:pPr>
      <w:r>
        <w:t>CAC</w:t>
      </w:r>
      <w:r>
        <w:tab/>
        <w:t xml:space="preserve">Cost Share Accounts Payable, Travel/Expenses, or Inventory </w:t>
      </w:r>
      <w:r w:rsidRPr="00496693">
        <w:rPr>
          <w:vertAlign w:val="superscript"/>
        </w:rPr>
        <w:t>(3)</w:t>
      </w:r>
    </w:p>
    <w:p w:rsidR="00DA6360" w:rsidRDefault="00DA6360" w:rsidP="00DA6360">
      <w:pPr>
        <w:pStyle w:val="NoSpacing"/>
      </w:pPr>
      <w:r>
        <w:t>CCN</w:t>
      </w:r>
      <w:r>
        <w:tab/>
        <w:t xml:space="preserve">Cost Share Conversion expense (from STARS Legacy system) </w:t>
      </w:r>
      <w:r w:rsidRPr="00496693">
        <w:rPr>
          <w:vertAlign w:val="superscript"/>
        </w:rPr>
        <w:t>(3)</w:t>
      </w:r>
    </w:p>
    <w:p w:rsidR="00DA6360" w:rsidRDefault="00DA6360" w:rsidP="00DA6360">
      <w:pPr>
        <w:pStyle w:val="NoSpacing"/>
      </w:pPr>
      <w:r>
        <w:t>CFA</w:t>
      </w:r>
      <w:r>
        <w:tab/>
        <w:t xml:space="preserve">Cost Share F&amp;A (Indirect Cost) </w:t>
      </w:r>
      <w:r w:rsidRPr="00496693">
        <w:rPr>
          <w:vertAlign w:val="superscript"/>
        </w:rPr>
        <w:t>(3)</w:t>
      </w:r>
    </w:p>
    <w:p w:rsidR="00DA6360" w:rsidRDefault="00DA6360" w:rsidP="00DA6360">
      <w:pPr>
        <w:pStyle w:val="NoSpacing"/>
      </w:pPr>
      <w:r>
        <w:t>CGE</w:t>
      </w:r>
      <w:r>
        <w:tab/>
        <w:t xml:space="preserve">Cost Share General Ledger Expense </w:t>
      </w:r>
      <w:r w:rsidRPr="00496693">
        <w:rPr>
          <w:vertAlign w:val="superscript"/>
        </w:rPr>
        <w:t>(3)</w:t>
      </w:r>
    </w:p>
    <w:p w:rsidR="00DA6360" w:rsidRDefault="00DA6360" w:rsidP="00DA6360">
      <w:pPr>
        <w:pStyle w:val="NoSpacing"/>
      </w:pPr>
      <w:r>
        <w:t>CNV</w:t>
      </w:r>
      <w:r>
        <w:tab/>
        <w:t>Conversion expense (from STARS Legacy system)</w:t>
      </w:r>
    </w:p>
    <w:p w:rsidR="00DA6360" w:rsidRDefault="00DA6360" w:rsidP="00DA6360">
      <w:pPr>
        <w:pStyle w:val="NoSpacing"/>
      </w:pPr>
      <w:r>
        <w:t>CDP</w:t>
      </w:r>
      <w:r>
        <w:tab/>
        <w:t>Cost Share Payroll</w:t>
      </w:r>
      <w:r w:rsidR="00E961E7">
        <w:t xml:space="preserve"> detailed earnings/hours by employee and day (no taxes or benefits)</w:t>
      </w:r>
      <w:r w:rsidR="00496693">
        <w:t xml:space="preserve"> </w:t>
      </w:r>
      <w:r w:rsidR="00E961E7" w:rsidRPr="00496693">
        <w:rPr>
          <w:vertAlign w:val="superscript"/>
        </w:rPr>
        <w:t>(3)</w:t>
      </w:r>
    </w:p>
    <w:p w:rsidR="00DA6360" w:rsidRDefault="00DA6360" w:rsidP="00DA6360">
      <w:pPr>
        <w:pStyle w:val="NoSpacing"/>
      </w:pPr>
      <w:r>
        <w:t>CSP</w:t>
      </w:r>
      <w:r>
        <w:tab/>
        <w:t>Cost Share Summarized Payroll by Distinct chartfields – no employee detail</w:t>
      </w:r>
      <w:r w:rsidR="00E961E7">
        <w:t xml:space="preserve"> </w:t>
      </w:r>
      <w:r w:rsidR="00E961E7" w:rsidRPr="00496693">
        <w:rPr>
          <w:vertAlign w:val="superscript"/>
        </w:rPr>
        <w:t>(3)</w:t>
      </w:r>
    </w:p>
    <w:p w:rsidR="00DA6360" w:rsidRDefault="00DA6360" w:rsidP="00DA6360">
      <w:pPr>
        <w:pStyle w:val="NoSpacing"/>
      </w:pPr>
      <w:r>
        <w:t>CPY</w:t>
      </w:r>
      <w:r>
        <w:tab/>
        <w:t>Cost Share</w:t>
      </w:r>
      <w:r w:rsidR="00E961E7">
        <w:t xml:space="preserve"> Payroll details by employee summarized by pay period </w:t>
      </w:r>
      <w:r w:rsidR="00E961E7" w:rsidRPr="00496693">
        <w:rPr>
          <w:vertAlign w:val="superscript"/>
        </w:rPr>
        <w:t>(3)</w:t>
      </w:r>
    </w:p>
    <w:p w:rsidR="00E961E7" w:rsidRDefault="00E961E7" w:rsidP="00DA6360">
      <w:pPr>
        <w:pStyle w:val="NoSpacing"/>
      </w:pPr>
      <w:r>
        <w:t>DPY</w:t>
      </w:r>
      <w:r>
        <w:tab/>
        <w:t xml:space="preserve">Payroll details by earnings/hours by employee and day (no taxes or benefits) </w:t>
      </w:r>
      <w:r w:rsidRPr="00496693">
        <w:rPr>
          <w:vertAlign w:val="superscript"/>
        </w:rPr>
        <w:t>(4)</w:t>
      </w:r>
    </w:p>
    <w:p w:rsidR="00DA6360" w:rsidRDefault="00E961E7" w:rsidP="00DA6360">
      <w:pPr>
        <w:pStyle w:val="NoSpacing"/>
      </w:pPr>
      <w:r>
        <w:t>GLE</w:t>
      </w:r>
      <w:r>
        <w:tab/>
        <w:t xml:space="preserve">General Ledger Expense </w:t>
      </w:r>
      <w:r w:rsidRPr="00496693">
        <w:rPr>
          <w:vertAlign w:val="superscript"/>
        </w:rPr>
        <w:t>(1)</w:t>
      </w:r>
    </w:p>
    <w:p w:rsidR="00E961E7" w:rsidRDefault="00E961E7" w:rsidP="00DA6360">
      <w:pPr>
        <w:pStyle w:val="NoSpacing"/>
      </w:pPr>
      <w:r>
        <w:t>PAY</w:t>
      </w:r>
      <w:r>
        <w:tab/>
        <w:t>Payroll details by Employee summarized by pay period (only TDOT bills by)</w:t>
      </w:r>
      <w:r w:rsidR="00496693">
        <w:t xml:space="preserve"> </w:t>
      </w:r>
      <w:r w:rsidR="00496693" w:rsidRPr="00496693">
        <w:rPr>
          <w:vertAlign w:val="superscript"/>
        </w:rPr>
        <w:t>(1)</w:t>
      </w:r>
    </w:p>
    <w:p w:rsidR="00E961E7" w:rsidRDefault="00E961E7" w:rsidP="00DA6360">
      <w:pPr>
        <w:pStyle w:val="NoSpacing"/>
      </w:pPr>
      <w:r>
        <w:t>SFA</w:t>
      </w:r>
      <w:r>
        <w:tab/>
        <w:t xml:space="preserve">F&amp;A (Indirect Cost) </w:t>
      </w:r>
      <w:r w:rsidRPr="00496693">
        <w:rPr>
          <w:vertAlign w:val="superscript"/>
        </w:rPr>
        <w:t>(1)</w:t>
      </w:r>
    </w:p>
    <w:p w:rsidR="00E961E7" w:rsidRDefault="00E961E7" w:rsidP="00DA6360">
      <w:pPr>
        <w:pStyle w:val="NoSpacing"/>
      </w:pPr>
      <w:r>
        <w:t>SPY</w:t>
      </w:r>
      <w:r>
        <w:tab/>
        <w:t xml:space="preserve">Payroll summarized by distinct chartfields – no employee detail (all but TDOT bills by) </w:t>
      </w:r>
      <w:r w:rsidRPr="00496693">
        <w:rPr>
          <w:vertAlign w:val="superscript"/>
        </w:rPr>
        <w:t>(1)</w:t>
      </w:r>
    </w:p>
    <w:p w:rsidR="00E961E7" w:rsidRDefault="00E961E7" w:rsidP="00DA6360">
      <w:pPr>
        <w:pStyle w:val="NoSpacing"/>
      </w:pPr>
      <w:r>
        <w:t>SJE</w:t>
      </w:r>
      <w:r>
        <w:tab/>
        <w:t xml:space="preserve">Statistical Journal Entry </w:t>
      </w:r>
      <w:r w:rsidRPr="00496693">
        <w:rPr>
          <w:vertAlign w:val="superscript"/>
        </w:rPr>
        <w:t>(1)</w:t>
      </w:r>
    </w:p>
    <w:p w:rsidR="00E961E7" w:rsidRDefault="00E961E7" w:rsidP="00DA6360">
      <w:pPr>
        <w:pStyle w:val="NoSpacing"/>
      </w:pPr>
      <w:r>
        <w:t>WFA</w:t>
      </w:r>
      <w:r>
        <w:tab/>
        <w:t>Waived F&amp;A (Indirect Cost)</w:t>
      </w:r>
      <w:r w:rsidR="00496693">
        <w:t xml:space="preserve"> </w:t>
      </w:r>
      <w:r w:rsidR="00496693" w:rsidRPr="00496693">
        <w:rPr>
          <w:vertAlign w:val="superscript"/>
        </w:rPr>
        <w:t>(4)</w:t>
      </w:r>
    </w:p>
    <w:p w:rsidR="00E961E7" w:rsidRDefault="00E961E7" w:rsidP="00DA6360">
      <w:pPr>
        <w:pStyle w:val="NoSpacing"/>
      </w:pPr>
      <w:r>
        <w:t>YAE</w:t>
      </w:r>
      <w:r>
        <w:tab/>
        <w:t>Year-End Accrued Expenditures</w:t>
      </w:r>
      <w:r w:rsidR="00496693">
        <w:t xml:space="preserve"> </w:t>
      </w:r>
      <w:r w:rsidR="00496693" w:rsidRPr="00496693">
        <w:rPr>
          <w:vertAlign w:val="superscript"/>
        </w:rPr>
        <w:t>(4)</w:t>
      </w:r>
    </w:p>
    <w:p w:rsidR="00E961E7" w:rsidRDefault="00E961E7" w:rsidP="00DA6360">
      <w:pPr>
        <w:pStyle w:val="NoSpacing"/>
      </w:pPr>
    </w:p>
    <w:p w:rsidR="00E961E7" w:rsidRPr="000605B3" w:rsidRDefault="00E961E7" w:rsidP="00DA6360">
      <w:pPr>
        <w:pStyle w:val="NoSpacing"/>
        <w:rPr>
          <w:b/>
        </w:rPr>
      </w:pPr>
      <w:r>
        <w:tab/>
      </w:r>
      <w:r w:rsidRPr="000605B3">
        <w:rPr>
          <w:b/>
          <w:u w:val="single"/>
        </w:rPr>
        <w:t>Revenue Related:</w:t>
      </w:r>
    </w:p>
    <w:p w:rsidR="00E961E7" w:rsidRDefault="00E961E7" w:rsidP="00DA6360">
      <w:pPr>
        <w:pStyle w:val="NoSpacing"/>
      </w:pPr>
      <w:r>
        <w:t>CVR</w:t>
      </w:r>
      <w:r>
        <w:tab/>
        <w:t>Conversion Revenue (from STARS Legacy system)</w:t>
      </w:r>
    </w:p>
    <w:p w:rsidR="00E961E7" w:rsidRDefault="00E961E7" w:rsidP="00DA6360">
      <w:pPr>
        <w:pStyle w:val="NoSpacing"/>
      </w:pPr>
      <w:r>
        <w:t>GLR</w:t>
      </w:r>
      <w:r>
        <w:tab/>
        <w:t>General Ledger Revenue Journal (revenue recognized outside Customer Contracts)</w:t>
      </w:r>
      <w:r w:rsidR="00496693" w:rsidRPr="00496693">
        <w:rPr>
          <w:vertAlign w:val="superscript"/>
        </w:rPr>
        <w:t xml:space="preserve"> </w:t>
      </w:r>
      <w:r w:rsidR="00496693">
        <w:rPr>
          <w:vertAlign w:val="superscript"/>
        </w:rPr>
        <w:t>(2</w:t>
      </w:r>
      <w:r w:rsidR="00496693" w:rsidRPr="00496693">
        <w:rPr>
          <w:vertAlign w:val="superscript"/>
        </w:rPr>
        <w:t>)</w:t>
      </w:r>
    </w:p>
    <w:p w:rsidR="00E961E7" w:rsidRDefault="00E961E7" w:rsidP="00DA6360">
      <w:pPr>
        <w:pStyle w:val="NoSpacing"/>
      </w:pPr>
      <w:r>
        <w:t>IUR</w:t>
      </w:r>
      <w:r>
        <w:tab/>
        <w:t>Inter Unit Revenue (revenue recognized via an IU journal)</w:t>
      </w:r>
    </w:p>
    <w:p w:rsidR="00E961E7" w:rsidRDefault="00E961E7" w:rsidP="00DA6360">
      <w:pPr>
        <w:pStyle w:val="NoSpacing"/>
      </w:pPr>
      <w:r>
        <w:t>OFA</w:t>
      </w:r>
      <w:r>
        <w:tab/>
        <w:t>F&amp;A (Indirect Cost) Offset (credit entry for F&amp;A when recording manually)</w:t>
      </w:r>
    </w:p>
    <w:p w:rsidR="00E961E7" w:rsidRDefault="00E961E7" w:rsidP="00DA6360">
      <w:pPr>
        <w:pStyle w:val="NoSpacing"/>
      </w:pPr>
      <w:r>
        <w:t>YAR</w:t>
      </w:r>
      <w:r>
        <w:tab/>
        <w:t>Year-End Accrued Revenue</w:t>
      </w:r>
    </w:p>
    <w:p w:rsidR="00E961E7" w:rsidRDefault="00E961E7" w:rsidP="00DA6360">
      <w:pPr>
        <w:pStyle w:val="NoSpacing"/>
      </w:pPr>
    </w:p>
    <w:p w:rsidR="00E961E7" w:rsidRPr="00496693" w:rsidRDefault="00E961E7" w:rsidP="00DA6360">
      <w:pPr>
        <w:pStyle w:val="NoSpacing"/>
        <w:rPr>
          <w:b/>
        </w:rPr>
      </w:pPr>
      <w:r>
        <w:tab/>
      </w:r>
      <w:r w:rsidRPr="00496693">
        <w:rPr>
          <w:b/>
          <w:u w:val="single"/>
        </w:rPr>
        <w:t>Billing Related (created from Cost transactions when a Customer Contract exists):</w:t>
      </w:r>
    </w:p>
    <w:p w:rsidR="00E961E7" w:rsidRDefault="00E961E7" w:rsidP="00DA6360">
      <w:pPr>
        <w:pStyle w:val="NoSpacing"/>
      </w:pPr>
      <w:r>
        <w:t>BAJ</w:t>
      </w:r>
      <w:r>
        <w:tab/>
        <w:t>Billing adjustment</w:t>
      </w:r>
    </w:p>
    <w:p w:rsidR="00E961E7" w:rsidRDefault="00E961E7" w:rsidP="00DA6360">
      <w:pPr>
        <w:pStyle w:val="NoSpacing"/>
      </w:pPr>
      <w:r>
        <w:t>BIL</w:t>
      </w:r>
      <w:r>
        <w:tab/>
        <w:t>Billable (</w:t>
      </w:r>
      <w:r w:rsidR="008C232D">
        <w:t xml:space="preserve">creates a Billing Invoice when temporary bill approved/processed and </w:t>
      </w:r>
      <w:r>
        <w:t xml:space="preserve">will also </w:t>
      </w:r>
      <w:r w:rsidR="008C232D">
        <w:t xml:space="preserve">  </w:t>
      </w:r>
      <w:r w:rsidR="008C232D">
        <w:tab/>
      </w:r>
      <w:r>
        <w:t>recognize revenue)</w:t>
      </w:r>
      <w:bookmarkStart w:id="0" w:name="_GoBack"/>
      <w:bookmarkEnd w:id="0"/>
    </w:p>
    <w:p w:rsidR="00E961E7" w:rsidRDefault="00E961E7" w:rsidP="00DA6360">
      <w:pPr>
        <w:pStyle w:val="NoSpacing"/>
      </w:pPr>
      <w:r>
        <w:t>BLD</w:t>
      </w:r>
      <w:r>
        <w:tab/>
        <w:t>Billed (‘BIL’ is changed to ‘BLD’ when the transaction is included in a Billing Invoice Item)</w:t>
      </w:r>
    </w:p>
    <w:p w:rsidR="00E961E7" w:rsidRDefault="00E961E7" w:rsidP="00DA6360">
      <w:pPr>
        <w:pStyle w:val="NoSpacing"/>
      </w:pPr>
      <w:r>
        <w:t>DEF</w:t>
      </w:r>
      <w:r>
        <w:tab/>
        <w:t>Deferred at the Line Level in Billing</w:t>
      </w:r>
      <w:r w:rsidR="000605B3">
        <w:t xml:space="preserve"> (will change to a ‘BLD’ when billed)</w:t>
      </w:r>
    </w:p>
    <w:p w:rsidR="00E961E7" w:rsidRDefault="00E961E7" w:rsidP="00DA6360">
      <w:pPr>
        <w:pStyle w:val="NoSpacing"/>
      </w:pPr>
      <w:r>
        <w:t>OLT</w:t>
      </w:r>
      <w:r>
        <w:tab/>
        <w:t>Over the Contract Billing Limit (will not bill or recognize revenue)</w:t>
      </w:r>
    </w:p>
    <w:p w:rsidR="00E961E7" w:rsidRDefault="00E961E7" w:rsidP="00DA6360">
      <w:pPr>
        <w:pStyle w:val="NoSpacing"/>
      </w:pPr>
      <w:r>
        <w:t>UTL</w:t>
      </w:r>
      <w:r>
        <w:tab/>
        <w:t>Prepaid Utilization (expense has been applied to a prepayment, reducing deferred revenue)</w:t>
      </w:r>
    </w:p>
    <w:p w:rsidR="00E961E7" w:rsidRDefault="00E961E7" w:rsidP="00DA6360">
      <w:pPr>
        <w:pStyle w:val="NoSpacing"/>
      </w:pPr>
    </w:p>
    <w:p w:rsidR="00496693" w:rsidRDefault="00496693" w:rsidP="00DA6360">
      <w:pPr>
        <w:pStyle w:val="NoSpacing"/>
      </w:pPr>
    </w:p>
    <w:p w:rsidR="000605B3" w:rsidRPr="000605B3" w:rsidRDefault="000605B3" w:rsidP="00DA6360">
      <w:pPr>
        <w:pStyle w:val="NoSpacing"/>
        <w:rPr>
          <w:b/>
          <w:u w:val="single"/>
        </w:rPr>
      </w:pPr>
      <w:r>
        <w:lastRenderedPageBreak/>
        <w:tab/>
      </w:r>
      <w:r w:rsidRPr="000605B3">
        <w:rPr>
          <w:b/>
          <w:u w:val="single"/>
        </w:rPr>
        <w:t>Allowable for use in General Ledger Journals:</w:t>
      </w:r>
    </w:p>
    <w:p w:rsidR="000605B3" w:rsidRDefault="000605B3" w:rsidP="00DA6360">
      <w:pPr>
        <w:pStyle w:val="NoSpacing"/>
      </w:pPr>
      <w:r>
        <w:t>GLE</w:t>
      </w:r>
      <w:r>
        <w:tab/>
        <w:t xml:space="preserve">General Ledger Expense </w:t>
      </w:r>
      <w:r w:rsidRPr="00496693">
        <w:rPr>
          <w:vertAlign w:val="superscript"/>
        </w:rPr>
        <w:t>(1)</w:t>
      </w:r>
      <w:r w:rsidR="008C232D">
        <w:rPr>
          <w:vertAlign w:val="superscript"/>
        </w:rPr>
        <w:t xml:space="preserve"> </w:t>
      </w:r>
    </w:p>
    <w:p w:rsidR="000605B3" w:rsidRDefault="000605B3" w:rsidP="00DA6360">
      <w:pPr>
        <w:pStyle w:val="NoSpacing"/>
      </w:pPr>
      <w:r>
        <w:t>CGE</w:t>
      </w:r>
      <w:r>
        <w:tab/>
        <w:t xml:space="preserve">Cost Share General Ledger Expense </w:t>
      </w:r>
      <w:r w:rsidRPr="00496693">
        <w:rPr>
          <w:vertAlign w:val="superscript"/>
        </w:rPr>
        <w:t>(3)</w:t>
      </w:r>
    </w:p>
    <w:p w:rsidR="000605B3" w:rsidRDefault="000605B3" w:rsidP="00DA6360">
      <w:pPr>
        <w:pStyle w:val="NoSpacing"/>
      </w:pPr>
      <w:r>
        <w:t>SJE</w:t>
      </w:r>
      <w:r>
        <w:tab/>
        <w:t xml:space="preserve">Statistical Journal Entry </w:t>
      </w:r>
      <w:r w:rsidRPr="00496693">
        <w:rPr>
          <w:vertAlign w:val="superscript"/>
        </w:rPr>
        <w:t>(1)</w:t>
      </w:r>
    </w:p>
    <w:p w:rsidR="000605B3" w:rsidRDefault="000605B3" w:rsidP="00DA6360">
      <w:pPr>
        <w:pStyle w:val="NoSpacing"/>
      </w:pPr>
      <w:r>
        <w:t>GLR</w:t>
      </w:r>
      <w:r>
        <w:tab/>
        <w:t>General Ledger Revenue Journal (revenue recognized outside Customer Contracts</w:t>
      </w:r>
      <w:r w:rsidR="008C232D">
        <w:t>)</w:t>
      </w:r>
      <w:r>
        <w:t xml:space="preserve"> </w:t>
      </w:r>
      <w:r w:rsidRPr="00496693">
        <w:rPr>
          <w:vertAlign w:val="superscript"/>
        </w:rPr>
        <w:t>(2)</w:t>
      </w:r>
    </w:p>
    <w:p w:rsidR="000605B3" w:rsidRDefault="000605B3" w:rsidP="00DA6360">
      <w:pPr>
        <w:pStyle w:val="NoSpacing"/>
      </w:pPr>
      <w:r>
        <w:t>IUR</w:t>
      </w:r>
      <w:r>
        <w:tab/>
        <w:t>Inter Unit Revenue (revenue recognized via an IU journal)</w:t>
      </w:r>
    </w:p>
    <w:p w:rsidR="000605B3" w:rsidRDefault="000605B3" w:rsidP="00DA6360">
      <w:pPr>
        <w:pStyle w:val="NoSpacing"/>
      </w:pPr>
      <w:r>
        <w:t>SFA</w:t>
      </w:r>
      <w:r>
        <w:tab/>
        <w:t xml:space="preserve">F&amp;A (Indirect Cost) </w:t>
      </w:r>
      <w:r w:rsidRPr="00496693">
        <w:rPr>
          <w:vertAlign w:val="superscript"/>
        </w:rPr>
        <w:t>(1)</w:t>
      </w:r>
    </w:p>
    <w:p w:rsidR="000605B3" w:rsidRDefault="000605B3" w:rsidP="00DA6360">
      <w:pPr>
        <w:pStyle w:val="NoSpacing"/>
      </w:pPr>
      <w:r>
        <w:t>OFA</w:t>
      </w:r>
      <w:r>
        <w:tab/>
        <w:t>F&amp;A (Indirect Cost) Offset (credit for F&amp;A when recording manually)</w:t>
      </w:r>
    </w:p>
    <w:p w:rsidR="000605B3" w:rsidRDefault="000605B3" w:rsidP="00DA6360">
      <w:pPr>
        <w:pStyle w:val="NoSpacing"/>
      </w:pPr>
      <w:r>
        <w:t>YAE</w:t>
      </w:r>
      <w:r>
        <w:tab/>
        <w:t>Year-End Accrued Expenditures</w:t>
      </w:r>
    </w:p>
    <w:p w:rsidR="000605B3" w:rsidRDefault="000605B3" w:rsidP="00DA6360">
      <w:pPr>
        <w:pStyle w:val="NoSpacing"/>
      </w:pPr>
      <w:r>
        <w:t>YAR</w:t>
      </w:r>
      <w:r>
        <w:tab/>
        <w:t>Year-End Accrued Revenue</w:t>
      </w:r>
    </w:p>
    <w:p w:rsidR="000605B3" w:rsidRDefault="000605B3" w:rsidP="00DA6360">
      <w:pPr>
        <w:pStyle w:val="NoSpacing"/>
      </w:pPr>
    </w:p>
    <w:p w:rsidR="000605B3" w:rsidRPr="00496693" w:rsidRDefault="000605B3" w:rsidP="00DA6360">
      <w:pPr>
        <w:pStyle w:val="NoSpacing"/>
        <w:rPr>
          <w:b/>
          <w:u w:val="single"/>
        </w:rPr>
      </w:pPr>
      <w:r w:rsidRPr="00496693">
        <w:rPr>
          <w:b/>
          <w:u w:val="single"/>
        </w:rPr>
        <w:t>Notes:</w:t>
      </w:r>
    </w:p>
    <w:p w:rsidR="00496693" w:rsidRDefault="00496693" w:rsidP="00DA6360">
      <w:pPr>
        <w:pStyle w:val="NoSpacing"/>
        <w:rPr>
          <w:b/>
        </w:rPr>
      </w:pPr>
    </w:p>
    <w:p w:rsidR="000605B3" w:rsidRDefault="000605B3" w:rsidP="000605B3">
      <w:pPr>
        <w:pStyle w:val="NoSpacing"/>
        <w:numPr>
          <w:ilvl w:val="0"/>
          <w:numId w:val="1"/>
        </w:numPr>
      </w:pPr>
      <w:r>
        <w:t>Will create a “billing” transaction (‘BIL’ or ‘OLT’) when associated with a Customer Contract and Rate Set</w:t>
      </w:r>
    </w:p>
    <w:p w:rsidR="000605B3" w:rsidRDefault="000605B3" w:rsidP="000605B3">
      <w:pPr>
        <w:pStyle w:val="NoSpacing"/>
        <w:numPr>
          <w:ilvl w:val="0"/>
          <w:numId w:val="1"/>
        </w:numPr>
      </w:pPr>
      <w:r>
        <w:t>May create a “billing” transaction (negative ‘BIL’) when used with certain Accounts</w:t>
      </w:r>
    </w:p>
    <w:p w:rsidR="000605B3" w:rsidRDefault="000605B3" w:rsidP="000605B3">
      <w:pPr>
        <w:pStyle w:val="NoSpacing"/>
        <w:numPr>
          <w:ilvl w:val="0"/>
          <w:numId w:val="1"/>
        </w:numPr>
      </w:pPr>
      <w:r>
        <w:t>“Cost Share” Analysis Type will not bill or recognize revenue</w:t>
      </w:r>
    </w:p>
    <w:p w:rsidR="000605B3" w:rsidRPr="000605B3" w:rsidRDefault="000605B3" w:rsidP="000605B3">
      <w:pPr>
        <w:pStyle w:val="NoSpacing"/>
        <w:numPr>
          <w:ilvl w:val="0"/>
          <w:numId w:val="1"/>
        </w:numPr>
      </w:pPr>
      <w:r>
        <w:t>Does not create a “BIL”</w:t>
      </w:r>
    </w:p>
    <w:p w:rsidR="00DA6360" w:rsidRPr="00DA6360" w:rsidRDefault="00DA6360" w:rsidP="00DA6360">
      <w:pPr>
        <w:pStyle w:val="NoSpacing"/>
      </w:pPr>
    </w:p>
    <w:p w:rsidR="00DA6360" w:rsidRDefault="00DA6360" w:rsidP="00DA6360">
      <w:pPr>
        <w:pStyle w:val="NoSpacing"/>
      </w:pPr>
    </w:p>
    <w:p w:rsidR="00DA6360" w:rsidRPr="00DA6360" w:rsidRDefault="00DA6360">
      <w:pPr>
        <w:rPr>
          <w:sz w:val="20"/>
          <w:szCs w:val="20"/>
          <w:u w:val="single"/>
        </w:rPr>
      </w:pPr>
    </w:p>
    <w:p w:rsidR="00DA6360" w:rsidRPr="00DA6360" w:rsidRDefault="00DA6360">
      <w:pPr>
        <w:rPr>
          <w:sz w:val="20"/>
          <w:szCs w:val="20"/>
        </w:rPr>
      </w:pPr>
    </w:p>
    <w:sectPr w:rsidR="00DA6360" w:rsidRPr="00DA6360" w:rsidSect="000605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693" w:rsidRDefault="00496693" w:rsidP="00496693">
      <w:pPr>
        <w:spacing w:after="0" w:line="240" w:lineRule="auto"/>
      </w:pPr>
      <w:r>
        <w:separator/>
      </w:r>
    </w:p>
  </w:endnote>
  <w:endnote w:type="continuationSeparator" w:id="0">
    <w:p w:rsidR="00496693" w:rsidRDefault="00496693" w:rsidP="00496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693" w:rsidRDefault="004966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State of Tennessee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00D2E" w:rsidRPr="00000D2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96693" w:rsidRDefault="00496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693" w:rsidRDefault="00496693" w:rsidP="00496693">
      <w:pPr>
        <w:spacing w:after="0" w:line="240" w:lineRule="auto"/>
      </w:pPr>
      <w:r>
        <w:separator/>
      </w:r>
    </w:p>
  </w:footnote>
  <w:footnote w:type="continuationSeparator" w:id="0">
    <w:p w:rsidR="00496693" w:rsidRDefault="00496693" w:rsidP="00496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35785"/>
    <w:multiLevelType w:val="hybridMultilevel"/>
    <w:tmpl w:val="5FF84588"/>
    <w:lvl w:ilvl="0" w:tplc="3370DE1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60"/>
    <w:rsid w:val="00000D2E"/>
    <w:rsid w:val="000605B3"/>
    <w:rsid w:val="00496693"/>
    <w:rsid w:val="007D71E5"/>
    <w:rsid w:val="008C232D"/>
    <w:rsid w:val="00DA6360"/>
    <w:rsid w:val="00E9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60"/>
    <w:pPr>
      <w:spacing w:after="0" w:line="240" w:lineRule="auto"/>
    </w:pPr>
  </w:style>
  <w:style w:type="paragraph" w:styleId="Header">
    <w:name w:val="header"/>
    <w:basedOn w:val="Normal"/>
    <w:link w:val="HeaderChar"/>
    <w:uiPriority w:val="99"/>
    <w:unhideWhenUsed/>
    <w:rsid w:val="0049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93"/>
  </w:style>
  <w:style w:type="paragraph" w:styleId="Footer">
    <w:name w:val="footer"/>
    <w:basedOn w:val="Normal"/>
    <w:link w:val="FooterChar"/>
    <w:uiPriority w:val="99"/>
    <w:unhideWhenUsed/>
    <w:rsid w:val="0049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93"/>
  </w:style>
  <w:style w:type="paragraph" w:styleId="BalloonText">
    <w:name w:val="Balloon Text"/>
    <w:basedOn w:val="Normal"/>
    <w:link w:val="BalloonTextChar"/>
    <w:uiPriority w:val="99"/>
    <w:semiHidden/>
    <w:unhideWhenUsed/>
    <w:rsid w:val="0049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60"/>
    <w:pPr>
      <w:spacing w:after="0" w:line="240" w:lineRule="auto"/>
    </w:pPr>
  </w:style>
  <w:style w:type="paragraph" w:styleId="Header">
    <w:name w:val="header"/>
    <w:basedOn w:val="Normal"/>
    <w:link w:val="HeaderChar"/>
    <w:uiPriority w:val="99"/>
    <w:unhideWhenUsed/>
    <w:rsid w:val="00496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693"/>
  </w:style>
  <w:style w:type="paragraph" w:styleId="Footer">
    <w:name w:val="footer"/>
    <w:basedOn w:val="Normal"/>
    <w:link w:val="FooterChar"/>
    <w:uiPriority w:val="99"/>
    <w:unhideWhenUsed/>
    <w:rsid w:val="00496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693"/>
  </w:style>
  <w:style w:type="paragraph" w:styleId="BalloonText">
    <w:name w:val="Balloon Text"/>
    <w:basedOn w:val="Normal"/>
    <w:link w:val="BalloonTextChar"/>
    <w:uiPriority w:val="99"/>
    <w:semiHidden/>
    <w:unhideWhenUsed/>
    <w:rsid w:val="004966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2014-01-24T14:16:00Z</cp:lastPrinted>
  <dcterms:created xsi:type="dcterms:W3CDTF">2014-01-24T13:31:00Z</dcterms:created>
  <dcterms:modified xsi:type="dcterms:W3CDTF">2014-01-24T19:16:00Z</dcterms:modified>
</cp:coreProperties>
</file>