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613D" w14:textId="77777777" w:rsidR="008265C8" w:rsidRPr="00310EBC" w:rsidRDefault="008265C8" w:rsidP="00310EBC">
      <w:pPr>
        <w:pStyle w:val="Title"/>
        <w:jc w:val="center"/>
        <w:outlineLvl w:val="0"/>
        <w:rPr>
          <w:rFonts w:ascii="Times New Roman" w:hAnsi="Times New Roman" w:cs="Times New Roman"/>
          <w:sz w:val="32"/>
        </w:rPr>
      </w:pPr>
      <w:r w:rsidRPr="00310E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0" allowOverlap="1" wp14:anchorId="6353475D" wp14:editId="0CE5A2DD">
            <wp:simplePos x="0" y="0"/>
            <wp:positionH relativeFrom="page">
              <wp:align>center</wp:align>
            </wp:positionH>
            <wp:positionV relativeFrom="paragraph">
              <wp:posOffset>274320</wp:posOffset>
            </wp:positionV>
            <wp:extent cx="457200" cy="457200"/>
            <wp:effectExtent l="0" t="0" r="0" b="0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EBC">
        <w:rPr>
          <w:rFonts w:ascii="Times New Roman" w:hAnsi="Times New Roman" w:cs="Times New Roman"/>
          <w:sz w:val="32"/>
        </w:rPr>
        <w:t>STATE OF TENNESSEE</w:t>
      </w:r>
    </w:p>
    <w:p w14:paraId="7FD34543" w14:textId="77777777" w:rsidR="008265C8" w:rsidRDefault="008265C8" w:rsidP="00310EBC">
      <w:pPr>
        <w:jc w:val="center"/>
        <w:rPr>
          <w:sz w:val="22"/>
        </w:rPr>
      </w:pPr>
      <w:r>
        <w:rPr>
          <w:sz w:val="22"/>
        </w:rPr>
        <w:t>BUREAU OF ETHICS AND CAMPAIGN FINANCE</w:t>
      </w:r>
    </w:p>
    <w:p w14:paraId="67150EF4" w14:textId="77777777" w:rsidR="008265C8" w:rsidRDefault="008265C8" w:rsidP="00310EBC">
      <w:pPr>
        <w:jc w:val="center"/>
        <w:rPr>
          <w:sz w:val="22"/>
        </w:rPr>
      </w:pPr>
      <w:r>
        <w:rPr>
          <w:sz w:val="22"/>
        </w:rPr>
        <w:t>TENNESSEE ETHICS COMMISSION</w:t>
      </w:r>
    </w:p>
    <w:p w14:paraId="2DEB8AF9" w14:textId="77777777" w:rsidR="008265C8" w:rsidRDefault="008265C8" w:rsidP="00310EBC">
      <w:pPr>
        <w:jc w:val="center"/>
        <w:rPr>
          <w:sz w:val="22"/>
        </w:rPr>
      </w:pPr>
      <w:r>
        <w:rPr>
          <w:sz w:val="22"/>
        </w:rPr>
        <w:t>WRS Tennessee Tower, 2</w:t>
      </w:r>
      <w:r w:rsidRPr="0072460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403F2E40" w14:textId="77777777" w:rsidR="008265C8" w:rsidRPr="00D95B5F" w:rsidRDefault="008265C8" w:rsidP="00310EBC">
      <w:pPr>
        <w:jc w:val="center"/>
      </w:pPr>
      <w:r>
        <w:t>312 Rosa L. Parks Avenue</w:t>
      </w:r>
    </w:p>
    <w:p w14:paraId="52DE2524" w14:textId="77777777" w:rsidR="008265C8" w:rsidRPr="00D95B5F" w:rsidRDefault="008265C8" w:rsidP="00310EBC">
      <w:pPr>
        <w:jc w:val="center"/>
      </w:pPr>
      <w:r w:rsidRPr="00D95B5F">
        <w:t>Nashville, TN  37243-1360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8265C8" w14:paraId="379E15C3" w14:textId="77777777" w:rsidTr="00C529E2">
        <w:tc>
          <w:tcPr>
            <w:tcW w:w="3192" w:type="dxa"/>
          </w:tcPr>
          <w:p w14:paraId="2F43B264" w14:textId="77777777" w:rsidR="008265C8" w:rsidRDefault="008265C8" w:rsidP="00C529E2">
            <w:pPr>
              <w:jc w:val="center"/>
              <w:rPr>
                <w:sz w:val="16"/>
              </w:rPr>
            </w:pPr>
          </w:p>
          <w:p w14:paraId="531F77C6" w14:textId="77777777" w:rsidR="008265C8" w:rsidRDefault="008265C8" w:rsidP="00C529E2">
            <w:pPr>
              <w:rPr>
                <w:sz w:val="16"/>
              </w:rPr>
            </w:pPr>
            <w:r>
              <w:rPr>
                <w:sz w:val="16"/>
              </w:rPr>
              <w:t xml:space="preserve">            BOARD MEMBERS</w:t>
            </w:r>
          </w:p>
          <w:p w14:paraId="7942D1C6" w14:textId="77777777" w:rsidR="008265C8" w:rsidRDefault="008265C8" w:rsidP="00C52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Tammy S. White, Chair</w:t>
            </w:r>
            <w:r>
              <w:rPr>
                <w:sz w:val="16"/>
                <w:szCs w:val="16"/>
              </w:rPr>
              <w:br/>
              <w:t>Duane Gilbert, Secretary</w:t>
            </w:r>
          </w:p>
          <w:p w14:paraId="137699E2" w14:textId="77777777" w:rsidR="008265C8" w:rsidRDefault="008265C8" w:rsidP="00C52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Dewey Branstetter</w:t>
            </w:r>
          </w:p>
          <w:p w14:paraId="47FA3DCE" w14:textId="77777777" w:rsidR="008265C8" w:rsidRDefault="008265C8" w:rsidP="00C52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Stacey Floyd-Thomas</w:t>
            </w:r>
          </w:p>
          <w:p w14:paraId="6621E558" w14:textId="77777777" w:rsidR="008265C8" w:rsidRDefault="008265C8" w:rsidP="00C52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 G. McCain</w:t>
            </w:r>
          </w:p>
          <w:p w14:paraId="3D68552F" w14:textId="77777777" w:rsidR="008265C8" w:rsidRPr="00155010" w:rsidRDefault="008265C8" w:rsidP="00C52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Lynn Richardson</w:t>
            </w:r>
          </w:p>
          <w:p w14:paraId="6698BB59" w14:textId="77777777" w:rsidR="008265C8" w:rsidRDefault="008265C8" w:rsidP="00C529E2">
            <w:pPr>
              <w:rPr>
                <w:sz w:val="16"/>
              </w:rPr>
            </w:pPr>
          </w:p>
        </w:tc>
        <w:tc>
          <w:tcPr>
            <w:tcW w:w="3192" w:type="dxa"/>
          </w:tcPr>
          <w:p w14:paraId="0C5825EB" w14:textId="77777777" w:rsidR="008265C8" w:rsidRPr="00430EC5" w:rsidRDefault="008265C8" w:rsidP="00C529E2">
            <w:pPr>
              <w:jc w:val="center"/>
            </w:pPr>
            <w:r w:rsidRPr="00430EC5">
              <w:t>(615) 741-7959</w:t>
            </w:r>
          </w:p>
          <w:p w14:paraId="2CB36105" w14:textId="77777777" w:rsidR="008265C8" w:rsidRDefault="008265C8" w:rsidP="00C529E2">
            <w:pPr>
              <w:jc w:val="center"/>
            </w:pPr>
            <w:r w:rsidRPr="00430EC5">
              <w:t>Fax: (615) 532-8905</w:t>
            </w:r>
          </w:p>
          <w:p w14:paraId="789DBC94" w14:textId="77777777" w:rsidR="008265C8" w:rsidRDefault="008265C8" w:rsidP="00C529E2">
            <w:pPr>
              <w:jc w:val="center"/>
            </w:pPr>
            <w:r>
              <w:t>www.tn.gov/tec</w:t>
            </w:r>
          </w:p>
          <w:p w14:paraId="565869B5" w14:textId="77777777" w:rsidR="008265C8" w:rsidRDefault="008265C8" w:rsidP="00C529E2">
            <w:pPr>
              <w:jc w:val="center"/>
              <w:rPr>
                <w:sz w:val="22"/>
              </w:rPr>
            </w:pPr>
          </w:p>
        </w:tc>
        <w:tc>
          <w:tcPr>
            <w:tcW w:w="3192" w:type="dxa"/>
          </w:tcPr>
          <w:p w14:paraId="18DC2CFB" w14:textId="77777777" w:rsidR="008265C8" w:rsidRDefault="008265C8" w:rsidP="00C529E2">
            <w:pPr>
              <w:jc w:val="center"/>
              <w:rPr>
                <w:sz w:val="16"/>
              </w:rPr>
            </w:pPr>
          </w:p>
          <w:p w14:paraId="51B6660F" w14:textId="77777777" w:rsidR="008265C8" w:rsidRDefault="008265C8" w:rsidP="00C529E2">
            <w:pPr>
              <w:jc w:val="right"/>
              <w:rPr>
                <w:sz w:val="16"/>
              </w:rPr>
            </w:pPr>
            <w:r>
              <w:rPr>
                <w:sz w:val="16"/>
              </w:rPr>
              <w:t>EXECUTIVE DIRECTOR</w:t>
            </w:r>
          </w:p>
          <w:p w14:paraId="5D763539" w14:textId="77777777" w:rsidR="008265C8" w:rsidRDefault="008265C8" w:rsidP="00C529E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Bill Young</w:t>
            </w:r>
          </w:p>
          <w:p w14:paraId="1AE4BB81" w14:textId="77777777" w:rsidR="008265C8" w:rsidRDefault="008265C8" w:rsidP="00C529E2">
            <w:pPr>
              <w:jc w:val="center"/>
              <w:rPr>
                <w:sz w:val="16"/>
              </w:rPr>
            </w:pPr>
          </w:p>
          <w:p w14:paraId="53F9F7A3" w14:textId="77777777" w:rsidR="008265C8" w:rsidRDefault="008265C8" w:rsidP="00C529E2">
            <w:pPr>
              <w:jc w:val="center"/>
            </w:pPr>
          </w:p>
        </w:tc>
      </w:tr>
    </w:tbl>
    <w:p w14:paraId="46B5A2BF" w14:textId="77777777" w:rsidR="008265C8" w:rsidRPr="002D4A33" w:rsidRDefault="008265C8" w:rsidP="00310EBC">
      <w:pPr>
        <w:pBdr>
          <w:bottom w:val="single" w:sz="12" w:space="1" w:color="auto"/>
        </w:pBdr>
        <w:rPr>
          <w:sz w:val="24"/>
          <w:szCs w:val="24"/>
        </w:rPr>
      </w:pPr>
    </w:p>
    <w:p w14:paraId="4131491C" w14:textId="77777777" w:rsidR="008265C8" w:rsidRPr="002D4A33" w:rsidRDefault="008265C8" w:rsidP="00310EBC">
      <w:pPr>
        <w:jc w:val="center"/>
        <w:rPr>
          <w:b/>
          <w:bCs/>
          <w:sz w:val="24"/>
          <w:szCs w:val="24"/>
        </w:rPr>
      </w:pPr>
    </w:p>
    <w:p w14:paraId="1ACE9B34" w14:textId="77777777" w:rsidR="008265C8" w:rsidRPr="00310EBC" w:rsidRDefault="008265C8" w:rsidP="00310EB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10EBC">
        <w:rPr>
          <w:rFonts w:ascii="Times New Roman" w:hAnsi="Times New Roman" w:cs="Times New Roman"/>
          <w:b/>
          <w:bCs/>
          <w:color w:val="000000" w:themeColor="text1"/>
        </w:rPr>
        <w:t>PUBLIC NOTICE</w:t>
      </w:r>
    </w:p>
    <w:p w14:paraId="0324E02D" w14:textId="77777777" w:rsidR="008265C8" w:rsidRPr="002D4A33" w:rsidRDefault="008265C8" w:rsidP="00310EBC">
      <w:pPr>
        <w:pBdr>
          <w:bottom w:val="single" w:sz="12" w:space="0" w:color="auto"/>
        </w:pBdr>
        <w:jc w:val="center"/>
        <w:rPr>
          <w:b/>
          <w:bCs/>
          <w:sz w:val="24"/>
          <w:szCs w:val="24"/>
        </w:rPr>
      </w:pPr>
    </w:p>
    <w:p w14:paraId="38B8E05C" w14:textId="77777777" w:rsidR="008265C8" w:rsidRPr="002D4A33" w:rsidRDefault="008265C8" w:rsidP="00310EBC">
      <w:pPr>
        <w:rPr>
          <w:sz w:val="24"/>
          <w:szCs w:val="24"/>
        </w:rPr>
      </w:pPr>
    </w:p>
    <w:p w14:paraId="2784043D" w14:textId="77777777" w:rsidR="008265C8" w:rsidRDefault="008265C8" w:rsidP="00310EBC">
      <w:pPr>
        <w:jc w:val="both"/>
        <w:rPr>
          <w:sz w:val="24"/>
          <w:szCs w:val="24"/>
        </w:rPr>
      </w:pPr>
      <w:r w:rsidRPr="002D4A33">
        <w:rPr>
          <w:sz w:val="24"/>
          <w:szCs w:val="24"/>
        </w:rPr>
        <w:tab/>
        <w:t xml:space="preserve">The </w:t>
      </w:r>
      <w:r>
        <w:rPr>
          <w:sz w:val="24"/>
          <w:szCs w:val="24"/>
        </w:rPr>
        <w:t>Tennessee Ethics Commission</w:t>
      </w:r>
      <w:r w:rsidRPr="002D4A33">
        <w:rPr>
          <w:sz w:val="24"/>
          <w:szCs w:val="24"/>
        </w:rPr>
        <w:t xml:space="preserve"> (“</w:t>
      </w:r>
      <w:r>
        <w:rPr>
          <w:sz w:val="24"/>
          <w:szCs w:val="24"/>
        </w:rPr>
        <w:t>Commission</w:t>
      </w:r>
      <w:r w:rsidRPr="002D4A33">
        <w:rPr>
          <w:sz w:val="24"/>
          <w:szCs w:val="24"/>
        </w:rPr>
        <w:t xml:space="preserve">”) will meet on </w:t>
      </w:r>
      <w:r>
        <w:rPr>
          <w:sz w:val="24"/>
          <w:szCs w:val="24"/>
        </w:rPr>
        <w:t>Wednesday April 15, 2026,</w:t>
      </w:r>
      <w:r w:rsidRPr="002D4A33">
        <w:rPr>
          <w:sz w:val="24"/>
          <w:szCs w:val="24"/>
        </w:rPr>
        <w:t xml:space="preserve"> for its regularly scheduled meeting. </w:t>
      </w:r>
      <w:r w:rsidRPr="006102CD">
        <w:rPr>
          <w:b/>
          <w:bCs/>
          <w:sz w:val="24"/>
          <w:szCs w:val="24"/>
        </w:rPr>
        <w:t>The meeting will begin at 9:</w:t>
      </w:r>
      <w:r>
        <w:rPr>
          <w:b/>
          <w:bCs/>
          <w:sz w:val="24"/>
          <w:szCs w:val="24"/>
        </w:rPr>
        <w:t>30</w:t>
      </w:r>
      <w:r w:rsidRPr="006102CD">
        <w:rPr>
          <w:b/>
          <w:bCs/>
          <w:sz w:val="24"/>
          <w:szCs w:val="24"/>
        </w:rPr>
        <w:t xml:space="preserve"> a.m. (CST) at the Tennessee Tower, 312 Rosa L. Parks Avenue, Nashville, TN, 37219, in the </w:t>
      </w:r>
      <w:r w:rsidRPr="00C3621F">
        <w:rPr>
          <w:b/>
          <w:bCs/>
          <w:sz w:val="24"/>
          <w:szCs w:val="24"/>
        </w:rPr>
        <w:t>Nashville</w:t>
      </w:r>
      <w:r w:rsidRPr="006102CD">
        <w:rPr>
          <w:b/>
          <w:bCs/>
          <w:sz w:val="24"/>
          <w:szCs w:val="24"/>
        </w:rPr>
        <w:t xml:space="preserve"> Room of the 3</w:t>
      </w:r>
      <w:r w:rsidRPr="006102CD">
        <w:rPr>
          <w:b/>
          <w:bCs/>
          <w:sz w:val="24"/>
          <w:szCs w:val="24"/>
          <w:vertAlign w:val="superscript"/>
        </w:rPr>
        <w:t>rd</w:t>
      </w:r>
      <w:r w:rsidRPr="006102CD">
        <w:rPr>
          <w:b/>
          <w:bCs/>
          <w:sz w:val="24"/>
          <w:szCs w:val="24"/>
        </w:rPr>
        <w:t xml:space="preserve"> Floor Conference Center</w:t>
      </w:r>
      <w:r w:rsidRPr="005473DC">
        <w:rPr>
          <w:bCs/>
          <w:sz w:val="24"/>
          <w:szCs w:val="24"/>
        </w:rPr>
        <w:t>.</w:t>
      </w:r>
      <w:r w:rsidRPr="002D4A33">
        <w:rPr>
          <w:sz w:val="24"/>
          <w:szCs w:val="24"/>
        </w:rPr>
        <w:t xml:space="preserve"> </w:t>
      </w:r>
    </w:p>
    <w:p w14:paraId="0EA36856" w14:textId="77777777" w:rsidR="008265C8" w:rsidRDefault="008265C8" w:rsidP="00310EBC">
      <w:pPr>
        <w:jc w:val="both"/>
        <w:rPr>
          <w:sz w:val="24"/>
          <w:szCs w:val="24"/>
        </w:rPr>
      </w:pPr>
    </w:p>
    <w:p w14:paraId="2DE66C5B" w14:textId="77777777" w:rsidR="008265C8" w:rsidRDefault="008265C8" w:rsidP="00310E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 members </w:t>
      </w:r>
      <w:r w:rsidRPr="008B3AC0">
        <w:rPr>
          <w:b/>
          <w:bCs/>
          <w:sz w:val="24"/>
          <w:szCs w:val="24"/>
          <w:u w:val="single"/>
        </w:rPr>
        <w:t>may</w:t>
      </w:r>
      <w:r w:rsidRPr="008B3AC0">
        <w:rPr>
          <w:sz w:val="24"/>
          <w:szCs w:val="24"/>
        </w:rPr>
        <w:t xml:space="preserve"> participate in the meeting by electronic means (audio only)</w:t>
      </w:r>
      <w:r>
        <w:rPr>
          <w:sz w:val="24"/>
          <w:szCs w:val="24"/>
        </w:rPr>
        <w:t>. P</w:t>
      </w:r>
      <w:r w:rsidRPr="002D4A33">
        <w:rPr>
          <w:sz w:val="24"/>
          <w:szCs w:val="24"/>
        </w:rPr>
        <w:t xml:space="preserve">articipants and members of the public (including press members) </w:t>
      </w:r>
      <w:r>
        <w:rPr>
          <w:sz w:val="24"/>
          <w:szCs w:val="24"/>
        </w:rPr>
        <w:t xml:space="preserve">will </w:t>
      </w:r>
      <w:r w:rsidRPr="008B3AC0">
        <w:rPr>
          <w:sz w:val="24"/>
          <w:szCs w:val="24"/>
        </w:rPr>
        <w:t xml:space="preserve">be permitted to listen/participate via electronic means (audio only) by dialing 615-253-0014. Any member of the public wishing to participate in the </w:t>
      </w:r>
      <w:r>
        <w:rPr>
          <w:sz w:val="24"/>
          <w:szCs w:val="24"/>
        </w:rPr>
        <w:t>Commission</w:t>
      </w:r>
      <w:r w:rsidRPr="008B3AC0">
        <w:rPr>
          <w:sz w:val="24"/>
          <w:szCs w:val="24"/>
        </w:rPr>
        <w:t xml:space="preserve">’s meeting, whether in-person or by electronic means, must register with the </w:t>
      </w:r>
      <w:r>
        <w:rPr>
          <w:sz w:val="24"/>
          <w:szCs w:val="24"/>
        </w:rPr>
        <w:t>Commission</w:t>
      </w:r>
      <w:r w:rsidRPr="008B3AC0">
        <w:rPr>
          <w:sz w:val="24"/>
          <w:szCs w:val="24"/>
        </w:rPr>
        <w:t xml:space="preserve"> in advance by contacting Ethics Operations Officer Morgan Tygret at </w:t>
      </w:r>
      <w:r w:rsidRPr="008B3AC0">
        <w:rPr>
          <w:sz w:val="24"/>
          <w:szCs w:val="24"/>
          <w:u w:val="single"/>
        </w:rPr>
        <w:t>morgan.tygret@tn.gov</w:t>
      </w:r>
      <w:r w:rsidRPr="008B3AC0">
        <w:rPr>
          <w:sz w:val="24"/>
          <w:szCs w:val="24"/>
        </w:rPr>
        <w:t xml:space="preserve"> by no later than </w:t>
      </w:r>
      <w:r>
        <w:rPr>
          <w:sz w:val="24"/>
          <w:szCs w:val="24"/>
        </w:rPr>
        <w:t xml:space="preserve">Wednesday April 8, 2026 </w:t>
      </w:r>
      <w:r w:rsidRPr="008B3AC0">
        <w:rPr>
          <w:sz w:val="24"/>
          <w:szCs w:val="24"/>
        </w:rPr>
        <w:t xml:space="preserve">, so the Commission will have a list of dial in participants. The </w:t>
      </w:r>
      <w:r>
        <w:rPr>
          <w:sz w:val="24"/>
          <w:szCs w:val="24"/>
        </w:rPr>
        <w:t xml:space="preserve">Commission </w:t>
      </w:r>
      <w:r w:rsidRPr="008B3AC0">
        <w:rPr>
          <w:sz w:val="24"/>
          <w:szCs w:val="24"/>
        </w:rPr>
        <w:t xml:space="preserve">will observe all provisions of the Tennessee Open Meetings Act. </w:t>
      </w:r>
    </w:p>
    <w:p w14:paraId="7BD7B2FA" w14:textId="77777777" w:rsidR="008265C8" w:rsidRDefault="008265C8" w:rsidP="00310EBC">
      <w:pPr>
        <w:jc w:val="both"/>
        <w:rPr>
          <w:sz w:val="24"/>
          <w:szCs w:val="24"/>
        </w:rPr>
      </w:pPr>
    </w:p>
    <w:p w14:paraId="1CFA0B72" w14:textId="77777777" w:rsidR="008265C8" w:rsidRDefault="008265C8" w:rsidP="00310EBC">
      <w:pPr>
        <w:jc w:val="both"/>
        <w:rPr>
          <w:sz w:val="24"/>
          <w:szCs w:val="24"/>
        </w:rPr>
      </w:pPr>
      <w:r w:rsidRPr="00D63572">
        <w:rPr>
          <w:sz w:val="24"/>
          <w:szCs w:val="24"/>
        </w:rPr>
        <w:t>Pursuant to T.C.A.</w:t>
      </w:r>
      <w:r>
        <w:rPr>
          <w:sz w:val="24"/>
          <w:szCs w:val="24"/>
        </w:rPr>
        <w:t xml:space="preserve"> §</w:t>
      </w:r>
      <w:r w:rsidRPr="00D63572">
        <w:rPr>
          <w:sz w:val="24"/>
          <w:szCs w:val="24"/>
        </w:rPr>
        <w:t xml:space="preserve"> </w:t>
      </w:r>
      <w:r>
        <w:rPr>
          <w:sz w:val="24"/>
          <w:szCs w:val="24"/>
        </w:rPr>
        <w:t>3-6-103</w:t>
      </w:r>
      <w:r w:rsidRPr="00D63572">
        <w:rPr>
          <w:sz w:val="24"/>
          <w:szCs w:val="24"/>
        </w:rPr>
        <w:t xml:space="preserve">, the agenda has been published on the </w:t>
      </w:r>
      <w:r>
        <w:rPr>
          <w:sz w:val="24"/>
          <w:szCs w:val="24"/>
        </w:rPr>
        <w:t>Ethics Commission</w:t>
      </w:r>
      <w:r w:rsidRPr="00D63572">
        <w:rPr>
          <w:sz w:val="24"/>
          <w:szCs w:val="24"/>
        </w:rPr>
        <w:t xml:space="preserve"> website at least five (5) business days prior to the date of the meeting.</w:t>
      </w:r>
      <w:r>
        <w:rPr>
          <w:sz w:val="24"/>
          <w:szCs w:val="24"/>
        </w:rPr>
        <w:t xml:space="preserve"> </w:t>
      </w:r>
      <w:r w:rsidRPr="002D4A33">
        <w:rPr>
          <w:sz w:val="24"/>
          <w:szCs w:val="24"/>
        </w:rPr>
        <w:t xml:space="preserve">Please note this meeting will </w:t>
      </w:r>
      <w:r>
        <w:rPr>
          <w:sz w:val="24"/>
          <w:szCs w:val="24"/>
        </w:rPr>
        <w:t xml:space="preserve">be recorded </w:t>
      </w:r>
      <w:r w:rsidRPr="008B3AC0">
        <w:rPr>
          <w:sz w:val="24"/>
          <w:szCs w:val="24"/>
        </w:rPr>
        <w:t xml:space="preserve">and all speakers/participants </w:t>
      </w:r>
      <w:r>
        <w:rPr>
          <w:sz w:val="24"/>
          <w:szCs w:val="24"/>
        </w:rPr>
        <w:t>may</w:t>
      </w:r>
      <w:r w:rsidRPr="008B3AC0">
        <w:rPr>
          <w:sz w:val="24"/>
          <w:szCs w:val="24"/>
        </w:rPr>
        <w:t xml:space="preserve"> be limited to 5 minutes</w:t>
      </w:r>
      <w:r>
        <w:rPr>
          <w:sz w:val="24"/>
          <w:szCs w:val="24"/>
        </w:rPr>
        <w:t xml:space="preserve"> or less at the discretion of the Commission Chair</w:t>
      </w:r>
      <w:r w:rsidRPr="008B3AC0">
        <w:rPr>
          <w:sz w:val="24"/>
          <w:szCs w:val="24"/>
        </w:rPr>
        <w:t>.</w:t>
      </w:r>
    </w:p>
    <w:p w14:paraId="3F95DA2C" w14:textId="77777777" w:rsidR="008265C8" w:rsidRDefault="008265C8" w:rsidP="00310EBC">
      <w:pPr>
        <w:rPr>
          <w:sz w:val="24"/>
          <w:szCs w:val="24"/>
        </w:rPr>
      </w:pPr>
    </w:p>
    <w:p w14:paraId="72DFA7F1" w14:textId="77777777" w:rsidR="008265C8" w:rsidRDefault="008265C8" w:rsidP="00310EBC">
      <w:pPr>
        <w:rPr>
          <w:sz w:val="24"/>
          <w:szCs w:val="24"/>
        </w:rPr>
      </w:pPr>
    </w:p>
    <w:p w14:paraId="093AC037" w14:textId="77777777" w:rsidR="008265C8" w:rsidRDefault="008265C8" w:rsidP="00310EBC">
      <w:pPr>
        <w:rPr>
          <w:sz w:val="24"/>
          <w:szCs w:val="24"/>
        </w:rPr>
      </w:pPr>
    </w:p>
    <w:p w14:paraId="2DECB49B" w14:textId="77777777" w:rsidR="008265C8" w:rsidRDefault="008265C8" w:rsidP="00310EBC">
      <w:pPr>
        <w:rPr>
          <w:sz w:val="24"/>
          <w:szCs w:val="24"/>
        </w:rPr>
      </w:pPr>
    </w:p>
    <w:p w14:paraId="6CD961BE" w14:textId="77777777" w:rsidR="008265C8" w:rsidRDefault="008265C8" w:rsidP="00310EBC">
      <w:pPr>
        <w:rPr>
          <w:sz w:val="24"/>
          <w:szCs w:val="24"/>
        </w:rPr>
      </w:pPr>
    </w:p>
    <w:p w14:paraId="6A87A225" w14:textId="77777777" w:rsidR="008265C8" w:rsidRDefault="008265C8" w:rsidP="00310EBC">
      <w:pPr>
        <w:rPr>
          <w:sz w:val="24"/>
          <w:szCs w:val="24"/>
        </w:rPr>
      </w:pPr>
    </w:p>
    <w:p w14:paraId="70644379" w14:textId="77777777" w:rsidR="008265C8" w:rsidRPr="00E64A10" w:rsidRDefault="008265C8" w:rsidP="00310EBC">
      <w:pPr>
        <w:rPr>
          <w:b/>
          <w:sz w:val="24"/>
          <w:szCs w:val="24"/>
        </w:rPr>
      </w:pPr>
      <w:r w:rsidRPr="00E64A10">
        <w:rPr>
          <w:sz w:val="24"/>
          <w:szCs w:val="24"/>
        </w:rPr>
        <w:lastRenderedPageBreak/>
        <w:t>The agenda for the meeting is as follows:</w:t>
      </w:r>
    </w:p>
    <w:p w14:paraId="517D7796" w14:textId="77777777" w:rsidR="008265C8" w:rsidRPr="00A608C8" w:rsidRDefault="008265C8" w:rsidP="00A608C8">
      <w:pPr>
        <w:rPr>
          <w:b/>
          <w:sz w:val="24"/>
          <w:szCs w:val="24"/>
        </w:rPr>
      </w:pPr>
    </w:p>
    <w:p w14:paraId="55618E6E" w14:textId="77777777" w:rsidR="008265C8" w:rsidRPr="00260903" w:rsidRDefault="008265C8" w:rsidP="00260903">
      <w:pPr>
        <w:pStyle w:val="ListParagraph"/>
        <w:rPr>
          <w:b/>
          <w:sz w:val="24"/>
          <w:szCs w:val="24"/>
        </w:rPr>
      </w:pPr>
    </w:p>
    <w:p w14:paraId="1AA2031B" w14:textId="77777777" w:rsidR="008265C8" w:rsidRDefault="008265C8" w:rsidP="00964AD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10EBC">
        <w:rPr>
          <w:b/>
          <w:sz w:val="24"/>
          <w:szCs w:val="24"/>
        </w:rPr>
        <w:t xml:space="preserve">Approval of </w:t>
      </w:r>
      <w:r>
        <w:rPr>
          <w:b/>
          <w:sz w:val="24"/>
          <w:szCs w:val="24"/>
        </w:rPr>
        <w:t>February 3, 2026</w:t>
      </w:r>
      <w:r w:rsidRPr="00310EBC">
        <w:rPr>
          <w:b/>
          <w:sz w:val="24"/>
          <w:szCs w:val="24"/>
        </w:rPr>
        <w:t xml:space="preserve"> minutes</w:t>
      </w:r>
    </w:p>
    <w:p w14:paraId="545DE0EC" w14:textId="77777777" w:rsidR="008265C8" w:rsidRDefault="008265C8" w:rsidP="00964AD9">
      <w:pPr>
        <w:pStyle w:val="ListParagraph"/>
        <w:ind w:left="660"/>
        <w:rPr>
          <w:b/>
          <w:sz w:val="24"/>
          <w:szCs w:val="24"/>
        </w:rPr>
      </w:pPr>
    </w:p>
    <w:p w14:paraId="308AADD4" w14:textId="77777777" w:rsidR="008265C8" w:rsidRDefault="008265C8" w:rsidP="002609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970E3">
        <w:rPr>
          <w:b/>
          <w:sz w:val="24"/>
          <w:szCs w:val="24"/>
        </w:rPr>
        <w:t>Sworn Complaints</w:t>
      </w:r>
    </w:p>
    <w:p w14:paraId="533B6DAA" w14:textId="77777777" w:rsidR="008265C8" w:rsidRDefault="008265C8" w:rsidP="00260903">
      <w:pPr>
        <w:ind w:firstLine="660"/>
        <w:rPr>
          <w:b/>
          <w:sz w:val="24"/>
          <w:szCs w:val="24"/>
        </w:rPr>
      </w:pPr>
    </w:p>
    <w:p w14:paraId="29EAEFD2" w14:textId="77777777" w:rsidR="008265C8" w:rsidRPr="00964AD9" w:rsidRDefault="008265C8" w:rsidP="00260903">
      <w:pPr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C2026-01</w:t>
      </w:r>
      <w:r>
        <w:rPr>
          <w:bCs/>
          <w:sz w:val="24"/>
          <w:szCs w:val="24"/>
        </w:rPr>
        <w:t xml:space="preserve">- </w:t>
      </w:r>
      <w:r w:rsidRPr="00964AD9">
        <w:rPr>
          <w:bCs/>
          <w:sz w:val="24"/>
          <w:szCs w:val="24"/>
        </w:rPr>
        <w:t>Chancellor Richard T. Perkins by Richard Hall</w:t>
      </w:r>
    </w:p>
    <w:p w14:paraId="34FF15B2" w14:textId="77777777" w:rsidR="008265C8" w:rsidRPr="00964AD9" w:rsidRDefault="008265C8" w:rsidP="00260903">
      <w:pPr>
        <w:pStyle w:val="ListParagraph"/>
        <w:ind w:left="660"/>
        <w:rPr>
          <w:bCs/>
          <w:sz w:val="24"/>
          <w:szCs w:val="24"/>
        </w:rPr>
      </w:pPr>
    </w:p>
    <w:p w14:paraId="38F00F4D" w14:textId="77777777" w:rsidR="008265C8" w:rsidRPr="00964AD9" w:rsidRDefault="008265C8" w:rsidP="00260903">
      <w:pPr>
        <w:pStyle w:val="ListParagraph"/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C2026- 02</w:t>
      </w:r>
      <w:r>
        <w:rPr>
          <w:bCs/>
          <w:sz w:val="24"/>
          <w:szCs w:val="24"/>
        </w:rPr>
        <w:t>-</w:t>
      </w:r>
      <w:r w:rsidRPr="00964AD9">
        <w:rPr>
          <w:bCs/>
          <w:sz w:val="24"/>
          <w:szCs w:val="24"/>
        </w:rPr>
        <w:t xml:space="preserve"> Joshua Anderson by Nathan Mullins</w:t>
      </w:r>
    </w:p>
    <w:p w14:paraId="6C87DB4E" w14:textId="77777777" w:rsidR="008265C8" w:rsidRPr="00964AD9" w:rsidRDefault="008265C8" w:rsidP="00260903">
      <w:pPr>
        <w:pStyle w:val="ListParagraph"/>
        <w:ind w:left="660"/>
        <w:rPr>
          <w:bCs/>
          <w:sz w:val="24"/>
          <w:szCs w:val="24"/>
        </w:rPr>
      </w:pPr>
    </w:p>
    <w:p w14:paraId="32F5337A" w14:textId="77777777" w:rsidR="008265C8" w:rsidRPr="00964AD9" w:rsidRDefault="008265C8" w:rsidP="00260903">
      <w:pPr>
        <w:pStyle w:val="ListParagraph"/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C2026- 03</w:t>
      </w:r>
      <w:r>
        <w:rPr>
          <w:bCs/>
          <w:sz w:val="24"/>
          <w:szCs w:val="24"/>
        </w:rPr>
        <w:t>-</w:t>
      </w:r>
      <w:r w:rsidRPr="00964AD9">
        <w:rPr>
          <w:bCs/>
          <w:sz w:val="24"/>
          <w:szCs w:val="24"/>
        </w:rPr>
        <w:t xml:space="preserve"> Teresa West, Don Baird, Doug Collins, Christopher Capps by Jennifer Marie Seay</w:t>
      </w:r>
    </w:p>
    <w:p w14:paraId="03C497C8" w14:textId="77777777" w:rsidR="008265C8" w:rsidRPr="00964AD9" w:rsidRDefault="008265C8" w:rsidP="00260903">
      <w:pPr>
        <w:pStyle w:val="ListParagraph"/>
        <w:ind w:left="660"/>
        <w:rPr>
          <w:bCs/>
          <w:sz w:val="24"/>
          <w:szCs w:val="24"/>
        </w:rPr>
      </w:pPr>
    </w:p>
    <w:p w14:paraId="27FF7992" w14:textId="77777777" w:rsidR="008265C8" w:rsidRPr="00964AD9" w:rsidRDefault="008265C8" w:rsidP="00260903">
      <w:pPr>
        <w:pStyle w:val="ListParagraph"/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C2026- 04</w:t>
      </w:r>
      <w:r>
        <w:rPr>
          <w:bCs/>
          <w:sz w:val="24"/>
          <w:szCs w:val="24"/>
        </w:rPr>
        <w:t>-</w:t>
      </w:r>
      <w:r w:rsidRPr="00964AD9">
        <w:rPr>
          <w:bCs/>
          <w:sz w:val="24"/>
          <w:szCs w:val="24"/>
        </w:rPr>
        <w:t xml:space="preserve"> Richard Tucker by Kevin Hendricks</w:t>
      </w:r>
    </w:p>
    <w:p w14:paraId="0EE7AC6F" w14:textId="77777777" w:rsidR="008265C8" w:rsidRPr="00A608C8" w:rsidRDefault="008265C8" w:rsidP="00A608C8">
      <w:pPr>
        <w:rPr>
          <w:b/>
          <w:sz w:val="24"/>
          <w:szCs w:val="24"/>
        </w:rPr>
      </w:pPr>
    </w:p>
    <w:p w14:paraId="68CEE25B" w14:textId="77777777" w:rsidR="008265C8" w:rsidRDefault="008265C8" w:rsidP="0026090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60903">
        <w:rPr>
          <w:b/>
          <w:sz w:val="24"/>
          <w:szCs w:val="24"/>
        </w:rPr>
        <w:t>Reconsiderations</w:t>
      </w:r>
    </w:p>
    <w:p w14:paraId="63CEBA90" w14:textId="77777777" w:rsidR="008265C8" w:rsidRDefault="008265C8" w:rsidP="00964AD9">
      <w:pPr>
        <w:pStyle w:val="ListParagraph"/>
        <w:ind w:left="660"/>
        <w:rPr>
          <w:b/>
          <w:sz w:val="24"/>
          <w:szCs w:val="24"/>
        </w:rPr>
      </w:pPr>
    </w:p>
    <w:p w14:paraId="0CD809AC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2024-187- Foreman, Aubrey</w:t>
      </w:r>
    </w:p>
    <w:p w14:paraId="56F7B96A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2025-767- Roe, Bill</w:t>
      </w:r>
    </w:p>
    <w:p w14:paraId="6D847E1C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2025-698- Frazier, Charles A.</w:t>
      </w:r>
    </w:p>
    <w:p w14:paraId="0EE6F77A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2025-699- George, Jane</w:t>
      </w:r>
    </w:p>
    <w:p w14:paraId="4DB0CE2C" w14:textId="77777777" w:rsidR="008265C8" w:rsidRDefault="008265C8" w:rsidP="00964AD9">
      <w:pPr>
        <w:pStyle w:val="ListParagraph"/>
        <w:spacing w:line="480" w:lineRule="auto"/>
        <w:ind w:left="662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2025-702- Grant, Jacob</w:t>
      </w:r>
    </w:p>
    <w:p w14:paraId="558B5FAE" w14:textId="13A77A84" w:rsidR="00484F99" w:rsidRDefault="00484F99" w:rsidP="00484F99">
      <w:pPr>
        <w:pStyle w:val="ListParagraph"/>
        <w:spacing w:line="480" w:lineRule="auto"/>
        <w:ind w:left="662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2025-707- Housely, Matthew</w:t>
      </w:r>
    </w:p>
    <w:p w14:paraId="1C0B0ABB" w14:textId="1044F27D" w:rsidR="00484F99" w:rsidRPr="00484F99" w:rsidRDefault="00484F99" w:rsidP="00484F99">
      <w:pPr>
        <w:spacing w:line="480" w:lineRule="auto"/>
        <w:ind w:firstLine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2025-142- Anderson-King, Angela</w:t>
      </w:r>
    </w:p>
    <w:p w14:paraId="108DBCF0" w14:textId="77777777" w:rsidR="008265C8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2025- 570- Terrell, Rachel</w:t>
      </w:r>
    </w:p>
    <w:p w14:paraId="7C8150C6" w14:textId="5717F9D4" w:rsidR="00484F99" w:rsidRPr="00484F99" w:rsidRDefault="00484F99" w:rsidP="00484F99">
      <w:pPr>
        <w:pStyle w:val="ListParagraph"/>
        <w:spacing w:line="480" w:lineRule="auto"/>
        <w:ind w:left="662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2025-762- Woodson, Joe</w:t>
      </w:r>
    </w:p>
    <w:p w14:paraId="1AAC1A60" w14:textId="77777777" w:rsidR="008265C8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2025-040- Roach, James</w:t>
      </w:r>
    </w:p>
    <w:p w14:paraId="77759398" w14:textId="78C3CB5E" w:rsidR="00484F99" w:rsidRDefault="00484F99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>
        <w:rPr>
          <w:bCs/>
          <w:sz w:val="24"/>
          <w:szCs w:val="24"/>
        </w:rPr>
        <w:t>Case No. 2025-704 Hartwell, Erinn</w:t>
      </w:r>
    </w:p>
    <w:p w14:paraId="577C8AAC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>
        <w:rPr>
          <w:bCs/>
          <w:sz w:val="24"/>
          <w:szCs w:val="24"/>
        </w:rPr>
        <w:t>Case No. 2025-757- Tennessee Wildlife Officers Association</w:t>
      </w:r>
    </w:p>
    <w:p w14:paraId="5FE0D25B" w14:textId="77777777" w:rsidR="008265C8" w:rsidRDefault="008265C8" w:rsidP="0000073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692DAB">
        <w:rPr>
          <w:b/>
          <w:sz w:val="24"/>
          <w:szCs w:val="24"/>
        </w:rPr>
        <w:t>Informal civil penalty assessment proceeding</w:t>
      </w:r>
      <w:r>
        <w:rPr>
          <w:b/>
          <w:sz w:val="24"/>
          <w:szCs w:val="24"/>
        </w:rPr>
        <w:t xml:space="preserve">s </w:t>
      </w:r>
      <w:r w:rsidRPr="00692DAB">
        <w:rPr>
          <w:b/>
          <w:sz w:val="24"/>
          <w:szCs w:val="24"/>
        </w:rPr>
        <w:t>– Local Officials</w:t>
      </w:r>
    </w:p>
    <w:p w14:paraId="61328C09" w14:textId="77777777" w:rsidR="00484F99" w:rsidRPr="00484F99" w:rsidRDefault="00484F99" w:rsidP="00484F99">
      <w:pPr>
        <w:spacing w:line="480" w:lineRule="auto"/>
        <w:ind w:firstLine="660"/>
        <w:rPr>
          <w:bCs/>
          <w:noProof/>
          <w:sz w:val="24"/>
          <w:szCs w:val="24"/>
        </w:rPr>
      </w:pPr>
      <w:r w:rsidRPr="00484F99">
        <w:rPr>
          <w:bCs/>
          <w:sz w:val="24"/>
          <w:szCs w:val="24"/>
        </w:rPr>
        <w:t xml:space="preserve">Case No. </w:t>
      </w:r>
      <w:r w:rsidRPr="00484F99">
        <w:rPr>
          <w:bCs/>
          <w:noProof/>
          <w:sz w:val="24"/>
          <w:szCs w:val="24"/>
        </w:rPr>
        <w:t>2025-731- James, Jeff</w:t>
      </w:r>
    </w:p>
    <w:p w14:paraId="60E8582E" w14:textId="148DEE13" w:rsidR="00484F99" w:rsidRPr="00484F99" w:rsidRDefault="00484F99" w:rsidP="00484F9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2025-730- Kinder, Clyde</w:t>
      </w:r>
    </w:p>
    <w:p w14:paraId="4EF2E026" w14:textId="3B41BEFF" w:rsidR="008265C8" w:rsidRDefault="008265C8" w:rsidP="00964AD9">
      <w:pPr>
        <w:pStyle w:val="ListParagraph"/>
        <w:spacing w:line="480" w:lineRule="auto"/>
        <w:ind w:left="660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2025-732- Tomlinson, Mark</w:t>
      </w:r>
    </w:p>
    <w:p w14:paraId="33B3D730" w14:textId="5D0678C0" w:rsidR="00484F99" w:rsidRDefault="00484F99" w:rsidP="00484F99">
      <w:pPr>
        <w:pStyle w:val="ListParagraph"/>
        <w:spacing w:line="480" w:lineRule="auto"/>
        <w:ind w:left="662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2025-728- Baltimore, James</w:t>
      </w:r>
    </w:p>
    <w:p w14:paraId="0D29E29A" w14:textId="1C0E49F9" w:rsidR="00484F99" w:rsidRDefault="00484F99" w:rsidP="00484F99">
      <w:pPr>
        <w:pStyle w:val="ListParagraph"/>
        <w:spacing w:line="480" w:lineRule="auto"/>
        <w:ind w:left="662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2025-729- Rogers, Chris</w:t>
      </w:r>
    </w:p>
    <w:p w14:paraId="5FF24BC0" w14:textId="705A4A1A" w:rsidR="00484F99" w:rsidRPr="00484F99" w:rsidRDefault="00484F99" w:rsidP="00484F9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2025-738- Salmon, Betty</w:t>
      </w:r>
    </w:p>
    <w:p w14:paraId="568DEBA5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2025-734- Swearengen, Jamita</w:t>
      </w:r>
    </w:p>
    <w:p w14:paraId="1D95EA9E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noProof/>
          <w:sz w:val="24"/>
          <w:szCs w:val="24"/>
        </w:rPr>
      </w:pPr>
      <w:r w:rsidRPr="00964AD9">
        <w:rPr>
          <w:bCs/>
          <w:sz w:val="24"/>
          <w:szCs w:val="24"/>
        </w:rPr>
        <w:lastRenderedPageBreak/>
        <w:t xml:space="preserve">Case No. </w:t>
      </w:r>
      <w:r w:rsidRPr="00964AD9">
        <w:rPr>
          <w:bCs/>
          <w:noProof/>
          <w:sz w:val="24"/>
          <w:szCs w:val="24"/>
        </w:rPr>
        <w:t>2025-733- Swearengen-Washington, Jana</w:t>
      </w:r>
    </w:p>
    <w:p w14:paraId="7ECC6CF0" w14:textId="77777777" w:rsidR="008265C8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08C8">
        <w:rPr>
          <w:b/>
          <w:sz w:val="24"/>
          <w:szCs w:val="24"/>
        </w:rPr>
        <w:t>Informal civil penalty assessment proceedings – Local Candidates</w:t>
      </w:r>
    </w:p>
    <w:p w14:paraId="037C2F33" w14:textId="77777777" w:rsidR="008265C8" w:rsidRDefault="008265C8" w:rsidP="00964AD9">
      <w:pPr>
        <w:pStyle w:val="ListParagraph"/>
        <w:ind w:left="660"/>
        <w:rPr>
          <w:b/>
          <w:sz w:val="24"/>
          <w:szCs w:val="24"/>
        </w:rPr>
      </w:pPr>
    </w:p>
    <w:p w14:paraId="4E2B5C51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2025-706- Honeycutt, Nathan</w:t>
      </w:r>
    </w:p>
    <w:p w14:paraId="70817061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2025-709- Johnson, Stan</w:t>
      </w:r>
    </w:p>
    <w:p w14:paraId="30C13B17" w14:textId="77777777" w:rsidR="008265C8" w:rsidRPr="00964AD9" w:rsidRDefault="008265C8" w:rsidP="00964AD9">
      <w:pPr>
        <w:pStyle w:val="ListParagraph"/>
        <w:spacing w:line="480" w:lineRule="auto"/>
        <w:ind w:left="662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 xml:space="preserve">Case No. </w:t>
      </w:r>
      <w:r w:rsidRPr="00964AD9">
        <w:rPr>
          <w:bCs/>
          <w:noProof/>
          <w:sz w:val="24"/>
          <w:szCs w:val="24"/>
        </w:rPr>
        <w:t>2025-689- Brown, Sam</w:t>
      </w:r>
    </w:p>
    <w:p w14:paraId="0004B2F5" w14:textId="77777777" w:rsidR="008265C8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8004F">
        <w:rPr>
          <w:b/>
          <w:noProof/>
          <w:sz w:val="24"/>
          <w:szCs w:val="24"/>
        </w:rPr>
        <w:t>Informal  civil penalty assesment proceedings</w:t>
      </w:r>
      <w:r>
        <w:rPr>
          <w:b/>
          <w:noProof/>
          <w:sz w:val="24"/>
          <w:szCs w:val="24"/>
        </w:rPr>
        <w:t xml:space="preserve"> </w:t>
      </w:r>
      <w:r w:rsidRPr="00B8004F">
        <w:rPr>
          <w:b/>
          <w:noProof/>
          <w:sz w:val="24"/>
          <w:szCs w:val="24"/>
        </w:rPr>
        <w:t>-</w:t>
      </w:r>
      <w:r>
        <w:rPr>
          <w:b/>
          <w:noProof/>
          <w:sz w:val="24"/>
          <w:szCs w:val="24"/>
        </w:rPr>
        <w:t xml:space="preserve"> </w:t>
      </w:r>
      <w:r w:rsidRPr="00B8004F">
        <w:rPr>
          <w:b/>
          <w:noProof/>
          <w:sz w:val="24"/>
          <w:szCs w:val="24"/>
        </w:rPr>
        <w:t>Employer of Lobbyist</w:t>
      </w:r>
    </w:p>
    <w:p w14:paraId="4F520D10" w14:textId="77777777" w:rsidR="008265C8" w:rsidRDefault="008265C8" w:rsidP="00707A7D">
      <w:pPr>
        <w:pStyle w:val="ListParagraph"/>
        <w:ind w:left="660"/>
        <w:rPr>
          <w:b/>
          <w:noProof/>
          <w:sz w:val="24"/>
          <w:szCs w:val="24"/>
        </w:rPr>
      </w:pPr>
    </w:p>
    <w:p w14:paraId="3FEF8B22" w14:textId="6DE76992" w:rsidR="008265C8" w:rsidRDefault="008265C8" w:rsidP="008265C8">
      <w:pPr>
        <w:pStyle w:val="ListParagraph"/>
        <w:ind w:left="660"/>
        <w:rPr>
          <w:bCs/>
          <w:noProof/>
          <w:sz w:val="24"/>
          <w:szCs w:val="24"/>
        </w:rPr>
      </w:pPr>
      <w:r w:rsidRPr="00707A7D">
        <w:rPr>
          <w:bCs/>
          <w:noProof/>
          <w:sz w:val="24"/>
          <w:szCs w:val="24"/>
        </w:rPr>
        <w:t>Case No. 2025-759- JCBG</w:t>
      </w:r>
    </w:p>
    <w:p w14:paraId="57F8BA8D" w14:textId="77777777" w:rsidR="00484F99" w:rsidRDefault="00484F99" w:rsidP="00484F99">
      <w:pPr>
        <w:ind w:firstLine="660"/>
        <w:rPr>
          <w:bCs/>
          <w:noProof/>
          <w:sz w:val="24"/>
          <w:szCs w:val="24"/>
        </w:rPr>
      </w:pPr>
    </w:p>
    <w:p w14:paraId="4B04E5E1" w14:textId="610D5813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2026-018- American Bail Coalition</w:t>
      </w:r>
    </w:p>
    <w:p w14:paraId="7BEC28FB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2E0D965" w14:textId="7C19916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2026-022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Carrier Corporation</w:t>
      </w:r>
    </w:p>
    <w:p w14:paraId="7C5BA8BF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F59B5FA" w14:textId="2DED1C19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2026-023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Catalyst Strategic Government Affairs</w:t>
      </w:r>
    </w:p>
    <w:p w14:paraId="57BCEF26" w14:textId="77777777" w:rsidR="00484F99" w:rsidRDefault="00484F99" w:rsidP="00484F99">
      <w:pPr>
        <w:pStyle w:val="ListParagraph"/>
        <w:ind w:left="660"/>
        <w:rPr>
          <w:noProof/>
        </w:rPr>
      </w:pPr>
    </w:p>
    <w:p w14:paraId="63B9FBF7" w14:textId="674B8868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2026-024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Centerstone Military Services</w:t>
      </w:r>
    </w:p>
    <w:p w14:paraId="71042AFD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47F21A34" w14:textId="062F57D4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2026-025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CooperSurgical</w:t>
      </w:r>
    </w:p>
    <w:p w14:paraId="4CF90960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43450F8E" w14:textId="61491D61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2026-027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E3 Costruction Services LLC</w:t>
      </w:r>
    </w:p>
    <w:p w14:paraId="4B729DDE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071F1AFA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2026-028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Elite Lobbyist</w:t>
      </w:r>
    </w:p>
    <w:p w14:paraId="4F5AADAE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8CE91DC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2026-029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Ellucian</w:t>
      </w:r>
    </w:p>
    <w:p w14:paraId="7DFE5F74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0CDA5821" w14:textId="17BE6391" w:rsidR="00484F99" w:rsidRP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2026-030- eMed, LLC</w:t>
      </w:r>
    </w:p>
    <w:p w14:paraId="1FBB9E22" w14:textId="77777777" w:rsidR="00484F99" w:rsidRDefault="00484F99" w:rsidP="00484F99">
      <w:pPr>
        <w:rPr>
          <w:bCs/>
          <w:noProof/>
          <w:sz w:val="24"/>
          <w:szCs w:val="24"/>
        </w:rPr>
      </w:pPr>
    </w:p>
    <w:p w14:paraId="035B19AA" w14:textId="170E6EC1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2026-031- Fifty Bar</w:t>
      </w:r>
    </w:p>
    <w:p w14:paraId="6791A2F7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967B562" w14:textId="7BAE44C8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2026-033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Instructure, Inc.</w:t>
      </w:r>
    </w:p>
    <w:p w14:paraId="08DD5221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2026-036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Life Science Tennessee</w:t>
      </w:r>
    </w:p>
    <w:p w14:paraId="16EDAA12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CCFC59C" w14:textId="2DA46619" w:rsidR="00484F99" w:rsidRP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2026-037- Memphis Zoological Society</w:t>
      </w:r>
    </w:p>
    <w:p w14:paraId="0254B774" w14:textId="77777777" w:rsidR="00484F99" w:rsidRDefault="00484F99" w:rsidP="00484F99">
      <w:pPr>
        <w:rPr>
          <w:bCs/>
          <w:noProof/>
          <w:sz w:val="24"/>
          <w:szCs w:val="24"/>
        </w:rPr>
      </w:pPr>
    </w:p>
    <w:p w14:paraId="628CFF65" w14:textId="1FE72A76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2026-038- Nashville Technology Council</w:t>
      </w:r>
    </w:p>
    <w:p w14:paraId="562EB1E3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86B3664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2026-039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NextEra Energy Resources, LLC</w:t>
      </w:r>
    </w:p>
    <w:p w14:paraId="24128DDF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76D95AEE" w14:textId="070E94AB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2026-040- Nurse Family Partnership</w:t>
      </w:r>
    </w:p>
    <w:p w14:paraId="50BBB6FB" w14:textId="77777777" w:rsidR="00484F99" w:rsidRDefault="00484F99" w:rsidP="00484F99">
      <w:pPr>
        <w:ind w:firstLine="660"/>
        <w:rPr>
          <w:bCs/>
          <w:noProof/>
          <w:sz w:val="24"/>
          <w:szCs w:val="24"/>
        </w:rPr>
      </w:pPr>
    </w:p>
    <w:p w14:paraId="6FB3FD7E" w14:textId="280486FF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2026-042- SomeraRoad</w:t>
      </w:r>
    </w:p>
    <w:p w14:paraId="4061CF99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7B54BD8" w14:textId="4C67ACED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2026-044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The Club at Kings Chapel, LLC</w:t>
      </w:r>
    </w:p>
    <w:p w14:paraId="612B8731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DEE47F4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2026-045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The Foundation for Research on Equal Opportunity</w:t>
      </w:r>
    </w:p>
    <w:p w14:paraId="492DCFC1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F33A740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2026-048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TN Paddlesports Association</w:t>
      </w:r>
    </w:p>
    <w:p w14:paraId="5BA431D1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45180A86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2026-049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TN RETIRED TEACHERS ASSN.</w:t>
      </w:r>
    </w:p>
    <w:p w14:paraId="46588A3A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4DBB9ADA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2026-050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Trajector Medical</w:t>
      </w:r>
    </w:p>
    <w:p w14:paraId="3130777C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B64A52B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2026-051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USCC Services, LLC</w:t>
      </w:r>
    </w:p>
    <w:p w14:paraId="4F212349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455377FE" w14:textId="77777777" w:rsidR="00484F99" w:rsidRPr="008265C8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2026-052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Western Union</w:t>
      </w:r>
    </w:p>
    <w:p w14:paraId="56818E83" w14:textId="77777777" w:rsidR="00484F99" w:rsidRPr="00484F99" w:rsidRDefault="00484F99" w:rsidP="00484F99">
      <w:pPr>
        <w:rPr>
          <w:bCs/>
          <w:noProof/>
          <w:sz w:val="24"/>
          <w:szCs w:val="24"/>
        </w:rPr>
      </w:pPr>
    </w:p>
    <w:p w14:paraId="622855C6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2026-026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Critical Response Group</w:t>
      </w:r>
    </w:p>
    <w:p w14:paraId="78A9C566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35D105D1" w14:textId="0365EFB6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2026-019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Argentum</w:t>
      </w:r>
    </w:p>
    <w:p w14:paraId="2ACF29CD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0DFDAFFB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2026-020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Blakeford Senior Life</w:t>
      </w:r>
    </w:p>
    <w:p w14:paraId="25642575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159F1415" w14:textId="4BFC3893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2026-047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TN Afterschool Network/United Ways of TN</w:t>
      </w:r>
    </w:p>
    <w:p w14:paraId="3232B2DD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6CB2448A" w14:textId="2406C14F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2026-021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BlueServ</w:t>
      </w:r>
    </w:p>
    <w:p w14:paraId="73818F26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3EB8B46B" w14:textId="5E04A6D8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2026-035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JOHN C DAVENPORT</w:t>
      </w:r>
    </w:p>
    <w:p w14:paraId="2F4B0958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5DC48A3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2026-041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Raptor Technologies</w:t>
      </w:r>
    </w:p>
    <w:p w14:paraId="4B092B60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01C21B4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2026-034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IOTA Community Schools</w:t>
      </w:r>
    </w:p>
    <w:p w14:paraId="34EC8B12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61B6DBF" w14:textId="3B152300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2026-043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Tennessee Healthy Alternatives Association</w:t>
      </w:r>
    </w:p>
    <w:p w14:paraId="45610AAA" w14:textId="77777777" w:rsidR="00484F99" w:rsidRPr="00484F99" w:rsidRDefault="00484F99" w:rsidP="00484F99">
      <w:pPr>
        <w:rPr>
          <w:bCs/>
          <w:noProof/>
          <w:sz w:val="24"/>
          <w:szCs w:val="24"/>
        </w:rPr>
      </w:pPr>
    </w:p>
    <w:p w14:paraId="36E2E590" w14:textId="71A003BC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2026-046- Thompson Engineering</w:t>
      </w:r>
    </w:p>
    <w:p w14:paraId="18238967" w14:textId="77777777" w:rsidR="00484F99" w:rsidRDefault="00484F99" w:rsidP="00484F99">
      <w:pPr>
        <w:rPr>
          <w:bCs/>
          <w:noProof/>
          <w:sz w:val="24"/>
          <w:szCs w:val="24"/>
        </w:rPr>
      </w:pPr>
    </w:p>
    <w:p w14:paraId="1B57C1AC" w14:textId="6BEA5749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2026-032- Her Song, a ministry of the Tim Tebow Foundation</w:t>
      </w:r>
    </w:p>
    <w:p w14:paraId="75198C3C" w14:textId="10ADB323" w:rsidR="00484F99" w:rsidRPr="00484F99" w:rsidRDefault="00484F99" w:rsidP="00484F99">
      <w:pPr>
        <w:rPr>
          <w:bCs/>
          <w:noProof/>
          <w:sz w:val="24"/>
          <w:szCs w:val="24"/>
        </w:rPr>
      </w:pPr>
    </w:p>
    <w:p w14:paraId="2CD9AA11" w14:textId="77777777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2026-016- TAADAS</w:t>
      </w:r>
    </w:p>
    <w:p w14:paraId="355E0972" w14:textId="77777777" w:rsidR="00484F99" w:rsidRDefault="00484F99" w:rsidP="00484F99">
      <w:pPr>
        <w:pStyle w:val="ListParagraph"/>
        <w:ind w:left="660"/>
        <w:rPr>
          <w:noProof/>
        </w:rPr>
      </w:pPr>
    </w:p>
    <w:p w14:paraId="739D27E3" w14:textId="58E8B29D" w:rsidR="00484F99" w:rsidRPr="00484F99" w:rsidRDefault="00484F99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2026-007- Nurse Family Partnership</w:t>
      </w:r>
    </w:p>
    <w:p w14:paraId="6F10289F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9F35106" w14:textId="0A37E844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2026-008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Possip, Inc.</w:t>
      </w:r>
    </w:p>
    <w:p w14:paraId="6678375B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2CF098A5" w14:textId="338ED96D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2026-009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251CABB7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7F440AE" w14:textId="7FD1ED70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2026-010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50622BB3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61335FB8" w14:textId="2E39F0A6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2026-011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0AEC130D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1DA3A135" w14:textId="488B9758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2026-012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296C2CAC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35FA81BA" w14:textId="020302B5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2026-013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664F7BBC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124AB9DC" w14:textId="20128848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2026-014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57C8E93D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51A8AB77" w14:textId="1AE36125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2026-015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RSM US LLP</w:t>
      </w:r>
    </w:p>
    <w:p w14:paraId="09650385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7B710484" w14:textId="265AEDE4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2026-006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Crossroads Treatment Centers</w:t>
      </w:r>
    </w:p>
    <w:p w14:paraId="74F59D17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0F85E8B2" w14:textId="0D988441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2026-004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IOTA Community Schools</w:t>
      </w:r>
    </w:p>
    <w:p w14:paraId="43C9E2F0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</w:p>
    <w:p w14:paraId="6EDB0470" w14:textId="77777777" w:rsid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2026-002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The Weston A. Price Foundation (WAPF)</w:t>
      </w:r>
    </w:p>
    <w:p w14:paraId="1AAC94E5" w14:textId="77777777" w:rsidR="008265C8" w:rsidRPr="008265C8" w:rsidRDefault="008265C8" w:rsidP="008265C8">
      <w:pPr>
        <w:pStyle w:val="ListParagraph"/>
        <w:ind w:left="660"/>
        <w:rPr>
          <w:bCs/>
          <w:noProof/>
          <w:sz w:val="24"/>
          <w:szCs w:val="24"/>
        </w:rPr>
      </w:pPr>
    </w:p>
    <w:p w14:paraId="63B97E00" w14:textId="3682DA9E" w:rsidR="008265C8" w:rsidRPr="00484F99" w:rsidRDefault="008265C8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2026-001- Eric A. Gang &amp; Associates, P.A.</w:t>
      </w:r>
    </w:p>
    <w:p w14:paraId="40938BE2" w14:textId="77777777" w:rsidR="008265C8" w:rsidRDefault="008265C8" w:rsidP="00707A7D">
      <w:pPr>
        <w:pStyle w:val="ListParagraph"/>
        <w:ind w:left="660"/>
        <w:rPr>
          <w:bCs/>
          <w:noProof/>
          <w:sz w:val="24"/>
          <w:szCs w:val="24"/>
        </w:rPr>
      </w:pPr>
    </w:p>
    <w:p w14:paraId="1C9754A7" w14:textId="282FF0C0" w:rsidR="008265C8" w:rsidRDefault="008265C8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2026-003- National Psoriasis Foundation</w:t>
      </w:r>
    </w:p>
    <w:p w14:paraId="64269F35" w14:textId="77777777" w:rsidR="00484F99" w:rsidRDefault="00484F99" w:rsidP="00484F99">
      <w:pPr>
        <w:ind w:firstLine="660"/>
        <w:rPr>
          <w:bCs/>
          <w:noProof/>
          <w:sz w:val="24"/>
          <w:szCs w:val="24"/>
        </w:rPr>
      </w:pPr>
    </w:p>
    <w:p w14:paraId="4EF19AD4" w14:textId="44345E33" w:rsidR="00484F99" w:rsidRPr="00484F99" w:rsidRDefault="00484F99" w:rsidP="00484F99">
      <w:pPr>
        <w:pStyle w:val="ListParagraph"/>
        <w:ind w:left="660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Case. No. </w:t>
      </w:r>
      <w:r w:rsidRPr="002863A6">
        <w:rPr>
          <w:bCs/>
          <w:noProof/>
          <w:sz w:val="24"/>
          <w:szCs w:val="24"/>
        </w:rPr>
        <w:t>2026-004</w:t>
      </w:r>
      <w:r>
        <w:rPr>
          <w:bCs/>
          <w:noProof/>
          <w:sz w:val="24"/>
          <w:szCs w:val="24"/>
        </w:rPr>
        <w:t xml:space="preserve">- </w:t>
      </w:r>
      <w:r w:rsidRPr="002863A6">
        <w:rPr>
          <w:bCs/>
          <w:noProof/>
          <w:sz w:val="24"/>
          <w:szCs w:val="24"/>
        </w:rPr>
        <w:t>IOTA Community Schools</w:t>
      </w:r>
    </w:p>
    <w:p w14:paraId="412E8456" w14:textId="77777777" w:rsidR="008265C8" w:rsidRPr="00484F99" w:rsidRDefault="008265C8" w:rsidP="00484F99">
      <w:pPr>
        <w:rPr>
          <w:bCs/>
          <w:noProof/>
          <w:sz w:val="24"/>
          <w:szCs w:val="24"/>
        </w:rPr>
      </w:pPr>
    </w:p>
    <w:p w14:paraId="1412BD06" w14:textId="77777777" w:rsidR="00484F99" w:rsidRDefault="008265C8" w:rsidP="00484F99">
      <w:pPr>
        <w:ind w:firstLine="660"/>
        <w:rPr>
          <w:bCs/>
          <w:noProof/>
          <w:sz w:val="24"/>
          <w:szCs w:val="24"/>
        </w:rPr>
      </w:pPr>
      <w:r w:rsidRPr="00484F99">
        <w:rPr>
          <w:bCs/>
          <w:noProof/>
          <w:sz w:val="24"/>
          <w:szCs w:val="24"/>
        </w:rPr>
        <w:t>Case. No. 2026-005- Homebuilders Association of Greater Chattanooga</w:t>
      </w:r>
    </w:p>
    <w:p w14:paraId="4961FDFA" w14:textId="77777777" w:rsidR="00484F99" w:rsidRDefault="00484F99" w:rsidP="00484F99">
      <w:pPr>
        <w:rPr>
          <w:bCs/>
          <w:noProof/>
          <w:sz w:val="24"/>
          <w:szCs w:val="24"/>
        </w:rPr>
      </w:pPr>
    </w:p>
    <w:p w14:paraId="482886F9" w14:textId="671FF80A" w:rsidR="008265C8" w:rsidRPr="00484F99" w:rsidRDefault="008265C8" w:rsidP="00484F99">
      <w:pPr>
        <w:pStyle w:val="ListParagraph"/>
        <w:numPr>
          <w:ilvl w:val="0"/>
          <w:numId w:val="1"/>
        </w:numPr>
        <w:rPr>
          <w:bCs/>
          <w:noProof/>
          <w:sz w:val="24"/>
          <w:szCs w:val="24"/>
        </w:rPr>
      </w:pPr>
      <w:r w:rsidRPr="00484F99">
        <w:rPr>
          <w:b/>
          <w:noProof/>
          <w:sz w:val="24"/>
          <w:szCs w:val="24"/>
        </w:rPr>
        <w:t>Informal  civil penalty assesment proceedings – Lobbyists</w:t>
      </w:r>
    </w:p>
    <w:p w14:paraId="14B51DC7" w14:textId="77777777" w:rsidR="00484F99" w:rsidRPr="00484F99" w:rsidRDefault="00484F99" w:rsidP="00484F99">
      <w:pPr>
        <w:rPr>
          <w:bCs/>
          <w:noProof/>
          <w:sz w:val="24"/>
          <w:szCs w:val="24"/>
        </w:rPr>
      </w:pPr>
    </w:p>
    <w:p w14:paraId="7A6C8E5E" w14:textId="063BF8F8" w:rsidR="008265C8" w:rsidRPr="00707A7D" w:rsidRDefault="008265C8" w:rsidP="00707A7D">
      <w:pPr>
        <w:pStyle w:val="ListParagraph"/>
        <w:ind w:left="660"/>
        <w:rPr>
          <w:bCs/>
          <w:sz w:val="24"/>
          <w:szCs w:val="24"/>
        </w:rPr>
      </w:pPr>
      <w:r w:rsidRPr="00707A7D">
        <w:rPr>
          <w:bCs/>
          <w:sz w:val="24"/>
          <w:szCs w:val="24"/>
        </w:rPr>
        <w:t>Case No. 2026-017- Denny</w:t>
      </w:r>
      <w:r>
        <w:rPr>
          <w:bCs/>
          <w:sz w:val="24"/>
          <w:szCs w:val="24"/>
        </w:rPr>
        <w:t>, Jerry</w:t>
      </w:r>
    </w:p>
    <w:p w14:paraId="319EB15F" w14:textId="77777777" w:rsidR="008265C8" w:rsidRPr="00A608C8" w:rsidRDefault="008265C8" w:rsidP="00A608C8">
      <w:pPr>
        <w:rPr>
          <w:b/>
          <w:sz w:val="24"/>
          <w:szCs w:val="24"/>
        </w:rPr>
      </w:pPr>
    </w:p>
    <w:p w14:paraId="300761DA" w14:textId="77777777" w:rsidR="008265C8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Rescind</w:t>
      </w:r>
    </w:p>
    <w:p w14:paraId="2641C7F5" w14:textId="77777777" w:rsidR="008265C8" w:rsidRPr="00964AD9" w:rsidRDefault="008265C8" w:rsidP="00964AD9">
      <w:pPr>
        <w:pStyle w:val="ListParagraph"/>
        <w:rPr>
          <w:b/>
          <w:sz w:val="24"/>
          <w:szCs w:val="24"/>
        </w:rPr>
      </w:pPr>
    </w:p>
    <w:p w14:paraId="44A0BABA" w14:textId="77777777" w:rsidR="008265C8" w:rsidRPr="00964AD9" w:rsidRDefault="008265C8" w:rsidP="00964AD9">
      <w:pPr>
        <w:pStyle w:val="ListParagraph"/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2025-106- NRHC</w:t>
      </w:r>
    </w:p>
    <w:p w14:paraId="6528384D" w14:textId="77777777" w:rsidR="008265C8" w:rsidRPr="00964AD9" w:rsidRDefault="008265C8" w:rsidP="00964AD9">
      <w:pPr>
        <w:pStyle w:val="ListParagraph"/>
        <w:ind w:left="660"/>
        <w:rPr>
          <w:bCs/>
          <w:sz w:val="24"/>
          <w:szCs w:val="24"/>
        </w:rPr>
      </w:pPr>
    </w:p>
    <w:p w14:paraId="5304CDCB" w14:textId="77777777" w:rsidR="008265C8" w:rsidRPr="00964AD9" w:rsidRDefault="008265C8" w:rsidP="00964AD9">
      <w:pPr>
        <w:pStyle w:val="ListParagraph"/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2025-107- NRHC</w:t>
      </w:r>
    </w:p>
    <w:p w14:paraId="7A57CD31" w14:textId="77777777" w:rsidR="008265C8" w:rsidRPr="00964AD9" w:rsidRDefault="008265C8" w:rsidP="00964AD9">
      <w:pPr>
        <w:pStyle w:val="ListParagraph"/>
        <w:ind w:left="660"/>
        <w:rPr>
          <w:bCs/>
          <w:sz w:val="24"/>
          <w:szCs w:val="24"/>
        </w:rPr>
      </w:pPr>
    </w:p>
    <w:p w14:paraId="1567D8F3" w14:textId="77777777" w:rsidR="008265C8" w:rsidRPr="00964AD9" w:rsidRDefault="008265C8" w:rsidP="00964AD9">
      <w:pPr>
        <w:pStyle w:val="ListParagraph"/>
        <w:ind w:left="660"/>
        <w:rPr>
          <w:bCs/>
          <w:sz w:val="24"/>
          <w:szCs w:val="24"/>
        </w:rPr>
      </w:pPr>
      <w:r w:rsidRPr="00964AD9">
        <w:rPr>
          <w:bCs/>
          <w:sz w:val="24"/>
          <w:szCs w:val="24"/>
        </w:rPr>
        <w:t>Case No. 2025-108- NRHC</w:t>
      </w:r>
    </w:p>
    <w:p w14:paraId="4BFA9767" w14:textId="77777777" w:rsidR="008265C8" w:rsidRPr="00964AD9" w:rsidRDefault="008265C8" w:rsidP="00964AD9">
      <w:pPr>
        <w:rPr>
          <w:b/>
          <w:sz w:val="24"/>
          <w:szCs w:val="24"/>
        </w:rPr>
      </w:pPr>
    </w:p>
    <w:p w14:paraId="678F1BF0" w14:textId="77777777" w:rsidR="008265C8" w:rsidRPr="00A608C8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08C8">
        <w:rPr>
          <w:b/>
          <w:sz w:val="24"/>
          <w:szCs w:val="24"/>
        </w:rPr>
        <w:lastRenderedPageBreak/>
        <w:t>CLE Update</w:t>
      </w:r>
    </w:p>
    <w:p w14:paraId="782FB800" w14:textId="77777777" w:rsidR="008265C8" w:rsidRDefault="008265C8" w:rsidP="00A608C8">
      <w:pPr>
        <w:pStyle w:val="ListParagraph"/>
        <w:ind w:left="660"/>
        <w:rPr>
          <w:b/>
          <w:sz w:val="24"/>
          <w:szCs w:val="24"/>
        </w:rPr>
      </w:pPr>
    </w:p>
    <w:p w14:paraId="59B2D4D4" w14:textId="77777777" w:rsidR="008265C8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Pending Legislation and Rule Review Update</w:t>
      </w:r>
    </w:p>
    <w:p w14:paraId="3C9BBA88" w14:textId="77777777" w:rsidR="008265C8" w:rsidRPr="00260903" w:rsidRDefault="008265C8" w:rsidP="00A608C8">
      <w:pPr>
        <w:pStyle w:val="ListParagraph"/>
        <w:rPr>
          <w:b/>
          <w:sz w:val="24"/>
          <w:szCs w:val="24"/>
        </w:rPr>
      </w:pPr>
    </w:p>
    <w:p w14:paraId="3D4FD45D" w14:textId="77777777" w:rsidR="008265C8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60903">
        <w:rPr>
          <w:b/>
          <w:sz w:val="24"/>
          <w:szCs w:val="24"/>
        </w:rPr>
        <w:t xml:space="preserve">Set </w:t>
      </w:r>
      <w:r>
        <w:rPr>
          <w:b/>
          <w:sz w:val="24"/>
          <w:szCs w:val="24"/>
        </w:rPr>
        <w:t>M</w:t>
      </w:r>
      <w:r w:rsidRPr="00260903">
        <w:rPr>
          <w:b/>
          <w:sz w:val="24"/>
          <w:szCs w:val="24"/>
        </w:rPr>
        <w:t xml:space="preserve">eeting </w:t>
      </w:r>
      <w:r>
        <w:rPr>
          <w:b/>
          <w:sz w:val="24"/>
          <w:szCs w:val="24"/>
        </w:rPr>
        <w:t>D</w:t>
      </w:r>
      <w:r w:rsidRPr="00260903">
        <w:rPr>
          <w:b/>
          <w:sz w:val="24"/>
          <w:szCs w:val="24"/>
        </w:rPr>
        <w:t xml:space="preserve">ates for </w:t>
      </w:r>
      <w:r>
        <w:rPr>
          <w:b/>
          <w:sz w:val="24"/>
          <w:szCs w:val="24"/>
        </w:rPr>
        <w:t xml:space="preserve">rest of </w:t>
      </w:r>
      <w:r w:rsidRPr="00260903">
        <w:rPr>
          <w:b/>
          <w:sz w:val="24"/>
          <w:szCs w:val="24"/>
        </w:rPr>
        <w:t>2026</w:t>
      </w:r>
    </w:p>
    <w:p w14:paraId="3A92CF46" w14:textId="77777777" w:rsidR="008265C8" w:rsidRPr="00A608C8" w:rsidRDefault="008265C8" w:rsidP="00A608C8">
      <w:pPr>
        <w:rPr>
          <w:b/>
          <w:sz w:val="24"/>
          <w:szCs w:val="24"/>
        </w:rPr>
      </w:pPr>
    </w:p>
    <w:p w14:paraId="2D2681F4" w14:textId="77777777" w:rsidR="008265C8" w:rsidRPr="00260903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60903">
        <w:rPr>
          <w:b/>
          <w:sz w:val="24"/>
          <w:szCs w:val="24"/>
        </w:rPr>
        <w:t>Other Business</w:t>
      </w:r>
    </w:p>
    <w:p w14:paraId="39543918" w14:textId="77777777" w:rsidR="008265C8" w:rsidRPr="00E36584" w:rsidRDefault="008265C8" w:rsidP="00A608C8">
      <w:pPr>
        <w:pStyle w:val="ListParagraph"/>
        <w:rPr>
          <w:b/>
          <w:sz w:val="24"/>
          <w:szCs w:val="24"/>
        </w:rPr>
      </w:pPr>
    </w:p>
    <w:p w14:paraId="6F1F242F" w14:textId="77777777" w:rsidR="008265C8" w:rsidRPr="00B8004F" w:rsidRDefault="008265C8" w:rsidP="00A608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</w:p>
    <w:p w14:paraId="18BC1072" w14:textId="77777777" w:rsidR="008265C8" w:rsidRDefault="008265C8" w:rsidP="000B1970">
      <w:pPr>
        <w:sectPr w:rsidR="008265C8" w:rsidSect="008265C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1CF9226" w14:textId="77777777" w:rsidR="008265C8" w:rsidRDefault="008265C8" w:rsidP="000B1970"/>
    <w:sectPr w:rsidR="008265C8" w:rsidSect="008265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66750B"/>
    <w:multiLevelType w:val="hybridMultilevel"/>
    <w:tmpl w:val="3620DEE2"/>
    <w:lvl w:ilvl="0" w:tplc="7B36357A">
      <w:start w:val="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27761FAF"/>
    <w:multiLevelType w:val="hybridMultilevel"/>
    <w:tmpl w:val="D6A0781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2854AA2"/>
    <w:multiLevelType w:val="hybridMultilevel"/>
    <w:tmpl w:val="7D0A762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00F59A6"/>
    <w:multiLevelType w:val="hybridMultilevel"/>
    <w:tmpl w:val="AD40E8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4764942"/>
    <w:multiLevelType w:val="hybridMultilevel"/>
    <w:tmpl w:val="7BE6A6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21509">
    <w:abstractNumId w:val="0"/>
  </w:num>
  <w:num w:numId="2" w16cid:durableId="482353548">
    <w:abstractNumId w:val="2"/>
  </w:num>
  <w:num w:numId="3" w16cid:durableId="1439371163">
    <w:abstractNumId w:val="1"/>
  </w:num>
  <w:num w:numId="4" w16cid:durableId="2001422712">
    <w:abstractNumId w:val="3"/>
  </w:num>
  <w:num w:numId="5" w16cid:durableId="1137723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BC"/>
    <w:rsid w:val="00000737"/>
    <w:rsid w:val="00061CB5"/>
    <w:rsid w:val="000B00B6"/>
    <w:rsid w:val="000B1970"/>
    <w:rsid w:val="000D49A0"/>
    <w:rsid w:val="000E704B"/>
    <w:rsid w:val="001509D5"/>
    <w:rsid w:val="00155478"/>
    <w:rsid w:val="001807F5"/>
    <w:rsid w:val="001B3246"/>
    <w:rsid w:val="001C2499"/>
    <w:rsid w:val="001C3ED4"/>
    <w:rsid w:val="001E4823"/>
    <w:rsid w:val="002015D5"/>
    <w:rsid w:val="00241810"/>
    <w:rsid w:val="0025761F"/>
    <w:rsid w:val="00260903"/>
    <w:rsid w:val="00284B67"/>
    <w:rsid w:val="00303849"/>
    <w:rsid w:val="00310EBC"/>
    <w:rsid w:val="00396EB0"/>
    <w:rsid w:val="003D2ABE"/>
    <w:rsid w:val="00426816"/>
    <w:rsid w:val="00484F99"/>
    <w:rsid w:val="005003FF"/>
    <w:rsid w:val="00506DEA"/>
    <w:rsid w:val="005D5160"/>
    <w:rsid w:val="00692DAB"/>
    <w:rsid w:val="006C10B1"/>
    <w:rsid w:val="00707A7D"/>
    <w:rsid w:val="00715910"/>
    <w:rsid w:val="00761D29"/>
    <w:rsid w:val="007C0AF9"/>
    <w:rsid w:val="008075F8"/>
    <w:rsid w:val="008265C8"/>
    <w:rsid w:val="0085713C"/>
    <w:rsid w:val="0088233D"/>
    <w:rsid w:val="00951D99"/>
    <w:rsid w:val="00956914"/>
    <w:rsid w:val="00964AD9"/>
    <w:rsid w:val="00A35AB3"/>
    <w:rsid w:val="00A37EC9"/>
    <w:rsid w:val="00A608C8"/>
    <w:rsid w:val="00A95254"/>
    <w:rsid w:val="00A970E3"/>
    <w:rsid w:val="00AB3259"/>
    <w:rsid w:val="00AC72A2"/>
    <w:rsid w:val="00B21C01"/>
    <w:rsid w:val="00B8004F"/>
    <w:rsid w:val="00B8049B"/>
    <w:rsid w:val="00BB28C9"/>
    <w:rsid w:val="00BB50F6"/>
    <w:rsid w:val="00CA7092"/>
    <w:rsid w:val="00CD37BC"/>
    <w:rsid w:val="00CD6AA3"/>
    <w:rsid w:val="00D237F4"/>
    <w:rsid w:val="00D27E02"/>
    <w:rsid w:val="00D6220A"/>
    <w:rsid w:val="00D94213"/>
    <w:rsid w:val="00E261CC"/>
    <w:rsid w:val="00E34675"/>
    <w:rsid w:val="00E36584"/>
    <w:rsid w:val="00E539E4"/>
    <w:rsid w:val="00E63E4D"/>
    <w:rsid w:val="00EF589E"/>
    <w:rsid w:val="00F3721E"/>
    <w:rsid w:val="00F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9DED"/>
  <w15:chartTrackingRefBased/>
  <w15:docId w15:val="{02139639-C04A-451F-8352-964259A7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897C3593F447AB925FA3A71C2189" ma:contentTypeVersion="13" ma:contentTypeDescription="Create a new document." ma:contentTypeScope="" ma:versionID="9414372ed6030e51c166d8213cb2641f">
  <xsd:schema xmlns:xsd="http://www.w3.org/2001/XMLSchema" xmlns:xs="http://www.w3.org/2001/XMLSchema" xmlns:p="http://schemas.microsoft.com/office/2006/metadata/properties" xmlns:ns2="d9b962f3-b7f4-48ee-a3d1-558b9668af9a" xmlns:ns3="5e6c8b0a-173a-4f49-9900-d40d111ad41b" targetNamespace="http://schemas.microsoft.com/office/2006/metadata/properties" ma:root="true" ma:fieldsID="46a8083032fba1877d5a2d1d04b0108d" ns2:_="" ns3:_="">
    <xsd:import namespace="d9b962f3-b7f4-48ee-a3d1-558b9668af9a"/>
    <xsd:import namespace="5e6c8b0a-173a-4f49-9900-d40d111ad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962f3-b7f4-48ee-a3d1-558b9668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8b0a-173a-4f49-9900-d40d111ad4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909fdd-4971-4e53-906d-f1e7537901ea}" ma:internalName="TaxCatchAll" ma:showField="CatchAllData" ma:web="5e6c8b0a-173a-4f49-9900-d40d111ad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c8b0a-173a-4f49-9900-d40d111ad41b" xsi:nil="true"/>
    <lcf76f155ced4ddcb4097134ff3c332f xmlns="d9b962f3-b7f4-48ee-a3d1-558b9668a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C40AE-DFA6-4F78-8063-68F2EF2E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5EF30-31C8-4B8D-9899-D5C2779C7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962f3-b7f4-48ee-a3d1-558b9668af9a"/>
    <ds:schemaRef ds:uri="5e6c8b0a-173a-4f49-9900-d40d111ad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740B4-91D6-4B36-B896-2E2CF1BAC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32197-F5C4-46DA-ADFF-FE1D9ADB905E}">
  <ds:schemaRefs>
    <ds:schemaRef ds:uri="http://schemas.microsoft.com/office/2006/metadata/properties"/>
    <ds:schemaRef ds:uri="http://schemas.microsoft.com/office/infopath/2007/PartnerControls"/>
    <ds:schemaRef ds:uri="5e6c8b0a-173a-4f49-9900-d40d111ad41b"/>
    <ds:schemaRef ds:uri="d9b962f3-b7f4-48ee-a3d1-558b9668af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880</Words>
  <Characters>4870</Characters>
  <Application>Microsoft Office Word</Application>
  <DocSecurity>0</DocSecurity>
  <Lines>173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Tygret</dc:creator>
  <cp:keywords/>
  <dc:description/>
  <cp:lastModifiedBy>Morgan Tygret</cp:lastModifiedBy>
  <cp:revision>3</cp:revision>
  <cp:lastPrinted>2026-04-06T15:24:00Z</cp:lastPrinted>
  <dcterms:created xsi:type="dcterms:W3CDTF">2026-04-02T17:43:00Z</dcterms:created>
  <dcterms:modified xsi:type="dcterms:W3CDTF">2026-04-06T16:20:00Z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0x01010025C7897C3593F447AB925FA3A71C2189</vt:lpwstr>
  </property>
  <property fmtid="{D5CDD505-2E9C-101B-9397-08002B2CF9AE}" pid="3" name="MediaServiceImageTags">
    <vt:lpwstr/>
  </property>
</Properties>
</file>