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EF3EC" w14:textId="561AC634" w:rsidR="00023D7B" w:rsidRPr="00023D7B" w:rsidRDefault="00023D7B" w:rsidP="00023D7B">
      <w:pPr>
        <w:jc w:val="center"/>
        <w:rPr>
          <w:b/>
          <w:bCs/>
          <w:sz w:val="60"/>
          <w:szCs w:val="60"/>
        </w:rPr>
      </w:pPr>
      <w:r>
        <w:rPr>
          <w:b/>
          <w:bCs/>
          <w:sz w:val="60"/>
          <w:szCs w:val="60"/>
        </w:rPr>
        <w:t>TEMPLATE</w:t>
      </w:r>
    </w:p>
    <w:p w14:paraId="6C900399" w14:textId="77777777" w:rsidR="00023D7B" w:rsidRDefault="00023D7B" w:rsidP="000E0ED5">
      <w:pPr>
        <w:rPr>
          <w:b/>
          <w:bCs/>
        </w:rPr>
      </w:pPr>
    </w:p>
    <w:p w14:paraId="10AFDDC1" w14:textId="6A6674C0" w:rsidR="000E0ED5" w:rsidRPr="000E0ED5" w:rsidRDefault="000E0ED5" w:rsidP="000E0ED5">
      <w:r w:rsidRPr="000E0ED5">
        <w:rPr>
          <w:b/>
          <w:bCs/>
        </w:rPr>
        <w:t>Lead Service Line Replacement Plan</w:t>
      </w:r>
      <w:r w:rsidR="00012DED">
        <w:rPr>
          <w:b/>
          <w:bCs/>
        </w:rPr>
        <w:t xml:space="preserve">           </w:t>
      </w:r>
      <w:r w:rsidR="00957A02">
        <w:rPr>
          <w:b/>
          <w:bCs/>
        </w:rPr>
        <w:t xml:space="preserve">            </w:t>
      </w:r>
      <w:r w:rsidR="00E50EF6">
        <w:rPr>
          <w:b/>
          <w:bCs/>
        </w:rPr>
        <w:t xml:space="preserve">     </w:t>
      </w:r>
      <w:r w:rsidR="00957A02">
        <w:rPr>
          <w:b/>
          <w:bCs/>
        </w:rPr>
        <w:t xml:space="preserve"> </w:t>
      </w:r>
      <w:r w:rsidR="00023D7B">
        <w:rPr>
          <w:b/>
          <w:bCs/>
        </w:rPr>
        <w:t xml:space="preserve">          </w:t>
      </w:r>
      <w:r w:rsidR="00957A02">
        <w:rPr>
          <w:b/>
          <w:bCs/>
        </w:rPr>
        <w:t xml:space="preserve"> </w:t>
      </w:r>
      <w:r w:rsidR="00012DED">
        <w:rPr>
          <w:b/>
          <w:bCs/>
        </w:rPr>
        <w:t xml:space="preserve">  </w:t>
      </w:r>
      <w:r w:rsidR="00012DED" w:rsidRPr="00012DED">
        <w:rPr>
          <w:b/>
          <w:bCs/>
          <w:color w:val="FF0000"/>
        </w:rPr>
        <w:t xml:space="preserve">DRAFT </w:t>
      </w:r>
      <w:r w:rsidR="00390DFE">
        <w:rPr>
          <w:b/>
          <w:bCs/>
          <w:color w:val="FF0000"/>
        </w:rPr>
        <w:t>August</w:t>
      </w:r>
      <w:r w:rsidR="00012DED" w:rsidRPr="00012DED">
        <w:rPr>
          <w:b/>
          <w:bCs/>
          <w:color w:val="FF0000"/>
        </w:rPr>
        <w:t xml:space="preserve"> </w:t>
      </w:r>
      <w:r w:rsidR="00023D7B">
        <w:rPr>
          <w:b/>
          <w:bCs/>
          <w:color w:val="FF0000"/>
        </w:rPr>
        <w:t>8</w:t>
      </w:r>
      <w:r w:rsidR="00012DED" w:rsidRPr="00012DED">
        <w:rPr>
          <w:b/>
          <w:bCs/>
          <w:color w:val="FF0000"/>
        </w:rPr>
        <w:t>, 2025</w:t>
      </w:r>
      <w:r w:rsidRPr="000E0ED5">
        <w:br/>
      </w:r>
      <w:r w:rsidRPr="000E0ED5">
        <w:rPr>
          <w:b/>
          <w:bCs/>
        </w:rPr>
        <w:t>[Water System Name]</w:t>
      </w:r>
      <w:r w:rsidRPr="000E0ED5">
        <w:br/>
      </w:r>
      <w:r w:rsidRPr="000E0ED5">
        <w:rPr>
          <w:b/>
          <w:bCs/>
        </w:rPr>
        <w:t>[Date]</w:t>
      </w:r>
    </w:p>
    <w:p w14:paraId="7A2CA190" w14:textId="77777777" w:rsidR="002F0413" w:rsidRDefault="002F0413" w:rsidP="00C0383E">
      <w:pPr>
        <w:rPr>
          <w:b/>
          <w:bCs/>
          <w:color w:val="FF0000"/>
        </w:rPr>
      </w:pPr>
    </w:p>
    <w:p w14:paraId="1594B5EE" w14:textId="1C1203E8" w:rsidR="00140B18" w:rsidRDefault="00F12505" w:rsidP="00C0383E">
      <w:pPr>
        <w:rPr>
          <w:b/>
          <w:bCs/>
          <w:color w:val="FF0000"/>
        </w:rPr>
      </w:pPr>
      <w:r w:rsidRPr="00F12505">
        <w:rPr>
          <w:b/>
          <w:bCs/>
          <w:color w:val="FF0000"/>
        </w:rPr>
        <w:t>(Deadline to submit Replacement Plan is November 1, 2027)</w:t>
      </w:r>
    </w:p>
    <w:p w14:paraId="4BC9F153" w14:textId="77777777" w:rsidR="0029052B" w:rsidRDefault="0029052B" w:rsidP="0029052B">
      <w:pPr>
        <w:pStyle w:val="BodyText"/>
        <w:spacing w:before="60"/>
      </w:pPr>
      <w:r>
        <w:t>This document is subject to change as the Lead and Copper Rule is updated.</w:t>
      </w:r>
    </w:p>
    <w:p w14:paraId="73E5A3CD" w14:textId="77777777" w:rsidR="0029052B" w:rsidRDefault="0029052B" w:rsidP="00C0383E">
      <w:pPr>
        <w:rPr>
          <w:b/>
          <w:bCs/>
          <w:color w:val="FF0000"/>
        </w:rPr>
      </w:pPr>
    </w:p>
    <w:p w14:paraId="1A3348A1" w14:textId="77777777" w:rsidR="00CB7151" w:rsidRPr="00F12505" w:rsidRDefault="00CB7151" w:rsidP="00C0383E">
      <w:pPr>
        <w:rPr>
          <w:b/>
          <w:bCs/>
          <w:color w:val="FF0000"/>
        </w:rPr>
      </w:pPr>
    </w:p>
    <w:p w14:paraId="2282ED48" w14:textId="6F361EE3" w:rsidR="00C0383E" w:rsidRPr="001C4CFD" w:rsidRDefault="00C0383E" w:rsidP="00C0383E">
      <w:pPr>
        <w:rPr>
          <w:b/>
          <w:bCs/>
        </w:rPr>
      </w:pPr>
      <w:r w:rsidRPr="001C4CFD">
        <w:rPr>
          <w:b/>
          <w:bCs/>
        </w:rPr>
        <w:t>1. Introduction</w:t>
      </w:r>
    </w:p>
    <w:p w14:paraId="13D5B398" w14:textId="77777777" w:rsidR="00C0383E" w:rsidRDefault="00C0383E" w:rsidP="00C0383E">
      <w:r w:rsidRPr="001C4CFD">
        <w:t>This Lead Service Line Replacement (LSLR) Plan outlines the strategy for identifying and replacing lead service lines in compliance with the EPA’s Lead and Copper Rule Improvements (LCRI). The plan details the system’s approach to inventory, replacement prioritization, funding, customer communication, and compliance reporting, adhering to the established deadlines.</w:t>
      </w:r>
    </w:p>
    <w:p w14:paraId="2FCC2087" w14:textId="77777777" w:rsidR="00C0383E" w:rsidRDefault="00C0383E" w:rsidP="00C0383E"/>
    <w:p w14:paraId="04917766" w14:textId="77777777" w:rsidR="00C0383E" w:rsidRPr="001C4CFD" w:rsidRDefault="00C0383E" w:rsidP="00C0383E">
      <w:pPr>
        <w:spacing w:after="0" w:line="240" w:lineRule="auto"/>
        <w:rPr>
          <w:b/>
          <w:bCs/>
        </w:rPr>
      </w:pPr>
      <w:r w:rsidRPr="001C4CFD">
        <w:rPr>
          <w:b/>
          <w:bCs/>
        </w:rPr>
        <w:t>2. Water System Overview</w:t>
      </w:r>
    </w:p>
    <w:p w14:paraId="5B9E4398" w14:textId="77777777" w:rsidR="00C0383E" w:rsidRPr="001C4CFD" w:rsidRDefault="00C0383E" w:rsidP="00C0383E">
      <w:pPr>
        <w:numPr>
          <w:ilvl w:val="0"/>
          <w:numId w:val="8"/>
        </w:numPr>
        <w:spacing w:after="0" w:line="240" w:lineRule="auto"/>
      </w:pPr>
      <w:r w:rsidRPr="001C4CFD">
        <w:rPr>
          <w:b/>
          <w:bCs/>
        </w:rPr>
        <w:t>System Name:</w:t>
      </w:r>
      <w:r w:rsidRPr="001C4CFD">
        <w:t xml:space="preserve"> [Water System Name]</w:t>
      </w:r>
    </w:p>
    <w:p w14:paraId="6193F941" w14:textId="77777777" w:rsidR="00C0383E" w:rsidRPr="001C4CFD" w:rsidRDefault="00C0383E" w:rsidP="00C0383E">
      <w:pPr>
        <w:numPr>
          <w:ilvl w:val="0"/>
          <w:numId w:val="8"/>
        </w:numPr>
        <w:spacing w:after="0" w:line="240" w:lineRule="auto"/>
      </w:pPr>
      <w:r w:rsidRPr="001C4CFD">
        <w:rPr>
          <w:b/>
          <w:bCs/>
        </w:rPr>
        <w:t>PWS ID:</w:t>
      </w:r>
      <w:r w:rsidRPr="001C4CFD">
        <w:t xml:space="preserve"> [Public Water System ID]</w:t>
      </w:r>
    </w:p>
    <w:p w14:paraId="73BD01E6" w14:textId="77777777" w:rsidR="00C0383E" w:rsidRPr="001C4CFD" w:rsidRDefault="00C0383E" w:rsidP="00C0383E">
      <w:pPr>
        <w:numPr>
          <w:ilvl w:val="0"/>
          <w:numId w:val="8"/>
        </w:numPr>
        <w:spacing w:after="0" w:line="240" w:lineRule="auto"/>
      </w:pPr>
      <w:r w:rsidRPr="001C4CFD">
        <w:rPr>
          <w:b/>
          <w:bCs/>
        </w:rPr>
        <w:t>Population Served:</w:t>
      </w:r>
      <w:r w:rsidRPr="001C4CFD">
        <w:t xml:space="preserve"> [Number of Customers]</w:t>
      </w:r>
    </w:p>
    <w:p w14:paraId="34FECF23" w14:textId="77777777" w:rsidR="00C0383E" w:rsidRPr="001C4CFD" w:rsidRDefault="00C0383E" w:rsidP="00C0383E">
      <w:pPr>
        <w:numPr>
          <w:ilvl w:val="0"/>
          <w:numId w:val="8"/>
        </w:numPr>
        <w:spacing w:after="0" w:line="240" w:lineRule="auto"/>
      </w:pPr>
      <w:r w:rsidRPr="001C4CFD">
        <w:rPr>
          <w:b/>
          <w:bCs/>
        </w:rPr>
        <w:t>Total Service Connections:</w:t>
      </w:r>
      <w:r w:rsidRPr="001C4CFD">
        <w:t xml:space="preserve"> [Total Connections]</w:t>
      </w:r>
    </w:p>
    <w:p w14:paraId="2E5D51D9" w14:textId="2E260898" w:rsidR="00C0383E" w:rsidRDefault="00957A02" w:rsidP="00C0383E">
      <w:pPr>
        <w:numPr>
          <w:ilvl w:val="0"/>
          <w:numId w:val="8"/>
        </w:numPr>
        <w:spacing w:after="0" w:line="240" w:lineRule="auto"/>
      </w:pPr>
      <w:r>
        <w:rPr>
          <w:b/>
          <w:bCs/>
        </w:rPr>
        <w:t>Total</w:t>
      </w:r>
      <w:r w:rsidR="00C0383E" w:rsidRPr="001C4CFD">
        <w:rPr>
          <w:b/>
          <w:bCs/>
        </w:rPr>
        <w:t xml:space="preserve"> Lead Service Lines:</w:t>
      </w:r>
      <w:r w:rsidR="00C0383E" w:rsidRPr="001C4CFD">
        <w:t xml:space="preserve"> [</w:t>
      </w:r>
      <w:r>
        <w:t>Total Lines*</w:t>
      </w:r>
      <w:r w:rsidR="00C0383E" w:rsidRPr="001C4CFD">
        <w:t>]</w:t>
      </w:r>
    </w:p>
    <w:p w14:paraId="34CE7D71" w14:textId="04246E2A" w:rsidR="00957A02" w:rsidRDefault="00957A02" w:rsidP="00C0383E">
      <w:pPr>
        <w:numPr>
          <w:ilvl w:val="0"/>
          <w:numId w:val="8"/>
        </w:numPr>
        <w:spacing w:after="0" w:line="240" w:lineRule="auto"/>
      </w:pPr>
      <w:r>
        <w:rPr>
          <w:b/>
          <w:bCs/>
        </w:rPr>
        <w:t>Total Galvanized Requiring Replacement Service Lines:</w:t>
      </w:r>
      <w:r>
        <w:t xml:space="preserve"> [Total Lines*]</w:t>
      </w:r>
    </w:p>
    <w:p w14:paraId="798DB7B0" w14:textId="04A2E48E" w:rsidR="00957A02" w:rsidRPr="001C4CFD" w:rsidRDefault="00957A02" w:rsidP="00C0383E">
      <w:pPr>
        <w:numPr>
          <w:ilvl w:val="0"/>
          <w:numId w:val="8"/>
        </w:numPr>
        <w:spacing w:after="0" w:line="240" w:lineRule="auto"/>
      </w:pPr>
      <w:r>
        <w:rPr>
          <w:b/>
          <w:bCs/>
        </w:rPr>
        <w:t>Total Unknown Service Lines:</w:t>
      </w:r>
      <w:r>
        <w:t xml:space="preserve"> [Total Lines*]</w:t>
      </w:r>
    </w:p>
    <w:p w14:paraId="744DA1F5" w14:textId="77777777" w:rsidR="00CB7151" w:rsidRDefault="00CB7151" w:rsidP="00CB7151">
      <w:pPr>
        <w:rPr>
          <w:b/>
          <w:bCs/>
        </w:rPr>
      </w:pPr>
    </w:p>
    <w:p w14:paraId="6DCA6E56" w14:textId="38306608" w:rsidR="00957A02" w:rsidRDefault="00957A02" w:rsidP="00CB7151">
      <w:pPr>
        <w:ind w:left="360"/>
      </w:pPr>
      <w:r w:rsidRPr="00CB7151">
        <w:rPr>
          <w:b/>
          <w:bCs/>
        </w:rPr>
        <w:t>*</w:t>
      </w:r>
      <w:r w:rsidR="00A81855" w:rsidRPr="00CB7151">
        <w:rPr>
          <w:rFonts w:ascii="Arial" w:eastAsia="Arial" w:hAnsi="Arial" w:cs="Arial"/>
          <w:kern w:val="0"/>
          <w:sz w:val="20"/>
          <w:szCs w:val="22"/>
          <w14:ligatures w14:val="none"/>
        </w:rPr>
        <w:t xml:space="preserve"> </w:t>
      </w:r>
      <w:r w:rsidR="00A81855" w:rsidRPr="00A81855">
        <w:t>Where service line ownership is shared, the inventory includes both the portion of the service line owned by the water system and the portion of the service line owned by the customer</w:t>
      </w:r>
      <w:r w:rsidRPr="00A81855">
        <w:t>.</w:t>
      </w:r>
      <w:r w:rsidR="00D079C5">
        <w:t xml:space="preserve"> </w:t>
      </w:r>
      <w:r w:rsidR="005C640A">
        <w:t>(Section 9 is where systems can share more about any state or local ordinances that might restrict access to private property.)</w:t>
      </w:r>
    </w:p>
    <w:p w14:paraId="11F87AF3" w14:textId="77777777" w:rsidR="00C0383E" w:rsidRDefault="00C0383E" w:rsidP="00C0383E"/>
    <w:p w14:paraId="15E29DCF" w14:textId="77777777" w:rsidR="00CB7151" w:rsidRPr="000E0ED5" w:rsidRDefault="00CB7151" w:rsidP="00C0383E"/>
    <w:p w14:paraId="3D7F239E" w14:textId="77777777" w:rsidR="00C0383E" w:rsidRPr="001C4CFD" w:rsidRDefault="00C0383E" w:rsidP="00C0383E">
      <w:pPr>
        <w:spacing w:after="0" w:line="240" w:lineRule="auto"/>
        <w:rPr>
          <w:b/>
          <w:bCs/>
        </w:rPr>
      </w:pPr>
      <w:r w:rsidRPr="001C4CFD">
        <w:rPr>
          <w:b/>
          <w:bCs/>
        </w:rPr>
        <w:lastRenderedPageBreak/>
        <w:t>3. Lead Service Line Inventory &amp; Identification</w:t>
      </w:r>
    </w:p>
    <w:p w14:paraId="518630C0" w14:textId="12E29A3A" w:rsidR="00C0383E" w:rsidRPr="001C4CFD" w:rsidRDefault="00C0383E" w:rsidP="00C0383E">
      <w:pPr>
        <w:numPr>
          <w:ilvl w:val="0"/>
          <w:numId w:val="9"/>
        </w:numPr>
        <w:spacing w:after="0" w:line="240" w:lineRule="auto"/>
      </w:pPr>
      <w:r w:rsidRPr="001C4CFD">
        <w:rPr>
          <w:b/>
          <w:bCs/>
        </w:rPr>
        <w:t>Deadline:</w:t>
      </w:r>
      <w:r w:rsidRPr="001C4CFD">
        <w:t xml:space="preserve"> </w:t>
      </w:r>
      <w:r w:rsidR="00C726AB">
        <w:rPr>
          <w:i/>
          <w:iCs/>
        </w:rPr>
        <w:t>November 1, 2027</w:t>
      </w:r>
      <w:r w:rsidRPr="001C4CFD">
        <w:t xml:space="preserve"> – </w:t>
      </w:r>
      <w:r w:rsidR="00C726AB">
        <w:t>Submit Baseline Inventory, which is an updated version of the October 16, 2024 Initial Service Line Inventory which includes column</w:t>
      </w:r>
      <w:r w:rsidR="00CB7151">
        <w:t>s</w:t>
      </w:r>
      <w:r w:rsidR="00C726AB">
        <w:t xml:space="preserve"> for connector</w:t>
      </w:r>
      <w:r w:rsidR="00C303DC">
        <w:t xml:space="preserve"> verification</w:t>
      </w:r>
      <w:r w:rsidR="00F003E5">
        <w:t xml:space="preserve"> (records, </w:t>
      </w:r>
      <w:r w:rsidR="00D02C29">
        <w:t>field inspection</w:t>
      </w:r>
      <w:r w:rsidR="00F003E5">
        <w:t>, not present, unknown)</w:t>
      </w:r>
      <w:r w:rsidR="00C303DC">
        <w:t xml:space="preserve"> and</w:t>
      </w:r>
      <w:r w:rsidR="005B6243">
        <w:t xml:space="preserve"> material</w:t>
      </w:r>
      <w:r w:rsidR="00F003E5">
        <w:t xml:space="preserve"> (</w:t>
      </w:r>
      <w:r w:rsidR="004559A9">
        <w:t>lead, non-lead, unknown, none present</w:t>
      </w:r>
      <w:r w:rsidR="00F003E5">
        <w:t>)</w:t>
      </w:r>
      <w:r w:rsidR="00C726AB">
        <w:t>.</w:t>
      </w:r>
      <w:r w:rsidRPr="001C4CFD">
        <w:t xml:space="preserve"> </w:t>
      </w:r>
      <w:r w:rsidR="005C640A">
        <w:t>See the updated 2025 template.</w:t>
      </w:r>
    </w:p>
    <w:p w14:paraId="2409131D" w14:textId="3130D34C" w:rsidR="00C0383E" w:rsidRPr="001C4CFD" w:rsidRDefault="00D079C5" w:rsidP="00C0383E">
      <w:pPr>
        <w:numPr>
          <w:ilvl w:val="0"/>
          <w:numId w:val="9"/>
        </w:numPr>
        <w:spacing w:after="0" w:line="240" w:lineRule="auto"/>
      </w:pPr>
      <w:r>
        <w:rPr>
          <w:b/>
          <w:bCs/>
        </w:rPr>
        <w:t>Verification Methods</w:t>
      </w:r>
      <w:r w:rsidR="00C0383E" w:rsidRPr="001C4CFD">
        <w:rPr>
          <w:b/>
          <w:bCs/>
        </w:rPr>
        <w:t>:</w:t>
      </w:r>
      <w:r w:rsidR="00C0383E" w:rsidRPr="001C4CFD">
        <w:t xml:space="preserve"> </w:t>
      </w:r>
      <w:r>
        <w:t>Same as “Initial” inventory - r</w:t>
      </w:r>
      <w:r w:rsidR="00C0383E" w:rsidRPr="001C4CFD">
        <w:t>ecords</w:t>
      </w:r>
      <w:r>
        <w:t xml:space="preserve"> (customer reports)</w:t>
      </w:r>
      <w:r w:rsidR="00C0383E" w:rsidRPr="001C4CFD">
        <w:t>,</w:t>
      </w:r>
      <w:r>
        <w:t xml:space="preserve"> field</w:t>
      </w:r>
      <w:r w:rsidR="00C0383E" w:rsidRPr="001C4CFD">
        <w:t xml:space="preserve"> inspections, </w:t>
      </w:r>
      <w:r>
        <w:t>etc.</w:t>
      </w:r>
    </w:p>
    <w:p w14:paraId="250AB64C" w14:textId="11ECABDE" w:rsidR="00C0383E" w:rsidRPr="001C4CFD" w:rsidRDefault="00C0383E" w:rsidP="00672964">
      <w:pPr>
        <w:numPr>
          <w:ilvl w:val="0"/>
          <w:numId w:val="9"/>
        </w:numPr>
        <w:spacing w:after="0" w:line="240" w:lineRule="auto"/>
      </w:pPr>
      <w:r w:rsidRPr="00D079C5">
        <w:rPr>
          <w:b/>
          <w:bCs/>
        </w:rPr>
        <w:t>Inventory Update Frequency:</w:t>
      </w:r>
      <w:r w:rsidRPr="001C4CFD">
        <w:t xml:space="preserve"> </w:t>
      </w:r>
      <w:r w:rsidR="00787B61">
        <w:t>After the end of the program year 1 (by January 30, 2029), and every January</w:t>
      </w:r>
      <w:r w:rsidR="00787B61">
        <w:t xml:space="preserve"> </w:t>
      </w:r>
      <w:r w:rsidR="00787B61">
        <w:t>30th thereafter, water systems must submit an inventory update and post it</w:t>
      </w:r>
      <w:r w:rsidR="00787B61">
        <w:t xml:space="preserve"> </w:t>
      </w:r>
      <w:r w:rsidR="00787B61">
        <w:t>online, including total counts for each service line material, total counts for</w:t>
      </w:r>
      <w:r w:rsidR="00787B61">
        <w:t xml:space="preserve"> </w:t>
      </w:r>
      <w:r w:rsidR="00787B61">
        <w:t>known lead connectors and connectors of unknown material, and total number</w:t>
      </w:r>
      <w:r w:rsidR="00787B61">
        <w:t xml:space="preserve"> </w:t>
      </w:r>
      <w:r w:rsidR="00787B61">
        <w:t>of full and partial replacements that occurred in the past year.</w:t>
      </w:r>
      <w:r w:rsidR="00787B61">
        <w:t xml:space="preserve"> </w:t>
      </w:r>
      <w:r w:rsidR="00D079C5">
        <w:t>Systems with all non-lead service lines are not required to submit or post</w:t>
      </w:r>
      <w:r w:rsidR="00D079C5">
        <w:t xml:space="preserve"> </w:t>
      </w:r>
      <w:r w:rsidR="00D079C5">
        <w:t>inventory updates (unless lead or GRR service lines are discovered during the</w:t>
      </w:r>
      <w:r w:rsidR="00D079C5">
        <w:t xml:space="preserve"> </w:t>
      </w:r>
      <w:r w:rsidR="00D079C5">
        <w:t>inventory validation process).</w:t>
      </w:r>
    </w:p>
    <w:p w14:paraId="35C9DEAE" w14:textId="77777777" w:rsidR="00C0383E" w:rsidRDefault="00C0383E" w:rsidP="00C0383E"/>
    <w:p w14:paraId="5BD3C6F7" w14:textId="77777777" w:rsidR="00C0383E" w:rsidRPr="001C4CFD" w:rsidRDefault="00C0383E" w:rsidP="00C0383E">
      <w:pPr>
        <w:spacing w:after="0" w:line="240" w:lineRule="auto"/>
        <w:rPr>
          <w:b/>
          <w:bCs/>
        </w:rPr>
      </w:pPr>
      <w:r w:rsidRPr="001C4CFD">
        <w:rPr>
          <w:b/>
          <w:bCs/>
        </w:rPr>
        <w:t>4. Replacement Strategy</w:t>
      </w:r>
    </w:p>
    <w:p w14:paraId="6684D529" w14:textId="18DCCA6C" w:rsidR="00C0383E" w:rsidRDefault="00C0383E" w:rsidP="00C0383E">
      <w:pPr>
        <w:numPr>
          <w:ilvl w:val="0"/>
          <w:numId w:val="10"/>
        </w:numPr>
        <w:spacing w:after="0" w:line="240" w:lineRule="auto"/>
      </w:pPr>
      <w:r w:rsidRPr="001C4CFD">
        <w:rPr>
          <w:b/>
          <w:bCs/>
        </w:rPr>
        <w:t>Deadline:</w:t>
      </w:r>
      <w:r w:rsidRPr="001C4CFD">
        <w:t xml:space="preserve"> </w:t>
      </w:r>
      <w:r w:rsidR="00C16B83">
        <w:rPr>
          <w:i/>
          <w:iCs/>
          <w:highlight w:val="yellow"/>
        </w:rPr>
        <w:t>November</w:t>
      </w:r>
      <w:r w:rsidRPr="000D7D2C">
        <w:rPr>
          <w:i/>
          <w:iCs/>
          <w:highlight w:val="yellow"/>
        </w:rPr>
        <w:t xml:space="preserve"> 1, 203</w:t>
      </w:r>
      <w:r w:rsidR="00C16B83">
        <w:rPr>
          <w:i/>
          <w:iCs/>
        </w:rPr>
        <w:t>7</w:t>
      </w:r>
      <w:r w:rsidRPr="001C4CFD">
        <w:t xml:space="preserve"> – Replace all lead and galvanized requiring replacement (GRR) service lines under the control of the water system within 10 years.</w:t>
      </w:r>
      <w:r w:rsidR="00DD0AD4">
        <w:t xml:space="preserve"> </w:t>
      </w:r>
      <w:r w:rsidR="005162DD">
        <w:t xml:space="preserve">Create a </w:t>
      </w:r>
      <w:r w:rsidR="00DD0AD4" w:rsidRPr="00DD0AD4">
        <w:t>standard operating procedure for conducting full service line replacement.</w:t>
      </w:r>
      <w:r w:rsidR="005162DD">
        <w:t xml:space="preserve"> If no funding currently available</w:t>
      </w:r>
      <w:r w:rsidR="00597A65">
        <w:t xml:space="preserve"> for any replacements</w:t>
      </w:r>
      <w:r w:rsidR="005162DD">
        <w:t>, describe the process if funding were to become available.</w:t>
      </w:r>
      <w:r w:rsidR="00DD0AD4">
        <w:t xml:space="preserve"> </w:t>
      </w:r>
      <w:r w:rsidR="00C91DD8">
        <w:t>In Section 9, share information about access to private property.</w:t>
      </w:r>
    </w:p>
    <w:p w14:paraId="69E7B63E" w14:textId="54745CFC" w:rsidR="00D56C2C" w:rsidRDefault="00D56C2C" w:rsidP="00EB2BAE">
      <w:pPr>
        <w:numPr>
          <w:ilvl w:val="0"/>
          <w:numId w:val="10"/>
        </w:numPr>
        <w:spacing w:after="0" w:line="240" w:lineRule="auto"/>
      </w:pPr>
      <w:r>
        <w:t>The LCRI requires water systems to fully replace lead and GRR service lines that are under the water system’s</w:t>
      </w:r>
      <w:r>
        <w:t xml:space="preserve"> </w:t>
      </w:r>
      <w:r>
        <w:t>control within 10 years, with limited exceptions. A lead or GRR service line is counted as fully replaced only</w:t>
      </w:r>
      <w:r>
        <w:t xml:space="preserve"> </w:t>
      </w:r>
      <w:r>
        <w:t>when the entire length of the service line (both customer side and system side) is categorized as non-lead.</w:t>
      </w:r>
      <w:r>
        <w:t xml:space="preserve"> </w:t>
      </w:r>
      <w:r>
        <w:t>Water systems must replace lead and GRR service lines at an average annual replacement rate of 10 percent</w:t>
      </w:r>
      <w:r>
        <w:t xml:space="preserve"> </w:t>
      </w:r>
      <w:r>
        <w:t>calculated across a cumulative period. Water systems</w:t>
      </w:r>
      <w:r>
        <w:t xml:space="preserve"> </w:t>
      </w:r>
      <w:r>
        <w:t>must start the mandatory service line replacement programs no later than November 1, 2027; however, the</w:t>
      </w:r>
      <w:r>
        <w:t xml:space="preserve"> </w:t>
      </w:r>
      <w:r>
        <w:t>replacement rate must be assessed at the end of program year 3 (i.e., December 31, 2030) and annually</w:t>
      </w:r>
      <w:r>
        <w:t xml:space="preserve"> </w:t>
      </w:r>
      <w:r>
        <w:t>thereafter.</w:t>
      </w:r>
    </w:p>
    <w:p w14:paraId="085F6F24" w14:textId="6BA2E8C7" w:rsidR="00C16B83" w:rsidRDefault="001527C9" w:rsidP="00C0383E">
      <w:pPr>
        <w:numPr>
          <w:ilvl w:val="0"/>
          <w:numId w:val="10"/>
        </w:numPr>
        <w:spacing w:after="0" w:line="240" w:lineRule="auto"/>
      </w:pPr>
      <w:r>
        <w:rPr>
          <w:b/>
          <w:bCs/>
        </w:rPr>
        <w:t xml:space="preserve">Unknown Service Lines: </w:t>
      </w:r>
      <w:r w:rsidR="00C16B83">
        <w:t xml:space="preserve"> </w:t>
      </w:r>
      <w:r w:rsidRPr="001527C9">
        <w:t>Water systems must identify the material of all unknown service lines in their inventory by their mandatory service line replacement deadline.</w:t>
      </w:r>
      <w:r w:rsidR="00DD0AD4">
        <w:t xml:space="preserve"> Describe</w:t>
      </w:r>
      <w:r w:rsidR="00DD0AD4" w:rsidRPr="00DD0AD4">
        <w:t xml:space="preserve"> strategy to identify the material composition of all unknown service lines in the inventory.</w:t>
      </w:r>
    </w:p>
    <w:p w14:paraId="7E22868A" w14:textId="605A1C66" w:rsidR="00E46AEC" w:rsidRPr="001C4CFD" w:rsidRDefault="00D56C2C" w:rsidP="00FB3D75">
      <w:pPr>
        <w:numPr>
          <w:ilvl w:val="0"/>
          <w:numId w:val="10"/>
        </w:numPr>
        <w:spacing w:after="0" w:line="240" w:lineRule="auto"/>
      </w:pPr>
      <w:r>
        <w:rPr>
          <w:b/>
          <w:bCs/>
        </w:rPr>
        <w:t xml:space="preserve">Validation </w:t>
      </w:r>
      <w:r w:rsidR="00E46AEC" w:rsidRPr="008B3143">
        <w:rPr>
          <w:b/>
          <w:bCs/>
        </w:rPr>
        <w:t>Deadline</w:t>
      </w:r>
      <w:r w:rsidR="00E46AEC" w:rsidRPr="00E46AEC">
        <w:t>:</w:t>
      </w:r>
      <w:r w:rsidR="00E46AEC">
        <w:t xml:space="preserve"> </w:t>
      </w:r>
      <w:r w:rsidR="008B3143">
        <w:t>W</w:t>
      </w:r>
      <w:r w:rsidR="008B3143">
        <w:t>ater systems must validate a subset of their</w:t>
      </w:r>
      <w:r w:rsidR="008B3143">
        <w:t xml:space="preserve"> </w:t>
      </w:r>
      <w:r w:rsidR="008B3143">
        <w:t>non-lead service lines no later than December 31, 2034</w:t>
      </w:r>
      <w:r w:rsidR="008B3143">
        <w:t>.</w:t>
      </w:r>
    </w:p>
    <w:p w14:paraId="10F26129" w14:textId="23030811" w:rsidR="00C0383E" w:rsidRPr="001C4CFD" w:rsidRDefault="00C0383E" w:rsidP="00C0383E">
      <w:pPr>
        <w:numPr>
          <w:ilvl w:val="0"/>
          <w:numId w:val="10"/>
        </w:numPr>
        <w:spacing w:after="0" w:line="240" w:lineRule="auto"/>
      </w:pPr>
      <w:r w:rsidRPr="001C4CFD">
        <w:rPr>
          <w:b/>
          <w:bCs/>
        </w:rPr>
        <w:t>Prioritization Criteria:</w:t>
      </w:r>
      <w:r w:rsidRPr="001C4CFD">
        <w:t xml:space="preserve"> (e.g., high-risk areas, vulnerable populations, schools/</w:t>
      </w:r>
      <w:r w:rsidR="00C84DBA">
        <w:t>child</w:t>
      </w:r>
      <w:r w:rsidRPr="001C4CFD">
        <w:t>cares)</w:t>
      </w:r>
      <w:r w:rsidR="00DD0AD4">
        <w:t xml:space="preserve"> </w:t>
      </w:r>
      <w:r w:rsidR="00553BF7">
        <w:t>Describe any strategies</w:t>
      </w:r>
      <w:r w:rsidR="00DD0AD4" w:rsidRPr="00DD0AD4">
        <w:t xml:space="preserve"> to prioritize service line replacement based on factors such as known lead and GRR service lines and community-specific factors</w:t>
      </w:r>
      <w:r w:rsidR="00553BF7">
        <w:t xml:space="preserve"> for any at risk communities</w:t>
      </w:r>
      <w:r w:rsidR="00DD0AD4" w:rsidRPr="00DD0AD4">
        <w:t>.</w:t>
      </w:r>
    </w:p>
    <w:p w14:paraId="3D861E83" w14:textId="7AC9C2F5" w:rsidR="00C0383E" w:rsidRPr="001C4CFD" w:rsidRDefault="00C0383E" w:rsidP="00C0383E">
      <w:pPr>
        <w:numPr>
          <w:ilvl w:val="0"/>
          <w:numId w:val="10"/>
        </w:numPr>
        <w:spacing w:after="0" w:line="240" w:lineRule="auto"/>
      </w:pPr>
      <w:r w:rsidRPr="001C4CFD">
        <w:rPr>
          <w:b/>
          <w:bCs/>
        </w:rPr>
        <w:lastRenderedPageBreak/>
        <w:t>Annual Replacement Goals:</w:t>
      </w:r>
      <w:r w:rsidRPr="001C4CFD">
        <w:t xml:space="preserve"> Number per year</w:t>
      </w:r>
    </w:p>
    <w:p w14:paraId="5D4D5F68" w14:textId="6DBDE926" w:rsidR="00C0383E" w:rsidRPr="001C4CFD" w:rsidRDefault="00C0383E" w:rsidP="00C0383E">
      <w:pPr>
        <w:numPr>
          <w:ilvl w:val="0"/>
          <w:numId w:val="10"/>
        </w:numPr>
        <w:spacing w:after="0" w:line="240" w:lineRule="auto"/>
      </w:pPr>
      <w:r w:rsidRPr="001C4CFD">
        <w:rPr>
          <w:b/>
          <w:bCs/>
        </w:rPr>
        <w:t>Replacement Techniques:</w:t>
      </w:r>
      <w:r w:rsidRPr="001C4CFD">
        <w:t xml:space="preserve"> Full/partial replacement,</w:t>
      </w:r>
      <w:r w:rsidR="003C0708">
        <w:t xml:space="preserve"> and if partial only due to State or local ordinances, describe any efforts to assist with customer side replacement, suggestions, etc</w:t>
      </w:r>
      <w:r w:rsidRPr="001C4CFD">
        <w:t>.</w:t>
      </w:r>
    </w:p>
    <w:p w14:paraId="7C51EE1F" w14:textId="77777777" w:rsidR="00C0383E" w:rsidRPr="001C4CFD" w:rsidRDefault="00C0383E" w:rsidP="00C0383E">
      <w:pPr>
        <w:numPr>
          <w:ilvl w:val="0"/>
          <w:numId w:val="10"/>
        </w:numPr>
        <w:spacing w:after="0" w:line="240" w:lineRule="auto"/>
      </w:pPr>
      <w:r w:rsidRPr="001C4CFD">
        <w:rPr>
          <w:b/>
          <w:bCs/>
        </w:rPr>
        <w:t>Projected Completion Timeline:</w:t>
      </w:r>
      <w:r w:rsidRPr="001C4CFD">
        <w:t xml:space="preserve"> [Year-to-year targets]</w:t>
      </w:r>
    </w:p>
    <w:p w14:paraId="6E291731" w14:textId="490E7D43" w:rsidR="00C0383E" w:rsidRPr="001C4CFD" w:rsidRDefault="00C0383E" w:rsidP="00C0383E">
      <w:pPr>
        <w:numPr>
          <w:ilvl w:val="0"/>
          <w:numId w:val="10"/>
        </w:numPr>
        <w:spacing w:after="0" w:line="240" w:lineRule="auto"/>
      </w:pPr>
      <w:r w:rsidRPr="001C4CFD">
        <w:rPr>
          <w:b/>
          <w:bCs/>
        </w:rPr>
        <w:t>Contractor &amp; Workforce Plans:</w:t>
      </w:r>
      <w:r w:rsidRPr="001C4CFD">
        <w:t xml:space="preserve"> [Internal staff or external </w:t>
      </w:r>
      <w:r w:rsidR="003C0708">
        <w:t>contractors</w:t>
      </w:r>
      <w:r w:rsidRPr="001C4CFD">
        <w:t>]</w:t>
      </w:r>
    </w:p>
    <w:p w14:paraId="622E8DBE" w14:textId="77777777" w:rsidR="00C0383E" w:rsidRDefault="00C0383E" w:rsidP="00C0383E"/>
    <w:p w14:paraId="03FD6C39" w14:textId="77777777" w:rsidR="008D79B1" w:rsidRDefault="008D79B1" w:rsidP="00C0383E"/>
    <w:p w14:paraId="6485E409" w14:textId="77777777" w:rsidR="00C0383E" w:rsidRPr="001C4CFD" w:rsidRDefault="00C0383E" w:rsidP="00C0383E">
      <w:pPr>
        <w:spacing w:after="0" w:line="240" w:lineRule="auto"/>
        <w:rPr>
          <w:b/>
          <w:bCs/>
        </w:rPr>
      </w:pPr>
      <w:r w:rsidRPr="001C4CFD">
        <w:rPr>
          <w:b/>
          <w:bCs/>
        </w:rPr>
        <w:t>5. Funding &amp; Financial Considerations</w:t>
      </w:r>
    </w:p>
    <w:p w14:paraId="476C12B9" w14:textId="5E939D8E" w:rsidR="00DD0AD4" w:rsidRPr="00DD0AD4" w:rsidRDefault="00DD0AD4" w:rsidP="00C0383E">
      <w:pPr>
        <w:numPr>
          <w:ilvl w:val="0"/>
          <w:numId w:val="11"/>
        </w:numPr>
        <w:spacing w:after="0" w:line="240" w:lineRule="auto"/>
      </w:pPr>
      <w:r w:rsidRPr="00DD0AD4">
        <w:rPr>
          <w:b/>
          <w:bCs/>
        </w:rPr>
        <w:t>Funding Strategy</w:t>
      </w:r>
      <w:r>
        <w:t xml:space="preserve"> – Describe </w:t>
      </w:r>
      <w:r w:rsidR="008D79B1">
        <w:t xml:space="preserve">the funding strategy </w:t>
      </w:r>
      <w:r w:rsidRPr="00DD0AD4">
        <w:t>for conducting service line replacement</w:t>
      </w:r>
      <w:r w:rsidR="008D79B1">
        <w:t>s</w:t>
      </w:r>
      <w:r w:rsidRPr="00DD0AD4">
        <w:t xml:space="preserve"> that include</w:t>
      </w:r>
      <w:r w:rsidR="008D79B1">
        <w:t xml:space="preserve"> suggestions for those </w:t>
      </w:r>
      <w:r w:rsidRPr="00DD0AD4">
        <w:t>customers that are unable to pay to replace the portion of the service line they own.</w:t>
      </w:r>
      <w:r w:rsidR="005162DD">
        <w:t xml:space="preserve"> </w:t>
      </w:r>
    </w:p>
    <w:p w14:paraId="7F8A09A7" w14:textId="03AAB846" w:rsidR="00C0383E" w:rsidRPr="001C4CFD" w:rsidRDefault="00C0383E" w:rsidP="00C0383E">
      <w:pPr>
        <w:numPr>
          <w:ilvl w:val="0"/>
          <w:numId w:val="11"/>
        </w:numPr>
        <w:spacing w:after="0" w:line="240" w:lineRule="auto"/>
      </w:pPr>
      <w:r w:rsidRPr="001C4CFD">
        <w:rPr>
          <w:b/>
          <w:bCs/>
        </w:rPr>
        <w:t>Funding Sources:</w:t>
      </w:r>
      <w:r w:rsidRPr="001C4CFD">
        <w:t xml:space="preserve"> (e.g., State Revolving Fund (SRF) loans, grants, rate adjustments)</w:t>
      </w:r>
    </w:p>
    <w:p w14:paraId="6DA14A72" w14:textId="77777777" w:rsidR="00C0383E" w:rsidRPr="001C4CFD" w:rsidRDefault="00C0383E" w:rsidP="00C0383E">
      <w:pPr>
        <w:numPr>
          <w:ilvl w:val="0"/>
          <w:numId w:val="11"/>
        </w:numPr>
        <w:spacing w:after="0" w:line="240" w:lineRule="auto"/>
      </w:pPr>
      <w:r w:rsidRPr="001C4CFD">
        <w:rPr>
          <w:b/>
          <w:bCs/>
        </w:rPr>
        <w:t>Estimated Budget:</w:t>
      </w:r>
      <w:r w:rsidRPr="001C4CFD">
        <w:t xml:space="preserve"> [$X per year]</w:t>
      </w:r>
    </w:p>
    <w:p w14:paraId="5FB1DE24" w14:textId="0A361EDD" w:rsidR="00C0383E" w:rsidRPr="001C4CFD" w:rsidRDefault="00C0383E" w:rsidP="00C0383E">
      <w:pPr>
        <w:numPr>
          <w:ilvl w:val="0"/>
          <w:numId w:val="11"/>
        </w:numPr>
        <w:spacing w:after="0" w:line="240" w:lineRule="auto"/>
      </w:pPr>
      <w:r w:rsidRPr="001C4CFD">
        <w:rPr>
          <w:b/>
          <w:bCs/>
        </w:rPr>
        <w:t>Customer Cost Responsibility:</w:t>
      </w:r>
      <w:r w:rsidRPr="001C4CFD">
        <w:t xml:space="preserve"> [Cost-sharing plan, assistance programs]</w:t>
      </w:r>
      <w:r w:rsidR="008D79B1">
        <w:t xml:space="preserve"> </w:t>
      </w:r>
    </w:p>
    <w:p w14:paraId="58288865" w14:textId="77777777" w:rsidR="00C0383E" w:rsidRPr="000E0ED5" w:rsidRDefault="00C0383E" w:rsidP="00C0383E"/>
    <w:p w14:paraId="6632D446" w14:textId="77777777" w:rsidR="000E0ED5" w:rsidRPr="000E0ED5" w:rsidRDefault="000E0ED5" w:rsidP="00C0383E">
      <w:pPr>
        <w:spacing w:after="0" w:line="240" w:lineRule="auto"/>
        <w:rPr>
          <w:b/>
          <w:bCs/>
        </w:rPr>
      </w:pPr>
      <w:r w:rsidRPr="000E0ED5">
        <w:rPr>
          <w:b/>
          <w:bCs/>
        </w:rPr>
        <w:t>6. Customer Communication &amp; Public Engagement</w:t>
      </w:r>
    </w:p>
    <w:p w14:paraId="50B0537A" w14:textId="60F5E05D" w:rsidR="00DD0AD4" w:rsidRDefault="00DD0AD4" w:rsidP="00C0383E">
      <w:pPr>
        <w:numPr>
          <w:ilvl w:val="0"/>
          <w:numId w:val="5"/>
        </w:numPr>
        <w:spacing w:after="0" w:line="240" w:lineRule="auto"/>
      </w:pPr>
      <w:r>
        <w:rPr>
          <w:b/>
          <w:bCs/>
        </w:rPr>
        <w:t xml:space="preserve">Replacement </w:t>
      </w:r>
      <w:r w:rsidRPr="00DD0AD4">
        <w:rPr>
          <w:b/>
          <w:bCs/>
        </w:rPr>
        <w:t>Communication Strategy</w:t>
      </w:r>
      <w:r>
        <w:t xml:space="preserve"> - describe</w:t>
      </w:r>
      <w:r w:rsidRPr="00DD0AD4">
        <w:t xml:space="preserve"> strategy for informing consumers and customers </w:t>
      </w:r>
      <w:r w:rsidRPr="00EE62BA">
        <w:rPr>
          <w:b/>
          <w:bCs/>
          <w:i/>
          <w:iCs/>
        </w:rPr>
        <w:t>before a full or partial lead or GRR</w:t>
      </w:r>
      <w:r w:rsidRPr="00DD0AD4">
        <w:t xml:space="preserve"> service line replacement.</w:t>
      </w:r>
      <w:r>
        <w:t xml:space="preserve"> </w:t>
      </w:r>
    </w:p>
    <w:p w14:paraId="43E11253" w14:textId="3B7699D2" w:rsidR="00DD0AD4" w:rsidRPr="00DD0AD4" w:rsidRDefault="00DD0AD4" w:rsidP="00C0383E">
      <w:pPr>
        <w:numPr>
          <w:ilvl w:val="0"/>
          <w:numId w:val="5"/>
        </w:numPr>
        <w:spacing w:after="0" w:line="240" w:lineRule="auto"/>
      </w:pPr>
      <w:r w:rsidRPr="00DD0AD4">
        <w:rPr>
          <w:b/>
          <w:bCs/>
        </w:rPr>
        <w:t>Replacement Plan &amp; Program</w:t>
      </w:r>
      <w:r>
        <w:t xml:space="preserve"> - </w:t>
      </w:r>
      <w:r w:rsidRPr="00DD0AD4">
        <w:t xml:space="preserve">A communication strategy to inform both consumers and customers served by the water system </w:t>
      </w:r>
      <w:r w:rsidRPr="00EE62BA">
        <w:rPr>
          <w:b/>
          <w:bCs/>
          <w:i/>
          <w:iCs/>
        </w:rPr>
        <w:t>about the replacement plan</w:t>
      </w:r>
      <w:r w:rsidRPr="00DD0AD4">
        <w:t xml:space="preserve"> and program.</w:t>
      </w:r>
    </w:p>
    <w:p w14:paraId="47066443" w14:textId="371536B8" w:rsidR="000E0ED5" w:rsidRPr="000E0ED5" w:rsidRDefault="000E0ED5" w:rsidP="00C0383E">
      <w:pPr>
        <w:numPr>
          <w:ilvl w:val="0"/>
          <w:numId w:val="5"/>
        </w:numPr>
        <w:spacing w:after="0" w:line="240" w:lineRule="auto"/>
      </w:pPr>
      <w:r w:rsidRPr="000E0ED5">
        <w:rPr>
          <w:b/>
          <w:bCs/>
        </w:rPr>
        <w:t>Notification Procedures:</w:t>
      </w:r>
      <w:r w:rsidRPr="000E0ED5">
        <w:t xml:space="preserve"> (e.g., direct mail, website, public meetings)</w:t>
      </w:r>
    </w:p>
    <w:p w14:paraId="5B412838" w14:textId="28C61A6E" w:rsidR="000E0ED5" w:rsidRPr="000E0ED5" w:rsidRDefault="000E0ED5" w:rsidP="00C0383E">
      <w:pPr>
        <w:numPr>
          <w:ilvl w:val="0"/>
          <w:numId w:val="5"/>
        </w:numPr>
        <w:spacing w:after="0" w:line="240" w:lineRule="auto"/>
      </w:pPr>
      <w:r w:rsidRPr="000E0ED5">
        <w:rPr>
          <w:b/>
          <w:bCs/>
        </w:rPr>
        <w:t>Education &amp; Outreach:</w:t>
      </w:r>
      <w:r w:rsidRPr="000E0ED5">
        <w:t xml:space="preserve"> (e.g., lead risks, flushing instructions, filter programs)</w:t>
      </w:r>
      <w:r w:rsidR="00DD0AD4">
        <w:t xml:space="preserve"> </w:t>
      </w:r>
      <w:r w:rsidR="00DD0AD4" w:rsidRPr="00DD0AD4">
        <w:t>A procedure for consumers and customers to flush service lines and premise plumbing of particulate lead following a disturbance of a lead, GRR, or unknown service lines or following full or partial replacement.</w:t>
      </w:r>
    </w:p>
    <w:p w14:paraId="4BF37670" w14:textId="385909E5" w:rsidR="00C0383E" w:rsidRDefault="000E0ED5" w:rsidP="00C0383E">
      <w:pPr>
        <w:numPr>
          <w:ilvl w:val="0"/>
          <w:numId w:val="5"/>
        </w:numPr>
        <w:spacing w:after="0" w:line="240" w:lineRule="auto"/>
      </w:pPr>
      <w:r w:rsidRPr="000E0ED5">
        <w:rPr>
          <w:b/>
          <w:bCs/>
        </w:rPr>
        <w:t>Customer Support Contact:</w:t>
      </w:r>
      <w:r w:rsidRPr="000E0ED5">
        <w:t xml:space="preserve"> </w:t>
      </w:r>
      <w:r w:rsidR="006C4226">
        <w:t>Describe how customers can find out more information from the water system – phone, e</w:t>
      </w:r>
      <w:r w:rsidRPr="000E0ED5">
        <w:t>mail</w:t>
      </w:r>
      <w:r w:rsidR="006C4226">
        <w:t>, website, etc.</w:t>
      </w:r>
    </w:p>
    <w:p w14:paraId="20BF0DAF" w14:textId="77777777" w:rsidR="00C0383E" w:rsidRPr="000E0ED5" w:rsidRDefault="00C0383E" w:rsidP="00C0383E"/>
    <w:p w14:paraId="323F8448" w14:textId="77777777" w:rsidR="000E0ED5" w:rsidRPr="000E0ED5" w:rsidRDefault="000E0ED5" w:rsidP="00623D87">
      <w:pPr>
        <w:spacing w:after="0" w:line="240" w:lineRule="auto"/>
        <w:rPr>
          <w:b/>
          <w:bCs/>
        </w:rPr>
      </w:pPr>
      <w:r w:rsidRPr="000E0ED5">
        <w:rPr>
          <w:b/>
          <w:bCs/>
        </w:rPr>
        <w:t>7. Compliance &amp; Reporting</w:t>
      </w:r>
    </w:p>
    <w:p w14:paraId="49C2894F" w14:textId="12D65B97" w:rsidR="000E0ED5" w:rsidRPr="000E0ED5" w:rsidRDefault="000E0ED5" w:rsidP="00623D87">
      <w:pPr>
        <w:numPr>
          <w:ilvl w:val="0"/>
          <w:numId w:val="6"/>
        </w:numPr>
        <w:spacing w:after="0" w:line="240" w:lineRule="auto"/>
      </w:pPr>
      <w:r w:rsidRPr="000E0ED5">
        <w:rPr>
          <w:b/>
          <w:bCs/>
        </w:rPr>
        <w:t>Regulatory Reporting Requirements:</w:t>
      </w:r>
      <w:r w:rsidRPr="000E0ED5">
        <w:t xml:space="preserve"> </w:t>
      </w:r>
      <w:r w:rsidR="00054045">
        <w:t>A</w:t>
      </w:r>
      <w:r w:rsidR="00980BC0">
        <w:t xml:space="preserve">nnual inventory </w:t>
      </w:r>
      <w:r w:rsidR="00054045">
        <w:t xml:space="preserve">and replacement plan </w:t>
      </w:r>
      <w:r w:rsidR="00980BC0">
        <w:t>update</w:t>
      </w:r>
      <w:r w:rsidR="00054045">
        <w:t>s will be submitted to the state by January 30 of each year (beginning in 2029) until all are replaced or by 2037.</w:t>
      </w:r>
    </w:p>
    <w:p w14:paraId="471A7CA8" w14:textId="5361C406" w:rsidR="000E0ED5" w:rsidRPr="000E0ED5" w:rsidRDefault="000E0ED5" w:rsidP="00623D87">
      <w:pPr>
        <w:numPr>
          <w:ilvl w:val="0"/>
          <w:numId w:val="6"/>
        </w:numPr>
        <w:spacing w:after="0" w:line="240" w:lineRule="auto"/>
      </w:pPr>
      <w:r w:rsidRPr="000E0ED5">
        <w:rPr>
          <w:b/>
          <w:bCs/>
        </w:rPr>
        <w:t>Tracking &amp; Documentation:</w:t>
      </w:r>
      <w:r w:rsidRPr="000E0ED5">
        <w:t xml:space="preserve"> </w:t>
      </w:r>
      <w:r w:rsidR="00054045">
        <w:t xml:space="preserve"> Describe any s</w:t>
      </w:r>
      <w:r w:rsidRPr="000E0ED5">
        <w:t>oftware</w:t>
      </w:r>
      <w:r w:rsidR="00054045">
        <w:t xml:space="preserve"> or </w:t>
      </w:r>
      <w:r w:rsidRPr="000E0ED5">
        <w:t xml:space="preserve">tools </w:t>
      </w:r>
      <w:r w:rsidR="00054045">
        <w:t xml:space="preserve">that will be </w:t>
      </w:r>
      <w:r w:rsidRPr="000E0ED5">
        <w:t>used</w:t>
      </w:r>
      <w:r w:rsidR="00054045">
        <w:t xml:space="preserve"> – ex) excel spreadsheet template provided by the state.</w:t>
      </w:r>
    </w:p>
    <w:p w14:paraId="5E2D1484" w14:textId="784ED90F" w:rsidR="000E0ED5" w:rsidRPr="000E0ED5" w:rsidRDefault="000E0ED5" w:rsidP="00623D87">
      <w:pPr>
        <w:numPr>
          <w:ilvl w:val="0"/>
          <w:numId w:val="6"/>
        </w:numPr>
        <w:spacing w:after="0" w:line="240" w:lineRule="auto"/>
      </w:pPr>
      <w:r w:rsidRPr="000E0ED5">
        <w:rPr>
          <w:b/>
          <w:bCs/>
        </w:rPr>
        <w:t>Coordination with Regulatory Agencies:</w:t>
      </w:r>
      <w:r w:rsidRPr="000E0ED5">
        <w:t xml:space="preserve"> </w:t>
      </w:r>
      <w:r w:rsidR="00054045">
        <w:t>Water system will maintain contact with the State.</w:t>
      </w:r>
    </w:p>
    <w:p w14:paraId="4F5FEF85" w14:textId="77777777" w:rsidR="00623D87" w:rsidRDefault="00623D87" w:rsidP="000E0ED5">
      <w:pPr>
        <w:rPr>
          <w:b/>
          <w:bCs/>
        </w:rPr>
      </w:pPr>
    </w:p>
    <w:p w14:paraId="027903D8" w14:textId="1A948931" w:rsidR="000E0ED5" w:rsidRPr="000E0ED5" w:rsidRDefault="000E0ED5" w:rsidP="00623D87">
      <w:pPr>
        <w:spacing w:after="0" w:line="240" w:lineRule="auto"/>
        <w:rPr>
          <w:b/>
          <w:bCs/>
        </w:rPr>
      </w:pPr>
      <w:r w:rsidRPr="000E0ED5">
        <w:rPr>
          <w:b/>
          <w:bCs/>
        </w:rPr>
        <w:lastRenderedPageBreak/>
        <w:t>8. Plan Updates &amp; Revisions</w:t>
      </w:r>
    </w:p>
    <w:p w14:paraId="77951A8E" w14:textId="3CA8564E" w:rsidR="000E0ED5" w:rsidRPr="000E0ED5" w:rsidRDefault="000E0ED5" w:rsidP="00623D87">
      <w:pPr>
        <w:numPr>
          <w:ilvl w:val="0"/>
          <w:numId w:val="7"/>
        </w:numPr>
        <w:spacing w:after="0" w:line="240" w:lineRule="auto"/>
      </w:pPr>
      <w:r w:rsidRPr="000E0ED5">
        <w:rPr>
          <w:b/>
          <w:bCs/>
        </w:rPr>
        <w:t>Review Schedule:</w:t>
      </w:r>
      <w:r w:rsidRPr="000E0ED5">
        <w:t xml:space="preserve"> </w:t>
      </w:r>
      <w:r w:rsidR="00054045">
        <w:t xml:space="preserve">Describe how often the replacement plan will be updated and revised – ex) </w:t>
      </w:r>
      <w:r w:rsidRPr="000E0ED5">
        <w:t>annual review and updates</w:t>
      </w:r>
    </w:p>
    <w:p w14:paraId="2E28B66C" w14:textId="0226DAD9" w:rsidR="000E0ED5" w:rsidRPr="005162DD" w:rsidRDefault="000E0ED5" w:rsidP="00623D87">
      <w:pPr>
        <w:numPr>
          <w:ilvl w:val="0"/>
          <w:numId w:val="7"/>
        </w:numPr>
        <w:spacing w:after="0" w:line="240" w:lineRule="auto"/>
      </w:pPr>
      <w:r w:rsidRPr="000E0ED5">
        <w:rPr>
          <w:b/>
          <w:bCs/>
        </w:rPr>
        <w:t>Plan Modifications Based on Progress &amp; New Regulations</w:t>
      </w:r>
      <w:r w:rsidR="00054045">
        <w:rPr>
          <w:b/>
          <w:bCs/>
        </w:rPr>
        <w:t xml:space="preserve"> </w:t>
      </w:r>
      <w:r w:rsidR="00054045">
        <w:t>-  The replacement plan will be modified/updated based on any new regulations and progress.</w:t>
      </w:r>
    </w:p>
    <w:p w14:paraId="392B9800" w14:textId="77777777" w:rsidR="005162DD" w:rsidRDefault="005162DD" w:rsidP="005162DD">
      <w:pPr>
        <w:spacing w:after="0" w:line="240" w:lineRule="auto"/>
        <w:rPr>
          <w:b/>
          <w:bCs/>
        </w:rPr>
      </w:pPr>
    </w:p>
    <w:p w14:paraId="51E19AE0" w14:textId="42EF285F" w:rsidR="005162DD" w:rsidRPr="000E0ED5" w:rsidRDefault="005162DD" w:rsidP="005162DD">
      <w:pPr>
        <w:spacing w:after="0" w:line="240" w:lineRule="auto"/>
        <w:rPr>
          <w:b/>
          <w:bCs/>
        </w:rPr>
      </w:pPr>
      <w:r>
        <w:rPr>
          <w:b/>
          <w:bCs/>
        </w:rPr>
        <w:t>9</w:t>
      </w:r>
      <w:r w:rsidRPr="000E0ED5">
        <w:rPr>
          <w:b/>
          <w:bCs/>
        </w:rPr>
        <w:t xml:space="preserve">. </w:t>
      </w:r>
      <w:r>
        <w:rPr>
          <w:b/>
          <w:bCs/>
        </w:rPr>
        <w:t>Laws, Regulations and/or Water Tariff Agreements</w:t>
      </w:r>
    </w:p>
    <w:p w14:paraId="56FF6C80" w14:textId="0FE1A162" w:rsidR="005162DD" w:rsidRPr="000E0ED5" w:rsidRDefault="005162DD" w:rsidP="005162DD">
      <w:pPr>
        <w:numPr>
          <w:ilvl w:val="0"/>
          <w:numId w:val="7"/>
        </w:numPr>
        <w:spacing w:after="0" w:line="240" w:lineRule="auto"/>
      </w:pPr>
      <w:r>
        <w:rPr>
          <w:b/>
          <w:bCs/>
        </w:rPr>
        <w:t>Review of State laws / Local Ordinances</w:t>
      </w:r>
      <w:r w:rsidRPr="000E0ED5">
        <w:rPr>
          <w:b/>
          <w:bCs/>
        </w:rPr>
        <w:t>:</w:t>
      </w:r>
      <w:r>
        <w:t xml:space="preserve"> </w:t>
      </w:r>
      <w:r w:rsidR="00E4418B">
        <w:t xml:space="preserve">In this section describe </w:t>
      </w:r>
      <w:r w:rsidRPr="005162DD">
        <w:t>any laws, regulations, and/or water tariff agreements that affect the water system’s ability to gain access to conduct full replacement.</w:t>
      </w:r>
      <w:r>
        <w:t xml:space="preserve"> Include a copy.</w:t>
      </w:r>
    </w:p>
    <w:p w14:paraId="51A2B53A" w14:textId="06902A38" w:rsidR="005162DD" w:rsidRDefault="005162DD" w:rsidP="005162DD">
      <w:pPr>
        <w:spacing w:after="0" w:line="240" w:lineRule="auto"/>
      </w:pPr>
    </w:p>
    <w:p w14:paraId="27ECB6D4" w14:textId="3CA7FE8A" w:rsidR="00847C3E" w:rsidRPr="000E0ED5" w:rsidRDefault="00847C3E" w:rsidP="00847C3E">
      <w:pPr>
        <w:spacing w:after="0" w:line="240" w:lineRule="auto"/>
        <w:rPr>
          <w:b/>
          <w:bCs/>
        </w:rPr>
      </w:pPr>
      <w:r>
        <w:rPr>
          <w:b/>
          <w:bCs/>
        </w:rPr>
        <w:t>10</w:t>
      </w:r>
      <w:r w:rsidRPr="000E0ED5">
        <w:rPr>
          <w:b/>
          <w:bCs/>
        </w:rPr>
        <w:t xml:space="preserve">. </w:t>
      </w:r>
      <w:r>
        <w:rPr>
          <w:b/>
          <w:bCs/>
        </w:rPr>
        <w:t>Lead-lined Galvanized Lines</w:t>
      </w:r>
    </w:p>
    <w:p w14:paraId="3F2E9837" w14:textId="44E507D2" w:rsidR="00847C3E" w:rsidRPr="000E0ED5" w:rsidRDefault="00847C3E" w:rsidP="00847C3E">
      <w:pPr>
        <w:numPr>
          <w:ilvl w:val="0"/>
          <w:numId w:val="7"/>
        </w:numPr>
        <w:spacing w:after="0" w:line="240" w:lineRule="auto"/>
      </w:pPr>
      <w:r>
        <w:rPr>
          <w:b/>
          <w:bCs/>
        </w:rPr>
        <w:t>Describe Strategy</w:t>
      </w:r>
      <w:r w:rsidRPr="000E0ED5">
        <w:rPr>
          <w:b/>
          <w:bCs/>
        </w:rPr>
        <w:t>:</w:t>
      </w:r>
      <w:r w:rsidRPr="000E0ED5">
        <w:t xml:space="preserve"> </w:t>
      </w:r>
      <w:r w:rsidRPr="00847C3E">
        <w:t>For water systems that identify any lead-lined galvanized</w:t>
      </w:r>
    </w:p>
    <w:p w14:paraId="23204466" w14:textId="77777777" w:rsidR="00847C3E" w:rsidRPr="00623D87" w:rsidRDefault="00847C3E" w:rsidP="005162DD">
      <w:pPr>
        <w:spacing w:after="0" w:line="240" w:lineRule="auto"/>
      </w:pPr>
    </w:p>
    <w:p w14:paraId="331D46DC" w14:textId="77777777" w:rsidR="00623D87" w:rsidRPr="000E0ED5" w:rsidRDefault="00623D87" w:rsidP="00623D87">
      <w:pPr>
        <w:spacing w:after="0" w:line="240" w:lineRule="auto"/>
        <w:ind w:left="720"/>
      </w:pPr>
    </w:p>
    <w:p w14:paraId="6AEB08F3" w14:textId="77777777" w:rsidR="000E0ED5" w:rsidRPr="000E0ED5" w:rsidRDefault="00000000" w:rsidP="000E0ED5">
      <w:r>
        <w:pict w14:anchorId="065F4A3E">
          <v:rect id="_x0000_i1025" style="width:0;height:1.5pt" o:hralign="center" o:hrstd="t" o:hr="t" fillcolor="#a0a0a0" stroked="f"/>
        </w:pict>
      </w:r>
    </w:p>
    <w:p w14:paraId="2262B4A3" w14:textId="5C9D2661" w:rsidR="001C4CFD" w:rsidRDefault="001C4CFD" w:rsidP="00DD0AD4"/>
    <w:sectPr w:rsidR="001C4CF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A1C4" w14:textId="77777777" w:rsidR="004969BF" w:rsidRDefault="004969BF" w:rsidP="00012DED">
      <w:pPr>
        <w:spacing w:after="0" w:line="240" w:lineRule="auto"/>
      </w:pPr>
      <w:r>
        <w:separator/>
      </w:r>
    </w:p>
  </w:endnote>
  <w:endnote w:type="continuationSeparator" w:id="0">
    <w:p w14:paraId="67B8C448" w14:textId="77777777" w:rsidR="004969BF" w:rsidRDefault="004969BF" w:rsidP="00012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1D23" w14:textId="77777777" w:rsidR="00012DED" w:rsidRDefault="00012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1626B" w14:textId="77777777" w:rsidR="00012DED" w:rsidRDefault="00012D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A3C42" w14:textId="77777777" w:rsidR="00012DED" w:rsidRDefault="00012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ABEAD" w14:textId="77777777" w:rsidR="004969BF" w:rsidRDefault="004969BF" w:rsidP="00012DED">
      <w:pPr>
        <w:spacing w:after="0" w:line="240" w:lineRule="auto"/>
      </w:pPr>
      <w:r>
        <w:separator/>
      </w:r>
    </w:p>
  </w:footnote>
  <w:footnote w:type="continuationSeparator" w:id="0">
    <w:p w14:paraId="5EAC4529" w14:textId="77777777" w:rsidR="004969BF" w:rsidRDefault="004969BF" w:rsidP="00012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17CE9" w14:textId="7C7799E1" w:rsidR="00012DED" w:rsidRDefault="00000000">
    <w:pPr>
      <w:pStyle w:val="Header"/>
    </w:pPr>
    <w:r>
      <w:rPr>
        <w:noProof/>
      </w:rPr>
      <w:pict w14:anchorId="310DE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030797" o:spid="_x0000_s1027"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A8D8" w14:textId="7EF5780B" w:rsidR="00012DED" w:rsidRDefault="00000000">
    <w:pPr>
      <w:pStyle w:val="Header"/>
    </w:pPr>
    <w:r>
      <w:rPr>
        <w:noProof/>
      </w:rPr>
      <w:pict w14:anchorId="1CF1AF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030798" o:spid="_x0000_s1028"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E050" w14:textId="691A25E2" w:rsidR="00012DED" w:rsidRDefault="00000000">
    <w:pPr>
      <w:pStyle w:val="Header"/>
    </w:pPr>
    <w:r>
      <w:rPr>
        <w:noProof/>
      </w:rPr>
      <w:pict w14:anchorId="1AA28D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0030796" o:spid="_x0000_s1026"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788"/>
    <w:multiLevelType w:val="multilevel"/>
    <w:tmpl w:val="DA54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F4286"/>
    <w:multiLevelType w:val="multilevel"/>
    <w:tmpl w:val="BA32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4668E"/>
    <w:multiLevelType w:val="multilevel"/>
    <w:tmpl w:val="62441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661EB"/>
    <w:multiLevelType w:val="multilevel"/>
    <w:tmpl w:val="9ACAD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F20B2"/>
    <w:multiLevelType w:val="multilevel"/>
    <w:tmpl w:val="1F14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F60F2"/>
    <w:multiLevelType w:val="multilevel"/>
    <w:tmpl w:val="FE7C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9157FE"/>
    <w:multiLevelType w:val="multilevel"/>
    <w:tmpl w:val="0DF0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8C594D"/>
    <w:multiLevelType w:val="hybridMultilevel"/>
    <w:tmpl w:val="344474AC"/>
    <w:lvl w:ilvl="0" w:tplc="8942373E">
      <w:numFmt w:val="bullet"/>
      <w:lvlText w:val=""/>
      <w:lvlJc w:val="left"/>
      <w:pPr>
        <w:ind w:left="496" w:hanging="360"/>
      </w:pPr>
      <w:rPr>
        <w:rFonts w:ascii="Symbol" w:eastAsia="Symbol" w:hAnsi="Symbol" w:cs="Symbol" w:hint="default"/>
        <w:b w:val="0"/>
        <w:bCs w:val="0"/>
        <w:i w:val="0"/>
        <w:iCs w:val="0"/>
        <w:spacing w:val="0"/>
        <w:w w:val="97"/>
        <w:sz w:val="20"/>
        <w:szCs w:val="20"/>
        <w:lang w:val="en-US" w:eastAsia="en-US" w:bidi="ar-SA"/>
      </w:rPr>
    </w:lvl>
    <w:lvl w:ilvl="1" w:tplc="BE4E5FF2">
      <w:numFmt w:val="bullet"/>
      <w:lvlText w:val=""/>
      <w:lvlJc w:val="left"/>
      <w:pPr>
        <w:ind w:left="583" w:hanging="363"/>
      </w:pPr>
      <w:rPr>
        <w:rFonts w:ascii="Symbol" w:eastAsia="Symbol" w:hAnsi="Symbol" w:cs="Symbol" w:hint="default"/>
        <w:b w:val="0"/>
        <w:bCs w:val="0"/>
        <w:i w:val="0"/>
        <w:iCs w:val="0"/>
        <w:spacing w:val="0"/>
        <w:w w:val="99"/>
        <w:sz w:val="20"/>
        <w:szCs w:val="20"/>
        <w:lang w:val="en-US" w:eastAsia="en-US" w:bidi="ar-SA"/>
      </w:rPr>
    </w:lvl>
    <w:lvl w:ilvl="2" w:tplc="24DC8534">
      <w:numFmt w:val="bullet"/>
      <w:lvlText w:val="o"/>
      <w:lvlJc w:val="left"/>
      <w:pPr>
        <w:ind w:left="1302" w:hanging="363"/>
      </w:pPr>
      <w:rPr>
        <w:rFonts w:ascii="Courier New" w:eastAsia="Courier New" w:hAnsi="Courier New" w:cs="Courier New" w:hint="default"/>
        <w:b w:val="0"/>
        <w:bCs w:val="0"/>
        <w:i w:val="0"/>
        <w:iCs w:val="0"/>
        <w:spacing w:val="0"/>
        <w:w w:val="99"/>
        <w:sz w:val="20"/>
        <w:szCs w:val="20"/>
        <w:lang w:val="en-US" w:eastAsia="en-US" w:bidi="ar-SA"/>
      </w:rPr>
    </w:lvl>
    <w:lvl w:ilvl="3" w:tplc="AA3EB90E">
      <w:numFmt w:val="bullet"/>
      <w:lvlText w:val=""/>
      <w:lvlJc w:val="left"/>
      <w:pPr>
        <w:ind w:left="2101" w:hanging="401"/>
      </w:pPr>
      <w:rPr>
        <w:rFonts w:ascii="Wingdings" w:eastAsia="Wingdings" w:hAnsi="Wingdings" w:cs="Wingdings" w:hint="default"/>
        <w:b w:val="0"/>
        <w:bCs w:val="0"/>
        <w:i w:val="0"/>
        <w:iCs w:val="0"/>
        <w:spacing w:val="0"/>
        <w:w w:val="99"/>
        <w:sz w:val="20"/>
        <w:szCs w:val="20"/>
        <w:lang w:val="en-US" w:eastAsia="en-US" w:bidi="ar-SA"/>
      </w:rPr>
    </w:lvl>
    <w:lvl w:ilvl="4" w:tplc="F5C4F1F6">
      <w:numFmt w:val="bullet"/>
      <w:lvlText w:val="•"/>
      <w:lvlJc w:val="left"/>
      <w:pPr>
        <w:ind w:left="3288" w:hanging="401"/>
      </w:pPr>
      <w:rPr>
        <w:rFonts w:hint="default"/>
        <w:lang w:val="en-US" w:eastAsia="en-US" w:bidi="ar-SA"/>
      </w:rPr>
    </w:lvl>
    <w:lvl w:ilvl="5" w:tplc="F926CF4C">
      <w:numFmt w:val="bullet"/>
      <w:lvlText w:val="•"/>
      <w:lvlJc w:val="left"/>
      <w:pPr>
        <w:ind w:left="4477" w:hanging="401"/>
      </w:pPr>
      <w:rPr>
        <w:rFonts w:hint="default"/>
        <w:lang w:val="en-US" w:eastAsia="en-US" w:bidi="ar-SA"/>
      </w:rPr>
    </w:lvl>
    <w:lvl w:ilvl="6" w:tplc="1ABADAE0">
      <w:numFmt w:val="bullet"/>
      <w:lvlText w:val="•"/>
      <w:lvlJc w:val="left"/>
      <w:pPr>
        <w:ind w:left="5665" w:hanging="401"/>
      </w:pPr>
      <w:rPr>
        <w:rFonts w:hint="default"/>
        <w:lang w:val="en-US" w:eastAsia="en-US" w:bidi="ar-SA"/>
      </w:rPr>
    </w:lvl>
    <w:lvl w:ilvl="7" w:tplc="7C08D120">
      <w:numFmt w:val="bullet"/>
      <w:lvlText w:val="•"/>
      <w:lvlJc w:val="left"/>
      <w:pPr>
        <w:ind w:left="6854" w:hanging="401"/>
      </w:pPr>
      <w:rPr>
        <w:rFonts w:hint="default"/>
        <w:lang w:val="en-US" w:eastAsia="en-US" w:bidi="ar-SA"/>
      </w:rPr>
    </w:lvl>
    <w:lvl w:ilvl="8" w:tplc="36500DE6">
      <w:numFmt w:val="bullet"/>
      <w:lvlText w:val="•"/>
      <w:lvlJc w:val="left"/>
      <w:pPr>
        <w:ind w:left="8042" w:hanging="401"/>
      </w:pPr>
      <w:rPr>
        <w:rFonts w:hint="default"/>
        <w:lang w:val="en-US" w:eastAsia="en-US" w:bidi="ar-SA"/>
      </w:rPr>
    </w:lvl>
  </w:abstractNum>
  <w:abstractNum w:abstractNumId="8" w15:restartNumberingAfterBreak="0">
    <w:nsid w:val="2C685225"/>
    <w:multiLevelType w:val="multilevel"/>
    <w:tmpl w:val="3510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436BB3"/>
    <w:multiLevelType w:val="multilevel"/>
    <w:tmpl w:val="25F2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4414E0"/>
    <w:multiLevelType w:val="multilevel"/>
    <w:tmpl w:val="0836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C21FCB"/>
    <w:multiLevelType w:val="multilevel"/>
    <w:tmpl w:val="F294A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9D36CE"/>
    <w:multiLevelType w:val="multilevel"/>
    <w:tmpl w:val="7094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173465"/>
    <w:multiLevelType w:val="multilevel"/>
    <w:tmpl w:val="8C12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B367EF"/>
    <w:multiLevelType w:val="multilevel"/>
    <w:tmpl w:val="32DC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2873692">
    <w:abstractNumId w:val="2"/>
  </w:num>
  <w:num w:numId="2" w16cid:durableId="1872306808">
    <w:abstractNumId w:val="12"/>
  </w:num>
  <w:num w:numId="3" w16cid:durableId="928973616">
    <w:abstractNumId w:val="5"/>
  </w:num>
  <w:num w:numId="4" w16cid:durableId="1037200595">
    <w:abstractNumId w:val="14"/>
  </w:num>
  <w:num w:numId="5" w16cid:durableId="1412388154">
    <w:abstractNumId w:val="8"/>
  </w:num>
  <w:num w:numId="6" w16cid:durableId="1523974916">
    <w:abstractNumId w:val="10"/>
  </w:num>
  <w:num w:numId="7" w16cid:durableId="2086143323">
    <w:abstractNumId w:val="13"/>
  </w:num>
  <w:num w:numId="8" w16cid:durableId="487207732">
    <w:abstractNumId w:val="0"/>
  </w:num>
  <w:num w:numId="9" w16cid:durableId="1707482647">
    <w:abstractNumId w:val="3"/>
  </w:num>
  <w:num w:numId="10" w16cid:durableId="1526750913">
    <w:abstractNumId w:val="4"/>
  </w:num>
  <w:num w:numId="11" w16cid:durableId="1962688626">
    <w:abstractNumId w:val="11"/>
  </w:num>
  <w:num w:numId="12" w16cid:durableId="1644431346">
    <w:abstractNumId w:val="6"/>
  </w:num>
  <w:num w:numId="13" w16cid:durableId="393282353">
    <w:abstractNumId w:val="1"/>
  </w:num>
  <w:num w:numId="14" w16cid:durableId="1976325729">
    <w:abstractNumId w:val="9"/>
  </w:num>
  <w:num w:numId="15" w16cid:durableId="15867212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ED5"/>
    <w:rsid w:val="00012DED"/>
    <w:rsid w:val="00023D7B"/>
    <w:rsid w:val="00052DC4"/>
    <w:rsid w:val="00054045"/>
    <w:rsid w:val="000D7D2C"/>
    <w:rsid w:val="000E0ED5"/>
    <w:rsid w:val="00140B18"/>
    <w:rsid w:val="001527C9"/>
    <w:rsid w:val="001C4CFD"/>
    <w:rsid w:val="001E2808"/>
    <w:rsid w:val="0029052B"/>
    <w:rsid w:val="002F0413"/>
    <w:rsid w:val="00390DFE"/>
    <w:rsid w:val="003C05E9"/>
    <w:rsid w:val="003C0708"/>
    <w:rsid w:val="003F3B37"/>
    <w:rsid w:val="004559A9"/>
    <w:rsid w:val="004969BF"/>
    <w:rsid w:val="005162DD"/>
    <w:rsid w:val="00553BF7"/>
    <w:rsid w:val="00572EA1"/>
    <w:rsid w:val="00597A65"/>
    <w:rsid w:val="005B6243"/>
    <w:rsid w:val="005C640A"/>
    <w:rsid w:val="00623D87"/>
    <w:rsid w:val="0068528F"/>
    <w:rsid w:val="006B07BC"/>
    <w:rsid w:val="006C4226"/>
    <w:rsid w:val="00773AD3"/>
    <w:rsid w:val="00781BAC"/>
    <w:rsid w:val="00787B61"/>
    <w:rsid w:val="00847C3E"/>
    <w:rsid w:val="008B3143"/>
    <w:rsid w:val="008D79B1"/>
    <w:rsid w:val="00935C8A"/>
    <w:rsid w:val="00957A02"/>
    <w:rsid w:val="00980BC0"/>
    <w:rsid w:val="009C13EC"/>
    <w:rsid w:val="009D6430"/>
    <w:rsid w:val="00A02AE5"/>
    <w:rsid w:val="00A81855"/>
    <w:rsid w:val="00AF5925"/>
    <w:rsid w:val="00B30ACD"/>
    <w:rsid w:val="00B725C7"/>
    <w:rsid w:val="00C0383E"/>
    <w:rsid w:val="00C16B83"/>
    <w:rsid w:val="00C303DC"/>
    <w:rsid w:val="00C726AB"/>
    <w:rsid w:val="00C84DBA"/>
    <w:rsid w:val="00C90A0D"/>
    <w:rsid w:val="00C91DD8"/>
    <w:rsid w:val="00CB7151"/>
    <w:rsid w:val="00D02C29"/>
    <w:rsid w:val="00D079C5"/>
    <w:rsid w:val="00D56C2C"/>
    <w:rsid w:val="00DD0AD4"/>
    <w:rsid w:val="00E4418B"/>
    <w:rsid w:val="00E46AEC"/>
    <w:rsid w:val="00E50EF6"/>
    <w:rsid w:val="00E700FE"/>
    <w:rsid w:val="00ED7144"/>
    <w:rsid w:val="00EE62BA"/>
    <w:rsid w:val="00F003E5"/>
    <w:rsid w:val="00F12505"/>
    <w:rsid w:val="00F14B43"/>
    <w:rsid w:val="00FB6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EFAE4"/>
  <w15:chartTrackingRefBased/>
  <w15:docId w15:val="{6FE948AD-A9B5-435E-B4D4-D1C45E45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E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0E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0E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0E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0E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0E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0E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0E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0E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E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0E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0E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0E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0E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0E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0E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0E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0ED5"/>
    <w:rPr>
      <w:rFonts w:eastAsiaTheme="majorEastAsia" w:cstheme="majorBidi"/>
      <w:color w:val="272727" w:themeColor="text1" w:themeTint="D8"/>
    </w:rPr>
  </w:style>
  <w:style w:type="paragraph" w:styleId="Title">
    <w:name w:val="Title"/>
    <w:basedOn w:val="Normal"/>
    <w:next w:val="Normal"/>
    <w:link w:val="TitleChar"/>
    <w:uiPriority w:val="10"/>
    <w:qFormat/>
    <w:rsid w:val="000E0E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E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E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E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ED5"/>
    <w:pPr>
      <w:spacing w:before="160"/>
      <w:jc w:val="center"/>
    </w:pPr>
    <w:rPr>
      <w:i/>
      <w:iCs/>
      <w:color w:val="404040" w:themeColor="text1" w:themeTint="BF"/>
    </w:rPr>
  </w:style>
  <w:style w:type="character" w:customStyle="1" w:styleId="QuoteChar">
    <w:name w:val="Quote Char"/>
    <w:basedOn w:val="DefaultParagraphFont"/>
    <w:link w:val="Quote"/>
    <w:uiPriority w:val="29"/>
    <w:rsid w:val="000E0ED5"/>
    <w:rPr>
      <w:i/>
      <w:iCs/>
      <w:color w:val="404040" w:themeColor="text1" w:themeTint="BF"/>
    </w:rPr>
  </w:style>
  <w:style w:type="paragraph" w:styleId="ListParagraph">
    <w:name w:val="List Paragraph"/>
    <w:basedOn w:val="Normal"/>
    <w:uiPriority w:val="34"/>
    <w:qFormat/>
    <w:rsid w:val="000E0ED5"/>
    <w:pPr>
      <w:ind w:left="720"/>
      <w:contextualSpacing/>
    </w:pPr>
  </w:style>
  <w:style w:type="character" w:styleId="IntenseEmphasis">
    <w:name w:val="Intense Emphasis"/>
    <w:basedOn w:val="DefaultParagraphFont"/>
    <w:uiPriority w:val="21"/>
    <w:qFormat/>
    <w:rsid w:val="000E0ED5"/>
    <w:rPr>
      <w:i/>
      <w:iCs/>
      <w:color w:val="0F4761" w:themeColor="accent1" w:themeShade="BF"/>
    </w:rPr>
  </w:style>
  <w:style w:type="paragraph" w:styleId="IntenseQuote">
    <w:name w:val="Intense Quote"/>
    <w:basedOn w:val="Normal"/>
    <w:next w:val="Normal"/>
    <w:link w:val="IntenseQuoteChar"/>
    <w:uiPriority w:val="30"/>
    <w:qFormat/>
    <w:rsid w:val="000E0E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0ED5"/>
    <w:rPr>
      <w:i/>
      <w:iCs/>
      <w:color w:val="0F4761" w:themeColor="accent1" w:themeShade="BF"/>
    </w:rPr>
  </w:style>
  <w:style w:type="character" w:styleId="IntenseReference">
    <w:name w:val="Intense Reference"/>
    <w:basedOn w:val="DefaultParagraphFont"/>
    <w:uiPriority w:val="32"/>
    <w:qFormat/>
    <w:rsid w:val="000E0ED5"/>
    <w:rPr>
      <w:b/>
      <w:bCs/>
      <w:smallCaps/>
      <w:color w:val="0F4761" w:themeColor="accent1" w:themeShade="BF"/>
      <w:spacing w:val="5"/>
    </w:rPr>
  </w:style>
  <w:style w:type="paragraph" w:styleId="Header">
    <w:name w:val="header"/>
    <w:basedOn w:val="Normal"/>
    <w:link w:val="HeaderChar"/>
    <w:uiPriority w:val="99"/>
    <w:unhideWhenUsed/>
    <w:rsid w:val="00012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2DED"/>
  </w:style>
  <w:style w:type="paragraph" w:styleId="Footer">
    <w:name w:val="footer"/>
    <w:basedOn w:val="Normal"/>
    <w:link w:val="FooterChar"/>
    <w:uiPriority w:val="99"/>
    <w:unhideWhenUsed/>
    <w:rsid w:val="00012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DED"/>
  </w:style>
  <w:style w:type="paragraph" w:styleId="BodyText">
    <w:name w:val="Body Text"/>
    <w:basedOn w:val="Normal"/>
    <w:link w:val="BodyTextChar"/>
    <w:uiPriority w:val="1"/>
    <w:qFormat/>
    <w:rsid w:val="0029052B"/>
    <w:pPr>
      <w:widowControl w:val="0"/>
      <w:autoSpaceDE w:val="0"/>
      <w:autoSpaceDN w:val="0"/>
      <w:spacing w:after="0" w:line="240" w:lineRule="auto"/>
    </w:pPr>
    <w:rPr>
      <w:rFonts w:ascii="Verdana" w:eastAsia="Verdana" w:hAnsi="Verdana" w:cs="Verdana"/>
      <w:kern w:val="0"/>
      <w:sz w:val="20"/>
      <w:szCs w:val="20"/>
      <w14:ligatures w14:val="none"/>
    </w:rPr>
  </w:style>
  <w:style w:type="character" w:customStyle="1" w:styleId="BodyTextChar">
    <w:name w:val="Body Text Char"/>
    <w:basedOn w:val="DefaultParagraphFont"/>
    <w:link w:val="BodyText"/>
    <w:uiPriority w:val="1"/>
    <w:rsid w:val="0029052B"/>
    <w:rPr>
      <w:rFonts w:ascii="Verdana" w:eastAsia="Verdana" w:hAnsi="Verdana" w:cs="Verdan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165014">
      <w:bodyDiv w:val="1"/>
      <w:marLeft w:val="0"/>
      <w:marRight w:val="0"/>
      <w:marTop w:val="0"/>
      <w:marBottom w:val="0"/>
      <w:divBdr>
        <w:top w:val="none" w:sz="0" w:space="0" w:color="auto"/>
        <w:left w:val="none" w:sz="0" w:space="0" w:color="auto"/>
        <w:bottom w:val="none" w:sz="0" w:space="0" w:color="auto"/>
        <w:right w:val="none" w:sz="0" w:space="0" w:color="auto"/>
      </w:divBdr>
    </w:div>
    <w:div w:id="611783266">
      <w:bodyDiv w:val="1"/>
      <w:marLeft w:val="0"/>
      <w:marRight w:val="0"/>
      <w:marTop w:val="0"/>
      <w:marBottom w:val="0"/>
      <w:divBdr>
        <w:top w:val="none" w:sz="0" w:space="0" w:color="auto"/>
        <w:left w:val="none" w:sz="0" w:space="0" w:color="auto"/>
        <w:bottom w:val="none" w:sz="0" w:space="0" w:color="auto"/>
        <w:right w:val="none" w:sz="0" w:space="0" w:color="auto"/>
      </w:divBdr>
    </w:div>
    <w:div w:id="740326560">
      <w:bodyDiv w:val="1"/>
      <w:marLeft w:val="0"/>
      <w:marRight w:val="0"/>
      <w:marTop w:val="0"/>
      <w:marBottom w:val="0"/>
      <w:divBdr>
        <w:top w:val="none" w:sz="0" w:space="0" w:color="auto"/>
        <w:left w:val="none" w:sz="0" w:space="0" w:color="auto"/>
        <w:bottom w:val="none" w:sz="0" w:space="0" w:color="auto"/>
        <w:right w:val="none" w:sz="0" w:space="0" w:color="auto"/>
      </w:divBdr>
    </w:div>
    <w:div w:id="94897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173</TotalTime>
  <Pages>4</Pages>
  <Words>1038</Words>
  <Characters>5920</Characters>
  <Application>Microsoft Office Word</Application>
  <DocSecurity>0</DocSecurity>
  <Lines>49</Lines>
  <Paragraphs>13</Paragraphs>
  <ScaleCrop>false</ScaleCrop>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Murray</dc:creator>
  <cp:keywords/>
  <dc:description/>
  <cp:lastModifiedBy>Jennifer Murray</cp:lastModifiedBy>
  <cp:revision>12</cp:revision>
  <dcterms:created xsi:type="dcterms:W3CDTF">2025-09-11T15:44:00Z</dcterms:created>
  <dcterms:modified xsi:type="dcterms:W3CDTF">2025-09-11T18:37:00Z</dcterms:modified>
</cp:coreProperties>
</file>