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73" w:rsidRPr="008F4397" w:rsidRDefault="00623373">
      <w:r w:rsidRPr="008F4397">
        <w:rPr>
          <w:b/>
        </w:rPr>
        <w:t xml:space="preserve">Winner: </w:t>
      </w:r>
      <w:r w:rsidR="00123081" w:rsidRPr="008F4397">
        <w:rPr>
          <w:b/>
        </w:rPr>
        <w:t>The Compost Fairy</w:t>
      </w:r>
      <w:r w:rsidRPr="008F4397">
        <w:rPr>
          <w:b/>
        </w:rPr>
        <w:br/>
      </w:r>
      <w:r w:rsidRPr="008F4397">
        <w:t xml:space="preserve">County: </w:t>
      </w:r>
      <w:r w:rsidR="00123081" w:rsidRPr="008F4397">
        <w:t>Shelby</w:t>
      </w:r>
      <w:r w:rsidRPr="008F4397">
        <w:br/>
        <w:t xml:space="preserve">Category: </w:t>
      </w:r>
      <w:r w:rsidR="00123081" w:rsidRPr="008F4397">
        <w:t>Materials Management</w:t>
      </w:r>
    </w:p>
    <w:p w:rsidR="00F605C4" w:rsidRPr="008F4397" w:rsidRDefault="00F605C4" w:rsidP="00E35FE6">
      <w:pPr>
        <w:spacing w:after="0"/>
      </w:pPr>
      <w:r w:rsidRPr="008F4397">
        <w:t>The Compost Fairy is the first and only organization in Memphis to actively address residential and commercial food waste</w:t>
      </w:r>
      <w:r w:rsidR="005B0C86" w:rsidRPr="008F4397">
        <w:t xml:space="preserve"> through composting</w:t>
      </w:r>
      <w:r w:rsidRPr="008F4397">
        <w:t xml:space="preserve">. While composting </w:t>
      </w:r>
      <w:r w:rsidR="00954772" w:rsidRPr="008F4397">
        <w:t>as a strategy to manage food waste is</w:t>
      </w:r>
      <w:r w:rsidRPr="008F4397">
        <w:t xml:space="preserve"> not new, </w:t>
      </w:r>
      <w:r w:rsidR="00954772" w:rsidRPr="008F4397">
        <w:t>providing access to</w:t>
      </w:r>
      <w:r w:rsidRPr="008F4397">
        <w:t xml:space="preserve"> composting services is an original solution for this region. </w:t>
      </w:r>
      <w:r w:rsidR="00683E01" w:rsidRPr="008F4397">
        <w:t>The Compost Fairy is a non-profit organization</w:t>
      </w:r>
      <w:r w:rsidR="00814D30" w:rsidRPr="008F4397">
        <w:t xml:space="preserve"> </w:t>
      </w:r>
      <w:r w:rsidR="00414093" w:rsidRPr="008F4397">
        <w:t>staffed and led by an all-</w:t>
      </w:r>
      <w:r w:rsidR="00683E01" w:rsidRPr="008F4397">
        <w:t>volunteer</w:t>
      </w:r>
      <w:r w:rsidR="00814D30" w:rsidRPr="008F4397">
        <w:t xml:space="preserve"> </w:t>
      </w:r>
      <w:r w:rsidR="00414093" w:rsidRPr="008F4397">
        <w:t xml:space="preserve">workforce and </w:t>
      </w:r>
      <w:r w:rsidR="00814D30" w:rsidRPr="008F4397">
        <w:t>leadership</w:t>
      </w:r>
      <w:r w:rsidR="00414093" w:rsidRPr="008F4397">
        <w:t xml:space="preserve"> team. </w:t>
      </w:r>
      <w:r w:rsidR="000F7183" w:rsidRPr="008F4397">
        <w:t xml:space="preserve"> </w:t>
      </w:r>
      <w:r w:rsidR="005B0C86" w:rsidRPr="008F4397">
        <w:t xml:space="preserve">One of the organization’s commitments to Memphis, is that </w:t>
      </w:r>
      <w:r w:rsidR="00FD0608" w:rsidRPr="008F4397">
        <w:t>all residents, regardless of economic status, have</w:t>
      </w:r>
      <w:r w:rsidR="005B0C86" w:rsidRPr="008F4397">
        <w:t xml:space="preserve"> free access to compost drop-off at several locations;</w:t>
      </w:r>
      <w:r w:rsidR="00FD0608" w:rsidRPr="008F4397">
        <w:t xml:space="preserve"> Cooper-Young Farmers Market, the Downtown Farmer’s Market, and soon to the Chelsea and South Memphis Farmers Markets. </w:t>
      </w:r>
      <w:r w:rsidR="005B0C86" w:rsidRPr="008F4397">
        <w:t>As long as The Compost Fairy exists, t</w:t>
      </w:r>
      <w:r w:rsidR="00FD0608" w:rsidRPr="008F4397">
        <w:t>here will always be a no pay barrier option for composting in Memphis.</w:t>
      </w:r>
      <w:r w:rsidR="00E35FE6" w:rsidRPr="008F4397">
        <w:t xml:space="preserve"> </w:t>
      </w:r>
      <w:r w:rsidR="00CE4DF4" w:rsidRPr="008F4397">
        <w:t>In 2018</w:t>
      </w:r>
      <w:r w:rsidR="00BC2D19" w:rsidRPr="008F4397">
        <w:t>,</w:t>
      </w:r>
      <w:r w:rsidR="00E35FE6" w:rsidRPr="008F4397">
        <w:t xml:space="preserve"> </w:t>
      </w:r>
      <w:r w:rsidR="00BC2D19" w:rsidRPr="008F4397">
        <w:t>t</w:t>
      </w:r>
      <w:r w:rsidR="00E35FE6" w:rsidRPr="008F4397" w:rsidDel="005B0C86">
        <w:t>he Compost Fairy d</w:t>
      </w:r>
      <w:r w:rsidRPr="008F4397" w:rsidDel="005B0C86">
        <w:t>iverted</w:t>
      </w:r>
      <w:r w:rsidR="00E35FE6" w:rsidRPr="008F4397" w:rsidDel="005B0C86">
        <w:t xml:space="preserve"> 257,556 pounds from </w:t>
      </w:r>
      <w:r w:rsidR="004D4004" w:rsidRPr="008F4397">
        <w:t xml:space="preserve">the </w:t>
      </w:r>
      <w:r w:rsidR="00E35FE6" w:rsidRPr="008F4397" w:rsidDel="005B0C86">
        <w:t xml:space="preserve">landfill, and created finished compost </w:t>
      </w:r>
      <w:r w:rsidR="004D4004" w:rsidRPr="008F4397">
        <w:t>amounting to</w:t>
      </w:r>
      <w:r w:rsidR="004D4004" w:rsidRPr="008F4397" w:rsidDel="005B0C86">
        <w:t xml:space="preserve"> </w:t>
      </w:r>
      <w:r w:rsidR="00E35FE6" w:rsidRPr="008F4397" w:rsidDel="005B0C86">
        <w:t>38,633 pounds.</w:t>
      </w:r>
    </w:p>
    <w:p w:rsidR="00F605C4" w:rsidRPr="008F4397" w:rsidRDefault="00F605C4" w:rsidP="00F605C4">
      <w:pPr>
        <w:spacing w:after="0"/>
      </w:pPr>
    </w:p>
    <w:p w:rsidR="005D1FBB" w:rsidRPr="008F4397" w:rsidRDefault="005B0C86" w:rsidP="005D1FBB">
      <w:r w:rsidRPr="008F4397">
        <w:t xml:space="preserve">In addition to providing organic collection and drop-off services, </w:t>
      </w:r>
      <w:r w:rsidR="005D1FBB" w:rsidRPr="008F4397">
        <w:t xml:space="preserve">The Compost Fairy promotes public awareness through presentations and workshops at community events, churches, garden clubs, schools, and community groups. Their free community drop-off stations at multiple farmers markets provide information about composting and are manned by volunteers when possible to offer one-on-one education to market-goers. </w:t>
      </w:r>
    </w:p>
    <w:p w:rsidR="00683E01" w:rsidRPr="008F4397" w:rsidRDefault="00683E01" w:rsidP="00F605C4">
      <w:r w:rsidRPr="008F4397">
        <w:t xml:space="preserve">Without advertising, </w:t>
      </w:r>
      <w:r w:rsidR="005D1FBB" w:rsidRPr="008F4397">
        <w:t xml:space="preserve">The </w:t>
      </w:r>
      <w:r w:rsidRPr="008F4397">
        <w:t xml:space="preserve">Compost Fairy has </w:t>
      </w:r>
      <w:r w:rsidR="009F0CC7" w:rsidRPr="008F4397">
        <w:t xml:space="preserve">significantly </w:t>
      </w:r>
      <w:r w:rsidRPr="008F4397">
        <w:t>grown residential</w:t>
      </w:r>
      <w:r w:rsidR="009F0CC7" w:rsidRPr="008F4397">
        <w:t xml:space="preserve"> services</w:t>
      </w:r>
      <w:r w:rsidRPr="008F4397">
        <w:t xml:space="preserve"> and </w:t>
      </w:r>
      <w:r w:rsidR="004D4004" w:rsidRPr="008F4397">
        <w:t>is exploring expansion to accommodate</w:t>
      </w:r>
      <w:r w:rsidR="00B63358" w:rsidRPr="008F4397">
        <w:t xml:space="preserve"> requests to manage</w:t>
      </w:r>
      <w:r w:rsidR="004D4004" w:rsidRPr="008F4397">
        <w:t xml:space="preserve"> food waste from the commercial sector</w:t>
      </w:r>
      <w:r w:rsidRPr="008F4397">
        <w:t>.</w:t>
      </w:r>
      <w:r w:rsidR="008A5F21" w:rsidRPr="008F4397">
        <w:t xml:space="preserve"> The Compost Fairy is serving as a critical catalyst for furthering sustainability in the City of Memphis, now and in the future.</w:t>
      </w:r>
      <w:r w:rsidRPr="008F4397">
        <w:t xml:space="preserve"> </w:t>
      </w:r>
    </w:p>
    <w:p w:rsidR="00EF72C6" w:rsidRPr="008F4397" w:rsidRDefault="00EF72C6">
      <w:pPr>
        <w:rPr>
          <w:b/>
        </w:rPr>
      </w:pPr>
      <w:r w:rsidRPr="008F4397">
        <w:rPr>
          <w:b/>
        </w:rPr>
        <w:br w:type="page"/>
      </w:r>
    </w:p>
    <w:p w:rsidR="00623373" w:rsidRPr="008F4397" w:rsidRDefault="00623373">
      <w:r w:rsidRPr="008F4397">
        <w:rPr>
          <w:b/>
        </w:rPr>
        <w:lastRenderedPageBreak/>
        <w:t xml:space="preserve">Winner: </w:t>
      </w:r>
      <w:r w:rsidR="00123081" w:rsidRPr="008F4397">
        <w:rPr>
          <w:b/>
        </w:rPr>
        <w:t>Cumberland International</w:t>
      </w:r>
      <w:r w:rsidRPr="008F4397">
        <w:br/>
        <w:t>County: Davidson</w:t>
      </w:r>
      <w:r w:rsidRPr="008F4397">
        <w:br/>
        <w:t xml:space="preserve">Category: </w:t>
      </w:r>
      <w:r w:rsidR="00123081" w:rsidRPr="008F4397">
        <w:t>Clean Air</w:t>
      </w:r>
    </w:p>
    <w:p w:rsidR="00A31AA5" w:rsidRPr="008F4397" w:rsidRDefault="00B929A7" w:rsidP="003F1CF9">
      <w:pPr>
        <w:spacing w:after="0"/>
      </w:pPr>
      <w:r w:rsidRPr="008F4397">
        <w:t xml:space="preserve">Cumberland International, a sales, parts, and service provider for trucks and trailers, launched and funded the “C10 Project: Keeping Tennessee Beautiful” in order to reduce the company’s greenhouse gas emissions. </w:t>
      </w:r>
      <w:r w:rsidR="008A5F21" w:rsidRPr="008F4397">
        <w:t>The project was designed to increase the fuel economy of one of International’s Class 8</w:t>
      </w:r>
      <w:r w:rsidRPr="008F4397">
        <w:t xml:space="preserve"> long-haul diesel trucks from 6-8 </w:t>
      </w:r>
      <w:r w:rsidR="00075357" w:rsidRPr="008F4397">
        <w:t>miles per gallon (</w:t>
      </w:r>
      <w:r w:rsidRPr="008F4397">
        <w:t>mpg</w:t>
      </w:r>
      <w:r w:rsidR="00075357" w:rsidRPr="008F4397">
        <w:t>)</w:t>
      </w:r>
      <w:r w:rsidRPr="008F4397">
        <w:t xml:space="preserve"> to upwards of 10 mpg. </w:t>
      </w:r>
      <w:r w:rsidR="005C7FE1" w:rsidRPr="008F4397">
        <w:t>C10 edition</w:t>
      </w:r>
      <w:r w:rsidR="009F0CC7" w:rsidRPr="008F4397">
        <w:t xml:space="preserve"> trucks</w:t>
      </w:r>
      <w:r w:rsidR="00DA0F81" w:rsidRPr="008F4397">
        <w:t xml:space="preserve"> </w:t>
      </w:r>
      <w:r w:rsidR="009F0CC7" w:rsidRPr="008F4397">
        <w:t>feature a</w:t>
      </w:r>
      <w:r w:rsidR="005C7FE1" w:rsidRPr="008F4397">
        <w:t xml:space="preserve"> custom-designed chassis, engine, and transmission parameters developed by Cumberland International as part of the C10 project.</w:t>
      </w:r>
      <w:r w:rsidRPr="008F4397">
        <w:t xml:space="preserve"> The modified C10 semi-truck routinely outperforms generic semi-trucks of the same size by around 2-3 mpg. </w:t>
      </w:r>
      <w:r w:rsidR="00A31AA5" w:rsidRPr="008F4397">
        <w:t>Tennessee area trucking companies were allowed to demo this truck free of charge, seeing proof for themselves of the C10 ability to increase fuel economy. Across numerous demo runs, the C10 regularly achieved fuel economies above 9 mpg, easily outperforming “standard” semi-trucks and their typical 6.5 mpg fuel economy.</w:t>
      </w:r>
    </w:p>
    <w:p w:rsidR="00A31AA5" w:rsidRPr="008F4397" w:rsidRDefault="00A31AA5" w:rsidP="00A31AA5">
      <w:pPr>
        <w:spacing w:after="0"/>
      </w:pPr>
    </w:p>
    <w:p w:rsidR="003F1CF9" w:rsidRPr="008F4397" w:rsidRDefault="00866FD6" w:rsidP="003F1CF9">
      <w:pPr>
        <w:spacing w:after="0"/>
      </w:pPr>
      <w:r w:rsidRPr="008F4397">
        <w:t xml:space="preserve">Every </w:t>
      </w:r>
      <w:r w:rsidR="00A31AA5" w:rsidRPr="008F4397">
        <w:t xml:space="preserve">gallon of diesel fuel combusted results in roughly 22.4 </w:t>
      </w:r>
      <w:r w:rsidR="00075357" w:rsidRPr="008F4397">
        <w:t xml:space="preserve">pounds </w:t>
      </w:r>
      <w:r w:rsidR="00A31AA5" w:rsidRPr="008F4397">
        <w:t xml:space="preserve">of CO2 released into the atmosphere, so </w:t>
      </w:r>
      <w:r w:rsidRPr="008F4397">
        <w:t xml:space="preserve">the C10’s </w:t>
      </w:r>
      <w:r w:rsidR="00A31AA5" w:rsidRPr="008F4397">
        <w:t>increased fuel economy results in a 1 pound</w:t>
      </w:r>
      <w:r w:rsidRPr="008F4397">
        <w:t xml:space="preserve"> per </w:t>
      </w:r>
      <w:r w:rsidR="00A31AA5" w:rsidRPr="008F4397">
        <w:t>mile reduction in CO2 released. In 2018, the C10 demo truck traveled</w:t>
      </w:r>
      <w:r w:rsidR="00375A1B" w:rsidRPr="008F4397">
        <w:t xml:space="preserve"> around</w:t>
      </w:r>
      <w:r w:rsidR="00A31AA5" w:rsidRPr="008F4397">
        <w:t xml:space="preserve">168,000 miles, meaning this single truck reduced CO2 output by 84 tons (relative to a “standard” semi-truck). </w:t>
      </w:r>
      <w:r w:rsidR="00B929A7" w:rsidRPr="008F4397">
        <w:t xml:space="preserve">These savings equate to approximately 30 fewer tons of CO2 emissions per truck per year, or 3,000-5,000 gallons of diesel fuel. </w:t>
      </w:r>
      <w:r w:rsidR="00A31AA5" w:rsidRPr="008F4397">
        <w:t xml:space="preserve">Over the past two years </w:t>
      </w:r>
      <w:r w:rsidR="00B929A7" w:rsidRPr="008F4397">
        <w:t>1,000 of these C1</w:t>
      </w:r>
      <w:r w:rsidR="00A31AA5" w:rsidRPr="008F4397">
        <w:t>0 trucks were launched and sold</w:t>
      </w:r>
      <w:r w:rsidR="00B929A7" w:rsidRPr="008F4397">
        <w:t xml:space="preserve">, bringing the total fuel savings to 3-5 million gallons of diesel fuel per year and total CO2 emissions reductions to </w:t>
      </w:r>
      <w:r w:rsidR="003F1CF9" w:rsidRPr="008F4397">
        <w:t>5</w:t>
      </w:r>
      <w:r w:rsidR="00B929A7" w:rsidRPr="008F4397">
        <w:t>0,000 tons per year</w:t>
      </w:r>
      <w:r w:rsidR="003F1CF9" w:rsidRPr="008F4397">
        <w:t>, the equivalent of replacing 1.7 million incandescent light bulbs with LEDs</w:t>
      </w:r>
      <w:r w:rsidR="00B929A7" w:rsidRPr="008F4397">
        <w:t>.</w:t>
      </w:r>
      <w:r w:rsidR="003F1CF9" w:rsidRPr="008F4397">
        <w:t xml:space="preserve"> By the end of 2019, there will be over 3,000 C10’s sold. </w:t>
      </w:r>
      <w:r w:rsidR="00375A1B" w:rsidRPr="008F4397">
        <w:t xml:space="preserve">Their actions have also earned them recognition as a 2018 Sustainable Transportation Award winner. </w:t>
      </w:r>
    </w:p>
    <w:p w:rsidR="00F605C4" w:rsidRPr="008F4397" w:rsidRDefault="00F605C4" w:rsidP="00F605C4">
      <w:pPr>
        <w:spacing w:after="0"/>
      </w:pPr>
    </w:p>
    <w:p w:rsidR="00F605C4" w:rsidRPr="008F4397" w:rsidRDefault="00F605C4" w:rsidP="00F605C4">
      <w:pPr>
        <w:spacing w:after="0"/>
      </w:pPr>
      <w:r w:rsidRPr="008F4397">
        <w:t>The C10 project was able to develop a fuel-efficient semi-truck that not only dramatically reduce</w:t>
      </w:r>
      <w:r w:rsidR="00A31AA5" w:rsidRPr="008F4397">
        <w:t>s</w:t>
      </w:r>
      <w:r w:rsidRPr="008F4397">
        <w:t xml:space="preserve"> the CO2 footprint of Tennessee’s trucking companies, but </w:t>
      </w:r>
      <w:r w:rsidR="00A31AA5" w:rsidRPr="008F4397">
        <w:t>is</w:t>
      </w:r>
      <w:r w:rsidRPr="008F4397">
        <w:t xml:space="preserve"> also practical, affordable, and immediately available for the trucking fleets of Tennessee. </w:t>
      </w:r>
    </w:p>
    <w:p w:rsidR="00EF72C6" w:rsidRPr="008F4397" w:rsidRDefault="00EF72C6">
      <w:pPr>
        <w:rPr>
          <w:b/>
        </w:rPr>
      </w:pPr>
    </w:p>
    <w:p w:rsidR="004D1D3F" w:rsidRPr="008F4397" w:rsidRDefault="004D1D3F">
      <w:pPr>
        <w:rPr>
          <w:b/>
        </w:rPr>
      </w:pPr>
      <w:r w:rsidRPr="008F4397">
        <w:rPr>
          <w:b/>
        </w:rPr>
        <w:br w:type="page"/>
      </w:r>
    </w:p>
    <w:p w:rsidR="00623373" w:rsidRPr="008F4397" w:rsidRDefault="00623373">
      <w:r w:rsidRPr="008F4397">
        <w:rPr>
          <w:b/>
        </w:rPr>
        <w:lastRenderedPageBreak/>
        <w:t xml:space="preserve">Winner: </w:t>
      </w:r>
      <w:r w:rsidR="00123081" w:rsidRPr="008F4397">
        <w:rPr>
          <w:b/>
        </w:rPr>
        <w:t>Cumberland River Compact</w:t>
      </w:r>
      <w:r w:rsidRPr="008F4397">
        <w:br/>
        <w:t>County: Davidson</w:t>
      </w:r>
      <w:r w:rsidRPr="008F4397">
        <w:br/>
        <w:t xml:space="preserve">Category: </w:t>
      </w:r>
      <w:r w:rsidR="00123081" w:rsidRPr="008F4397">
        <w:t>Natural Heritage</w:t>
      </w:r>
    </w:p>
    <w:p w:rsidR="00F605C4" w:rsidRPr="008F4397" w:rsidRDefault="00F612B1" w:rsidP="00F605C4">
      <w:pPr>
        <w:spacing w:after="0"/>
      </w:pPr>
      <w:r w:rsidRPr="008F4397">
        <w:t xml:space="preserve">Cumberland River Compact </w:t>
      </w:r>
      <w:r w:rsidR="00F3136F" w:rsidRPr="008F4397">
        <w:t xml:space="preserve">enhances the health and enjoyment of the Cumberland River and its tributaries through education, collaboration and action. </w:t>
      </w:r>
      <w:r w:rsidR="00DA0F81" w:rsidRPr="008F4397">
        <w:t xml:space="preserve">An important tributary to the Cumberland River is the </w:t>
      </w:r>
      <w:r w:rsidR="00F3136F" w:rsidRPr="008F4397">
        <w:t>Mill Creek Watershed</w:t>
      </w:r>
      <w:r w:rsidR="00DA0F81" w:rsidRPr="008F4397">
        <w:t xml:space="preserve">. Mill Creek </w:t>
      </w:r>
      <w:r w:rsidR="00F605C4" w:rsidRPr="008F4397">
        <w:t>flows from Nolensville, Tennessee</w:t>
      </w:r>
      <w:r w:rsidR="00DA0F81" w:rsidRPr="008F4397">
        <w:t>, past rapidly expanding subdivisions</w:t>
      </w:r>
      <w:r w:rsidR="00F605C4" w:rsidRPr="008F4397">
        <w:t>, under I</w:t>
      </w:r>
      <w:r w:rsidR="00DA0F81" w:rsidRPr="008F4397">
        <w:t>-</w:t>
      </w:r>
      <w:r w:rsidR="00F605C4" w:rsidRPr="008F4397">
        <w:t>24, along</w:t>
      </w:r>
      <w:r w:rsidR="00DA0F81" w:rsidRPr="008F4397">
        <w:t xml:space="preserve">side </w:t>
      </w:r>
      <w:r w:rsidR="00F605C4" w:rsidRPr="008F4397">
        <w:t>car dealerships, through big box parking lots, behind strip malls, past the Nashville airport and finally into the Cumberland River.</w:t>
      </w:r>
      <w:r w:rsidR="00AB0280" w:rsidRPr="008F4397">
        <w:t xml:space="preserve"> </w:t>
      </w:r>
      <w:r w:rsidR="00F605C4" w:rsidRPr="008F4397">
        <w:t>Mill Creek and the habitat it provides are considered by</w:t>
      </w:r>
      <w:r w:rsidR="00F3136F" w:rsidRPr="008F4397">
        <w:t xml:space="preserve"> </w:t>
      </w:r>
      <w:r w:rsidR="00F605C4" w:rsidRPr="008F4397">
        <w:t>Tennessee’s State Wildlife Action Plan</w:t>
      </w:r>
      <w:r w:rsidR="006154E9" w:rsidRPr="008F4397">
        <w:t xml:space="preserve"> (SWAP)</w:t>
      </w:r>
      <w:r w:rsidR="00F605C4" w:rsidRPr="008F4397">
        <w:t xml:space="preserve"> as </w:t>
      </w:r>
      <w:r w:rsidR="00AB0280" w:rsidRPr="008F4397">
        <w:t>very valuable, but at risk for potential harm amidst rapid urban growth over the next 20 years</w:t>
      </w:r>
      <w:r w:rsidR="00F605C4" w:rsidRPr="008F4397">
        <w:t xml:space="preserve">. </w:t>
      </w:r>
      <w:r w:rsidR="006154E9" w:rsidRPr="008F4397">
        <w:t xml:space="preserve"> </w:t>
      </w:r>
      <w:r w:rsidR="00F605C4" w:rsidRPr="008F4397">
        <w:t xml:space="preserve">Many groups </w:t>
      </w:r>
      <w:r w:rsidR="00AB0280" w:rsidRPr="008F4397">
        <w:t xml:space="preserve">have </w:t>
      </w:r>
      <w:r w:rsidR="006154E9" w:rsidRPr="008F4397">
        <w:t>worked</w:t>
      </w:r>
      <w:r w:rsidR="00F605C4" w:rsidRPr="008F4397">
        <w:t xml:space="preserve"> to reduce that risk while enhancing and restoring this ecological gem. </w:t>
      </w:r>
      <w:r w:rsidR="006154E9" w:rsidRPr="008F4397">
        <w:t>F</w:t>
      </w:r>
      <w:r w:rsidR="00F605C4" w:rsidRPr="008F4397">
        <w:t xml:space="preserve">our years ago the flow of Mill Creek was so obstructed that species migration and recreational use was near impossible. </w:t>
      </w:r>
    </w:p>
    <w:p w:rsidR="00F605C4" w:rsidRPr="008F4397" w:rsidRDefault="00F605C4" w:rsidP="00F605C4">
      <w:pPr>
        <w:spacing w:after="0"/>
      </w:pPr>
    </w:p>
    <w:p w:rsidR="00F605C4" w:rsidRPr="008F4397" w:rsidRDefault="00F605C4" w:rsidP="00F605C4">
      <w:pPr>
        <w:spacing w:after="0"/>
      </w:pPr>
      <w:r w:rsidRPr="008F4397">
        <w:t>Through the Mill Creek Connectivity Project, the Cumberland River Compact and its partners opened roughly 28 miles of water within th</w:t>
      </w:r>
      <w:r w:rsidR="006154E9" w:rsidRPr="008F4397">
        <w:t>e Mill Creek Watershed through three</w:t>
      </w:r>
      <w:r w:rsidRPr="008F4397">
        <w:t xml:space="preserve"> dam removals on Mill Creek's main-stem, </w:t>
      </w:r>
      <w:r w:rsidR="006154E9" w:rsidRPr="008F4397">
        <w:t>one</w:t>
      </w:r>
      <w:r w:rsidRPr="008F4397">
        <w:t xml:space="preserve"> dam removal on Sevenmile Cre</w:t>
      </w:r>
      <w:r w:rsidR="006154E9" w:rsidRPr="008F4397">
        <w:t>ek, and two</w:t>
      </w:r>
      <w:r w:rsidRPr="008F4397">
        <w:t xml:space="preserve"> dam removals on Cathy Jo Branch. The length of</w:t>
      </w:r>
      <w:r w:rsidR="006154E9" w:rsidRPr="008F4397">
        <w:t xml:space="preserve"> </w:t>
      </w:r>
      <w:r w:rsidRPr="008F4397">
        <w:t>Mill Cree</w:t>
      </w:r>
      <w:r w:rsidR="006154E9" w:rsidRPr="008F4397">
        <w:t>k’s mainstem is safe and paddle-a</w:t>
      </w:r>
      <w:r w:rsidRPr="008F4397">
        <w:t xml:space="preserve">ble, except during the driest parts of the year. For the first time in over </w:t>
      </w:r>
      <w:r w:rsidR="00DA0F81" w:rsidRPr="008F4397">
        <w:t xml:space="preserve">100 </w:t>
      </w:r>
      <w:r w:rsidRPr="008F4397">
        <w:t>years, Mill Creek and its tributaries are flowing freely.</w:t>
      </w:r>
    </w:p>
    <w:p w:rsidR="00A51155" w:rsidRPr="008F4397" w:rsidRDefault="00A51155" w:rsidP="00F605C4">
      <w:pPr>
        <w:spacing w:after="0"/>
      </w:pPr>
    </w:p>
    <w:p w:rsidR="00F605C4" w:rsidRPr="008F4397" w:rsidRDefault="00A51155" w:rsidP="00D809DE">
      <w:pPr>
        <w:spacing w:after="0"/>
      </w:pPr>
      <w:r w:rsidRPr="008F4397">
        <w:t>The dams removed wer</w:t>
      </w:r>
      <w:r w:rsidR="00F605C4" w:rsidRPr="008F4397">
        <w:t>e barriers to fish and macroinvertebrate passage.</w:t>
      </w:r>
      <w:r w:rsidRPr="008F4397">
        <w:t xml:space="preserve"> </w:t>
      </w:r>
      <w:r w:rsidR="00F605C4" w:rsidRPr="008F4397">
        <w:t xml:space="preserve">The </w:t>
      </w:r>
      <w:r w:rsidR="00D809DE" w:rsidRPr="008F4397">
        <w:t xml:space="preserve">federally endangered Nashville </w:t>
      </w:r>
      <w:r w:rsidR="00F605C4" w:rsidRPr="008F4397">
        <w:t>Crayfish is endemic to Mill Creek, and population</w:t>
      </w:r>
      <w:r w:rsidRPr="008F4397">
        <w:t>s were found as well as</w:t>
      </w:r>
      <w:r w:rsidR="00F605C4" w:rsidRPr="008F4397">
        <w:t xml:space="preserve"> the streamside salamander. </w:t>
      </w:r>
    </w:p>
    <w:p w:rsidR="00810B77" w:rsidRPr="008F4397" w:rsidRDefault="00810B77" w:rsidP="00D809DE">
      <w:pPr>
        <w:spacing w:after="0"/>
      </w:pPr>
    </w:p>
    <w:p w:rsidR="00810B77" w:rsidRPr="008F4397" w:rsidRDefault="00810B77" w:rsidP="00810B77">
      <w:pPr>
        <w:spacing w:after="0"/>
      </w:pPr>
      <w:r w:rsidRPr="008F4397">
        <w:t xml:space="preserve">Further work to improve the stream </w:t>
      </w:r>
      <w:r w:rsidR="00DA0F81" w:rsidRPr="008F4397">
        <w:t xml:space="preserve">has included </w:t>
      </w:r>
      <w:r w:rsidRPr="008F4397">
        <w:t xml:space="preserve">19 stewardship events </w:t>
      </w:r>
      <w:r w:rsidR="00DA0F81" w:rsidRPr="008F4397">
        <w:t xml:space="preserve">featuring </w:t>
      </w:r>
      <w:r w:rsidRPr="008F4397">
        <w:t xml:space="preserve">clean-ups and riparian buffer plantings. </w:t>
      </w:r>
      <w:r w:rsidR="00FE42D4" w:rsidRPr="008F4397">
        <w:t>In 2018 alone</w:t>
      </w:r>
      <w:r w:rsidR="00DA0F81" w:rsidRPr="008F4397">
        <w:t>,</w:t>
      </w:r>
      <w:r w:rsidR="00FE42D4" w:rsidRPr="008F4397">
        <w:t xml:space="preserve"> the</w:t>
      </w:r>
      <w:r w:rsidR="00DA0F81" w:rsidRPr="008F4397">
        <w:t>se events resulted in the</w:t>
      </w:r>
      <w:r w:rsidR="00FE42D4" w:rsidRPr="008F4397">
        <w:t xml:space="preserve"> r</w:t>
      </w:r>
      <w:r w:rsidRPr="008F4397">
        <w:t xml:space="preserve">emoval of 4,850 pounds of trash and 875 pounds of </w:t>
      </w:r>
      <w:r w:rsidR="00DA0F81" w:rsidRPr="008F4397">
        <w:t xml:space="preserve">recyclables </w:t>
      </w:r>
      <w:r w:rsidRPr="008F4397">
        <w:t>f</w:t>
      </w:r>
      <w:r w:rsidR="00DA0F81" w:rsidRPr="008F4397">
        <w:t>rom</w:t>
      </w:r>
      <w:r w:rsidRPr="008F4397">
        <w:t xml:space="preserve"> Mill Creek and its tributaries.</w:t>
      </w:r>
      <w:r w:rsidR="00DA0F81" w:rsidRPr="008F4397">
        <w:t xml:space="preserve"> Additionally, </w:t>
      </w:r>
      <w:r w:rsidRPr="008F4397">
        <w:t>500 tree seedlings were planted by adopters.</w:t>
      </w:r>
    </w:p>
    <w:p w:rsidR="00EF72C6" w:rsidRPr="008F4397" w:rsidRDefault="00EF72C6">
      <w:pPr>
        <w:rPr>
          <w:b/>
        </w:rPr>
      </w:pPr>
      <w:r w:rsidRPr="008F4397">
        <w:rPr>
          <w:b/>
        </w:rPr>
        <w:br w:type="page"/>
      </w:r>
    </w:p>
    <w:p w:rsidR="00623373" w:rsidRPr="008F4397" w:rsidRDefault="00623373">
      <w:r w:rsidRPr="008F4397">
        <w:rPr>
          <w:b/>
        </w:rPr>
        <w:lastRenderedPageBreak/>
        <w:t xml:space="preserve">Winner: </w:t>
      </w:r>
      <w:r w:rsidR="00123081" w:rsidRPr="008F4397">
        <w:rPr>
          <w:b/>
        </w:rPr>
        <w:t>Mitchell Heights Neighborhood Association</w:t>
      </w:r>
      <w:r w:rsidRPr="008F4397">
        <w:br/>
        <w:t xml:space="preserve">County: </w:t>
      </w:r>
      <w:r w:rsidR="001D718E" w:rsidRPr="008F4397">
        <w:t>Shelby</w:t>
      </w:r>
      <w:r w:rsidRPr="008F4397">
        <w:br/>
        <w:t xml:space="preserve">Category: </w:t>
      </w:r>
      <w:r w:rsidR="00123081" w:rsidRPr="008F4397">
        <w:t>Land Use</w:t>
      </w:r>
      <w:r w:rsidRPr="008F4397">
        <w:t xml:space="preserve"> </w:t>
      </w:r>
    </w:p>
    <w:p w:rsidR="00AB333B" w:rsidRPr="008F4397" w:rsidRDefault="00F605C4" w:rsidP="00F20B9B">
      <w:pPr>
        <w:pStyle w:val="NormalWeb"/>
        <w:shd w:val="clear" w:color="auto" w:fill="FFFFFF"/>
        <w:spacing w:before="0" w:beforeAutospacing="0" w:after="150" w:afterAutospacing="0"/>
        <w:rPr>
          <w:rFonts w:ascii="Open Sans" w:hAnsi="Open Sans" w:cs="Open Sans"/>
          <w:sz w:val="22"/>
          <w:szCs w:val="22"/>
        </w:rPr>
      </w:pPr>
      <w:r w:rsidRPr="008F4397">
        <w:rPr>
          <w:rFonts w:ascii="Open Sans" w:hAnsi="Open Sans" w:cs="Open Sans"/>
          <w:sz w:val="22"/>
          <w:szCs w:val="22"/>
        </w:rPr>
        <w:t xml:space="preserve">Mitchell Heights Neighborhood Association </w:t>
      </w:r>
      <w:r w:rsidR="006F175C" w:rsidRPr="008F4397">
        <w:rPr>
          <w:rFonts w:ascii="Open Sans" w:hAnsi="Open Sans" w:cs="Open Sans"/>
          <w:sz w:val="22"/>
          <w:szCs w:val="22"/>
        </w:rPr>
        <w:t>(MHNA)</w:t>
      </w:r>
      <w:r w:rsidR="00F20B9B" w:rsidRPr="008F4397">
        <w:rPr>
          <w:rFonts w:ascii="Open Sans" w:hAnsi="Open Sans" w:cs="Open Sans"/>
          <w:sz w:val="22"/>
          <w:szCs w:val="22"/>
        </w:rPr>
        <w:t xml:space="preserve">, which covers 40 blocks between Tillman and Holmes streets and </w:t>
      </w:r>
      <w:proofErr w:type="gramStart"/>
      <w:r w:rsidR="00F20B9B" w:rsidRPr="008F4397">
        <w:rPr>
          <w:rFonts w:ascii="Open Sans" w:hAnsi="Open Sans" w:cs="Open Sans"/>
          <w:sz w:val="22"/>
          <w:szCs w:val="22"/>
        </w:rPr>
        <w:t>Summer</w:t>
      </w:r>
      <w:proofErr w:type="gramEnd"/>
      <w:r w:rsidR="00F20B9B" w:rsidRPr="008F4397">
        <w:rPr>
          <w:rFonts w:ascii="Open Sans" w:hAnsi="Open Sans" w:cs="Open Sans"/>
          <w:sz w:val="22"/>
          <w:szCs w:val="22"/>
        </w:rPr>
        <w:t xml:space="preserve"> and Jackson avenues,</w:t>
      </w:r>
      <w:r w:rsidR="006F175C" w:rsidRPr="008F4397">
        <w:rPr>
          <w:rFonts w:ascii="Open Sans" w:hAnsi="Open Sans" w:cs="Open Sans"/>
          <w:sz w:val="22"/>
          <w:szCs w:val="22"/>
        </w:rPr>
        <w:t xml:space="preserve"> </w:t>
      </w:r>
      <w:r w:rsidRPr="008F4397">
        <w:rPr>
          <w:rFonts w:ascii="Open Sans" w:hAnsi="Open Sans" w:cs="Open Sans"/>
          <w:sz w:val="22"/>
          <w:szCs w:val="22"/>
        </w:rPr>
        <w:t>is dedicated to reducing litter and blight in their community</w:t>
      </w:r>
      <w:r w:rsidR="00846625" w:rsidRPr="008F4397">
        <w:rPr>
          <w:rFonts w:ascii="Open Sans" w:hAnsi="Open Sans" w:cs="Open Sans"/>
          <w:sz w:val="22"/>
          <w:szCs w:val="22"/>
        </w:rPr>
        <w:t xml:space="preserve"> and enhancing </w:t>
      </w:r>
      <w:r w:rsidR="00417DE5" w:rsidRPr="008F4397">
        <w:rPr>
          <w:rFonts w:ascii="Open Sans" w:hAnsi="Open Sans" w:cs="Open Sans"/>
          <w:sz w:val="22"/>
          <w:szCs w:val="22"/>
        </w:rPr>
        <w:t>the health and well-being of its residents</w:t>
      </w:r>
      <w:r w:rsidRPr="008F4397">
        <w:rPr>
          <w:rFonts w:ascii="Open Sans" w:hAnsi="Open Sans" w:cs="Open Sans"/>
          <w:sz w:val="22"/>
          <w:szCs w:val="22"/>
        </w:rPr>
        <w:t xml:space="preserve">. </w:t>
      </w:r>
      <w:r w:rsidR="00AB333B" w:rsidRPr="008F4397">
        <w:rPr>
          <w:rFonts w:ascii="Open Sans" w:hAnsi="Open Sans" w:cs="Open Sans"/>
          <w:sz w:val="22"/>
          <w:szCs w:val="22"/>
        </w:rPr>
        <w:t xml:space="preserve">A number of recent efforts have served to strengthen the community while improving the environment. </w:t>
      </w:r>
    </w:p>
    <w:p w:rsidR="00F20B9B" w:rsidRPr="008F4397" w:rsidRDefault="00AB333B" w:rsidP="00F20B9B">
      <w:pPr>
        <w:pStyle w:val="NormalWeb"/>
        <w:shd w:val="clear" w:color="auto" w:fill="FFFFFF"/>
        <w:spacing w:before="0" w:beforeAutospacing="0" w:after="150" w:afterAutospacing="0"/>
        <w:rPr>
          <w:rFonts w:ascii="Open Sans" w:hAnsi="Open Sans" w:cs="Open Sans"/>
          <w:sz w:val="22"/>
          <w:szCs w:val="22"/>
        </w:rPr>
      </w:pPr>
      <w:r w:rsidRPr="008F4397">
        <w:rPr>
          <w:rFonts w:ascii="Open Sans" w:hAnsi="Open Sans" w:cs="Open Sans"/>
          <w:sz w:val="22"/>
          <w:szCs w:val="22"/>
        </w:rPr>
        <w:t xml:space="preserve">To get a better understanding of the current community landscape, </w:t>
      </w:r>
      <w:r w:rsidR="00F20B9B" w:rsidRPr="008F4397">
        <w:rPr>
          <w:rFonts w:ascii="Open Sans" w:hAnsi="Open Sans" w:cs="Open Sans"/>
          <w:sz w:val="22"/>
          <w:szCs w:val="22"/>
        </w:rPr>
        <w:t xml:space="preserve">MHNA started cataloging vacant and blighted properties and hot spots of criminal activity in their boundaries. </w:t>
      </w:r>
      <w:r w:rsidRPr="008F4397">
        <w:rPr>
          <w:rFonts w:ascii="Open Sans" w:hAnsi="Open Sans" w:cs="Open Sans"/>
          <w:sz w:val="22"/>
          <w:szCs w:val="22"/>
        </w:rPr>
        <w:t>These efforts revealed that t</w:t>
      </w:r>
      <w:r w:rsidR="00F20B9B" w:rsidRPr="008F4397">
        <w:rPr>
          <w:rFonts w:ascii="Open Sans" w:hAnsi="Open Sans" w:cs="Open Sans"/>
          <w:sz w:val="22"/>
          <w:szCs w:val="22"/>
        </w:rPr>
        <w:t xml:space="preserve">here are 1,100 vacant properties in </w:t>
      </w:r>
      <w:r w:rsidR="002D5150" w:rsidRPr="008F4397">
        <w:rPr>
          <w:rFonts w:ascii="Open Sans" w:hAnsi="Open Sans" w:cs="Open Sans"/>
          <w:sz w:val="22"/>
          <w:szCs w:val="22"/>
        </w:rPr>
        <w:t>the neighborhood</w:t>
      </w:r>
      <w:r w:rsidR="00F20B9B" w:rsidRPr="008F4397">
        <w:rPr>
          <w:rFonts w:ascii="Open Sans" w:hAnsi="Open Sans" w:cs="Open Sans"/>
          <w:sz w:val="22"/>
          <w:szCs w:val="22"/>
        </w:rPr>
        <w:t xml:space="preserve">, which can sit empty or in disrepair for months or even years without action by landlords or the city. </w:t>
      </w:r>
      <w:r w:rsidRPr="008F4397">
        <w:rPr>
          <w:rFonts w:ascii="Open Sans" w:hAnsi="Open Sans" w:cs="Open Sans"/>
          <w:sz w:val="22"/>
          <w:szCs w:val="22"/>
        </w:rPr>
        <w:t>MHNA</w:t>
      </w:r>
      <w:r w:rsidR="00F20B9B" w:rsidRPr="008F4397">
        <w:rPr>
          <w:rFonts w:ascii="Open Sans" w:hAnsi="Open Sans" w:cs="Open Sans"/>
          <w:sz w:val="22"/>
          <w:szCs w:val="22"/>
        </w:rPr>
        <w:t xml:space="preserve"> also began </w:t>
      </w:r>
      <w:r w:rsidRPr="008F4397">
        <w:rPr>
          <w:rFonts w:ascii="Open Sans" w:hAnsi="Open Sans" w:cs="Open Sans"/>
          <w:sz w:val="22"/>
          <w:szCs w:val="22"/>
        </w:rPr>
        <w:t>using</w:t>
      </w:r>
      <w:r w:rsidR="00F20B9B" w:rsidRPr="008F4397">
        <w:rPr>
          <w:rFonts w:ascii="Open Sans" w:hAnsi="Open Sans" w:cs="Open Sans"/>
          <w:sz w:val="22"/>
          <w:szCs w:val="22"/>
        </w:rPr>
        <w:t xml:space="preserve"> block captains to report houses in disrepair, trash, high grass, criminal activity, and other concerns.</w:t>
      </w:r>
    </w:p>
    <w:p w:rsidR="00A83DA5" w:rsidRPr="008F4397" w:rsidRDefault="00AB333B" w:rsidP="00A83DA5">
      <w:pPr>
        <w:pStyle w:val="NormalWeb"/>
        <w:shd w:val="clear" w:color="auto" w:fill="FFFFFF"/>
        <w:spacing w:before="0" w:beforeAutospacing="0" w:after="150" w:afterAutospacing="0"/>
        <w:rPr>
          <w:rFonts w:ascii="Open Sans" w:hAnsi="Open Sans" w:cs="Open Sans"/>
          <w:sz w:val="22"/>
          <w:szCs w:val="22"/>
        </w:rPr>
      </w:pPr>
      <w:r w:rsidRPr="008F4397">
        <w:rPr>
          <w:rFonts w:ascii="Open Sans" w:hAnsi="Open Sans" w:cs="Open Sans"/>
          <w:sz w:val="22"/>
          <w:szCs w:val="22"/>
        </w:rPr>
        <w:t>To enhance the community, t</w:t>
      </w:r>
      <w:r w:rsidR="00A249D3" w:rsidRPr="008F4397">
        <w:rPr>
          <w:rFonts w:ascii="Open Sans" w:hAnsi="Open Sans" w:cs="Open Sans"/>
          <w:sz w:val="22"/>
          <w:szCs w:val="22"/>
        </w:rPr>
        <w:t>he neighborhood association has</w:t>
      </w:r>
      <w:r w:rsidR="00F605C4" w:rsidRPr="008F4397">
        <w:rPr>
          <w:rFonts w:ascii="Open Sans" w:hAnsi="Open Sans" w:cs="Open Sans"/>
          <w:sz w:val="22"/>
          <w:szCs w:val="22"/>
        </w:rPr>
        <w:t xml:space="preserve"> created </w:t>
      </w:r>
      <w:r w:rsidRPr="008F4397">
        <w:rPr>
          <w:rFonts w:ascii="Open Sans" w:hAnsi="Open Sans" w:cs="Open Sans"/>
          <w:sz w:val="22"/>
          <w:szCs w:val="22"/>
        </w:rPr>
        <w:t xml:space="preserve">or expanded </w:t>
      </w:r>
      <w:r w:rsidR="00F605C4" w:rsidRPr="008F4397">
        <w:rPr>
          <w:rFonts w:ascii="Open Sans" w:hAnsi="Open Sans" w:cs="Open Sans"/>
          <w:sz w:val="22"/>
          <w:szCs w:val="22"/>
        </w:rPr>
        <w:t>community garden</w:t>
      </w:r>
      <w:r w:rsidRPr="008F4397">
        <w:rPr>
          <w:rFonts w:ascii="Open Sans" w:hAnsi="Open Sans" w:cs="Open Sans"/>
          <w:sz w:val="22"/>
          <w:szCs w:val="22"/>
        </w:rPr>
        <w:t>s</w:t>
      </w:r>
      <w:r w:rsidR="00A249D3" w:rsidRPr="008F4397">
        <w:rPr>
          <w:rFonts w:ascii="Open Sans" w:hAnsi="Open Sans" w:cs="Open Sans"/>
          <w:sz w:val="22"/>
          <w:szCs w:val="22"/>
        </w:rPr>
        <w:t xml:space="preserve"> </w:t>
      </w:r>
      <w:r w:rsidR="00F605C4" w:rsidRPr="008F4397">
        <w:rPr>
          <w:rFonts w:ascii="Open Sans" w:hAnsi="Open Sans" w:cs="Open Sans"/>
          <w:sz w:val="22"/>
          <w:szCs w:val="22"/>
        </w:rPr>
        <w:t>and work</w:t>
      </w:r>
      <w:r w:rsidR="00A249D3" w:rsidRPr="008F4397">
        <w:rPr>
          <w:rFonts w:ascii="Open Sans" w:hAnsi="Open Sans" w:cs="Open Sans"/>
          <w:sz w:val="22"/>
          <w:szCs w:val="22"/>
        </w:rPr>
        <w:t>ed</w:t>
      </w:r>
      <w:r w:rsidR="00F605C4" w:rsidRPr="008F4397">
        <w:rPr>
          <w:rFonts w:ascii="Open Sans" w:hAnsi="Open Sans" w:cs="Open Sans"/>
          <w:sz w:val="22"/>
          <w:szCs w:val="22"/>
        </w:rPr>
        <w:t xml:space="preserve"> to transform vacant lots</w:t>
      </w:r>
      <w:r w:rsidR="00A83DA5" w:rsidRPr="008F4397">
        <w:rPr>
          <w:rFonts w:ascii="Open Sans" w:hAnsi="Open Sans" w:cs="Open Sans"/>
          <w:sz w:val="22"/>
          <w:szCs w:val="22"/>
        </w:rPr>
        <w:t xml:space="preserve"> into community green spaces</w:t>
      </w:r>
      <w:r w:rsidRPr="008F4397">
        <w:rPr>
          <w:rFonts w:ascii="Open Sans" w:hAnsi="Open Sans" w:cs="Open Sans"/>
          <w:sz w:val="22"/>
          <w:szCs w:val="22"/>
        </w:rPr>
        <w:t>, such as pocket parks</w:t>
      </w:r>
      <w:r w:rsidR="002D5150" w:rsidRPr="008F4397">
        <w:rPr>
          <w:rFonts w:ascii="Open Sans" w:hAnsi="Open Sans" w:cs="Open Sans"/>
          <w:sz w:val="22"/>
          <w:szCs w:val="22"/>
        </w:rPr>
        <w:t xml:space="preserve">, which can serve as an environment conducive to </w:t>
      </w:r>
      <w:proofErr w:type="spellStart"/>
      <w:r w:rsidR="002D5150" w:rsidRPr="008F4397">
        <w:rPr>
          <w:rFonts w:ascii="Open Sans" w:hAnsi="Open Sans" w:cs="Open Sans"/>
          <w:sz w:val="22"/>
          <w:szCs w:val="22"/>
        </w:rPr>
        <w:t>stormwater</w:t>
      </w:r>
      <w:proofErr w:type="spellEnd"/>
      <w:r w:rsidR="002D5150" w:rsidRPr="008F4397">
        <w:rPr>
          <w:rFonts w:ascii="Open Sans" w:hAnsi="Open Sans" w:cs="Open Sans"/>
          <w:sz w:val="22"/>
          <w:szCs w:val="22"/>
        </w:rPr>
        <w:t xml:space="preserve"> management, physical activity, community-building for children and adults, and increased property values</w:t>
      </w:r>
      <w:r w:rsidR="00F605C4" w:rsidRPr="008F4397">
        <w:rPr>
          <w:rFonts w:ascii="Open Sans" w:hAnsi="Open Sans" w:cs="Open Sans"/>
          <w:sz w:val="22"/>
          <w:szCs w:val="22"/>
        </w:rPr>
        <w:t xml:space="preserve">. </w:t>
      </w:r>
      <w:r w:rsidR="002D5150" w:rsidRPr="008F4397">
        <w:rPr>
          <w:rFonts w:ascii="Open Sans" w:hAnsi="Open Sans" w:cs="Open Sans"/>
          <w:sz w:val="22"/>
          <w:szCs w:val="22"/>
        </w:rPr>
        <w:t xml:space="preserve">Transformation of space in the community has led to significant achievements such as </w:t>
      </w:r>
      <w:r w:rsidRPr="008F4397">
        <w:rPr>
          <w:rFonts w:ascii="Open Sans" w:hAnsi="Open Sans" w:cs="Open Sans"/>
          <w:sz w:val="22"/>
          <w:szCs w:val="22"/>
        </w:rPr>
        <w:t>the launch of what is likely Memphis’ only minority-owned plant nursery (which now serves as a major contractor for plants purchased by the City of Memphis)</w:t>
      </w:r>
      <w:r w:rsidR="002D5150" w:rsidRPr="008F4397">
        <w:rPr>
          <w:rFonts w:ascii="Open Sans" w:hAnsi="Open Sans" w:cs="Open Sans"/>
          <w:sz w:val="22"/>
          <w:szCs w:val="22"/>
        </w:rPr>
        <w:t xml:space="preserve"> and the addition of horticulture, urban farming, and entrepreneurship classes for neighborhood youth at the 761 </w:t>
      </w:r>
      <w:proofErr w:type="spellStart"/>
      <w:r w:rsidR="002D5150" w:rsidRPr="008F4397">
        <w:rPr>
          <w:rFonts w:ascii="Open Sans" w:hAnsi="Open Sans" w:cs="Open Sans"/>
          <w:sz w:val="22"/>
          <w:szCs w:val="22"/>
        </w:rPr>
        <w:t>Gracewood</w:t>
      </w:r>
      <w:proofErr w:type="spellEnd"/>
      <w:r w:rsidR="002D5150" w:rsidRPr="008F4397">
        <w:rPr>
          <w:rFonts w:ascii="Open Sans" w:hAnsi="Open Sans" w:cs="Open Sans"/>
          <w:sz w:val="22"/>
          <w:szCs w:val="22"/>
        </w:rPr>
        <w:t xml:space="preserve"> Street community garden, a formally overgrown city property with historic ties to the Civil War-era</w:t>
      </w:r>
      <w:r w:rsidRPr="008F4397">
        <w:rPr>
          <w:rFonts w:ascii="Open Sans" w:hAnsi="Open Sans" w:cs="Open Sans"/>
          <w:sz w:val="22"/>
          <w:szCs w:val="22"/>
        </w:rPr>
        <w:t>.</w:t>
      </w:r>
    </w:p>
    <w:p w:rsidR="009717A8" w:rsidRPr="008F4397" w:rsidRDefault="009717A8" w:rsidP="008A5F21">
      <w:pPr>
        <w:pStyle w:val="NormalWeb"/>
        <w:shd w:val="clear" w:color="auto" w:fill="FFFFFF"/>
        <w:spacing w:before="0" w:beforeAutospacing="0" w:after="150" w:afterAutospacing="0"/>
      </w:pPr>
    </w:p>
    <w:p w:rsidR="008751EB" w:rsidRPr="008F4397" w:rsidRDefault="008751EB">
      <w:pPr>
        <w:spacing w:after="0"/>
      </w:pPr>
    </w:p>
    <w:p w:rsidR="008751EB" w:rsidRPr="008F4397" w:rsidRDefault="008751EB" w:rsidP="008751EB">
      <w:pPr>
        <w:spacing w:after="0"/>
      </w:pPr>
    </w:p>
    <w:p w:rsidR="00EF72C6" w:rsidRPr="008F4397" w:rsidRDefault="00EF72C6">
      <w:pPr>
        <w:rPr>
          <w:b/>
        </w:rPr>
      </w:pPr>
      <w:r w:rsidRPr="008F4397">
        <w:rPr>
          <w:b/>
        </w:rPr>
        <w:br w:type="page"/>
      </w:r>
    </w:p>
    <w:p w:rsidR="0062674F" w:rsidRPr="008F4397" w:rsidRDefault="00623373">
      <w:r w:rsidRPr="008F4397">
        <w:rPr>
          <w:b/>
        </w:rPr>
        <w:lastRenderedPageBreak/>
        <w:t xml:space="preserve">Winner: </w:t>
      </w:r>
      <w:r w:rsidR="00123081" w:rsidRPr="008F4397">
        <w:rPr>
          <w:b/>
        </w:rPr>
        <w:t>Norris Water Commission</w:t>
      </w:r>
      <w:r w:rsidRPr="008F4397">
        <w:rPr>
          <w:b/>
        </w:rPr>
        <w:br/>
      </w:r>
      <w:r w:rsidRPr="008F4397">
        <w:t xml:space="preserve">County: </w:t>
      </w:r>
      <w:r w:rsidR="00123081" w:rsidRPr="008F4397">
        <w:t>Anderson</w:t>
      </w:r>
      <w:r w:rsidRPr="008F4397">
        <w:br/>
        <w:t xml:space="preserve">Category: </w:t>
      </w:r>
      <w:r w:rsidR="00123081" w:rsidRPr="008F4397">
        <w:t>Sustainable Performance</w:t>
      </w:r>
    </w:p>
    <w:p w:rsidR="008B00C8" w:rsidRPr="008F4397" w:rsidRDefault="008B00C8" w:rsidP="008B00C8">
      <w:r w:rsidRPr="008F4397">
        <w:t xml:space="preserve">Beginning in 2016, Norris Water Commission took </w:t>
      </w:r>
      <w:r w:rsidR="00A83DA5" w:rsidRPr="008F4397">
        <w:t xml:space="preserve">the </w:t>
      </w:r>
      <w:r w:rsidRPr="008F4397">
        <w:t xml:space="preserve">initiative to learn and pursue innovative low-cost approaches to optimizing water quality and reducing energy consumption at its aging wastewater treatment plant through voluntary participation in TDEC’s Wastewater Nutrient Optimization </w:t>
      </w:r>
      <w:r w:rsidR="004208B3" w:rsidRPr="008F4397">
        <w:t>program</w:t>
      </w:r>
      <w:r w:rsidRPr="008F4397">
        <w:t xml:space="preserve">. </w:t>
      </w:r>
      <w:r w:rsidR="00A83DA5" w:rsidRPr="008F4397">
        <w:t xml:space="preserve">Through their efforts, the </w:t>
      </w:r>
      <w:r w:rsidRPr="008F4397">
        <w:t>Norris Water Commission decreased contribution</w:t>
      </w:r>
      <w:r w:rsidR="00A83DA5" w:rsidRPr="008F4397">
        <w:t>s</w:t>
      </w:r>
      <w:r w:rsidRPr="008F4397">
        <w:t xml:space="preserve"> to phosphorous and nitrogen loads in receiving streams.</w:t>
      </w:r>
    </w:p>
    <w:p w:rsidR="008B00C8" w:rsidRPr="008F4397" w:rsidRDefault="008B00C8" w:rsidP="008B00C8">
      <w:r w:rsidRPr="008F4397">
        <w:t>Nutrient loading within Tennessee</w:t>
      </w:r>
      <w:r w:rsidR="00A83DA5" w:rsidRPr="008F4397">
        <w:t>’s</w:t>
      </w:r>
      <w:r w:rsidRPr="008F4397">
        <w:t xml:space="preserve"> waters contributes to stream eutrophication</w:t>
      </w:r>
      <w:r w:rsidR="00264880" w:rsidRPr="008F4397">
        <w:t>, impairing our state’s water bodies. A</w:t>
      </w:r>
      <w:r w:rsidRPr="008F4397">
        <w:t>s nutrient</w:t>
      </w:r>
      <w:r w:rsidR="00A83DA5" w:rsidRPr="008F4397">
        <w:t xml:space="preserve">s </w:t>
      </w:r>
      <w:r w:rsidRPr="008F4397">
        <w:t>travel downstream through the Mississippi River</w:t>
      </w:r>
      <w:r w:rsidR="00A83DA5" w:rsidRPr="008F4397">
        <w:t xml:space="preserve">, they </w:t>
      </w:r>
      <w:r w:rsidRPr="008F4397">
        <w:t>contribute</w:t>
      </w:r>
      <w:r w:rsidR="00A83DA5" w:rsidRPr="008F4397">
        <w:t xml:space="preserve"> </w:t>
      </w:r>
      <w:r w:rsidRPr="008F4397">
        <w:t xml:space="preserve">to the Hypoxic Zone in the Gulf. By making slight modifications to how existing wastewater treatment plant equipment is used, Norris Water Commission wastewater treatment plant staff were able to reduce nitrogen loading in effluent below 5 mg/l. Following continued implementation of nutrient optimization techniques over the past 3.5 years, these efforts have been so successful that Norris Water Commission operators recently achieved 80-90% reductions to phosphorous concentrations to levels of less than 1 mg/l in their effluent. </w:t>
      </w:r>
    </w:p>
    <w:p w:rsidR="004208B3" w:rsidRPr="008F4397" w:rsidRDefault="004208B3" w:rsidP="008B00C8">
      <w:r w:rsidRPr="008F4397">
        <w:t>Through trial and error, Norris plant operators discovered an approach to aeration equipment cycling in plug flow treatment processes unique to their operations that was successful in removing nitrogen. An added innovative benefit of this approach is that it not only results in positive environmental outcomes at very minimal cost, it also results in providing professional development opportunities for the plant’s operators at low cost.</w:t>
      </w:r>
    </w:p>
    <w:p w:rsidR="008B00C8" w:rsidRPr="008F4397" w:rsidRDefault="008B00C8" w:rsidP="008B00C8">
      <w:r w:rsidRPr="008F4397">
        <w:t>Additional environmental benefits have also been achieved beyond just reduced nutrient loads: the volume of sludge produced has decreased and electricity consumed by the plant for water treatment has also decreased.</w:t>
      </w:r>
      <w:r w:rsidR="0074769C">
        <w:t xml:space="preserve"> They average around $1,800-$2,000 in energy savings each year along with reduction in hauling sludge. </w:t>
      </w:r>
      <w:r w:rsidRPr="008F4397">
        <w:t xml:space="preserve"> </w:t>
      </w:r>
    </w:p>
    <w:p w:rsidR="008B00C8" w:rsidRPr="008F4397" w:rsidRDefault="008B00C8" w:rsidP="008B00C8">
      <w:r w:rsidRPr="008F4397">
        <w:t xml:space="preserve">This project is particularly groundbreaking due to its use of training and knowledge enhancement of Norris Water Commission wastewater treatment plant operators and minor modifications to the operation of existing plant equipment to positively influence water quality, rather than making capital intensive investments to wastewater treatment plant infrastructure. </w:t>
      </w:r>
    </w:p>
    <w:p w:rsidR="00EF72C6" w:rsidRPr="008F4397" w:rsidRDefault="00EF72C6" w:rsidP="008B00C8">
      <w:pPr>
        <w:rPr>
          <w:b/>
        </w:rPr>
      </w:pPr>
      <w:r w:rsidRPr="008F4397">
        <w:rPr>
          <w:b/>
        </w:rPr>
        <w:br w:type="page"/>
      </w:r>
    </w:p>
    <w:p w:rsidR="0062674F" w:rsidRPr="008F4397" w:rsidRDefault="00623373">
      <w:r w:rsidRPr="008F4397">
        <w:rPr>
          <w:b/>
        </w:rPr>
        <w:lastRenderedPageBreak/>
        <w:t xml:space="preserve">Winner: </w:t>
      </w:r>
      <w:r w:rsidR="00123081" w:rsidRPr="008F4397">
        <w:rPr>
          <w:b/>
        </w:rPr>
        <w:t>Ruby Falls</w:t>
      </w:r>
      <w:r w:rsidRPr="008F4397">
        <w:br/>
        <w:t xml:space="preserve">County: </w:t>
      </w:r>
      <w:r w:rsidR="00123081" w:rsidRPr="008F4397">
        <w:t>Hamilton</w:t>
      </w:r>
      <w:r w:rsidRPr="008F4397">
        <w:br/>
        <w:t xml:space="preserve">Category: </w:t>
      </w:r>
      <w:r w:rsidR="00123081" w:rsidRPr="008F4397">
        <w:t>Building Green</w:t>
      </w:r>
    </w:p>
    <w:p w:rsidR="00F605C4" w:rsidRPr="008F4397" w:rsidRDefault="00264880" w:rsidP="00F605C4">
      <w:pPr>
        <w:spacing w:after="0"/>
      </w:pPr>
      <w:r w:rsidRPr="008F4397">
        <w:t xml:space="preserve">Ruby Falls receives </w:t>
      </w:r>
      <w:r w:rsidR="00F605C4" w:rsidRPr="008F4397">
        <w:t xml:space="preserve">over 500,000 </w:t>
      </w:r>
      <w:r w:rsidRPr="008F4397">
        <w:t xml:space="preserve">visitors annually, coming to catch a glimpse of </w:t>
      </w:r>
      <w:r w:rsidR="00F605C4" w:rsidRPr="008F4397">
        <w:t xml:space="preserve">the tallest underground waterfall </w:t>
      </w:r>
      <w:r w:rsidR="00982B69" w:rsidRPr="008F4397">
        <w:t xml:space="preserve">open to the public in the U.S. </w:t>
      </w:r>
      <w:r w:rsidR="00BC64AC" w:rsidRPr="008F4397">
        <w:t xml:space="preserve">Now, reimagined venues at Ruby Falls represent a new chapter for the historic destination. An </w:t>
      </w:r>
      <w:r w:rsidR="00F605C4" w:rsidRPr="008F4397">
        <w:t xml:space="preserve">environmentally sustainable transformation, completed in 2018, involved repurposing the </w:t>
      </w:r>
      <w:r w:rsidR="00982B69" w:rsidRPr="008F4397">
        <w:t>National Register of H</w:t>
      </w:r>
      <w:r w:rsidR="00F605C4" w:rsidRPr="008F4397">
        <w:t>istoric</w:t>
      </w:r>
      <w:r w:rsidR="00982B69" w:rsidRPr="008F4397">
        <w:t xml:space="preserve"> Places</w:t>
      </w:r>
      <w:r w:rsidR="00F605C4" w:rsidRPr="008F4397">
        <w:t xml:space="preserve"> 1929 Cavern Castle</w:t>
      </w:r>
      <w:r w:rsidR="00BC64AC" w:rsidRPr="008F4397">
        <w:t>,</w:t>
      </w:r>
      <w:r w:rsidR="00F605C4" w:rsidRPr="008F4397">
        <w:t xml:space="preserve"> </w:t>
      </w:r>
      <w:r w:rsidR="009D445D" w:rsidRPr="008F4397">
        <w:t>a two-story, 13,000 square foot building expansion</w:t>
      </w:r>
      <w:r w:rsidR="00BC64AC" w:rsidRPr="008F4397">
        <w:t>,</w:t>
      </w:r>
      <w:r w:rsidR="009D445D" w:rsidRPr="008F4397">
        <w:t xml:space="preserve"> and </w:t>
      </w:r>
      <w:r w:rsidR="00BC64AC" w:rsidRPr="008F4397">
        <w:t xml:space="preserve">a </w:t>
      </w:r>
      <w:r w:rsidR="009D445D" w:rsidRPr="008F4397">
        <w:t>4,000 square foot outdoor venue addition</w:t>
      </w:r>
      <w:r w:rsidRPr="008F4397">
        <w:t>. These additions</w:t>
      </w:r>
      <w:r w:rsidR="009D445D" w:rsidRPr="008F4397">
        <w:t xml:space="preserve"> nearly tripl</w:t>
      </w:r>
      <w:r w:rsidRPr="008F4397">
        <w:t>ed</w:t>
      </w:r>
      <w:r w:rsidR="009D445D" w:rsidRPr="008F4397">
        <w:t xml:space="preserve"> the under-roof capacity</w:t>
      </w:r>
      <w:r w:rsidRPr="008F4397">
        <w:t xml:space="preserve"> of Ruby Falls</w:t>
      </w:r>
      <w:r w:rsidR="009D445D" w:rsidRPr="008F4397">
        <w:t>. Highlights of the project include a new entrance and Ticket Atrium with expanded guest services, the Blue Heron Overlook, the Back Porch featuring seasonal open-air dining, Village Gift Shop, administrative offices, and the Ruby Falls Village Plaza.</w:t>
      </w:r>
    </w:p>
    <w:p w:rsidR="00982B69" w:rsidRPr="008F4397" w:rsidRDefault="00982B69" w:rsidP="00F605C4">
      <w:pPr>
        <w:spacing w:after="0"/>
      </w:pPr>
    </w:p>
    <w:p w:rsidR="00A15DC9" w:rsidRPr="008F4397" w:rsidRDefault="00EC7E61" w:rsidP="00A15DC9">
      <w:pPr>
        <w:spacing w:after="0"/>
      </w:pPr>
      <w:r w:rsidRPr="008F4397">
        <w:t>Ruby Falls is a</w:t>
      </w:r>
      <w:r w:rsidR="00F605C4" w:rsidRPr="008F4397">
        <w:t>lready Green Globe Certified and Tennessee Green Hospitality Certified</w:t>
      </w:r>
      <w:r w:rsidRPr="008F4397">
        <w:t xml:space="preserve"> </w:t>
      </w:r>
      <w:r w:rsidR="00BC64AC" w:rsidRPr="008F4397">
        <w:t>and is</w:t>
      </w:r>
      <w:r w:rsidR="00264880" w:rsidRPr="008F4397">
        <w:t xml:space="preserve"> </w:t>
      </w:r>
      <w:r w:rsidRPr="008F4397">
        <w:t xml:space="preserve">on its way to achieving </w:t>
      </w:r>
      <w:r w:rsidR="00F605C4" w:rsidRPr="008F4397">
        <w:t>LEED certification</w:t>
      </w:r>
      <w:r w:rsidRPr="008F4397">
        <w:t xml:space="preserve">. </w:t>
      </w:r>
      <w:r w:rsidR="00A15DC9" w:rsidRPr="008F4397">
        <w:t>The building</w:t>
      </w:r>
      <w:r w:rsidR="00BC64AC" w:rsidRPr="008F4397">
        <w:t xml:space="preserve"> was designed and placed in a fashion that complements and emphasizes</w:t>
      </w:r>
      <w:r w:rsidR="00A15DC9" w:rsidRPr="008F4397">
        <w:t xml:space="preserve"> the </w:t>
      </w:r>
      <w:r w:rsidR="00BC64AC" w:rsidRPr="008F4397">
        <w:t xml:space="preserve">location’s </w:t>
      </w:r>
      <w:r w:rsidR="00A15DC9" w:rsidRPr="008F4397">
        <w:t>soaring limes</w:t>
      </w:r>
      <w:r w:rsidR="009D445D" w:rsidRPr="008F4397">
        <w:t>tone</w:t>
      </w:r>
      <w:r w:rsidR="00BC64AC" w:rsidRPr="008F4397">
        <w:t>.</w:t>
      </w:r>
      <w:r w:rsidR="009D445D" w:rsidRPr="008F4397">
        <w:t xml:space="preserve"> </w:t>
      </w:r>
      <w:r w:rsidR="00BC64AC" w:rsidRPr="008F4397">
        <w:t>D</w:t>
      </w:r>
      <w:r w:rsidR="009D445D" w:rsidRPr="008F4397">
        <w:t xml:space="preserve">uring the expansion over </w:t>
      </w:r>
      <w:r w:rsidR="00A15DC9" w:rsidRPr="008F4397">
        <w:t>22,716 tons of rock were repurposed</w:t>
      </w:r>
      <w:r w:rsidR="00BC64AC" w:rsidRPr="008F4397">
        <w:t xml:space="preserve">, </w:t>
      </w:r>
      <w:r w:rsidR="00865179" w:rsidRPr="008F4397">
        <w:t>m</w:t>
      </w:r>
      <w:r w:rsidR="00A15DC9" w:rsidRPr="008F4397">
        <w:t>ore tha</w:t>
      </w:r>
      <w:r w:rsidR="00865179" w:rsidRPr="008F4397">
        <w:t>n 75% of all construction waste</w:t>
      </w:r>
      <w:r w:rsidR="00BC64AC" w:rsidRPr="008F4397">
        <w:t xml:space="preserve"> was recycled,</w:t>
      </w:r>
      <w:r w:rsidR="00A15DC9" w:rsidRPr="008F4397">
        <w:t xml:space="preserve"> and more than 20% of materials were manufactured within a 500-mile radius</w:t>
      </w:r>
      <w:r w:rsidR="00865179" w:rsidRPr="008F4397">
        <w:t xml:space="preserve">. </w:t>
      </w:r>
    </w:p>
    <w:p w:rsidR="00A15DC9" w:rsidRPr="008F4397" w:rsidRDefault="00A15DC9" w:rsidP="00A15DC9">
      <w:pPr>
        <w:spacing w:after="0"/>
      </w:pPr>
    </w:p>
    <w:p w:rsidR="00A15DC9" w:rsidRPr="008F4397" w:rsidRDefault="00865179" w:rsidP="00A15DC9">
      <w:pPr>
        <w:spacing w:after="0"/>
      </w:pPr>
      <w:r w:rsidRPr="008F4397">
        <w:t>S</w:t>
      </w:r>
      <w:r w:rsidR="00A15DC9" w:rsidRPr="008F4397">
        <w:t xml:space="preserve">ustainable site features were leveraged and enhanced </w:t>
      </w:r>
      <w:r w:rsidR="003614FE" w:rsidRPr="008F4397">
        <w:t xml:space="preserve">throughout the facility expansion, </w:t>
      </w:r>
      <w:r w:rsidR="00A15DC9" w:rsidRPr="008F4397">
        <w:t>such as maintaining the same number of parking spaces, protecting habitat, maximizing the amount of vegetated open space, and utilizing responsible stormwater management strategies to control the amount of runoff from the site. Water conserving plumbing fixtures were installed in all new bathrooms and break rooms. These fixture selections improved indoor water consumption by 38,287 gallons per year; a 39% water use savings.</w:t>
      </w:r>
      <w:r w:rsidRPr="008F4397">
        <w:t xml:space="preserve"> A modern rainwater collection and filtration system featuring two 8,000 gallon water tanks </w:t>
      </w:r>
      <w:r w:rsidR="003614FE" w:rsidRPr="008F4397">
        <w:t xml:space="preserve">is </w:t>
      </w:r>
      <w:r w:rsidRPr="008F4397">
        <w:t xml:space="preserve">utilized for landscape irrigation, </w:t>
      </w:r>
      <w:r w:rsidR="003614FE" w:rsidRPr="008F4397">
        <w:t xml:space="preserve">effectively </w:t>
      </w:r>
      <w:r w:rsidRPr="008F4397">
        <w:t>reduc</w:t>
      </w:r>
      <w:r w:rsidR="003614FE" w:rsidRPr="008F4397">
        <w:t xml:space="preserve">ing </w:t>
      </w:r>
      <w:proofErr w:type="spellStart"/>
      <w:r w:rsidR="003614FE" w:rsidRPr="008F4397">
        <w:t>storm</w:t>
      </w:r>
      <w:r w:rsidRPr="008F4397">
        <w:t>water</w:t>
      </w:r>
      <w:proofErr w:type="spellEnd"/>
      <w:r w:rsidRPr="008F4397">
        <w:t xml:space="preserve"> runoff</w:t>
      </w:r>
      <w:r w:rsidR="00A15C69" w:rsidRPr="008F4397">
        <w:t xml:space="preserve">. </w:t>
      </w:r>
    </w:p>
    <w:p w:rsidR="00A15DC9" w:rsidRPr="008F4397" w:rsidRDefault="00A15DC9" w:rsidP="00A15DC9">
      <w:pPr>
        <w:spacing w:after="0"/>
      </w:pPr>
    </w:p>
    <w:p w:rsidR="00A15DC9" w:rsidRPr="008F4397" w:rsidRDefault="003614FE" w:rsidP="00A15DC9">
      <w:pPr>
        <w:spacing w:after="0"/>
      </w:pPr>
      <w:r w:rsidRPr="008F4397">
        <w:t xml:space="preserve">An </w:t>
      </w:r>
      <w:r w:rsidR="00A15DC9" w:rsidRPr="008F4397">
        <w:t xml:space="preserve">energy-efficient </w:t>
      </w:r>
      <w:r w:rsidRPr="008F4397">
        <w:t xml:space="preserve">building </w:t>
      </w:r>
      <w:r w:rsidR="00A15DC9" w:rsidRPr="008F4397">
        <w:t xml:space="preserve">envelope, low-E windows, LED lighting and controls, efficient HVAC system, and </w:t>
      </w:r>
      <w:r w:rsidR="00A15C69" w:rsidRPr="008F4397">
        <w:t xml:space="preserve">a </w:t>
      </w:r>
      <w:r w:rsidR="00A15DC9" w:rsidRPr="008F4397">
        <w:t xml:space="preserve">building automation system </w:t>
      </w:r>
      <w:r w:rsidR="00A15C69" w:rsidRPr="008F4397">
        <w:t xml:space="preserve">were all part of the new additions at Ruby Falls. </w:t>
      </w:r>
      <w:r w:rsidRPr="008F4397">
        <w:t>D</w:t>
      </w:r>
      <w:r w:rsidR="00A15DC9" w:rsidRPr="008F4397">
        <w:t>aylighting</w:t>
      </w:r>
      <w:r w:rsidRPr="008F4397">
        <w:t xml:space="preserve">, specifically controlled admission of natural light, direct sunlight, and diffused light, is incorporated into the </w:t>
      </w:r>
      <w:r w:rsidR="003D1F94" w:rsidRPr="008F4397">
        <w:t>facility</w:t>
      </w:r>
      <w:r w:rsidR="00A15DC9" w:rsidRPr="008F4397">
        <w:t xml:space="preserve">. </w:t>
      </w:r>
      <w:r w:rsidR="00A15C69" w:rsidRPr="008F4397">
        <w:t>They were able to relocate their existing solar panels to continue to help offset utility cost</w:t>
      </w:r>
      <w:r w:rsidRPr="008F4397">
        <w:t>s and reduce greenhouse gas emissions</w:t>
      </w:r>
      <w:r w:rsidR="00A15C69" w:rsidRPr="008F4397">
        <w:t>.</w:t>
      </w:r>
      <w:r w:rsidR="00DA0F81" w:rsidRPr="008F4397">
        <w:t xml:space="preserve"> </w:t>
      </w:r>
      <w:r w:rsidR="00D93FB8" w:rsidRPr="008F4397">
        <w:t>H</w:t>
      </w:r>
      <w:r w:rsidR="00A15DC9" w:rsidRPr="008F4397">
        <w:t>ealthy indoor air quality materials, including polished concrete</w:t>
      </w:r>
      <w:r w:rsidR="00D93FB8" w:rsidRPr="008F4397">
        <w:t>, l</w:t>
      </w:r>
      <w:r w:rsidR="00A15DC9" w:rsidRPr="008F4397">
        <w:t xml:space="preserve">ow-emitting paints, sealants, and flooring were used to protect the health and well-being of occupants from the volatile organic compounds (VOCs). </w:t>
      </w:r>
      <w:r w:rsidR="00D93FB8" w:rsidRPr="008F4397">
        <w:t xml:space="preserve">Ruby Falls </w:t>
      </w:r>
      <w:r w:rsidRPr="008F4397">
        <w:t xml:space="preserve">also </w:t>
      </w:r>
      <w:r w:rsidR="00D93FB8" w:rsidRPr="008F4397">
        <w:t>incorporated i</w:t>
      </w:r>
      <w:r w:rsidR="00A15DC9" w:rsidRPr="008F4397">
        <w:t>nformation</w:t>
      </w:r>
      <w:r w:rsidR="00D93FB8" w:rsidRPr="008F4397">
        <w:t xml:space="preserve">al digital sign boards around the property and the website to </w:t>
      </w:r>
      <w:r w:rsidRPr="008F4397">
        <w:t xml:space="preserve">educate the public on </w:t>
      </w:r>
      <w:r w:rsidR="00D93FB8" w:rsidRPr="008F4397">
        <w:t>the</w:t>
      </w:r>
      <w:r w:rsidR="007F0D2C" w:rsidRPr="008F4397">
        <w:t>ir</w:t>
      </w:r>
      <w:r w:rsidR="00D93FB8" w:rsidRPr="008F4397">
        <w:t xml:space="preserve"> sustainable features</w:t>
      </w:r>
      <w:r w:rsidR="007F0D2C" w:rsidRPr="008F4397">
        <w:t>.</w:t>
      </w:r>
      <w:r w:rsidR="00DA0F81" w:rsidRPr="008F4397">
        <w:t xml:space="preserve"> </w:t>
      </w:r>
      <w:r w:rsidR="00A15DC9" w:rsidRPr="008F4397">
        <w:t xml:space="preserve"> </w:t>
      </w:r>
      <w:r w:rsidR="007F0D2C" w:rsidRPr="008F4397">
        <w:t xml:space="preserve">Remarkably the large tourist attraction remained open during this large expansion. </w:t>
      </w:r>
    </w:p>
    <w:p w:rsidR="00A15DC9" w:rsidRPr="008F4397" w:rsidRDefault="00A15DC9" w:rsidP="00A15DC9">
      <w:pPr>
        <w:spacing w:after="0"/>
      </w:pPr>
    </w:p>
    <w:p w:rsidR="00F605C4" w:rsidRPr="008F4397" w:rsidRDefault="00F605C4">
      <w:pPr>
        <w:rPr>
          <w:b/>
        </w:rPr>
      </w:pPr>
      <w:r w:rsidRPr="008F4397">
        <w:rPr>
          <w:b/>
        </w:rPr>
        <w:br w:type="page"/>
      </w:r>
    </w:p>
    <w:p w:rsidR="00623373" w:rsidRPr="008F4397" w:rsidRDefault="00623373">
      <w:r w:rsidRPr="008F4397">
        <w:rPr>
          <w:b/>
        </w:rPr>
        <w:lastRenderedPageBreak/>
        <w:t xml:space="preserve">Winner: </w:t>
      </w:r>
      <w:r w:rsidR="00123081" w:rsidRPr="008F4397">
        <w:rPr>
          <w:b/>
        </w:rPr>
        <w:t>Tennsco Corporation</w:t>
      </w:r>
      <w:r w:rsidRPr="008F4397">
        <w:br/>
        <w:t xml:space="preserve">County: </w:t>
      </w:r>
      <w:r w:rsidR="00123081" w:rsidRPr="008F4397">
        <w:t>Dickson</w:t>
      </w:r>
      <w:r w:rsidRPr="008F4397">
        <w:br/>
        <w:t>Category: Energy and Renewable Resources</w:t>
      </w:r>
    </w:p>
    <w:p w:rsidR="00F605C4" w:rsidRPr="008F4397" w:rsidRDefault="00F605C4" w:rsidP="00027BF9">
      <w:pPr>
        <w:spacing w:after="0"/>
      </w:pPr>
      <w:r w:rsidRPr="008F4397">
        <w:t>Tennsco is the largest manufacturing company in Dickson County, employing over 700 people in eight different facilities</w:t>
      </w:r>
      <w:r w:rsidR="00D45064" w:rsidRPr="008F4397">
        <w:t xml:space="preserve"> spanning 1.6 million square feet</w:t>
      </w:r>
      <w:r w:rsidRPr="008F4397">
        <w:t>.</w:t>
      </w:r>
      <w:r w:rsidR="00DA0F81" w:rsidRPr="008F4397">
        <w:t xml:space="preserve"> </w:t>
      </w:r>
      <w:r w:rsidR="00D45064" w:rsidRPr="008F4397">
        <w:t>The</w:t>
      </w:r>
      <w:r w:rsidR="00264880" w:rsidRPr="008F4397">
        <w:t xml:space="preserve"> compan</w:t>
      </w:r>
      <w:r w:rsidR="00D45064" w:rsidRPr="008F4397">
        <w:t>y</w:t>
      </w:r>
      <w:r w:rsidRPr="008F4397">
        <w:t xml:space="preserve"> manufacture</w:t>
      </w:r>
      <w:r w:rsidR="00264880" w:rsidRPr="008F4397">
        <w:t>s</w:t>
      </w:r>
      <w:r w:rsidRPr="008F4397">
        <w:t xml:space="preserve"> various metal storage</w:t>
      </w:r>
      <w:r w:rsidR="00D45064" w:rsidRPr="008F4397">
        <w:t xml:space="preserve"> and filing</w:t>
      </w:r>
      <w:r w:rsidRPr="008F4397">
        <w:t xml:space="preserve"> products.</w:t>
      </w:r>
      <w:r w:rsidR="00DA0F81" w:rsidRPr="008F4397">
        <w:t xml:space="preserve"> </w:t>
      </w:r>
      <w:r w:rsidR="00264880" w:rsidRPr="008F4397">
        <w:t>Manufacturing at Tennsco involves</w:t>
      </w:r>
      <w:r w:rsidRPr="008F4397">
        <w:t xml:space="preserve"> stamping, forming, welding</w:t>
      </w:r>
      <w:r w:rsidR="005C1E61" w:rsidRPr="008F4397">
        <w:t>,</w:t>
      </w:r>
      <w:r w:rsidRPr="008F4397">
        <w:t xml:space="preserve"> and painting</w:t>
      </w:r>
      <w:r w:rsidR="00264880" w:rsidRPr="008F4397">
        <w:t>, which all</w:t>
      </w:r>
      <w:r w:rsidRPr="008F4397">
        <w:t xml:space="preserve"> require extensive use of electricity, natural gas and water.</w:t>
      </w:r>
      <w:r w:rsidR="00DA0F81" w:rsidRPr="008F4397">
        <w:t xml:space="preserve"> </w:t>
      </w:r>
      <w:r w:rsidR="005C1E61" w:rsidRPr="008F4397">
        <w:t>They</w:t>
      </w:r>
      <w:r w:rsidRPr="008F4397">
        <w:t xml:space="preserve"> strive to be good corporate citizens and an important aspect</w:t>
      </w:r>
      <w:r w:rsidR="00264880" w:rsidRPr="008F4397">
        <w:t xml:space="preserve"> of that commitment is finding</w:t>
      </w:r>
      <w:r w:rsidRPr="008F4397">
        <w:t xml:space="preserve"> ways to reduce </w:t>
      </w:r>
      <w:r w:rsidR="005C1E61" w:rsidRPr="008F4397">
        <w:t>the</w:t>
      </w:r>
      <w:r w:rsidR="00264880" w:rsidRPr="008F4397">
        <w:t xml:space="preserve"> site’s</w:t>
      </w:r>
      <w:r w:rsidRPr="008F4397">
        <w:t xml:space="preserve"> carbon footprint.</w:t>
      </w:r>
      <w:r w:rsidR="00DA0F81" w:rsidRPr="008F4397">
        <w:t xml:space="preserve"> </w:t>
      </w:r>
      <w:r w:rsidRPr="008F4397">
        <w:t xml:space="preserve">In addition to participating in </w:t>
      </w:r>
      <w:r w:rsidR="005C1E61" w:rsidRPr="008F4397">
        <w:t>Tennessee Valley Authority’s (TVA)</w:t>
      </w:r>
      <w:r w:rsidRPr="008F4397">
        <w:t xml:space="preserve"> “Green Power Switch” program since inception, </w:t>
      </w:r>
      <w:r w:rsidR="00264880" w:rsidRPr="008F4397">
        <w:t>the facility ha</w:t>
      </w:r>
      <w:r w:rsidR="00E5435A" w:rsidRPr="008F4397">
        <w:t>s</w:t>
      </w:r>
      <w:r w:rsidR="00264880" w:rsidRPr="008F4397">
        <w:t xml:space="preserve"> constructed </w:t>
      </w:r>
      <w:r w:rsidRPr="008F4397">
        <w:t>four different solar arrays with a capacity of 350 k</w:t>
      </w:r>
      <w:r w:rsidR="002F21FC" w:rsidRPr="008F4397">
        <w:t>Wh</w:t>
      </w:r>
      <w:r w:rsidRPr="008F4397">
        <w:t>.</w:t>
      </w:r>
      <w:r w:rsidR="00DA0F81" w:rsidRPr="008F4397">
        <w:t xml:space="preserve"> </w:t>
      </w:r>
    </w:p>
    <w:p w:rsidR="00F605C4" w:rsidRPr="008F4397" w:rsidRDefault="00F605C4" w:rsidP="00027BF9">
      <w:pPr>
        <w:spacing w:after="0"/>
      </w:pPr>
    </w:p>
    <w:p w:rsidR="00027BF9" w:rsidRPr="008F4397" w:rsidRDefault="005C1E61" w:rsidP="00027BF9">
      <w:pPr>
        <w:overflowPunct w:val="0"/>
        <w:autoSpaceDE w:val="0"/>
        <w:autoSpaceDN w:val="0"/>
        <w:adjustRightInd w:val="0"/>
        <w:spacing w:after="0"/>
        <w:textAlignment w:val="baseline"/>
      </w:pPr>
      <w:r w:rsidRPr="008F4397">
        <w:t xml:space="preserve">In 2018 </w:t>
      </w:r>
      <w:r w:rsidR="00264880" w:rsidRPr="008F4397">
        <w:t xml:space="preserve">Tennsco </w:t>
      </w:r>
      <w:r w:rsidR="00F605C4" w:rsidRPr="008F4397">
        <w:t xml:space="preserve">greatly expanded </w:t>
      </w:r>
      <w:r w:rsidRPr="008F4397">
        <w:t>their</w:t>
      </w:r>
      <w:r w:rsidR="00F605C4" w:rsidRPr="008F4397">
        <w:t xml:space="preserve"> solar electricity generating capacity.</w:t>
      </w:r>
      <w:r w:rsidR="00DA0F81" w:rsidRPr="008F4397">
        <w:t xml:space="preserve"> </w:t>
      </w:r>
      <w:r w:rsidR="00F605C4" w:rsidRPr="008F4397">
        <w:t xml:space="preserve">In cooperation with Dickson Electric Company and </w:t>
      </w:r>
      <w:r w:rsidRPr="008F4397">
        <w:t>TVA</w:t>
      </w:r>
      <w:r w:rsidR="00F605C4" w:rsidRPr="008F4397">
        <w:t xml:space="preserve"> </w:t>
      </w:r>
      <w:r w:rsidRPr="008F4397">
        <w:t>they</w:t>
      </w:r>
      <w:r w:rsidR="00F605C4" w:rsidRPr="008F4397">
        <w:t xml:space="preserve"> signed on </w:t>
      </w:r>
      <w:r w:rsidR="00E5435A" w:rsidRPr="008F4397">
        <w:t xml:space="preserve">to </w:t>
      </w:r>
      <w:r w:rsidR="00F605C4" w:rsidRPr="008F4397">
        <w:t xml:space="preserve">the “Dispersed Power Production” program developed by TVA. </w:t>
      </w:r>
      <w:r w:rsidR="00264880" w:rsidRPr="008F4397">
        <w:t xml:space="preserve">Through </w:t>
      </w:r>
      <w:r w:rsidR="00F605C4" w:rsidRPr="008F4397">
        <w:t xml:space="preserve">this agreement </w:t>
      </w:r>
      <w:r w:rsidRPr="008F4397">
        <w:t>they</w:t>
      </w:r>
      <w:r w:rsidR="00F605C4" w:rsidRPr="008F4397">
        <w:t xml:space="preserve"> purchase</w:t>
      </w:r>
      <w:r w:rsidRPr="008F4397">
        <w:t>d</w:t>
      </w:r>
      <w:r w:rsidR="00F605C4" w:rsidRPr="008F4397">
        <w:t xml:space="preserve"> and installed an additional 794</w:t>
      </w:r>
      <w:r w:rsidR="002D386C" w:rsidRPr="008F4397">
        <w:t xml:space="preserve"> </w:t>
      </w:r>
      <w:r w:rsidR="002F21FC" w:rsidRPr="008F4397">
        <w:t>kWh</w:t>
      </w:r>
      <w:r w:rsidR="00F605C4" w:rsidRPr="008F4397">
        <w:t xml:space="preserve"> of</w:t>
      </w:r>
      <w:r w:rsidRPr="008F4397">
        <w:t xml:space="preserve"> photovoltaic cells on three </w:t>
      </w:r>
      <w:r w:rsidR="00F605C4" w:rsidRPr="008F4397">
        <w:t>facilities</w:t>
      </w:r>
      <w:r w:rsidRPr="008F4397">
        <w:t>.</w:t>
      </w:r>
      <w:r w:rsidR="00F605C4" w:rsidRPr="008F4397">
        <w:t xml:space="preserve"> The benefits of this program reach </w:t>
      </w:r>
      <w:r w:rsidR="00E5435A" w:rsidRPr="008F4397">
        <w:t>beyond</w:t>
      </w:r>
      <w:r w:rsidR="00F605C4" w:rsidRPr="008F4397">
        <w:t xml:space="preserve"> the utility bills of </w:t>
      </w:r>
      <w:proofErr w:type="spellStart"/>
      <w:r w:rsidR="00F605C4" w:rsidRPr="008F4397">
        <w:t>Tennsco</w:t>
      </w:r>
      <w:proofErr w:type="spellEnd"/>
      <w:r w:rsidR="00F605C4" w:rsidRPr="008F4397">
        <w:t xml:space="preserve">. </w:t>
      </w:r>
      <w:r w:rsidR="006F7439" w:rsidRPr="008F4397">
        <w:t>They</w:t>
      </w:r>
      <w:r w:rsidR="00F605C4" w:rsidRPr="008F4397">
        <w:t xml:space="preserve"> now have seven PV systems with a total capacity of 1.15 Mega Watts.</w:t>
      </w:r>
      <w:r w:rsidR="00DA0F81" w:rsidRPr="008F4397">
        <w:t xml:space="preserve"> </w:t>
      </w:r>
      <w:r w:rsidR="00264880" w:rsidRPr="008F4397">
        <w:t xml:space="preserve">In its </w:t>
      </w:r>
      <w:r w:rsidR="006F7439" w:rsidRPr="008F4397">
        <w:t xml:space="preserve">first full month </w:t>
      </w:r>
      <w:r w:rsidR="00F605C4" w:rsidRPr="008F4397">
        <w:t xml:space="preserve">of production </w:t>
      </w:r>
      <w:r w:rsidR="006F7439" w:rsidRPr="008F4397">
        <w:t>the</w:t>
      </w:r>
      <w:r w:rsidR="00264880" w:rsidRPr="008F4397">
        <w:t xml:space="preserve"> solar </w:t>
      </w:r>
      <w:r w:rsidR="009B44F8" w:rsidRPr="008F4397">
        <w:t>system</w:t>
      </w:r>
      <w:r w:rsidR="006F7439" w:rsidRPr="008F4397">
        <w:t xml:space="preserve"> </w:t>
      </w:r>
      <w:r w:rsidR="00F605C4" w:rsidRPr="008F4397">
        <w:t xml:space="preserve">displaced over 112 </w:t>
      </w:r>
      <w:r w:rsidR="002F21FC" w:rsidRPr="008F4397">
        <w:t xml:space="preserve">MWh </w:t>
      </w:r>
      <w:r w:rsidR="00F605C4" w:rsidRPr="008F4397">
        <w:t>of electricity</w:t>
      </w:r>
      <w:r w:rsidR="006F7439" w:rsidRPr="008F4397">
        <w:t xml:space="preserve">, thus saving </w:t>
      </w:r>
      <w:r w:rsidR="00F605C4" w:rsidRPr="008F4397">
        <w:t>67,773 kg of CO2 from being released into the atmosphere every month.</w:t>
      </w:r>
      <w:r w:rsidR="00027BF9" w:rsidRPr="008F4397">
        <w:t xml:space="preserve"> This is equal to</w:t>
      </w:r>
      <w:r w:rsidR="009B44F8" w:rsidRPr="008F4397">
        <w:t xml:space="preserve"> </w:t>
      </w:r>
      <w:r w:rsidR="00027BF9" w:rsidRPr="008F4397">
        <w:t>powering 111.5 average households per year.</w:t>
      </w:r>
    </w:p>
    <w:p w:rsidR="00F605C4" w:rsidRPr="008F4397" w:rsidRDefault="00F605C4" w:rsidP="006F7439">
      <w:pPr>
        <w:spacing w:after="0"/>
      </w:pPr>
    </w:p>
    <w:p w:rsidR="00F4079E" w:rsidRPr="008F4397" w:rsidRDefault="00F4079E" w:rsidP="006F7439">
      <w:pPr>
        <w:spacing w:after="0"/>
      </w:pPr>
      <w:proofErr w:type="spellStart"/>
      <w:r w:rsidRPr="008F4397">
        <w:t>Tennsco</w:t>
      </w:r>
      <w:proofErr w:type="spellEnd"/>
      <w:r w:rsidRPr="008F4397">
        <w:t xml:space="preserve"> has also </w:t>
      </w:r>
      <w:r w:rsidR="009B44F8" w:rsidRPr="008F4397">
        <w:t xml:space="preserve">performed </w:t>
      </w:r>
      <w:r w:rsidRPr="008F4397">
        <w:t xml:space="preserve">LED upgrades to include motion detection controls to the indoor and outdoor lights at various buildings resulting in over 3,101 light bulbs being replaced and </w:t>
      </w:r>
      <w:r w:rsidR="007A7514" w:rsidRPr="008F4397">
        <w:t>incentivized savings</w:t>
      </w:r>
      <w:r w:rsidR="009B44F8" w:rsidRPr="008F4397">
        <w:t xml:space="preserve"> of 501,977 </w:t>
      </w:r>
      <w:r w:rsidR="002D386C" w:rsidRPr="008F4397">
        <w:t>kWh</w:t>
      </w:r>
      <w:r w:rsidR="007A7514" w:rsidRPr="008F4397">
        <w:t>.</w:t>
      </w:r>
      <w:r w:rsidR="005E334B" w:rsidRPr="008F4397">
        <w:t xml:space="preserve"> Two washer system upgrades to their variable frequency drives resulted in over $27,250 in annual energy savings</w:t>
      </w:r>
      <w:r w:rsidR="009B44F8" w:rsidRPr="008F4397">
        <w:t xml:space="preserve">. The facility also </w:t>
      </w:r>
      <w:r w:rsidR="00E5435A" w:rsidRPr="008F4397">
        <w:t>converted</w:t>
      </w:r>
      <w:r w:rsidR="005E334B" w:rsidRPr="008F4397">
        <w:t xml:space="preserve"> all </w:t>
      </w:r>
      <w:r w:rsidR="004D6D3D" w:rsidRPr="008F4397">
        <w:t>183 industrial lift trucks</w:t>
      </w:r>
      <w:r w:rsidR="00E5435A" w:rsidRPr="008F4397">
        <w:t xml:space="preserve"> </w:t>
      </w:r>
      <w:r w:rsidR="004D6D3D" w:rsidRPr="008F4397">
        <w:t xml:space="preserve">from propane to electric and implemented a “Power to Peddle” </w:t>
      </w:r>
      <w:r w:rsidR="008D2AB4">
        <w:t xml:space="preserve">which offsets vehicles travel throughout the compound by providing bikes for staff to use. </w:t>
      </w:r>
      <w:r w:rsidR="004D6D3D" w:rsidRPr="008F4397">
        <w:t xml:space="preserve">Lastly, </w:t>
      </w:r>
      <w:r w:rsidR="00D74922" w:rsidRPr="008F4397">
        <w:t xml:space="preserve">they </w:t>
      </w:r>
      <w:r w:rsidR="00A579A6" w:rsidRPr="008F4397">
        <w:t>transitioned to use of</w:t>
      </w:r>
      <w:r w:rsidR="009B44F8" w:rsidRPr="008F4397">
        <w:t xml:space="preserve"> </w:t>
      </w:r>
      <w:r w:rsidR="00D74922" w:rsidRPr="008F4397">
        <w:t>one 200</w:t>
      </w:r>
      <w:r w:rsidR="009B44F8" w:rsidRPr="008F4397">
        <w:t>-</w:t>
      </w:r>
      <w:r w:rsidR="00D74922" w:rsidRPr="008F4397">
        <w:t>horse powered air compressor instead of two 125</w:t>
      </w:r>
      <w:r w:rsidR="002F21FC" w:rsidRPr="008F4397">
        <w:t>-</w:t>
      </w:r>
      <w:r w:rsidR="00D74922" w:rsidRPr="008F4397">
        <w:t>horse powered air compressor</w:t>
      </w:r>
      <w:r w:rsidR="00A579A6" w:rsidRPr="008F4397">
        <w:t>s</w:t>
      </w:r>
      <w:r w:rsidR="009B44F8" w:rsidRPr="008F4397">
        <w:t xml:space="preserve">, which </w:t>
      </w:r>
      <w:r w:rsidR="00D74922" w:rsidRPr="008F4397">
        <w:t xml:space="preserve">saves the company 150,000 </w:t>
      </w:r>
      <w:r w:rsidR="00191D8C" w:rsidRPr="008F4397">
        <w:t xml:space="preserve">kWh’s </w:t>
      </w:r>
      <w:r w:rsidR="00D74922" w:rsidRPr="008F4397">
        <w:t xml:space="preserve">per year. </w:t>
      </w:r>
    </w:p>
    <w:p w:rsidR="00EF72C6" w:rsidRPr="008F4397" w:rsidRDefault="00EF72C6">
      <w:pPr>
        <w:rPr>
          <w:b/>
        </w:rPr>
      </w:pPr>
      <w:r w:rsidRPr="008F4397">
        <w:rPr>
          <w:b/>
        </w:rPr>
        <w:br w:type="page"/>
      </w:r>
    </w:p>
    <w:p w:rsidR="0062674F" w:rsidRPr="008F4397" w:rsidRDefault="00623373" w:rsidP="00623373">
      <w:r w:rsidRPr="008F4397">
        <w:rPr>
          <w:b/>
        </w:rPr>
        <w:lastRenderedPageBreak/>
        <w:t xml:space="preserve">Winner: </w:t>
      </w:r>
      <w:r w:rsidR="00EF72C6" w:rsidRPr="008F4397">
        <w:rPr>
          <w:b/>
        </w:rPr>
        <w:t>Turnip Green Creative Reuse</w:t>
      </w:r>
      <w:r w:rsidRPr="008F4397">
        <w:br/>
        <w:t xml:space="preserve">County: </w:t>
      </w:r>
      <w:r w:rsidR="00EF72C6" w:rsidRPr="008F4397">
        <w:t>Davidson</w:t>
      </w:r>
      <w:r w:rsidRPr="008F4397">
        <w:t xml:space="preserve"> </w:t>
      </w:r>
      <w:r w:rsidRPr="008F4397">
        <w:br/>
        <w:t xml:space="preserve">Category: </w:t>
      </w:r>
      <w:r w:rsidR="00EF72C6" w:rsidRPr="008F4397">
        <w:t>Environmental Education and Outreach</w:t>
      </w:r>
    </w:p>
    <w:p w:rsidR="005C7FE1" w:rsidRPr="008F4397" w:rsidRDefault="005C7FE1" w:rsidP="005C7FE1">
      <w:pPr>
        <w:spacing w:after="0"/>
      </w:pPr>
      <w:r w:rsidRPr="008F4397">
        <w:t xml:space="preserve">Turnip Green Creative Reuse (TGCR) aims to </w:t>
      </w:r>
      <w:r w:rsidR="00C575B3" w:rsidRPr="008F4397">
        <w:t xml:space="preserve">reduce waste and </w:t>
      </w:r>
      <w:r w:rsidRPr="008F4397">
        <w:t>divert materials from the landfill</w:t>
      </w:r>
      <w:r w:rsidR="00191D8C" w:rsidRPr="008F4397">
        <w:t>, to be put to the highest best use.</w:t>
      </w:r>
      <w:r w:rsidRPr="008F4397">
        <w:t xml:space="preserve"> TGCR does this in many ways, including facilitating waste reduction education programs that educate and empower</w:t>
      </w:r>
      <w:r w:rsidR="009B44F8" w:rsidRPr="008F4397">
        <w:t>ing</w:t>
      </w:r>
      <w:r w:rsidRPr="008F4397">
        <w:t xml:space="preserve"> tens of thousands of Tennesseans to be environmental stewards. Programs are taught through hands-on art projects using 100%</w:t>
      </w:r>
      <w:r w:rsidR="009B44F8" w:rsidRPr="008F4397">
        <w:t>,</w:t>
      </w:r>
      <w:r w:rsidRPr="008F4397">
        <w:t xml:space="preserve"> second-hand</w:t>
      </w:r>
      <w:r w:rsidR="009B44F8" w:rsidRPr="008F4397">
        <w:t>,</w:t>
      </w:r>
      <w:r w:rsidRPr="008F4397">
        <w:t xml:space="preserve"> environmentally sourced </w:t>
      </w:r>
      <w:r w:rsidR="009B44F8" w:rsidRPr="008F4397">
        <w:t xml:space="preserve">supplies </w:t>
      </w:r>
      <w:r w:rsidRPr="008F4397">
        <w:t xml:space="preserve">from </w:t>
      </w:r>
      <w:r w:rsidR="009B44F8" w:rsidRPr="008F4397">
        <w:t xml:space="preserve">the organization’s </w:t>
      </w:r>
      <w:r w:rsidRPr="008F4397">
        <w:t xml:space="preserve">creative reuse shopping and donation center. </w:t>
      </w:r>
      <w:r w:rsidR="005737B2" w:rsidRPr="008F4397">
        <w:t>Since 2014</w:t>
      </w:r>
      <w:r w:rsidRPr="008F4397">
        <w:t>, TGCR has diverted nearly half a million pounds from the landfill, and in 2018 alone, educated nearly 40,000 residents on waste reduction practices.</w:t>
      </w:r>
    </w:p>
    <w:p w:rsidR="005C7FE1" w:rsidRPr="008F4397" w:rsidRDefault="005C7FE1" w:rsidP="005C7FE1">
      <w:pPr>
        <w:spacing w:after="0"/>
      </w:pPr>
    </w:p>
    <w:p w:rsidR="00F605C4" w:rsidRPr="008F4397" w:rsidRDefault="00F605C4" w:rsidP="00F605C4">
      <w:pPr>
        <w:spacing w:after="0"/>
      </w:pPr>
      <w:r w:rsidRPr="008F4397">
        <w:t xml:space="preserve">Environmental education </w:t>
      </w:r>
      <w:r w:rsidR="00C575B3" w:rsidRPr="008F4397">
        <w:t xml:space="preserve">and </w:t>
      </w:r>
      <w:r w:rsidRPr="008F4397">
        <w:t xml:space="preserve">outreach is TGCR’s largest area of service and has had a tremendous impact on the Nashville community. These programs are designed to educate community members on effective ways to </w:t>
      </w:r>
      <w:r w:rsidR="00C575B3" w:rsidRPr="008F4397">
        <w:t xml:space="preserve">eliminate </w:t>
      </w:r>
      <w:r w:rsidRPr="008F4397">
        <w:t xml:space="preserve">waste through reducing, reusing, recycling, composting, and picking up litter. Programs are modified to meet the needs of all ages and abilities and include audiences such as local schools, homeschool groups, neighborhood associations, businesses, corporations, faith-based groups, summer camps, and more. </w:t>
      </w:r>
    </w:p>
    <w:p w:rsidR="00F605C4" w:rsidRPr="008F4397" w:rsidRDefault="00F605C4" w:rsidP="00F605C4">
      <w:pPr>
        <w:spacing w:after="0"/>
      </w:pPr>
    </w:p>
    <w:p w:rsidR="00F605C4" w:rsidRPr="008F4397" w:rsidRDefault="00F605C4" w:rsidP="00F605C4">
      <w:pPr>
        <w:spacing w:after="0"/>
      </w:pPr>
      <w:r w:rsidRPr="008F4397">
        <w:t xml:space="preserve">In 2018, TGCR’s staff of 65 educators facilitated 962 waste reduction education programs in Davidson County to over 34,000 residents. </w:t>
      </w:r>
      <w:r w:rsidR="00C575B3" w:rsidRPr="008F4397">
        <w:t>T</w:t>
      </w:r>
      <w:r w:rsidRPr="008F4397">
        <w:t xml:space="preserve">he </w:t>
      </w:r>
      <w:r w:rsidR="00C575B3" w:rsidRPr="008F4397">
        <w:t xml:space="preserve">materials </w:t>
      </w:r>
      <w:r w:rsidRPr="008F4397">
        <w:t>donation center, which</w:t>
      </w:r>
      <w:r w:rsidR="00C575B3" w:rsidRPr="008F4397">
        <w:t xml:space="preserve"> sources materials for TGCR’s programs,</w:t>
      </w:r>
      <w:r w:rsidRPr="008F4397">
        <w:t xml:space="preserve"> collects over 100 pounds of hard-to-recycle materials every hour they are open.</w:t>
      </w:r>
      <w:r w:rsidR="00DA0F81" w:rsidRPr="008F4397">
        <w:t xml:space="preserve"> </w:t>
      </w:r>
      <w:r w:rsidRPr="008F4397">
        <w:t xml:space="preserve">Target audiences for the waste reduction programs are local schools in underserved communities. TGCR’s 65 environmental educators have facilitated waste reduction programs in 60 Metro Nashville Public Schools (MNPS), and have completed “recycling takeovers” in 11 schools. This consists of educating every student and staff member on the proper rules of recycling, distributing recycling bins to every classroom, and launching a green team of students who are in charge of implementing recycling practices in their schools. </w:t>
      </w:r>
    </w:p>
    <w:p w:rsidR="00EF72C6" w:rsidRPr="008F4397" w:rsidRDefault="00EF72C6">
      <w:pPr>
        <w:rPr>
          <w:b/>
        </w:rPr>
      </w:pPr>
      <w:r w:rsidRPr="008F4397">
        <w:rPr>
          <w:b/>
        </w:rPr>
        <w:br w:type="page"/>
      </w:r>
    </w:p>
    <w:p w:rsidR="00623373" w:rsidRPr="008F4397" w:rsidRDefault="00623373" w:rsidP="00623373">
      <w:r w:rsidRPr="008F4397">
        <w:rPr>
          <w:b/>
        </w:rPr>
        <w:lastRenderedPageBreak/>
        <w:t xml:space="preserve">Winner: </w:t>
      </w:r>
      <w:r w:rsidR="00EF72C6" w:rsidRPr="008F4397">
        <w:rPr>
          <w:b/>
        </w:rPr>
        <w:t>Urban Green Lab</w:t>
      </w:r>
      <w:r w:rsidRPr="008F4397">
        <w:br/>
        <w:t xml:space="preserve">County: </w:t>
      </w:r>
      <w:r w:rsidR="00EF72C6" w:rsidRPr="008F4397">
        <w:t>Davidson</w:t>
      </w:r>
      <w:r w:rsidRPr="008F4397">
        <w:br/>
        <w:t xml:space="preserve">Category: </w:t>
      </w:r>
      <w:r w:rsidR="00EF72C6" w:rsidRPr="008F4397">
        <w:t>Environmental Education and Outreach (Schools)</w:t>
      </w:r>
    </w:p>
    <w:p w:rsidR="0073151C" w:rsidRPr="008F4397" w:rsidRDefault="0073151C" w:rsidP="00F605C4">
      <w:pPr>
        <w:spacing w:after="0"/>
      </w:pPr>
      <w:r w:rsidRPr="008F4397">
        <w:t>Urban Green Lab</w:t>
      </w:r>
      <w:r w:rsidR="00F605C4" w:rsidRPr="008F4397">
        <w:t xml:space="preserve"> has created Tennessee’s first-ever stan</w:t>
      </w:r>
      <w:r w:rsidRPr="008F4397">
        <w:t xml:space="preserve">dards </w:t>
      </w:r>
      <w:r w:rsidR="00F605C4" w:rsidRPr="008F4397">
        <w:t xml:space="preserve">aligned K-12 curriculum on waste prevention and the basics of sustainable living. </w:t>
      </w:r>
      <w:r w:rsidRPr="008F4397">
        <w:t xml:space="preserve">Urban Green Lab </w:t>
      </w:r>
      <w:r w:rsidR="00F605C4" w:rsidRPr="008F4397">
        <w:t>transform</w:t>
      </w:r>
      <w:r w:rsidRPr="008F4397">
        <w:t>s</w:t>
      </w:r>
      <w:r w:rsidR="00F605C4" w:rsidRPr="008F4397">
        <w:t xml:space="preserve"> spaces into “labs” of learning </w:t>
      </w:r>
      <w:r w:rsidR="009B44F8" w:rsidRPr="008F4397">
        <w:t xml:space="preserve">to teach about </w:t>
      </w:r>
      <w:r w:rsidR="00F605C4" w:rsidRPr="008F4397">
        <w:t>liv</w:t>
      </w:r>
      <w:r w:rsidR="00D3768D" w:rsidRPr="008F4397">
        <w:t>ing</w:t>
      </w:r>
      <w:r w:rsidR="00F605C4" w:rsidRPr="008F4397">
        <w:t xml:space="preserve"> sustainably, with a systemic focus on preventing waste in </w:t>
      </w:r>
      <w:r w:rsidRPr="008F4397">
        <w:t>Tennessee’s</w:t>
      </w:r>
      <w:r w:rsidR="00F605C4" w:rsidRPr="008F4397">
        <w:t xml:space="preserve"> classrooms, households, and workplaces. </w:t>
      </w:r>
      <w:r w:rsidR="00F73CEF">
        <w:rPr>
          <w:rFonts w:eastAsia="Times New Roman"/>
          <w:color w:val="000000"/>
        </w:rPr>
        <w:t>When Urban Green Lab launched its school-based work, the organization taught MNPS students directly. By working one-on-one with students, UGL learned firsthand the challenges and opportunities of sustainability education in schools. These insights led the organization to</w:t>
      </w:r>
      <w:bookmarkStart w:id="0" w:name="_GoBack"/>
      <w:bookmarkEnd w:id="0"/>
      <w:r w:rsidR="00F73CEF">
        <w:rPr>
          <w:rFonts w:eastAsia="Times New Roman"/>
          <w:color w:val="000000"/>
        </w:rPr>
        <w:t xml:space="preserve"> adopt a train-the-trainer method, saving valuable resour</w:t>
      </w:r>
      <w:r w:rsidR="00F73CEF">
        <w:rPr>
          <w:rFonts w:eastAsia="Times New Roman"/>
          <w:color w:val="000000"/>
        </w:rPr>
        <w:t>ces and reaching more students.</w:t>
      </w:r>
      <w:r w:rsidR="00F605C4" w:rsidRPr="008F4397">
        <w:t xml:space="preserve"> </w:t>
      </w:r>
      <w:r w:rsidRPr="008F4397">
        <w:t>To change that, Urban Green Lab teamed up with Vanderbilt University’s Peabody College of Education, the Tennessee Departmen</w:t>
      </w:r>
      <w:r w:rsidR="00BC714E" w:rsidRPr="008F4397">
        <w:t>t of Environment &amp; Conservation</w:t>
      </w:r>
      <w:r w:rsidRPr="008F4397">
        <w:t xml:space="preserve">, the Tennessee Department of </w:t>
      </w:r>
      <w:r w:rsidR="00BC714E" w:rsidRPr="008F4397">
        <w:t>Transportation</w:t>
      </w:r>
      <w:r w:rsidRPr="008F4397">
        <w:t xml:space="preserve">, MNPS, Kroger, the Memorial Foundation, NRDC, and others to create </w:t>
      </w:r>
      <w:r w:rsidR="00D3768D" w:rsidRPr="008F4397">
        <w:t>“</w:t>
      </w:r>
      <w:r w:rsidR="00BC714E" w:rsidRPr="008F4397">
        <w:t>Sustainable Classrooms</w:t>
      </w:r>
      <w:r w:rsidR="00D3768D" w:rsidRPr="008F4397">
        <w:t>”,</w:t>
      </w:r>
      <w:r w:rsidR="00BC714E" w:rsidRPr="008F4397">
        <w:t xml:space="preserve"> </w:t>
      </w:r>
      <w:r w:rsidRPr="008F4397">
        <w:t>Tennessee’s first sustainable living curriculum.</w:t>
      </w:r>
    </w:p>
    <w:p w:rsidR="00F605C4" w:rsidRPr="008F4397" w:rsidRDefault="00F605C4" w:rsidP="00F605C4">
      <w:pPr>
        <w:spacing w:after="0"/>
      </w:pPr>
    </w:p>
    <w:p w:rsidR="00575E82" w:rsidRPr="008F4397" w:rsidRDefault="00575E82" w:rsidP="00575E82">
      <w:pPr>
        <w:spacing w:after="0"/>
      </w:pPr>
      <w:r w:rsidRPr="008F4397">
        <w:t>As part of Sustainable Classrooms, Urban Green Lab created a curriculum with seven lessons tied to student-led household waste audits known as “Home Investigations.” A</w:t>
      </w:r>
      <w:r w:rsidR="00D3768D" w:rsidRPr="008F4397">
        <w:t xml:space="preserve">udits </w:t>
      </w:r>
      <w:r w:rsidRPr="008F4397">
        <w:t>a</w:t>
      </w:r>
      <w:r w:rsidR="00D3768D" w:rsidRPr="008F4397">
        <w:t>re</w:t>
      </w:r>
      <w:r w:rsidRPr="008F4397">
        <w:t xml:space="preserve"> take-home assignment</w:t>
      </w:r>
      <w:r w:rsidR="006B55C8" w:rsidRPr="008F4397">
        <w:t>s</w:t>
      </w:r>
      <w:r w:rsidR="00D3768D" w:rsidRPr="008F4397">
        <w:t xml:space="preserve"> where</w:t>
      </w:r>
      <w:r w:rsidRPr="008F4397">
        <w:t xml:space="preserve"> students use investigations to measure wasted resources in their own homes, like food, energy, water, and plastic. Investigations empower youth, build personal responsibility, and expose family members to the learning process to a vital crossroads of project based learning, social emotional learning, service learning, civic leadership, and the four “Cs” of STEAM education. In addition to teacher professional development credit, Urban Green Lab partners with the U.S. Green Building Council in Washington, DC, to certify </w:t>
      </w:r>
      <w:r w:rsidR="00D3768D" w:rsidRPr="008F4397">
        <w:t xml:space="preserve">participating </w:t>
      </w:r>
      <w:r w:rsidRPr="008F4397">
        <w:t>K-12 teachers as Green Classrooms Professionals, helping advance their careers, credibility, and confidence to teach sustainable living.</w:t>
      </w:r>
    </w:p>
    <w:p w:rsidR="00575E82" w:rsidRPr="008F4397" w:rsidRDefault="00575E82" w:rsidP="00F605C4">
      <w:pPr>
        <w:spacing w:after="0"/>
      </w:pPr>
    </w:p>
    <w:p w:rsidR="004858C1" w:rsidRPr="00814D30" w:rsidRDefault="004858C1" w:rsidP="00F605C4">
      <w:pPr>
        <w:spacing w:after="0"/>
      </w:pPr>
      <w:r w:rsidRPr="008F4397">
        <w:t xml:space="preserve">The </w:t>
      </w:r>
      <w:r w:rsidR="00F605C4" w:rsidRPr="008F4397">
        <w:t>Sustainable Classrooms</w:t>
      </w:r>
      <w:r w:rsidR="00F71A9F" w:rsidRPr="008F4397">
        <w:t xml:space="preserve"> program</w:t>
      </w:r>
      <w:r w:rsidR="00F605C4" w:rsidRPr="008F4397">
        <w:t xml:space="preserve"> certifies and trains K-12 public school teachers how to integrate sustainable living strategies into their classrooms year-round and empowers students to deliver those messages in their own households.</w:t>
      </w:r>
      <w:r w:rsidR="00DA0F81" w:rsidRPr="008F4397">
        <w:t xml:space="preserve"> </w:t>
      </w:r>
      <w:r w:rsidR="00F605C4" w:rsidRPr="008F4397">
        <w:t xml:space="preserve">Sustainable Classrooms allows Urban Green Lab to reach more students over time by training teachers (rather than students one-by-one) to be career-long educators, innovators, and passionate advocates for sustainable living within school communities. </w:t>
      </w:r>
      <w:r w:rsidRPr="008F4397">
        <w:t>For</w:t>
      </w:r>
      <w:r w:rsidR="00F605C4" w:rsidRPr="008F4397">
        <w:t xml:space="preserve"> every teacher trained, Urban Green Lab reaches 150 students per </w:t>
      </w:r>
      <w:r w:rsidR="00127E10" w:rsidRPr="008F4397">
        <w:t>year</w:t>
      </w:r>
      <w:r w:rsidR="00F605C4" w:rsidRPr="008F4397">
        <w:t xml:space="preserve"> or 750 students over an average five-year teaching career.</w:t>
      </w:r>
      <w:r w:rsidR="00F605C4" w:rsidRPr="00814D30">
        <w:t xml:space="preserve"> </w:t>
      </w:r>
    </w:p>
    <w:p w:rsidR="004858C1" w:rsidRPr="00814D30" w:rsidRDefault="004858C1" w:rsidP="00F605C4">
      <w:pPr>
        <w:spacing w:after="0"/>
      </w:pPr>
    </w:p>
    <w:p w:rsidR="00190993" w:rsidRDefault="00190993">
      <w:r>
        <w:br w:type="page"/>
      </w:r>
    </w:p>
    <w:p w:rsidR="00E167A6" w:rsidRDefault="00E167A6" w:rsidP="00E167A6">
      <w:r>
        <w:rPr>
          <w:b/>
          <w:bCs/>
        </w:rPr>
        <w:lastRenderedPageBreak/>
        <w:t>Winner: Belmont University</w:t>
      </w:r>
      <w:r>
        <w:rPr>
          <w:b/>
          <w:bCs/>
        </w:rPr>
        <w:br/>
      </w:r>
      <w:r>
        <w:t>County: Davidson</w:t>
      </w:r>
      <w:r>
        <w:br/>
        <w:t>Category: Pursuit of Excellence</w:t>
      </w:r>
    </w:p>
    <w:p w:rsidR="00E167A6" w:rsidRDefault="00E167A6" w:rsidP="00E167A6">
      <w:r>
        <w:t>Belmont University sits on 75 immaculate acres in southeast Nashville, near 16</w:t>
      </w:r>
      <w:r>
        <w:rPr>
          <w:vertAlign w:val="superscript"/>
        </w:rPr>
        <w:t>th</w:t>
      </w:r>
      <w:r>
        <w:t xml:space="preserve"> Avenue South and Wedgewood Avenue. The University has taken the initiative and made major commitments to make the campus as sustainable as possible. The University was the past 2016 Building Green and 2017 Sustainable Performance Governor’s Environmental Stewardship Award winner. </w:t>
      </w:r>
    </w:p>
    <w:p w:rsidR="00E167A6" w:rsidRDefault="00E167A6" w:rsidP="00E167A6">
      <w:r>
        <w:t xml:space="preserve">Since winning GESA awards in 2016 and 2017, the University has continued to make sustainability a significant focus through education and service learning, sustainable construction projects, energy efficiency retrofits, and the installation of a 250 kW photovoltaic solar array on the Curb Event Center. </w:t>
      </w:r>
    </w:p>
    <w:p w:rsidR="00E167A6" w:rsidRDefault="00E167A6" w:rsidP="00E167A6">
      <w:pPr>
        <w:autoSpaceDE w:val="0"/>
        <w:autoSpaceDN w:val="0"/>
      </w:pPr>
      <w:r>
        <w:t xml:space="preserve">Belmont recently completed construction of a 243,000 square foot building on campus making it the 4th LEED certified building. Most existing buildings have been upgraded to LED lighting and web-based controls installed throughout, which utilize stand-a-lone sensors to turn lights on/off automatically. Many of Belmont’s parking garages were designed to be underground in order to avoid contributing to the urban heat island effect in the area, while also preserving green space around campus. </w:t>
      </w:r>
    </w:p>
    <w:p w:rsidR="00E167A6" w:rsidRDefault="00E167A6" w:rsidP="00E167A6">
      <w:pPr>
        <w:shd w:val="clear" w:color="auto" w:fill="FFFFFF"/>
      </w:pPr>
      <w:r>
        <w:t xml:space="preserve">Fourteen green roofs across five buildings serve as gardens for native plant and bug species, including two honey bee hives, lawn and green spaces, and serve as outdoor laboratories for biology and environment science research. The University is designated as an arboretum featuring over 100 species of trees and shrubs as well as being recognized as a Tree Campus USA by the Arbor Foundation. They have planted specimens of the American Chestnut Tree on campus to help restore the endangered species. </w:t>
      </w:r>
    </w:p>
    <w:p w:rsidR="00E167A6" w:rsidRDefault="00E167A6" w:rsidP="00E167A6">
      <w:r>
        <w:t xml:space="preserve">Belmont continues to achieve excellence by incorporating sustainability into every new and old building and through student education and engagement. </w:t>
      </w:r>
    </w:p>
    <w:p w:rsidR="00190993" w:rsidRPr="00814D30" w:rsidRDefault="00190993" w:rsidP="00E167A6">
      <w:pPr>
        <w:spacing w:after="0"/>
      </w:pPr>
    </w:p>
    <w:sectPr w:rsidR="00190993" w:rsidRPr="00814D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EE" w:rsidRDefault="00E54FEE" w:rsidP="00EF72C6">
      <w:pPr>
        <w:spacing w:after="0"/>
      </w:pPr>
      <w:r>
        <w:separator/>
      </w:r>
    </w:p>
  </w:endnote>
  <w:endnote w:type="continuationSeparator" w:id="0">
    <w:p w:rsidR="00E54FEE" w:rsidRDefault="00E54FEE" w:rsidP="00EF7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EE" w:rsidRDefault="00E54FEE" w:rsidP="00EF72C6">
      <w:pPr>
        <w:spacing w:after="0"/>
      </w:pPr>
      <w:r>
        <w:separator/>
      </w:r>
    </w:p>
  </w:footnote>
  <w:footnote w:type="continuationSeparator" w:id="0">
    <w:p w:rsidR="00E54FEE" w:rsidRDefault="00E54FEE" w:rsidP="00EF72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C6" w:rsidRPr="00EF72C6" w:rsidRDefault="00EF72C6" w:rsidP="00EF72C6">
    <w:pPr>
      <w:pStyle w:val="Header"/>
      <w:jc w:val="center"/>
      <w:rPr>
        <w:b/>
        <w:sz w:val="24"/>
      </w:rPr>
    </w:pPr>
    <w:r w:rsidRPr="00EF72C6">
      <w:rPr>
        <w:b/>
        <w:sz w:val="24"/>
      </w:rPr>
      <w:t>2019 Governor’s Environmental Stewardship Award Winners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EA0"/>
    <w:multiLevelType w:val="hybridMultilevel"/>
    <w:tmpl w:val="28E659F8"/>
    <w:lvl w:ilvl="0" w:tplc="0FACBE50">
      <w:start w:val="1"/>
      <w:numFmt w:val="bullet"/>
      <w:lvlText w:val="•"/>
      <w:lvlJc w:val="left"/>
      <w:pPr>
        <w:tabs>
          <w:tab w:val="num" w:pos="720"/>
        </w:tabs>
        <w:ind w:left="720" w:hanging="360"/>
      </w:pPr>
      <w:rPr>
        <w:rFonts w:ascii="Arial" w:hAnsi="Arial" w:hint="default"/>
      </w:rPr>
    </w:lvl>
    <w:lvl w:ilvl="1" w:tplc="8CC87DFA">
      <w:start w:val="1055"/>
      <w:numFmt w:val="bullet"/>
      <w:lvlText w:val="–"/>
      <w:lvlJc w:val="left"/>
      <w:pPr>
        <w:tabs>
          <w:tab w:val="num" w:pos="1440"/>
        </w:tabs>
        <w:ind w:left="1440" w:hanging="360"/>
      </w:pPr>
      <w:rPr>
        <w:rFonts w:ascii="Arial" w:hAnsi="Arial" w:hint="default"/>
      </w:rPr>
    </w:lvl>
    <w:lvl w:ilvl="2" w:tplc="84A04C02" w:tentative="1">
      <w:start w:val="1"/>
      <w:numFmt w:val="bullet"/>
      <w:lvlText w:val="•"/>
      <w:lvlJc w:val="left"/>
      <w:pPr>
        <w:tabs>
          <w:tab w:val="num" w:pos="2160"/>
        </w:tabs>
        <w:ind w:left="2160" w:hanging="360"/>
      </w:pPr>
      <w:rPr>
        <w:rFonts w:ascii="Arial" w:hAnsi="Arial" w:hint="default"/>
      </w:rPr>
    </w:lvl>
    <w:lvl w:ilvl="3" w:tplc="6122B020" w:tentative="1">
      <w:start w:val="1"/>
      <w:numFmt w:val="bullet"/>
      <w:lvlText w:val="•"/>
      <w:lvlJc w:val="left"/>
      <w:pPr>
        <w:tabs>
          <w:tab w:val="num" w:pos="2880"/>
        </w:tabs>
        <w:ind w:left="2880" w:hanging="360"/>
      </w:pPr>
      <w:rPr>
        <w:rFonts w:ascii="Arial" w:hAnsi="Arial" w:hint="default"/>
      </w:rPr>
    </w:lvl>
    <w:lvl w:ilvl="4" w:tplc="65FE47F4" w:tentative="1">
      <w:start w:val="1"/>
      <w:numFmt w:val="bullet"/>
      <w:lvlText w:val="•"/>
      <w:lvlJc w:val="left"/>
      <w:pPr>
        <w:tabs>
          <w:tab w:val="num" w:pos="3600"/>
        </w:tabs>
        <w:ind w:left="3600" w:hanging="360"/>
      </w:pPr>
      <w:rPr>
        <w:rFonts w:ascii="Arial" w:hAnsi="Arial" w:hint="default"/>
      </w:rPr>
    </w:lvl>
    <w:lvl w:ilvl="5" w:tplc="BB00900A" w:tentative="1">
      <w:start w:val="1"/>
      <w:numFmt w:val="bullet"/>
      <w:lvlText w:val="•"/>
      <w:lvlJc w:val="left"/>
      <w:pPr>
        <w:tabs>
          <w:tab w:val="num" w:pos="4320"/>
        </w:tabs>
        <w:ind w:left="4320" w:hanging="360"/>
      </w:pPr>
      <w:rPr>
        <w:rFonts w:ascii="Arial" w:hAnsi="Arial" w:hint="default"/>
      </w:rPr>
    </w:lvl>
    <w:lvl w:ilvl="6" w:tplc="509A9D88" w:tentative="1">
      <w:start w:val="1"/>
      <w:numFmt w:val="bullet"/>
      <w:lvlText w:val="•"/>
      <w:lvlJc w:val="left"/>
      <w:pPr>
        <w:tabs>
          <w:tab w:val="num" w:pos="5040"/>
        </w:tabs>
        <w:ind w:left="5040" w:hanging="360"/>
      </w:pPr>
      <w:rPr>
        <w:rFonts w:ascii="Arial" w:hAnsi="Arial" w:hint="default"/>
      </w:rPr>
    </w:lvl>
    <w:lvl w:ilvl="7" w:tplc="0A801666" w:tentative="1">
      <w:start w:val="1"/>
      <w:numFmt w:val="bullet"/>
      <w:lvlText w:val="•"/>
      <w:lvlJc w:val="left"/>
      <w:pPr>
        <w:tabs>
          <w:tab w:val="num" w:pos="5760"/>
        </w:tabs>
        <w:ind w:left="5760" w:hanging="360"/>
      </w:pPr>
      <w:rPr>
        <w:rFonts w:ascii="Arial" w:hAnsi="Arial" w:hint="default"/>
      </w:rPr>
    </w:lvl>
    <w:lvl w:ilvl="8" w:tplc="C46CE012" w:tentative="1">
      <w:start w:val="1"/>
      <w:numFmt w:val="bullet"/>
      <w:lvlText w:val="•"/>
      <w:lvlJc w:val="left"/>
      <w:pPr>
        <w:tabs>
          <w:tab w:val="num" w:pos="6480"/>
        </w:tabs>
        <w:ind w:left="6480" w:hanging="360"/>
      </w:pPr>
      <w:rPr>
        <w:rFonts w:ascii="Arial" w:hAnsi="Arial" w:hint="default"/>
      </w:rPr>
    </w:lvl>
  </w:abstractNum>
  <w:abstractNum w:abstractNumId="1">
    <w:nsid w:val="17FC540F"/>
    <w:multiLevelType w:val="hybridMultilevel"/>
    <w:tmpl w:val="140EE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FC2E63"/>
    <w:multiLevelType w:val="multilevel"/>
    <w:tmpl w:val="38DCD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C9C200F"/>
    <w:multiLevelType w:val="hybridMultilevel"/>
    <w:tmpl w:val="11E2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8E485B"/>
    <w:multiLevelType w:val="hybridMultilevel"/>
    <w:tmpl w:val="2508F4A6"/>
    <w:lvl w:ilvl="0" w:tplc="427ABE10">
      <w:start w:val="1"/>
      <w:numFmt w:val="bullet"/>
      <w:lvlText w:val="•"/>
      <w:lvlJc w:val="left"/>
      <w:pPr>
        <w:tabs>
          <w:tab w:val="num" w:pos="720"/>
        </w:tabs>
        <w:ind w:left="720" w:hanging="360"/>
      </w:pPr>
      <w:rPr>
        <w:rFonts w:ascii="Arial" w:hAnsi="Arial" w:hint="default"/>
      </w:rPr>
    </w:lvl>
    <w:lvl w:ilvl="1" w:tplc="EF74BF56" w:tentative="1">
      <w:start w:val="1"/>
      <w:numFmt w:val="bullet"/>
      <w:lvlText w:val="•"/>
      <w:lvlJc w:val="left"/>
      <w:pPr>
        <w:tabs>
          <w:tab w:val="num" w:pos="1440"/>
        </w:tabs>
        <w:ind w:left="1440" w:hanging="360"/>
      </w:pPr>
      <w:rPr>
        <w:rFonts w:ascii="Arial" w:hAnsi="Arial" w:hint="default"/>
      </w:rPr>
    </w:lvl>
    <w:lvl w:ilvl="2" w:tplc="F68295AE" w:tentative="1">
      <w:start w:val="1"/>
      <w:numFmt w:val="bullet"/>
      <w:lvlText w:val="•"/>
      <w:lvlJc w:val="left"/>
      <w:pPr>
        <w:tabs>
          <w:tab w:val="num" w:pos="2160"/>
        </w:tabs>
        <w:ind w:left="2160" w:hanging="360"/>
      </w:pPr>
      <w:rPr>
        <w:rFonts w:ascii="Arial" w:hAnsi="Arial" w:hint="default"/>
      </w:rPr>
    </w:lvl>
    <w:lvl w:ilvl="3" w:tplc="C680B062" w:tentative="1">
      <w:start w:val="1"/>
      <w:numFmt w:val="bullet"/>
      <w:lvlText w:val="•"/>
      <w:lvlJc w:val="left"/>
      <w:pPr>
        <w:tabs>
          <w:tab w:val="num" w:pos="2880"/>
        </w:tabs>
        <w:ind w:left="2880" w:hanging="360"/>
      </w:pPr>
      <w:rPr>
        <w:rFonts w:ascii="Arial" w:hAnsi="Arial" w:hint="default"/>
      </w:rPr>
    </w:lvl>
    <w:lvl w:ilvl="4" w:tplc="496C1386" w:tentative="1">
      <w:start w:val="1"/>
      <w:numFmt w:val="bullet"/>
      <w:lvlText w:val="•"/>
      <w:lvlJc w:val="left"/>
      <w:pPr>
        <w:tabs>
          <w:tab w:val="num" w:pos="3600"/>
        </w:tabs>
        <w:ind w:left="3600" w:hanging="360"/>
      </w:pPr>
      <w:rPr>
        <w:rFonts w:ascii="Arial" w:hAnsi="Arial" w:hint="default"/>
      </w:rPr>
    </w:lvl>
    <w:lvl w:ilvl="5" w:tplc="6AD4CA62" w:tentative="1">
      <w:start w:val="1"/>
      <w:numFmt w:val="bullet"/>
      <w:lvlText w:val="•"/>
      <w:lvlJc w:val="left"/>
      <w:pPr>
        <w:tabs>
          <w:tab w:val="num" w:pos="4320"/>
        </w:tabs>
        <w:ind w:left="4320" w:hanging="360"/>
      </w:pPr>
      <w:rPr>
        <w:rFonts w:ascii="Arial" w:hAnsi="Arial" w:hint="default"/>
      </w:rPr>
    </w:lvl>
    <w:lvl w:ilvl="6" w:tplc="8D462C24" w:tentative="1">
      <w:start w:val="1"/>
      <w:numFmt w:val="bullet"/>
      <w:lvlText w:val="•"/>
      <w:lvlJc w:val="left"/>
      <w:pPr>
        <w:tabs>
          <w:tab w:val="num" w:pos="5040"/>
        </w:tabs>
        <w:ind w:left="5040" w:hanging="360"/>
      </w:pPr>
      <w:rPr>
        <w:rFonts w:ascii="Arial" w:hAnsi="Arial" w:hint="default"/>
      </w:rPr>
    </w:lvl>
    <w:lvl w:ilvl="7" w:tplc="A608F832" w:tentative="1">
      <w:start w:val="1"/>
      <w:numFmt w:val="bullet"/>
      <w:lvlText w:val="•"/>
      <w:lvlJc w:val="left"/>
      <w:pPr>
        <w:tabs>
          <w:tab w:val="num" w:pos="5760"/>
        </w:tabs>
        <w:ind w:left="5760" w:hanging="360"/>
      </w:pPr>
      <w:rPr>
        <w:rFonts w:ascii="Arial" w:hAnsi="Arial" w:hint="default"/>
      </w:rPr>
    </w:lvl>
    <w:lvl w:ilvl="8" w:tplc="54C22996" w:tentative="1">
      <w:start w:val="1"/>
      <w:numFmt w:val="bullet"/>
      <w:lvlText w:val="•"/>
      <w:lvlJc w:val="left"/>
      <w:pPr>
        <w:tabs>
          <w:tab w:val="num" w:pos="6480"/>
        </w:tabs>
        <w:ind w:left="6480" w:hanging="360"/>
      </w:pPr>
      <w:rPr>
        <w:rFonts w:ascii="Arial" w:hAnsi="Arial" w:hint="default"/>
      </w:rPr>
    </w:lvl>
  </w:abstractNum>
  <w:abstractNum w:abstractNumId="5">
    <w:nsid w:val="6AEE6D17"/>
    <w:multiLevelType w:val="hybridMultilevel"/>
    <w:tmpl w:val="9F0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E7E51"/>
    <w:multiLevelType w:val="hybridMultilevel"/>
    <w:tmpl w:val="25104070"/>
    <w:lvl w:ilvl="0" w:tplc="40B4C3B2">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E7BB0"/>
    <w:multiLevelType w:val="hybridMultilevel"/>
    <w:tmpl w:val="A1B88126"/>
    <w:lvl w:ilvl="0" w:tplc="BDE0D0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73"/>
    <w:rsid w:val="00010415"/>
    <w:rsid w:val="00014240"/>
    <w:rsid w:val="00015355"/>
    <w:rsid w:val="00027BF9"/>
    <w:rsid w:val="000562AB"/>
    <w:rsid w:val="00075357"/>
    <w:rsid w:val="00083E67"/>
    <w:rsid w:val="000961E9"/>
    <w:rsid w:val="000F519C"/>
    <w:rsid w:val="000F617F"/>
    <w:rsid w:val="000F7183"/>
    <w:rsid w:val="00114940"/>
    <w:rsid w:val="00116C5C"/>
    <w:rsid w:val="00123081"/>
    <w:rsid w:val="001246C9"/>
    <w:rsid w:val="00127E10"/>
    <w:rsid w:val="00190993"/>
    <w:rsid w:val="00191D8C"/>
    <w:rsid w:val="001B6173"/>
    <w:rsid w:val="001D718E"/>
    <w:rsid w:val="00232CE2"/>
    <w:rsid w:val="00247C56"/>
    <w:rsid w:val="002575AC"/>
    <w:rsid w:val="00264880"/>
    <w:rsid w:val="002B30E0"/>
    <w:rsid w:val="002D3861"/>
    <w:rsid w:val="002D386C"/>
    <w:rsid w:val="002D5150"/>
    <w:rsid w:val="002F21FC"/>
    <w:rsid w:val="00312059"/>
    <w:rsid w:val="00314935"/>
    <w:rsid w:val="00352023"/>
    <w:rsid w:val="003614FE"/>
    <w:rsid w:val="00375A1B"/>
    <w:rsid w:val="003B1416"/>
    <w:rsid w:val="003B2AE7"/>
    <w:rsid w:val="003B441E"/>
    <w:rsid w:val="003D1F94"/>
    <w:rsid w:val="003F0C2B"/>
    <w:rsid w:val="003F1CF9"/>
    <w:rsid w:val="00414093"/>
    <w:rsid w:val="00417DE5"/>
    <w:rsid w:val="004208B3"/>
    <w:rsid w:val="00426599"/>
    <w:rsid w:val="00432C8B"/>
    <w:rsid w:val="004451C8"/>
    <w:rsid w:val="00445D82"/>
    <w:rsid w:val="00452678"/>
    <w:rsid w:val="00470D81"/>
    <w:rsid w:val="004858C1"/>
    <w:rsid w:val="004961D9"/>
    <w:rsid w:val="004D1D3F"/>
    <w:rsid w:val="004D4004"/>
    <w:rsid w:val="004D6D3D"/>
    <w:rsid w:val="004E1619"/>
    <w:rsid w:val="00534EA8"/>
    <w:rsid w:val="005737B2"/>
    <w:rsid w:val="00575E82"/>
    <w:rsid w:val="00577EFA"/>
    <w:rsid w:val="005A13EB"/>
    <w:rsid w:val="005A2A9A"/>
    <w:rsid w:val="005B07DE"/>
    <w:rsid w:val="005B0C86"/>
    <w:rsid w:val="005B320C"/>
    <w:rsid w:val="005C1E61"/>
    <w:rsid w:val="005C7FE1"/>
    <w:rsid w:val="005D1FBB"/>
    <w:rsid w:val="005E334B"/>
    <w:rsid w:val="006154E9"/>
    <w:rsid w:val="00623373"/>
    <w:rsid w:val="0062674F"/>
    <w:rsid w:val="006770EB"/>
    <w:rsid w:val="00683E01"/>
    <w:rsid w:val="006B55C8"/>
    <w:rsid w:val="006C0152"/>
    <w:rsid w:val="006F175C"/>
    <w:rsid w:val="006F7439"/>
    <w:rsid w:val="006F7BBD"/>
    <w:rsid w:val="00704A30"/>
    <w:rsid w:val="0073151C"/>
    <w:rsid w:val="00735C4A"/>
    <w:rsid w:val="0074769C"/>
    <w:rsid w:val="007761E5"/>
    <w:rsid w:val="007827C6"/>
    <w:rsid w:val="00787EE5"/>
    <w:rsid w:val="007922EB"/>
    <w:rsid w:val="007A7514"/>
    <w:rsid w:val="007C648A"/>
    <w:rsid w:val="007F0D2C"/>
    <w:rsid w:val="007F159D"/>
    <w:rsid w:val="0080283D"/>
    <w:rsid w:val="0080756C"/>
    <w:rsid w:val="00810B77"/>
    <w:rsid w:val="00814D30"/>
    <w:rsid w:val="00846625"/>
    <w:rsid w:val="00865179"/>
    <w:rsid w:val="00866FD6"/>
    <w:rsid w:val="00872213"/>
    <w:rsid w:val="008751EB"/>
    <w:rsid w:val="008A5F21"/>
    <w:rsid w:val="008B00C8"/>
    <w:rsid w:val="008C0C25"/>
    <w:rsid w:val="008C4BD1"/>
    <w:rsid w:val="008D2AB4"/>
    <w:rsid w:val="008F4397"/>
    <w:rsid w:val="00912AD8"/>
    <w:rsid w:val="00954772"/>
    <w:rsid w:val="00960D18"/>
    <w:rsid w:val="009717A8"/>
    <w:rsid w:val="00976809"/>
    <w:rsid w:val="00982B69"/>
    <w:rsid w:val="009A0282"/>
    <w:rsid w:val="009B0A2B"/>
    <w:rsid w:val="009B44F8"/>
    <w:rsid w:val="009C4D97"/>
    <w:rsid w:val="009D445D"/>
    <w:rsid w:val="009F0CC7"/>
    <w:rsid w:val="00A11B8A"/>
    <w:rsid w:val="00A149A1"/>
    <w:rsid w:val="00A15C69"/>
    <w:rsid w:val="00A15DC9"/>
    <w:rsid w:val="00A249D3"/>
    <w:rsid w:val="00A30934"/>
    <w:rsid w:val="00A31AA5"/>
    <w:rsid w:val="00A41087"/>
    <w:rsid w:val="00A50098"/>
    <w:rsid w:val="00A50A4D"/>
    <w:rsid w:val="00A51155"/>
    <w:rsid w:val="00A579A6"/>
    <w:rsid w:val="00A62BCB"/>
    <w:rsid w:val="00A64FD2"/>
    <w:rsid w:val="00A83DA5"/>
    <w:rsid w:val="00AB0280"/>
    <w:rsid w:val="00AB333B"/>
    <w:rsid w:val="00AD003D"/>
    <w:rsid w:val="00AE752A"/>
    <w:rsid w:val="00B056D0"/>
    <w:rsid w:val="00B63358"/>
    <w:rsid w:val="00B665A5"/>
    <w:rsid w:val="00B7520A"/>
    <w:rsid w:val="00B929A7"/>
    <w:rsid w:val="00BC2D19"/>
    <w:rsid w:val="00BC64AC"/>
    <w:rsid w:val="00BC714E"/>
    <w:rsid w:val="00BD6E0C"/>
    <w:rsid w:val="00C43E0C"/>
    <w:rsid w:val="00C52A3C"/>
    <w:rsid w:val="00C575B3"/>
    <w:rsid w:val="00CC5360"/>
    <w:rsid w:val="00CE4DF4"/>
    <w:rsid w:val="00D03FB5"/>
    <w:rsid w:val="00D3768D"/>
    <w:rsid w:val="00D45064"/>
    <w:rsid w:val="00D53AE7"/>
    <w:rsid w:val="00D74922"/>
    <w:rsid w:val="00D809DE"/>
    <w:rsid w:val="00D93FB8"/>
    <w:rsid w:val="00DA0F81"/>
    <w:rsid w:val="00DC1A78"/>
    <w:rsid w:val="00DE256B"/>
    <w:rsid w:val="00DE5BA7"/>
    <w:rsid w:val="00E167A6"/>
    <w:rsid w:val="00E35FE6"/>
    <w:rsid w:val="00E37A1C"/>
    <w:rsid w:val="00E444C0"/>
    <w:rsid w:val="00E5435A"/>
    <w:rsid w:val="00E54FEE"/>
    <w:rsid w:val="00E60240"/>
    <w:rsid w:val="00E657D5"/>
    <w:rsid w:val="00E7328B"/>
    <w:rsid w:val="00E80F2F"/>
    <w:rsid w:val="00EA388A"/>
    <w:rsid w:val="00EC2138"/>
    <w:rsid w:val="00EC7E61"/>
    <w:rsid w:val="00EF72C6"/>
    <w:rsid w:val="00F065CC"/>
    <w:rsid w:val="00F13AB4"/>
    <w:rsid w:val="00F20B9B"/>
    <w:rsid w:val="00F2747F"/>
    <w:rsid w:val="00F3136F"/>
    <w:rsid w:val="00F4079E"/>
    <w:rsid w:val="00F4467C"/>
    <w:rsid w:val="00F553B5"/>
    <w:rsid w:val="00F605C4"/>
    <w:rsid w:val="00F60882"/>
    <w:rsid w:val="00F612B1"/>
    <w:rsid w:val="00F71A9F"/>
    <w:rsid w:val="00F73CEF"/>
    <w:rsid w:val="00F9494A"/>
    <w:rsid w:val="00FD0608"/>
    <w:rsid w:val="00FE026F"/>
    <w:rsid w:val="00FE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07DE"/>
    <w:rPr>
      <w:sz w:val="16"/>
      <w:szCs w:val="16"/>
    </w:rPr>
  </w:style>
  <w:style w:type="paragraph" w:styleId="CommentText">
    <w:name w:val="annotation text"/>
    <w:basedOn w:val="Normal"/>
    <w:link w:val="CommentTextChar"/>
    <w:uiPriority w:val="99"/>
    <w:semiHidden/>
    <w:unhideWhenUsed/>
    <w:rsid w:val="005B07DE"/>
    <w:rPr>
      <w:sz w:val="20"/>
      <w:szCs w:val="20"/>
    </w:rPr>
  </w:style>
  <w:style w:type="character" w:customStyle="1" w:styleId="CommentTextChar">
    <w:name w:val="Comment Text Char"/>
    <w:basedOn w:val="DefaultParagraphFont"/>
    <w:link w:val="CommentText"/>
    <w:uiPriority w:val="99"/>
    <w:semiHidden/>
    <w:rsid w:val="005B07DE"/>
    <w:rPr>
      <w:sz w:val="20"/>
      <w:szCs w:val="20"/>
    </w:rPr>
  </w:style>
  <w:style w:type="paragraph" w:styleId="CommentSubject">
    <w:name w:val="annotation subject"/>
    <w:basedOn w:val="CommentText"/>
    <w:next w:val="CommentText"/>
    <w:link w:val="CommentSubjectChar"/>
    <w:uiPriority w:val="99"/>
    <w:semiHidden/>
    <w:unhideWhenUsed/>
    <w:rsid w:val="005B07DE"/>
    <w:rPr>
      <w:b/>
      <w:bCs/>
    </w:rPr>
  </w:style>
  <w:style w:type="character" w:customStyle="1" w:styleId="CommentSubjectChar">
    <w:name w:val="Comment Subject Char"/>
    <w:basedOn w:val="CommentTextChar"/>
    <w:link w:val="CommentSubject"/>
    <w:uiPriority w:val="99"/>
    <w:semiHidden/>
    <w:rsid w:val="005B07DE"/>
    <w:rPr>
      <w:b/>
      <w:bCs/>
      <w:sz w:val="20"/>
      <w:szCs w:val="20"/>
    </w:rPr>
  </w:style>
  <w:style w:type="paragraph" w:styleId="BalloonText">
    <w:name w:val="Balloon Text"/>
    <w:basedOn w:val="Normal"/>
    <w:link w:val="BalloonTextChar"/>
    <w:uiPriority w:val="99"/>
    <w:semiHidden/>
    <w:unhideWhenUsed/>
    <w:rsid w:val="005B07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7DE"/>
    <w:rPr>
      <w:rFonts w:ascii="Tahoma" w:hAnsi="Tahoma" w:cs="Tahoma"/>
      <w:sz w:val="16"/>
      <w:szCs w:val="16"/>
    </w:rPr>
  </w:style>
  <w:style w:type="paragraph" w:styleId="Header">
    <w:name w:val="header"/>
    <w:basedOn w:val="Normal"/>
    <w:link w:val="HeaderChar"/>
    <w:uiPriority w:val="99"/>
    <w:unhideWhenUsed/>
    <w:rsid w:val="00EF72C6"/>
    <w:pPr>
      <w:tabs>
        <w:tab w:val="center" w:pos="4680"/>
        <w:tab w:val="right" w:pos="9360"/>
      </w:tabs>
      <w:spacing w:after="0"/>
    </w:pPr>
  </w:style>
  <w:style w:type="character" w:customStyle="1" w:styleId="HeaderChar">
    <w:name w:val="Header Char"/>
    <w:basedOn w:val="DefaultParagraphFont"/>
    <w:link w:val="Header"/>
    <w:uiPriority w:val="99"/>
    <w:rsid w:val="00EF72C6"/>
  </w:style>
  <w:style w:type="paragraph" w:styleId="Footer">
    <w:name w:val="footer"/>
    <w:basedOn w:val="Normal"/>
    <w:link w:val="FooterChar"/>
    <w:uiPriority w:val="99"/>
    <w:unhideWhenUsed/>
    <w:rsid w:val="00EF72C6"/>
    <w:pPr>
      <w:tabs>
        <w:tab w:val="center" w:pos="4680"/>
        <w:tab w:val="right" w:pos="9360"/>
      </w:tabs>
      <w:spacing w:after="0"/>
    </w:pPr>
  </w:style>
  <w:style w:type="character" w:customStyle="1" w:styleId="FooterChar">
    <w:name w:val="Footer Char"/>
    <w:basedOn w:val="DefaultParagraphFont"/>
    <w:link w:val="Footer"/>
    <w:uiPriority w:val="99"/>
    <w:rsid w:val="00EF72C6"/>
  </w:style>
  <w:style w:type="paragraph" w:styleId="ListParagraph">
    <w:name w:val="List Paragraph"/>
    <w:basedOn w:val="Normal"/>
    <w:uiPriority w:val="34"/>
    <w:qFormat/>
    <w:rsid w:val="00F605C4"/>
    <w:pPr>
      <w:spacing w:line="276" w:lineRule="auto"/>
      <w:ind w:left="720"/>
      <w:contextualSpacing/>
    </w:pPr>
    <w:rPr>
      <w:rFonts w:asciiTheme="minorHAnsi" w:hAnsiTheme="minorHAnsi" w:cstheme="minorBidi"/>
    </w:rPr>
  </w:style>
  <w:style w:type="paragraph" w:styleId="NormalWeb">
    <w:name w:val="Normal (Web)"/>
    <w:basedOn w:val="Normal"/>
    <w:uiPriority w:val="99"/>
    <w:unhideWhenUsed/>
    <w:rsid w:val="009717A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07DE"/>
    <w:rPr>
      <w:sz w:val="16"/>
      <w:szCs w:val="16"/>
    </w:rPr>
  </w:style>
  <w:style w:type="paragraph" w:styleId="CommentText">
    <w:name w:val="annotation text"/>
    <w:basedOn w:val="Normal"/>
    <w:link w:val="CommentTextChar"/>
    <w:uiPriority w:val="99"/>
    <w:semiHidden/>
    <w:unhideWhenUsed/>
    <w:rsid w:val="005B07DE"/>
    <w:rPr>
      <w:sz w:val="20"/>
      <w:szCs w:val="20"/>
    </w:rPr>
  </w:style>
  <w:style w:type="character" w:customStyle="1" w:styleId="CommentTextChar">
    <w:name w:val="Comment Text Char"/>
    <w:basedOn w:val="DefaultParagraphFont"/>
    <w:link w:val="CommentText"/>
    <w:uiPriority w:val="99"/>
    <w:semiHidden/>
    <w:rsid w:val="005B07DE"/>
    <w:rPr>
      <w:sz w:val="20"/>
      <w:szCs w:val="20"/>
    </w:rPr>
  </w:style>
  <w:style w:type="paragraph" w:styleId="CommentSubject">
    <w:name w:val="annotation subject"/>
    <w:basedOn w:val="CommentText"/>
    <w:next w:val="CommentText"/>
    <w:link w:val="CommentSubjectChar"/>
    <w:uiPriority w:val="99"/>
    <w:semiHidden/>
    <w:unhideWhenUsed/>
    <w:rsid w:val="005B07DE"/>
    <w:rPr>
      <w:b/>
      <w:bCs/>
    </w:rPr>
  </w:style>
  <w:style w:type="character" w:customStyle="1" w:styleId="CommentSubjectChar">
    <w:name w:val="Comment Subject Char"/>
    <w:basedOn w:val="CommentTextChar"/>
    <w:link w:val="CommentSubject"/>
    <w:uiPriority w:val="99"/>
    <w:semiHidden/>
    <w:rsid w:val="005B07DE"/>
    <w:rPr>
      <w:b/>
      <w:bCs/>
      <w:sz w:val="20"/>
      <w:szCs w:val="20"/>
    </w:rPr>
  </w:style>
  <w:style w:type="paragraph" w:styleId="BalloonText">
    <w:name w:val="Balloon Text"/>
    <w:basedOn w:val="Normal"/>
    <w:link w:val="BalloonTextChar"/>
    <w:uiPriority w:val="99"/>
    <w:semiHidden/>
    <w:unhideWhenUsed/>
    <w:rsid w:val="005B07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7DE"/>
    <w:rPr>
      <w:rFonts w:ascii="Tahoma" w:hAnsi="Tahoma" w:cs="Tahoma"/>
      <w:sz w:val="16"/>
      <w:szCs w:val="16"/>
    </w:rPr>
  </w:style>
  <w:style w:type="paragraph" w:styleId="Header">
    <w:name w:val="header"/>
    <w:basedOn w:val="Normal"/>
    <w:link w:val="HeaderChar"/>
    <w:uiPriority w:val="99"/>
    <w:unhideWhenUsed/>
    <w:rsid w:val="00EF72C6"/>
    <w:pPr>
      <w:tabs>
        <w:tab w:val="center" w:pos="4680"/>
        <w:tab w:val="right" w:pos="9360"/>
      </w:tabs>
      <w:spacing w:after="0"/>
    </w:pPr>
  </w:style>
  <w:style w:type="character" w:customStyle="1" w:styleId="HeaderChar">
    <w:name w:val="Header Char"/>
    <w:basedOn w:val="DefaultParagraphFont"/>
    <w:link w:val="Header"/>
    <w:uiPriority w:val="99"/>
    <w:rsid w:val="00EF72C6"/>
  </w:style>
  <w:style w:type="paragraph" w:styleId="Footer">
    <w:name w:val="footer"/>
    <w:basedOn w:val="Normal"/>
    <w:link w:val="FooterChar"/>
    <w:uiPriority w:val="99"/>
    <w:unhideWhenUsed/>
    <w:rsid w:val="00EF72C6"/>
    <w:pPr>
      <w:tabs>
        <w:tab w:val="center" w:pos="4680"/>
        <w:tab w:val="right" w:pos="9360"/>
      </w:tabs>
      <w:spacing w:after="0"/>
    </w:pPr>
  </w:style>
  <w:style w:type="character" w:customStyle="1" w:styleId="FooterChar">
    <w:name w:val="Footer Char"/>
    <w:basedOn w:val="DefaultParagraphFont"/>
    <w:link w:val="Footer"/>
    <w:uiPriority w:val="99"/>
    <w:rsid w:val="00EF72C6"/>
  </w:style>
  <w:style w:type="paragraph" w:styleId="ListParagraph">
    <w:name w:val="List Paragraph"/>
    <w:basedOn w:val="Normal"/>
    <w:uiPriority w:val="34"/>
    <w:qFormat/>
    <w:rsid w:val="00F605C4"/>
    <w:pPr>
      <w:spacing w:line="276" w:lineRule="auto"/>
      <w:ind w:left="720"/>
      <w:contextualSpacing/>
    </w:pPr>
    <w:rPr>
      <w:rFonts w:asciiTheme="minorHAnsi" w:hAnsiTheme="minorHAnsi" w:cstheme="minorBidi"/>
    </w:rPr>
  </w:style>
  <w:style w:type="paragraph" w:styleId="NormalWeb">
    <w:name w:val="Normal (Web)"/>
    <w:basedOn w:val="Normal"/>
    <w:uiPriority w:val="99"/>
    <w:unhideWhenUsed/>
    <w:rsid w:val="009717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5773">
      <w:bodyDiv w:val="1"/>
      <w:marLeft w:val="0"/>
      <w:marRight w:val="0"/>
      <w:marTop w:val="0"/>
      <w:marBottom w:val="0"/>
      <w:divBdr>
        <w:top w:val="none" w:sz="0" w:space="0" w:color="auto"/>
        <w:left w:val="none" w:sz="0" w:space="0" w:color="auto"/>
        <w:bottom w:val="none" w:sz="0" w:space="0" w:color="auto"/>
        <w:right w:val="none" w:sz="0" w:space="0" w:color="auto"/>
      </w:divBdr>
      <w:divsChild>
        <w:div w:id="673146106">
          <w:marLeft w:val="547"/>
          <w:marRight w:val="0"/>
          <w:marTop w:val="130"/>
          <w:marBottom w:val="0"/>
          <w:divBdr>
            <w:top w:val="none" w:sz="0" w:space="0" w:color="auto"/>
            <w:left w:val="none" w:sz="0" w:space="0" w:color="auto"/>
            <w:bottom w:val="none" w:sz="0" w:space="0" w:color="auto"/>
            <w:right w:val="none" w:sz="0" w:space="0" w:color="auto"/>
          </w:divBdr>
        </w:div>
        <w:div w:id="844443929">
          <w:marLeft w:val="547"/>
          <w:marRight w:val="0"/>
          <w:marTop w:val="130"/>
          <w:marBottom w:val="0"/>
          <w:divBdr>
            <w:top w:val="none" w:sz="0" w:space="0" w:color="auto"/>
            <w:left w:val="none" w:sz="0" w:space="0" w:color="auto"/>
            <w:bottom w:val="none" w:sz="0" w:space="0" w:color="auto"/>
            <w:right w:val="none" w:sz="0" w:space="0" w:color="auto"/>
          </w:divBdr>
        </w:div>
        <w:div w:id="1162084729">
          <w:marLeft w:val="547"/>
          <w:marRight w:val="0"/>
          <w:marTop w:val="130"/>
          <w:marBottom w:val="0"/>
          <w:divBdr>
            <w:top w:val="none" w:sz="0" w:space="0" w:color="auto"/>
            <w:left w:val="none" w:sz="0" w:space="0" w:color="auto"/>
            <w:bottom w:val="none" w:sz="0" w:space="0" w:color="auto"/>
            <w:right w:val="none" w:sz="0" w:space="0" w:color="auto"/>
          </w:divBdr>
        </w:div>
      </w:divsChild>
    </w:div>
    <w:div w:id="657272053">
      <w:bodyDiv w:val="1"/>
      <w:marLeft w:val="0"/>
      <w:marRight w:val="0"/>
      <w:marTop w:val="0"/>
      <w:marBottom w:val="0"/>
      <w:divBdr>
        <w:top w:val="none" w:sz="0" w:space="0" w:color="auto"/>
        <w:left w:val="none" w:sz="0" w:space="0" w:color="auto"/>
        <w:bottom w:val="none" w:sz="0" w:space="0" w:color="auto"/>
        <w:right w:val="none" w:sz="0" w:space="0" w:color="auto"/>
      </w:divBdr>
    </w:div>
    <w:div w:id="1190334792">
      <w:bodyDiv w:val="1"/>
      <w:marLeft w:val="0"/>
      <w:marRight w:val="0"/>
      <w:marTop w:val="0"/>
      <w:marBottom w:val="0"/>
      <w:divBdr>
        <w:top w:val="none" w:sz="0" w:space="0" w:color="auto"/>
        <w:left w:val="none" w:sz="0" w:space="0" w:color="auto"/>
        <w:bottom w:val="none" w:sz="0" w:space="0" w:color="auto"/>
        <w:right w:val="none" w:sz="0" w:space="0" w:color="auto"/>
      </w:divBdr>
      <w:divsChild>
        <w:div w:id="2005817407">
          <w:marLeft w:val="547"/>
          <w:marRight w:val="0"/>
          <w:marTop w:val="154"/>
          <w:marBottom w:val="0"/>
          <w:divBdr>
            <w:top w:val="none" w:sz="0" w:space="0" w:color="auto"/>
            <w:left w:val="none" w:sz="0" w:space="0" w:color="auto"/>
            <w:bottom w:val="none" w:sz="0" w:space="0" w:color="auto"/>
            <w:right w:val="none" w:sz="0" w:space="0" w:color="auto"/>
          </w:divBdr>
        </w:div>
        <w:div w:id="159930155">
          <w:marLeft w:val="1166"/>
          <w:marRight w:val="0"/>
          <w:marTop w:val="134"/>
          <w:marBottom w:val="0"/>
          <w:divBdr>
            <w:top w:val="none" w:sz="0" w:space="0" w:color="auto"/>
            <w:left w:val="none" w:sz="0" w:space="0" w:color="auto"/>
            <w:bottom w:val="none" w:sz="0" w:space="0" w:color="auto"/>
            <w:right w:val="none" w:sz="0" w:space="0" w:color="auto"/>
          </w:divBdr>
        </w:div>
        <w:div w:id="472797270">
          <w:marLeft w:val="547"/>
          <w:marRight w:val="0"/>
          <w:marTop w:val="154"/>
          <w:marBottom w:val="0"/>
          <w:divBdr>
            <w:top w:val="none" w:sz="0" w:space="0" w:color="auto"/>
            <w:left w:val="none" w:sz="0" w:space="0" w:color="auto"/>
            <w:bottom w:val="none" w:sz="0" w:space="0" w:color="auto"/>
            <w:right w:val="none" w:sz="0" w:space="0" w:color="auto"/>
          </w:divBdr>
        </w:div>
        <w:div w:id="12454430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Tennessee Dept. of Environment and Conservation</Company>
  <LinksUpToDate>false</LinksUpToDate>
  <CharactersWithSpaces>21756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Schofinski</dc:creator>
  <cp:lastModifiedBy>Kathy Glapa</cp:lastModifiedBy>
  <cp:revision>2</cp:revision>
  <dcterms:created xsi:type="dcterms:W3CDTF">2019-09-05T14:10:00Z</dcterms:created>
  <dcterms:modified xsi:type="dcterms:W3CDTF">2019-09-05T14:10:00Z</dcterms:modified>
</cp:coreProperties>
</file>