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607"/>
        <w:gridCol w:w="1800"/>
        <w:gridCol w:w="2353"/>
        <w:gridCol w:w="2430"/>
        <w:gridCol w:w="3412"/>
      </w:tblGrid>
      <w:tr w:rsidR="00B611C3" w14:paraId="7AF5A8C6" w14:textId="77777777" w:rsidTr="009D02B9">
        <w:trPr>
          <w:trHeight w:val="1763"/>
          <w:jc w:val="center"/>
        </w:trPr>
        <w:tc>
          <w:tcPr>
            <w:tcW w:w="1548" w:type="dxa"/>
            <w:shd w:val="pct25" w:color="auto" w:fill="auto"/>
            <w:vAlign w:val="center"/>
          </w:tcPr>
          <w:p w14:paraId="3726231F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B611C3" w:rsidRPr="009D02B9">
              <w:rPr>
                <w:rFonts w:ascii="Calibri" w:hAnsi="Calibri"/>
                <w:b/>
                <w:sz w:val="20"/>
                <w:szCs w:val="20"/>
              </w:rPr>
              <w:t>(s)</w:t>
            </w:r>
          </w:p>
        </w:tc>
        <w:tc>
          <w:tcPr>
            <w:tcW w:w="1607" w:type="dxa"/>
            <w:shd w:val="pct25" w:color="auto" w:fill="auto"/>
            <w:vAlign w:val="center"/>
          </w:tcPr>
          <w:p w14:paraId="4D1E2A56" w14:textId="77777777" w:rsidR="007A1B08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Beginning Hour Meter R</w:t>
            </w:r>
            <w:r w:rsidR="007B069A" w:rsidRPr="009D02B9">
              <w:rPr>
                <w:b/>
              </w:rPr>
              <w:t>eading</w:t>
            </w:r>
          </w:p>
        </w:tc>
        <w:tc>
          <w:tcPr>
            <w:tcW w:w="1800" w:type="dxa"/>
            <w:shd w:val="pct25" w:color="auto" w:fill="auto"/>
            <w:vAlign w:val="center"/>
          </w:tcPr>
          <w:p w14:paraId="194B096D" w14:textId="77777777" w:rsidR="007A1B08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Ending Hour</w:t>
            </w:r>
            <w:r w:rsidR="005A703F" w:rsidRPr="009D02B9">
              <w:rPr>
                <w:b/>
              </w:rPr>
              <w:t xml:space="preserve"> Meter Reading</w:t>
            </w:r>
          </w:p>
        </w:tc>
        <w:tc>
          <w:tcPr>
            <w:tcW w:w="2353" w:type="dxa"/>
            <w:shd w:val="pct25" w:color="auto" w:fill="auto"/>
            <w:vAlign w:val="center"/>
          </w:tcPr>
          <w:p w14:paraId="6EB54874" w14:textId="77777777" w:rsidR="00DB3A70" w:rsidRDefault="005A703F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Time Elapsed</w:t>
            </w:r>
          </w:p>
          <w:p w14:paraId="3BA96A46" w14:textId="77777777" w:rsidR="009D02B9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D5EDB11" w14:textId="77777777" w:rsidR="005A703F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5A703F" w:rsidRPr="009D02B9">
              <w:rPr>
                <w:rFonts w:ascii="Calibri" w:hAnsi="Calibri"/>
                <w:b/>
                <w:sz w:val="20"/>
                <w:szCs w:val="20"/>
              </w:rPr>
              <w:t>End</w:t>
            </w:r>
            <w:r>
              <w:rPr>
                <w:rFonts w:ascii="Calibri" w:hAnsi="Calibri"/>
                <w:b/>
                <w:sz w:val="20"/>
                <w:szCs w:val="20"/>
              </w:rPr>
              <w:t>ing</w:t>
            </w:r>
            <w:r w:rsidR="005A703F" w:rsidRPr="009D02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Hour – Beginning Hour= Time Elapsed)</w:t>
            </w:r>
          </w:p>
          <w:p w14:paraId="6B06FAA2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pct25" w:color="auto" w:fill="auto"/>
            <w:vAlign w:val="center"/>
          </w:tcPr>
          <w:p w14:paraId="05CA0294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Type of Operation</w:t>
            </w:r>
          </w:p>
          <w:p w14:paraId="31D1A6A2" w14:textId="77777777" w:rsidR="00DB3A70" w:rsidRPr="009D02B9" w:rsidRDefault="00DB3A70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2F25789" w14:textId="77777777" w:rsidR="007A1B08" w:rsidRPr="009D02B9" w:rsidRDefault="00C00BC5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Emergency = E</w:t>
            </w:r>
          </w:p>
          <w:p w14:paraId="361515EF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Maintenance/Testing= MT</w:t>
            </w:r>
          </w:p>
          <w:p w14:paraId="61F752A1" w14:textId="77777777" w:rsidR="007A1B08" w:rsidRPr="009D02B9" w:rsidRDefault="00C00BC5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NON- Emergency= NE</w:t>
            </w:r>
          </w:p>
          <w:p w14:paraId="6829DE66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12" w:type="dxa"/>
            <w:shd w:val="pct25" w:color="auto" w:fill="auto"/>
            <w:vAlign w:val="center"/>
          </w:tcPr>
          <w:p w14:paraId="2945EF2F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 xml:space="preserve">Reasons </w:t>
            </w:r>
            <w:r w:rsidR="00DB3A70" w:rsidRPr="009D02B9"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9D02B9">
              <w:rPr>
                <w:rFonts w:ascii="Calibri" w:hAnsi="Calibri"/>
                <w:b/>
                <w:sz w:val="20"/>
                <w:szCs w:val="20"/>
              </w:rPr>
              <w:t>or operations</w:t>
            </w:r>
          </w:p>
        </w:tc>
      </w:tr>
      <w:tr w:rsidR="007A1B08" w14:paraId="787B0735" w14:textId="77777777" w:rsidTr="009D02B9">
        <w:trPr>
          <w:jc w:val="center"/>
        </w:trPr>
        <w:tc>
          <w:tcPr>
            <w:tcW w:w="1548" w:type="dxa"/>
            <w:vAlign w:val="center"/>
          </w:tcPr>
          <w:p w14:paraId="3D58B7CE" w14:textId="1CE2C92D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11C3">
              <w:rPr>
                <w:rFonts w:ascii="Calibri" w:hAnsi="Calibri"/>
                <w:sz w:val="20"/>
                <w:szCs w:val="20"/>
              </w:rPr>
              <w:t>1/12/</w:t>
            </w:r>
            <w:r w:rsidR="00F44BE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07" w:type="dxa"/>
            <w:vAlign w:val="center"/>
          </w:tcPr>
          <w:p w14:paraId="0F9027B1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12.5</w:t>
            </w:r>
          </w:p>
        </w:tc>
        <w:tc>
          <w:tcPr>
            <w:tcW w:w="1800" w:type="dxa"/>
            <w:vAlign w:val="center"/>
          </w:tcPr>
          <w:p w14:paraId="284F5A37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15.5</w:t>
            </w:r>
          </w:p>
        </w:tc>
        <w:tc>
          <w:tcPr>
            <w:tcW w:w="2353" w:type="dxa"/>
            <w:vAlign w:val="center"/>
          </w:tcPr>
          <w:p w14:paraId="0744AA34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 hours</w:t>
            </w:r>
          </w:p>
        </w:tc>
        <w:tc>
          <w:tcPr>
            <w:tcW w:w="2430" w:type="dxa"/>
            <w:vAlign w:val="center"/>
          </w:tcPr>
          <w:p w14:paraId="70424589" w14:textId="77777777" w:rsidR="007A1B08" w:rsidRPr="00B611C3" w:rsidRDefault="00C00BC5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3412" w:type="dxa"/>
            <w:vAlign w:val="center"/>
          </w:tcPr>
          <w:p w14:paraId="39727EE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11C3">
              <w:rPr>
                <w:rFonts w:ascii="Calibri" w:hAnsi="Calibri"/>
                <w:sz w:val="20"/>
                <w:szCs w:val="20"/>
              </w:rPr>
              <w:t>Power outage</w:t>
            </w:r>
          </w:p>
        </w:tc>
      </w:tr>
      <w:tr w:rsidR="007A1B08" w14:paraId="5353E21D" w14:textId="77777777" w:rsidTr="009D02B9">
        <w:trPr>
          <w:jc w:val="center"/>
        </w:trPr>
        <w:tc>
          <w:tcPr>
            <w:tcW w:w="1548" w:type="dxa"/>
            <w:vAlign w:val="center"/>
          </w:tcPr>
          <w:p w14:paraId="22D06B4D" w14:textId="18C3EABD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11C3">
              <w:rPr>
                <w:rFonts w:ascii="Calibri" w:hAnsi="Calibri"/>
                <w:sz w:val="20"/>
                <w:szCs w:val="20"/>
              </w:rPr>
              <w:t>1/15/</w:t>
            </w:r>
            <w:r w:rsidR="00F44BE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07" w:type="dxa"/>
            <w:vAlign w:val="center"/>
          </w:tcPr>
          <w:p w14:paraId="30B123F1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15.5</w:t>
            </w:r>
          </w:p>
        </w:tc>
        <w:tc>
          <w:tcPr>
            <w:tcW w:w="1800" w:type="dxa"/>
            <w:vAlign w:val="center"/>
          </w:tcPr>
          <w:p w14:paraId="16BCAC85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16.2</w:t>
            </w:r>
          </w:p>
        </w:tc>
        <w:tc>
          <w:tcPr>
            <w:tcW w:w="2353" w:type="dxa"/>
            <w:vAlign w:val="center"/>
          </w:tcPr>
          <w:p w14:paraId="5F33273B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0.7 hours</w:t>
            </w:r>
          </w:p>
        </w:tc>
        <w:tc>
          <w:tcPr>
            <w:tcW w:w="2430" w:type="dxa"/>
            <w:vAlign w:val="center"/>
          </w:tcPr>
          <w:p w14:paraId="4874F61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11C3">
              <w:rPr>
                <w:rFonts w:ascii="Calibri" w:hAnsi="Calibri"/>
                <w:sz w:val="20"/>
                <w:szCs w:val="20"/>
              </w:rPr>
              <w:t>MT</w:t>
            </w:r>
          </w:p>
        </w:tc>
        <w:tc>
          <w:tcPr>
            <w:tcW w:w="3412" w:type="dxa"/>
            <w:vAlign w:val="center"/>
          </w:tcPr>
          <w:p w14:paraId="4A12EE7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11C3">
              <w:rPr>
                <w:rFonts w:ascii="Calibri" w:hAnsi="Calibri"/>
                <w:sz w:val="20"/>
                <w:szCs w:val="20"/>
              </w:rPr>
              <w:t>Maintenance oil change checking for leaks</w:t>
            </w:r>
          </w:p>
        </w:tc>
      </w:tr>
      <w:tr w:rsidR="007A1B08" w14:paraId="300BE009" w14:textId="77777777" w:rsidTr="009D02B9">
        <w:trPr>
          <w:jc w:val="center"/>
        </w:trPr>
        <w:tc>
          <w:tcPr>
            <w:tcW w:w="1548" w:type="dxa"/>
            <w:vAlign w:val="center"/>
          </w:tcPr>
          <w:p w14:paraId="54164EEC" w14:textId="3E445E84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11C3">
              <w:rPr>
                <w:rFonts w:ascii="Calibri" w:hAnsi="Calibri"/>
                <w:sz w:val="20"/>
                <w:szCs w:val="20"/>
              </w:rPr>
              <w:t>1/15/</w:t>
            </w:r>
            <w:r w:rsidR="00F44BE0">
              <w:rPr>
                <w:rFonts w:ascii="Calibri" w:hAnsi="Calibri"/>
                <w:sz w:val="20"/>
                <w:szCs w:val="20"/>
              </w:rPr>
              <w:t>20</w:t>
            </w:r>
            <w:r w:rsidR="00B611C3">
              <w:rPr>
                <w:rFonts w:ascii="Calibri" w:hAnsi="Calibri"/>
                <w:sz w:val="20"/>
                <w:szCs w:val="20"/>
              </w:rPr>
              <w:t xml:space="preserve"> to 1/16/</w:t>
            </w:r>
            <w:r w:rsidR="00F44BE0">
              <w:rPr>
                <w:rFonts w:ascii="Calibri" w:hAnsi="Calibri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607" w:type="dxa"/>
            <w:vAlign w:val="center"/>
          </w:tcPr>
          <w:p w14:paraId="76DE8C26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16.2</w:t>
            </w:r>
          </w:p>
        </w:tc>
        <w:tc>
          <w:tcPr>
            <w:tcW w:w="1800" w:type="dxa"/>
            <w:vAlign w:val="center"/>
          </w:tcPr>
          <w:p w14:paraId="52B37488" w14:textId="77777777" w:rsidR="007A1B08" w:rsidRP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38.8</w:t>
            </w:r>
          </w:p>
        </w:tc>
        <w:tc>
          <w:tcPr>
            <w:tcW w:w="2353" w:type="dxa"/>
            <w:vAlign w:val="center"/>
          </w:tcPr>
          <w:p w14:paraId="498A6072" w14:textId="77777777" w:rsidR="00B611C3" w:rsidRDefault="005A703F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22.6 hours</w:t>
            </w:r>
          </w:p>
          <w:p w14:paraId="5CA2C37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B327696" w14:textId="77777777" w:rsidR="007A1B08" w:rsidRPr="00B611C3" w:rsidRDefault="00C00BC5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3412" w:type="dxa"/>
            <w:vAlign w:val="center"/>
          </w:tcPr>
          <w:p w14:paraId="09FC5314" w14:textId="77777777" w:rsidR="007A1B08" w:rsidRPr="00B611C3" w:rsidRDefault="00B611C3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11C3">
              <w:rPr>
                <w:rFonts w:ascii="Calibri" w:hAnsi="Calibri"/>
                <w:sz w:val="20"/>
                <w:szCs w:val="20"/>
              </w:rPr>
              <w:t>Power work light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B611C3">
              <w:rPr>
                <w:rFonts w:ascii="Calibri" w:hAnsi="Calibri"/>
                <w:sz w:val="20"/>
                <w:szCs w:val="20"/>
              </w:rPr>
              <w:t xml:space="preserve"> for nearby construction project</w:t>
            </w:r>
          </w:p>
        </w:tc>
      </w:tr>
      <w:tr w:rsidR="007A1B08" w14:paraId="4F85D36C" w14:textId="77777777" w:rsidTr="009D02B9">
        <w:trPr>
          <w:jc w:val="center"/>
        </w:trPr>
        <w:tc>
          <w:tcPr>
            <w:tcW w:w="1548" w:type="dxa"/>
            <w:vAlign w:val="center"/>
          </w:tcPr>
          <w:p w14:paraId="529E94D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8C087D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293D57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2232FD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AEE061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686D98A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04A42361" w14:textId="77777777" w:rsidTr="009D02B9">
        <w:trPr>
          <w:jc w:val="center"/>
        </w:trPr>
        <w:tc>
          <w:tcPr>
            <w:tcW w:w="1548" w:type="dxa"/>
            <w:vAlign w:val="center"/>
          </w:tcPr>
          <w:p w14:paraId="5C0CBC2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F9A65C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3E6B3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2A2F4C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094E55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B2FD25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045FC406" w14:textId="77777777" w:rsidTr="009D02B9">
        <w:trPr>
          <w:jc w:val="center"/>
        </w:trPr>
        <w:tc>
          <w:tcPr>
            <w:tcW w:w="1548" w:type="dxa"/>
            <w:vAlign w:val="center"/>
          </w:tcPr>
          <w:p w14:paraId="27EDEB5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D6993A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51AEC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06ABDF8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AAB8EA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728C1DC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3613AC03" w14:textId="77777777" w:rsidTr="009D02B9">
        <w:trPr>
          <w:jc w:val="center"/>
        </w:trPr>
        <w:tc>
          <w:tcPr>
            <w:tcW w:w="1548" w:type="dxa"/>
            <w:vAlign w:val="center"/>
          </w:tcPr>
          <w:p w14:paraId="68EFD48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B9EBC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981BB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4C6C528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2A732C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354C4E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44E34755" w14:textId="77777777" w:rsidTr="009D02B9">
        <w:trPr>
          <w:jc w:val="center"/>
        </w:trPr>
        <w:tc>
          <w:tcPr>
            <w:tcW w:w="1548" w:type="dxa"/>
            <w:vAlign w:val="center"/>
          </w:tcPr>
          <w:p w14:paraId="2BBAC8D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7B8444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1F9BD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5EAAC80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8C943A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3C347E6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2C392C8C" w14:textId="77777777" w:rsidTr="009D02B9">
        <w:trPr>
          <w:jc w:val="center"/>
        </w:trPr>
        <w:tc>
          <w:tcPr>
            <w:tcW w:w="1548" w:type="dxa"/>
            <w:vAlign w:val="center"/>
          </w:tcPr>
          <w:p w14:paraId="5E346E0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C6D0C4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7DF46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6116457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73166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030690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471B7936" w14:textId="77777777" w:rsidTr="009D02B9">
        <w:trPr>
          <w:jc w:val="center"/>
        </w:trPr>
        <w:tc>
          <w:tcPr>
            <w:tcW w:w="1548" w:type="dxa"/>
            <w:vAlign w:val="center"/>
          </w:tcPr>
          <w:p w14:paraId="286EC0E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BEAAFF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6E497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63060C5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A1332F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D97797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ACFD0DD" w14:textId="77777777" w:rsidTr="009D02B9">
        <w:trPr>
          <w:jc w:val="center"/>
        </w:trPr>
        <w:tc>
          <w:tcPr>
            <w:tcW w:w="1548" w:type="dxa"/>
            <w:vAlign w:val="center"/>
          </w:tcPr>
          <w:p w14:paraId="0405E23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0C30F8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384BF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8C7485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02E932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25D155A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1EEC511B" w14:textId="77777777" w:rsidTr="009D02B9">
        <w:trPr>
          <w:jc w:val="center"/>
        </w:trPr>
        <w:tc>
          <w:tcPr>
            <w:tcW w:w="1548" w:type="dxa"/>
            <w:vAlign w:val="center"/>
          </w:tcPr>
          <w:p w14:paraId="418CAF6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D31419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AEAC9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491F785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759767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E2224D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7EAE37B" w14:textId="77777777" w:rsidTr="009D02B9">
        <w:trPr>
          <w:jc w:val="center"/>
        </w:trPr>
        <w:tc>
          <w:tcPr>
            <w:tcW w:w="1548" w:type="dxa"/>
            <w:vAlign w:val="center"/>
          </w:tcPr>
          <w:p w14:paraId="6AF03C1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D3E42E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8997E3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38B1BA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AB1C20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06E060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CAD1EE6" w14:textId="77777777" w:rsidTr="009D02B9">
        <w:trPr>
          <w:jc w:val="center"/>
        </w:trPr>
        <w:tc>
          <w:tcPr>
            <w:tcW w:w="1548" w:type="dxa"/>
            <w:vAlign w:val="center"/>
          </w:tcPr>
          <w:p w14:paraId="3925DFD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D08319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E6421F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277B09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4BF2D2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53350B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7108162F" w14:textId="77777777" w:rsidTr="009D02B9">
        <w:trPr>
          <w:jc w:val="center"/>
        </w:trPr>
        <w:tc>
          <w:tcPr>
            <w:tcW w:w="1548" w:type="dxa"/>
            <w:vAlign w:val="center"/>
          </w:tcPr>
          <w:p w14:paraId="48875F4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C5E2AA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9689E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11344E57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EAE0BA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6024B1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3D7F4DD9" w14:textId="77777777" w:rsidTr="009D02B9">
        <w:trPr>
          <w:jc w:val="center"/>
        </w:trPr>
        <w:tc>
          <w:tcPr>
            <w:tcW w:w="1548" w:type="dxa"/>
            <w:vAlign w:val="center"/>
          </w:tcPr>
          <w:p w14:paraId="5E47FEE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B0C0C6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8440B9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157D0FE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9D7A9F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619F760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5005F564" w14:textId="77777777" w:rsidTr="009D02B9">
        <w:trPr>
          <w:jc w:val="center"/>
        </w:trPr>
        <w:tc>
          <w:tcPr>
            <w:tcW w:w="1548" w:type="dxa"/>
            <w:vAlign w:val="center"/>
          </w:tcPr>
          <w:p w14:paraId="57DA41D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B1DB8C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4700B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4F4271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58D059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5E1B151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471CF5E" w14:textId="77777777" w:rsidTr="009D02B9">
        <w:trPr>
          <w:jc w:val="center"/>
        </w:trPr>
        <w:tc>
          <w:tcPr>
            <w:tcW w:w="1548" w:type="dxa"/>
            <w:vAlign w:val="center"/>
          </w:tcPr>
          <w:p w14:paraId="0FA3E0D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CF52D9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E3988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A5F719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A95CC6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FCF72B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702CB68A" w14:textId="77777777" w:rsidTr="009D02B9">
        <w:trPr>
          <w:jc w:val="center"/>
        </w:trPr>
        <w:tc>
          <w:tcPr>
            <w:tcW w:w="1548" w:type="dxa"/>
            <w:vAlign w:val="center"/>
          </w:tcPr>
          <w:p w14:paraId="7D2D3C0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B642A6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BAF60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0B7C364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73AA77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60386FF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11032ADC" w14:textId="77777777" w:rsidTr="009D02B9">
        <w:trPr>
          <w:jc w:val="center"/>
        </w:trPr>
        <w:tc>
          <w:tcPr>
            <w:tcW w:w="1548" w:type="dxa"/>
            <w:vAlign w:val="center"/>
          </w:tcPr>
          <w:p w14:paraId="7E63BB7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1C0E2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65828D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F229F5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E467B5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50F6395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74D7C080" w14:textId="77777777" w:rsidTr="009D02B9">
        <w:trPr>
          <w:jc w:val="center"/>
        </w:trPr>
        <w:tc>
          <w:tcPr>
            <w:tcW w:w="1548" w:type="dxa"/>
            <w:vAlign w:val="center"/>
          </w:tcPr>
          <w:p w14:paraId="418FE26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7ECA6B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C5720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1DB480C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0BD7DB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708D392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2CD0469F" w14:textId="77777777" w:rsidTr="009D02B9">
        <w:trPr>
          <w:jc w:val="center"/>
        </w:trPr>
        <w:tc>
          <w:tcPr>
            <w:tcW w:w="1548" w:type="dxa"/>
            <w:vAlign w:val="center"/>
          </w:tcPr>
          <w:p w14:paraId="1400D53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F00ED1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95193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FF66A3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B55A22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3F39F09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D321335" w14:textId="77777777" w:rsidR="00896C37" w:rsidRPr="002351CF" w:rsidRDefault="00C00BC5" w:rsidP="002351CF">
      <w:pPr>
        <w:rPr>
          <w:sz w:val="20"/>
          <w:szCs w:val="20"/>
        </w:rPr>
      </w:pPr>
      <w:r w:rsidRPr="002351CF">
        <w:rPr>
          <w:sz w:val="20"/>
          <w:szCs w:val="20"/>
        </w:rPr>
        <w:t>Note</w:t>
      </w:r>
      <w:r w:rsidR="002351CF" w:rsidRPr="002351CF">
        <w:rPr>
          <w:sz w:val="20"/>
          <w:szCs w:val="20"/>
        </w:rPr>
        <w:t>:</w:t>
      </w:r>
      <w:r w:rsidR="002351CF">
        <w:rPr>
          <w:sz w:val="20"/>
          <w:szCs w:val="20"/>
        </w:rPr>
        <w:t xml:space="preserve"> Each type of o</w:t>
      </w:r>
      <w:r w:rsidRPr="002351CF">
        <w:rPr>
          <w:sz w:val="20"/>
          <w:szCs w:val="20"/>
        </w:rPr>
        <w:t>peration must be added together</w:t>
      </w:r>
      <w:r w:rsidR="00AF520B" w:rsidRPr="002351CF">
        <w:rPr>
          <w:sz w:val="20"/>
          <w:szCs w:val="20"/>
        </w:rPr>
        <w:t xml:space="preserve"> </w:t>
      </w:r>
      <w:r w:rsidR="00C708C2" w:rsidRPr="002351CF">
        <w:rPr>
          <w:sz w:val="20"/>
          <w:szCs w:val="20"/>
        </w:rPr>
        <w:t>separately</w:t>
      </w:r>
      <w:r w:rsidRPr="002351CF">
        <w:rPr>
          <w:sz w:val="20"/>
          <w:szCs w:val="20"/>
        </w:rPr>
        <w:t xml:space="preserve"> at the end of the month and the sum</w:t>
      </w:r>
      <w:r w:rsidR="00C708C2">
        <w:rPr>
          <w:sz w:val="20"/>
          <w:szCs w:val="20"/>
        </w:rPr>
        <w:t xml:space="preserve"> of each Type of Operation</w:t>
      </w:r>
      <w:r w:rsidR="0034297C">
        <w:rPr>
          <w:sz w:val="20"/>
          <w:szCs w:val="20"/>
        </w:rPr>
        <w:t xml:space="preserve"> </w:t>
      </w:r>
      <w:r w:rsidRPr="002351CF">
        <w:rPr>
          <w:sz w:val="20"/>
          <w:szCs w:val="20"/>
        </w:rPr>
        <w:t>(EM, MT, and</w:t>
      </w:r>
      <w:r w:rsidR="00896C37" w:rsidRPr="002351CF">
        <w:rPr>
          <w:sz w:val="20"/>
          <w:szCs w:val="20"/>
        </w:rPr>
        <w:t xml:space="preserve"> NE) entered into the yearly log</w:t>
      </w:r>
      <w:r w:rsidR="009536A4" w:rsidRPr="002351CF">
        <w:rPr>
          <w:sz w:val="20"/>
          <w:szCs w:val="20"/>
        </w:rPr>
        <w:t xml:space="preserve">.  </w:t>
      </w:r>
      <w:r w:rsidR="002351CF" w:rsidRPr="002351CF">
        <w:rPr>
          <w:sz w:val="20"/>
          <w:szCs w:val="20"/>
        </w:rPr>
        <w:t>For</w:t>
      </w:r>
      <w:r w:rsidR="00E177F1" w:rsidRPr="002351CF">
        <w:rPr>
          <w:sz w:val="20"/>
          <w:szCs w:val="20"/>
        </w:rPr>
        <w:t xml:space="preserve"> </w:t>
      </w:r>
      <w:r w:rsidR="00C708C2">
        <w:rPr>
          <w:sz w:val="20"/>
          <w:szCs w:val="20"/>
        </w:rPr>
        <w:t xml:space="preserve">the </w:t>
      </w:r>
      <w:r w:rsidR="00E177F1" w:rsidRPr="002351CF">
        <w:rPr>
          <w:sz w:val="20"/>
          <w:szCs w:val="20"/>
        </w:rPr>
        <w:t>recordkeeping sec</w:t>
      </w:r>
      <w:r w:rsidR="00CE33E5">
        <w:rPr>
          <w:sz w:val="20"/>
          <w:szCs w:val="20"/>
        </w:rPr>
        <w:t xml:space="preserve">tion of </w:t>
      </w:r>
      <w:r w:rsidR="001E260E">
        <w:rPr>
          <w:sz w:val="20"/>
          <w:szCs w:val="20"/>
        </w:rPr>
        <w:t xml:space="preserve">the </w:t>
      </w:r>
      <w:r w:rsidR="00CE33E5">
        <w:rPr>
          <w:sz w:val="20"/>
          <w:szCs w:val="20"/>
        </w:rPr>
        <w:t>applicable federal rule</w:t>
      </w:r>
      <w:r w:rsidR="001E260E">
        <w:rPr>
          <w:sz w:val="20"/>
          <w:szCs w:val="20"/>
        </w:rPr>
        <w:t>,</w:t>
      </w:r>
      <w:r w:rsidR="00C708C2">
        <w:rPr>
          <w:sz w:val="20"/>
          <w:szCs w:val="20"/>
        </w:rPr>
        <w:t xml:space="preserve"> see the </w:t>
      </w:r>
      <w:r w:rsidR="00CE33E5">
        <w:rPr>
          <w:sz w:val="20"/>
          <w:szCs w:val="20"/>
        </w:rPr>
        <w:t>f</w:t>
      </w:r>
      <w:r w:rsidR="00C708C2">
        <w:rPr>
          <w:sz w:val="20"/>
          <w:szCs w:val="20"/>
        </w:rPr>
        <w:t>ollowing sections</w:t>
      </w:r>
      <w:r w:rsidR="00CE33E5">
        <w:rPr>
          <w:sz w:val="20"/>
          <w:szCs w:val="20"/>
        </w:rPr>
        <w:t xml:space="preserve"> that apply to your engine(s)</w:t>
      </w:r>
      <w:r w:rsidR="00C708C2">
        <w:rPr>
          <w:sz w:val="20"/>
          <w:szCs w:val="20"/>
        </w:rPr>
        <w:t>: Subpart ZZZZ</w:t>
      </w:r>
      <w:r w:rsidR="002351CF">
        <w:rPr>
          <w:sz w:val="20"/>
          <w:szCs w:val="20"/>
        </w:rPr>
        <w:t xml:space="preserve"> §</w:t>
      </w:r>
      <w:r w:rsidR="00C708C2">
        <w:rPr>
          <w:rFonts w:ascii="Calibri" w:hAnsi="Calibri"/>
          <w:sz w:val="20"/>
          <w:szCs w:val="20"/>
        </w:rPr>
        <w:t xml:space="preserve">63.6655(f), or Subpart IIII </w:t>
      </w:r>
      <w:r w:rsidR="00E177F1" w:rsidRPr="002351CF">
        <w:rPr>
          <w:sz w:val="20"/>
          <w:szCs w:val="20"/>
        </w:rPr>
        <w:t>§</w:t>
      </w:r>
      <w:r w:rsidR="00E177F1" w:rsidRPr="002351CF">
        <w:rPr>
          <w:rFonts w:ascii="Calibri" w:hAnsi="Calibri"/>
          <w:sz w:val="20"/>
          <w:szCs w:val="20"/>
        </w:rPr>
        <w:t xml:space="preserve">60.4214(b) or </w:t>
      </w:r>
      <w:r w:rsidR="00C708C2">
        <w:rPr>
          <w:rFonts w:ascii="Calibri" w:hAnsi="Calibri"/>
          <w:sz w:val="20"/>
          <w:szCs w:val="20"/>
        </w:rPr>
        <w:t xml:space="preserve">Subpart JJJJ </w:t>
      </w:r>
      <w:r w:rsidR="00E177F1" w:rsidRPr="002351CF">
        <w:rPr>
          <w:sz w:val="20"/>
          <w:szCs w:val="20"/>
        </w:rPr>
        <w:t>§</w:t>
      </w:r>
      <w:r w:rsidR="00E177F1" w:rsidRPr="002351CF">
        <w:rPr>
          <w:rFonts w:ascii="Calibri" w:hAnsi="Calibri"/>
          <w:sz w:val="20"/>
          <w:szCs w:val="20"/>
        </w:rPr>
        <w:t>60.4245(b)</w:t>
      </w:r>
      <w:r w:rsidR="002351CF">
        <w:rPr>
          <w:rFonts w:ascii="Calibri" w:hAnsi="Calibri"/>
          <w:sz w:val="20"/>
          <w:szCs w:val="20"/>
        </w:rPr>
        <w:t>.</w:t>
      </w:r>
    </w:p>
    <w:sectPr w:rsidR="00896C37" w:rsidRPr="002351CF" w:rsidSect="00DB3A7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3151" w14:textId="77777777" w:rsidR="007C1EFF" w:rsidRDefault="007C1EFF" w:rsidP="004048E0">
      <w:pPr>
        <w:spacing w:after="0" w:line="240" w:lineRule="auto"/>
      </w:pPr>
      <w:r>
        <w:separator/>
      </w:r>
    </w:p>
  </w:endnote>
  <w:endnote w:type="continuationSeparator" w:id="0">
    <w:p w14:paraId="4E9EDE92" w14:textId="77777777" w:rsidR="007C1EFF" w:rsidRDefault="007C1EFF" w:rsidP="0040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26B8" w14:textId="77777777" w:rsidR="007C1EFF" w:rsidRDefault="007C1EFF" w:rsidP="004048E0">
      <w:pPr>
        <w:spacing w:after="0" w:line="240" w:lineRule="auto"/>
      </w:pPr>
      <w:r>
        <w:separator/>
      </w:r>
    </w:p>
  </w:footnote>
  <w:footnote w:type="continuationSeparator" w:id="0">
    <w:p w14:paraId="1F9AE22A" w14:textId="77777777" w:rsidR="007C1EFF" w:rsidRDefault="007C1EFF" w:rsidP="0040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C9A1" w14:textId="77777777" w:rsidR="004048E0" w:rsidRDefault="004048E0" w:rsidP="004048E0">
    <w:pPr>
      <w:pStyle w:val="Header"/>
      <w:jc w:val="center"/>
    </w:pPr>
    <w:r w:rsidRPr="00582250">
      <w:rPr>
        <w:rFonts w:cs="Arial"/>
        <w:b/>
        <w:noProof/>
        <w:sz w:val="28"/>
        <w:szCs w:val="28"/>
      </w:rPr>
      <w:drawing>
        <wp:inline distT="0" distB="0" distL="0" distR="0" wp14:anchorId="3A1BF5FE" wp14:editId="5DB8E9FD">
          <wp:extent cx="1035968" cy="4808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58" cy="480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CDA4F" w14:textId="77777777" w:rsidR="004048E0" w:rsidRDefault="004048E0" w:rsidP="004048E0">
    <w:pPr>
      <w:pStyle w:val="Head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Division Of Air Pollution Control</w:t>
    </w:r>
  </w:p>
  <w:p w14:paraId="2A300B13" w14:textId="77777777" w:rsidR="004048E0" w:rsidRDefault="004048E0" w:rsidP="004048E0">
    <w:pPr>
      <w:pStyle w:val="Header"/>
      <w:jc w:val="center"/>
    </w:pPr>
    <w:r>
      <w:rPr>
        <w:rFonts w:ascii="Calibri" w:hAnsi="Calibri" w:cs="Calibri"/>
        <w:b/>
      </w:rPr>
      <w:t>(Example Emergency Engine</w:t>
    </w:r>
    <w:r w:rsidR="00DB3A70">
      <w:rPr>
        <w:rFonts w:ascii="Calibri" w:hAnsi="Calibri" w:cs="Calibri"/>
        <w:b/>
      </w:rPr>
      <w:t xml:space="preserve"> </w:t>
    </w:r>
    <w:r w:rsidR="00896C37">
      <w:rPr>
        <w:rFonts w:ascii="Calibri" w:hAnsi="Calibri" w:cs="Calibri"/>
        <w:b/>
      </w:rPr>
      <w:t>Daily/</w:t>
    </w:r>
    <w:r w:rsidR="00DB3A70">
      <w:rPr>
        <w:rFonts w:ascii="Calibri" w:hAnsi="Calibri" w:cs="Calibri"/>
        <w:b/>
      </w:rPr>
      <w:t>Monthly</w:t>
    </w:r>
    <w:r>
      <w:rPr>
        <w:rFonts w:ascii="Calibri" w:hAnsi="Calibri" w:cs="Calibri"/>
        <w:b/>
      </w:rPr>
      <w:t xml:space="preserve"> Hours 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788E"/>
    <w:multiLevelType w:val="hybridMultilevel"/>
    <w:tmpl w:val="F258D466"/>
    <w:lvl w:ilvl="0" w:tplc="D56C44E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E0"/>
    <w:rsid w:val="00046A30"/>
    <w:rsid w:val="001E260E"/>
    <w:rsid w:val="002351CF"/>
    <w:rsid w:val="002C33F5"/>
    <w:rsid w:val="0034297C"/>
    <w:rsid w:val="004048E0"/>
    <w:rsid w:val="00481411"/>
    <w:rsid w:val="004C3DDC"/>
    <w:rsid w:val="00513DA7"/>
    <w:rsid w:val="005A0206"/>
    <w:rsid w:val="005A703F"/>
    <w:rsid w:val="00721F6A"/>
    <w:rsid w:val="00766354"/>
    <w:rsid w:val="007A1B08"/>
    <w:rsid w:val="007B069A"/>
    <w:rsid w:val="007C1EFF"/>
    <w:rsid w:val="00896C37"/>
    <w:rsid w:val="009536A4"/>
    <w:rsid w:val="009D02B9"/>
    <w:rsid w:val="00AF520B"/>
    <w:rsid w:val="00B06372"/>
    <w:rsid w:val="00B10D2E"/>
    <w:rsid w:val="00B611C3"/>
    <w:rsid w:val="00C00BC5"/>
    <w:rsid w:val="00C03219"/>
    <w:rsid w:val="00C61208"/>
    <w:rsid w:val="00C708C2"/>
    <w:rsid w:val="00CE33E5"/>
    <w:rsid w:val="00D30723"/>
    <w:rsid w:val="00DB3A70"/>
    <w:rsid w:val="00E177F1"/>
    <w:rsid w:val="00E3477D"/>
    <w:rsid w:val="00F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5B48"/>
  <w15:docId w15:val="{E2889147-773A-4777-BC2A-3D3D97C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E0"/>
  </w:style>
  <w:style w:type="paragraph" w:styleId="Footer">
    <w:name w:val="footer"/>
    <w:basedOn w:val="Normal"/>
    <w:link w:val="Foot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E0"/>
  </w:style>
  <w:style w:type="paragraph" w:styleId="BalloonText">
    <w:name w:val="Balloon Text"/>
    <w:basedOn w:val="Normal"/>
    <w:link w:val="BalloonTextChar"/>
    <w:uiPriority w:val="99"/>
    <w:semiHidden/>
    <w:unhideWhenUsed/>
    <w:rsid w:val="0040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K. Pierce</dc:creator>
  <cp:lastModifiedBy>Preston K. Pierce</cp:lastModifiedBy>
  <cp:revision>2</cp:revision>
  <dcterms:created xsi:type="dcterms:W3CDTF">2020-09-02T18:51:00Z</dcterms:created>
  <dcterms:modified xsi:type="dcterms:W3CDTF">2020-09-02T18:51:00Z</dcterms:modified>
</cp:coreProperties>
</file>