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222BE9" w:rsidRDefault="00222BE9" w:rsidP="00D53761">
      <w:pPr>
        <w:spacing w:after="0" w:line="240" w:lineRule="auto"/>
        <w:rPr>
          <w:rFonts w:ascii="Open Sans" w:eastAsia="Times New Roman" w:hAnsi="Open Sans" w:cs="Open Sans"/>
          <w:color w:val="000000"/>
          <w:sz w:val="16"/>
          <w:szCs w:val="16"/>
        </w:rPr>
      </w:pPr>
    </w:p>
    <w:p w:rsidR="007D7BEB" w:rsidRDefault="007D7BEB"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7D7BEB" w:rsidRPr="00214F1D" w:rsidTr="00223D39">
        <w:tc>
          <w:tcPr>
            <w:tcW w:w="12950" w:type="dxa"/>
            <w:gridSpan w:val="4"/>
            <w:shd w:val="clear" w:color="auto" w:fill="8DB3E2" w:themeFill="text2" w:themeFillTint="66"/>
          </w:tcPr>
          <w:p w:rsidR="007D7BEB" w:rsidRPr="00807E9D" w:rsidRDefault="007D7BEB" w:rsidP="00223D39">
            <w:pPr>
              <w:jc w:val="center"/>
              <w:rPr>
                <w:rFonts w:ascii="Open Sans" w:hAnsi="Open Sans" w:cs="Open Sans"/>
                <w:b/>
                <w:sz w:val="28"/>
                <w:szCs w:val="28"/>
              </w:rPr>
            </w:pPr>
            <w:r w:rsidRPr="00807E9D">
              <w:rPr>
                <w:rFonts w:ascii="Open Sans" w:hAnsi="Open Sans" w:cs="Open Sans"/>
                <w:b/>
                <w:sz w:val="28"/>
                <w:szCs w:val="28"/>
              </w:rPr>
              <w:t>SECTION I</w:t>
            </w:r>
          </w:p>
          <w:p w:rsidR="007D7BEB" w:rsidRDefault="007D7BEB"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7D7BEB" w:rsidRPr="00807E9D" w:rsidRDefault="007D7BEB"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7D7BEB" w:rsidRPr="00214F1D" w:rsidRDefault="007D7BEB"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7D7BEB" w:rsidRPr="00003A5D" w:rsidTr="00223D39">
        <w:tc>
          <w:tcPr>
            <w:tcW w:w="12950" w:type="dxa"/>
            <w:gridSpan w:val="4"/>
            <w:shd w:val="clear" w:color="auto" w:fill="8DB3E2" w:themeFill="text2" w:themeFillTint="66"/>
          </w:tcPr>
          <w:p w:rsidR="007D7BEB" w:rsidRPr="00003A5D" w:rsidRDefault="007D7BEB" w:rsidP="00223D39">
            <w:pPr>
              <w:rPr>
                <w:rFonts w:ascii="Open Sans" w:eastAsia="Times New Roman" w:hAnsi="Open Sans" w:cs="Open Sans"/>
                <w:b/>
                <w:sz w:val="20"/>
                <w:szCs w:val="20"/>
              </w:rPr>
            </w:pPr>
            <w:r>
              <w:rPr>
                <w:rFonts w:ascii="Open Sans" w:hAnsi="Open Sans" w:cs="Open Sans"/>
                <w:i/>
                <w:sz w:val="20"/>
                <w:szCs w:val="20"/>
              </w:rPr>
              <w:t>Of the 23 standards listed below, 19</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7D7BEB" w:rsidRPr="00214F1D" w:rsidTr="00223D39">
        <w:tc>
          <w:tcPr>
            <w:tcW w:w="12950" w:type="dxa"/>
            <w:gridSpan w:val="4"/>
            <w:shd w:val="clear" w:color="auto" w:fill="8DB3E2" w:themeFill="text2" w:themeFillTint="66"/>
          </w:tcPr>
          <w:p w:rsidR="007D7BEB" w:rsidRPr="00214F1D" w:rsidRDefault="007D7BEB"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Tr="007D7BEB">
        <w:tc>
          <w:tcPr>
            <w:tcW w:w="7555" w:type="dxa"/>
            <w:shd w:val="clear" w:color="auto" w:fill="C6D9F1" w:themeFill="text2" w:themeFillTint="33"/>
          </w:tcPr>
          <w:p w:rsidR="005D7F02" w:rsidRPr="00F30CEA" w:rsidRDefault="005D7F02" w:rsidP="00D53761">
            <w:pPr>
              <w:rPr>
                <w:rFonts w:ascii="Open Sans" w:eastAsia="Times New Roman" w:hAnsi="Open Sans" w:cs="Open Sans"/>
                <w:b/>
                <w:sz w:val="20"/>
                <w:szCs w:val="20"/>
              </w:rPr>
            </w:pPr>
            <w:r w:rsidRPr="00222BE9">
              <w:rPr>
                <w:rFonts w:ascii="Open Sans" w:eastAsia="Times New Roman" w:hAnsi="Open Sans" w:cs="Open Sans"/>
                <w:b/>
                <w:sz w:val="20"/>
                <w:szCs w:val="20"/>
              </w:rPr>
              <w:t>Standard</w:t>
            </w:r>
          </w:p>
        </w:tc>
        <w:tc>
          <w:tcPr>
            <w:tcW w:w="630" w:type="dxa"/>
            <w:shd w:val="clear" w:color="auto" w:fill="C6D9F1" w:themeFill="text2" w:themeFillTint="33"/>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C6D9F1" w:themeFill="text2" w:themeFillTint="33"/>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shd w:val="clear" w:color="auto" w:fill="C6D9F1" w:themeFill="text2" w:themeFillTint="33"/>
          </w:tcPr>
          <w:p w:rsidR="005D7F02" w:rsidRDefault="007D7BEB" w:rsidP="007D7BEB">
            <w:pPr>
              <w:rPr>
                <w:rFonts w:ascii="Open Sans" w:eastAsia="Times New Roman" w:hAnsi="Open Sans" w:cs="Open Sans"/>
                <w:sz w:val="20"/>
                <w:szCs w:val="20"/>
              </w:rPr>
            </w:pPr>
            <w:r>
              <w:rPr>
                <w:rFonts w:ascii="Open Sans" w:eastAsia="Times New Roman" w:hAnsi="Open Sans" w:cs="Open Sans"/>
                <w:b/>
                <w:sz w:val="20"/>
                <w:szCs w:val="20"/>
                <w:shd w:val="clear" w:color="auto" w:fill="F2F2F2" w:themeFill="background1" w:themeFillShade="F2"/>
              </w:rPr>
              <w:t>Evidence/Notes</w:t>
            </w:r>
          </w:p>
        </w:tc>
      </w:tr>
      <w:tr w:rsidR="005D7F02" w:rsidTr="007D7BEB">
        <w:tc>
          <w:tcPr>
            <w:tcW w:w="7555" w:type="dxa"/>
            <w:shd w:val="clear" w:color="auto" w:fill="DBE5F1" w:themeFill="accent1" w:themeFillTint="33"/>
          </w:tcPr>
          <w:p w:rsidR="005D7F02" w:rsidRPr="0088006E" w:rsidRDefault="00BF74CE" w:rsidP="0088006E">
            <w:pPr>
              <w:pStyle w:val="ListParagraph"/>
              <w:numPr>
                <w:ilvl w:val="0"/>
                <w:numId w:val="13"/>
              </w:numPr>
              <w:contextualSpacing w:val="0"/>
              <w:rPr>
                <w:rFonts w:ascii="Open Sans" w:hAnsi="Open Sans" w:cs="Open Sans"/>
                <w:sz w:val="20"/>
                <w:szCs w:val="20"/>
              </w:rPr>
            </w:pPr>
            <w:r w:rsidRPr="00BF74CE">
              <w:rPr>
                <w:rFonts w:ascii="Open Sans" w:hAnsi="Open Sans" w:cs="Open Sans"/>
                <w:sz w:val="20"/>
                <w:szCs w:val="20"/>
              </w:rPr>
              <w:t xml:space="preserve">Review career research from the Foundations of Law course, complete one or more career aptitude surveys, analyze the results, and relate in an essay how personal career aptitudes align with Legal Services careers comparing the range of skills, competencies, and professional traits required.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7D7BEB">
        <w:tc>
          <w:tcPr>
            <w:tcW w:w="7555" w:type="dxa"/>
            <w:shd w:val="clear" w:color="auto" w:fill="DBE5F1" w:themeFill="accent1" w:themeFillTint="33"/>
          </w:tcPr>
          <w:p w:rsidR="005D7F02" w:rsidRPr="0088006E" w:rsidRDefault="00BF74CE" w:rsidP="0088006E">
            <w:pPr>
              <w:numPr>
                <w:ilvl w:val="0"/>
                <w:numId w:val="13"/>
              </w:numPr>
              <w:tabs>
                <w:tab w:val="left" w:pos="720"/>
                <w:tab w:val="left" w:pos="5580"/>
              </w:tabs>
              <w:rPr>
                <w:rFonts w:ascii="Open Sans" w:hAnsi="Open Sans" w:cs="Open Sans"/>
                <w:sz w:val="20"/>
                <w:szCs w:val="20"/>
              </w:rPr>
            </w:pPr>
            <w:r w:rsidRPr="00BF74CE">
              <w:rPr>
                <w:rFonts w:ascii="Open Sans" w:hAnsi="Open Sans" w:cs="Open Sans"/>
                <w:sz w:val="20"/>
                <w:szCs w:val="20"/>
              </w:rPr>
              <w:t>Evaluate factors that contribute to effective communication between professionals and their clients, including demonstrating sensitivity to privileged conversations, language barriers, cultural differences, and individuals with special needs. Compare effective practices appropriate for an office, police station, or classroom setting.</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7D7BEB">
        <w:tc>
          <w:tcPr>
            <w:tcW w:w="7555" w:type="dxa"/>
            <w:shd w:val="clear" w:color="auto" w:fill="DBE5F1" w:themeFill="accent1" w:themeFillTint="33"/>
          </w:tcPr>
          <w:p w:rsidR="005D7F02" w:rsidRPr="0088006E" w:rsidRDefault="00BF74CE" w:rsidP="0088006E">
            <w:pPr>
              <w:pStyle w:val="ListParagraph"/>
              <w:numPr>
                <w:ilvl w:val="0"/>
                <w:numId w:val="13"/>
              </w:numPr>
              <w:contextualSpacing w:val="0"/>
              <w:rPr>
                <w:rFonts w:ascii="Open Sans" w:hAnsi="Open Sans" w:cs="Open Sans"/>
                <w:sz w:val="20"/>
                <w:szCs w:val="20"/>
              </w:rPr>
            </w:pPr>
            <w:r w:rsidRPr="00BF74CE">
              <w:rPr>
                <w:rFonts w:ascii="Open Sans" w:hAnsi="Open Sans" w:cs="Open Sans"/>
                <w:sz w:val="20"/>
                <w:szCs w:val="20"/>
              </w:rPr>
              <w:t xml:space="preserve">Using the Tennessee Criminal Statutes Blue book and Federal Criminal Statutes, prepare an informative narrative describing the range of sentencing options in criminal trials at the federal and state levels. Describe the roles of the judge and jury in the decision-making process for each of the options noted.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7D7BEB">
        <w:tc>
          <w:tcPr>
            <w:tcW w:w="7555" w:type="dxa"/>
            <w:shd w:val="clear" w:color="auto" w:fill="DBE5F1" w:themeFill="accent1" w:themeFillTint="33"/>
          </w:tcPr>
          <w:p w:rsidR="005D7F02" w:rsidRPr="0088006E" w:rsidRDefault="00BF74CE" w:rsidP="0088006E">
            <w:pPr>
              <w:pStyle w:val="ListParagraph"/>
              <w:numPr>
                <w:ilvl w:val="0"/>
                <w:numId w:val="13"/>
              </w:numPr>
            </w:pPr>
            <w:r w:rsidRPr="00BF74CE">
              <w:t xml:space="preserve">Illustrate the options for alternative sentencing in criminal case convictions and identify the length of sentences available for alternative sentencing in Tennessee. Argue the pros and cons of indeterminate sentencing; research current sentencing trends in Tennessee and their perceived or documented effects on prisoner behavior.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7D7BEB">
        <w:tc>
          <w:tcPr>
            <w:tcW w:w="7555" w:type="dxa"/>
            <w:shd w:val="clear" w:color="auto" w:fill="DBE5F1" w:themeFill="accent1" w:themeFillTint="33"/>
          </w:tcPr>
          <w:p w:rsidR="005D7F02" w:rsidRPr="0088006E" w:rsidRDefault="00BF74CE" w:rsidP="0088006E">
            <w:pPr>
              <w:pStyle w:val="ListParagraph"/>
              <w:numPr>
                <w:ilvl w:val="0"/>
                <w:numId w:val="13"/>
              </w:numPr>
              <w:rPr>
                <w:bCs/>
              </w:rPr>
            </w:pPr>
            <w:r w:rsidRPr="00BF74CE">
              <w:rPr>
                <w:bCs/>
              </w:rPr>
              <w:lastRenderedPageBreak/>
              <w:t xml:space="preserve">Explore the origins of parole, probation, intermediate sanctions and community corrections. Define each term and explain the interrelationship of the concepts, addressing both law enforcement and social issues in criminal justice. Investigate data resources available through government and nonprofit sources on issues related to parole, probation, and intermediate sanctions; review data available from the Bureau of Justice Statistics and analyze trends and success rates in the overall community supervision population.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7D7BEB">
        <w:tc>
          <w:tcPr>
            <w:tcW w:w="7555" w:type="dxa"/>
            <w:shd w:val="clear" w:color="auto" w:fill="DBE5F1" w:themeFill="accent1" w:themeFillTint="33"/>
          </w:tcPr>
          <w:p w:rsidR="005D7F02" w:rsidRPr="0088006E" w:rsidRDefault="00BF74CE" w:rsidP="0088006E">
            <w:pPr>
              <w:pStyle w:val="ListParagraph"/>
              <w:numPr>
                <w:ilvl w:val="0"/>
                <w:numId w:val="13"/>
              </w:numPr>
            </w:pPr>
            <w:r w:rsidRPr="00BF74CE">
              <w:t xml:space="preserve">Evaluate Tennessee legislative activity over the past decade with respect to juvenile offenders. Evaluate major legislation passed and analyze what these trends signify for the local justice system. Write a persuasive essay on restorative practices for juveniles and its impact on recidivism.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1B02DE" w:rsidTr="007D7BEB">
        <w:tc>
          <w:tcPr>
            <w:tcW w:w="7555" w:type="dxa"/>
            <w:shd w:val="clear" w:color="auto" w:fill="DBE5F1" w:themeFill="accent1" w:themeFillTint="33"/>
          </w:tcPr>
          <w:p w:rsidR="001B02DE"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t xml:space="preserve">Summarize landmark Supreme Court decisions that have addressed issues of racial discrimination and sentencing. Explore the effects of at least one decision on the sentencing outcome of a criminal case.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7D7BEB">
        <w:tc>
          <w:tcPr>
            <w:tcW w:w="7555" w:type="dxa"/>
            <w:shd w:val="clear" w:color="auto" w:fill="DBE5F1" w:themeFill="accent1" w:themeFillTint="33"/>
          </w:tcPr>
          <w:p w:rsidR="001B02DE"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t xml:space="preserve">Using a timeline, analyze Supreme Court decisions that have had the greatest influence over wide areas of procedure, eligible crimes, acceptable evidence, and method of execution in capital punishment cases.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7D7BEB">
        <w:tc>
          <w:tcPr>
            <w:tcW w:w="7555" w:type="dxa"/>
            <w:shd w:val="clear" w:color="auto" w:fill="DBE5F1" w:themeFill="accent1" w:themeFillTint="33"/>
          </w:tcPr>
          <w:p w:rsidR="001B02DE"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t xml:space="preserve">Create a graphic organizer depicting types of civil cases including, but not limited to divorce and family, personal injury or TORT claims, breach of contract, property disputes, and landlord and tenant disputes. Include the most common decisions reached in each of the cases along with a description of punitive and compensatory damages.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7D7BEB">
        <w:tc>
          <w:tcPr>
            <w:tcW w:w="7555" w:type="dxa"/>
            <w:shd w:val="clear" w:color="auto" w:fill="DBE5F1" w:themeFill="accent1" w:themeFillTint="33"/>
          </w:tcPr>
          <w:p w:rsidR="001B02DE" w:rsidRPr="0088006E" w:rsidRDefault="00D07D4D" w:rsidP="0088006E">
            <w:pPr>
              <w:pStyle w:val="ListParagraph"/>
              <w:numPr>
                <w:ilvl w:val="0"/>
                <w:numId w:val="13"/>
              </w:numPr>
              <w:rPr>
                <w:bCs/>
              </w:rPr>
            </w:pPr>
            <w:r w:rsidRPr="00D07D4D">
              <w:rPr>
                <w:bCs/>
              </w:rPr>
              <w:t xml:space="preserve">Interpret the elements of a wrongful death lawsuit. Compare and contrast pecuniary injuries such as the loss of support, services, lost prospect of inheritance, and medical and funeral expenses. Discuss how a court determines fair and just compensation for the injuries that resulted from the decedent’s death.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7D7BEB">
        <w:tc>
          <w:tcPr>
            <w:tcW w:w="7555" w:type="dxa"/>
            <w:shd w:val="clear" w:color="auto" w:fill="DBE5F1" w:themeFill="accent1" w:themeFillTint="33"/>
          </w:tcPr>
          <w:p w:rsidR="001B02DE" w:rsidRPr="0088006E" w:rsidRDefault="00D07D4D" w:rsidP="0088006E">
            <w:pPr>
              <w:pStyle w:val="ListParagraph"/>
              <w:numPr>
                <w:ilvl w:val="0"/>
                <w:numId w:val="13"/>
              </w:numPr>
              <w:rPr>
                <w:rFonts w:ascii="Open Sans" w:hAnsi="Open Sans" w:cs="Open Sans"/>
                <w:bCs/>
                <w:sz w:val="20"/>
                <w:szCs w:val="20"/>
              </w:rPr>
            </w:pPr>
            <w:r w:rsidRPr="00D07D4D">
              <w:rPr>
                <w:rFonts w:ascii="Open Sans" w:hAnsi="Open Sans" w:cs="Open Sans"/>
                <w:bCs/>
                <w:sz w:val="20"/>
                <w:szCs w:val="20"/>
              </w:rPr>
              <w:t xml:space="preserve">Define what constitutes an appeal, who can file it, and at what point it can occur; explain the right to an appeal and which court decisions, at what level, are eligible for appeal. Differentiate between a traditional, interlocutory, and appeals.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7D7BEB">
        <w:tc>
          <w:tcPr>
            <w:tcW w:w="7555" w:type="dxa"/>
            <w:shd w:val="clear" w:color="auto" w:fill="DBE5F1" w:themeFill="accent1" w:themeFillTint="33"/>
          </w:tcPr>
          <w:p w:rsidR="001B02DE"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lastRenderedPageBreak/>
              <w:t>Construct a diagram to demonstrate the appeals process in the state or federal court system, include the roles of the appellant and appellee, the role of the appellate brief, and the stages of review. Review the components of an appellate brief and draft an outline for a brief based on a fact based scenario.</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DE024E" w:rsidTr="007D7BEB">
        <w:tc>
          <w:tcPr>
            <w:tcW w:w="7555" w:type="dxa"/>
            <w:shd w:val="clear" w:color="auto" w:fill="DBE5F1" w:themeFill="accent1" w:themeFillTint="33"/>
          </w:tcPr>
          <w:p w:rsidR="00DE024E" w:rsidRPr="0088006E" w:rsidRDefault="00D07D4D" w:rsidP="0088006E">
            <w:pPr>
              <w:numPr>
                <w:ilvl w:val="0"/>
                <w:numId w:val="13"/>
              </w:numPr>
              <w:rPr>
                <w:rFonts w:ascii="Open Sans" w:hAnsi="Open Sans" w:cs="Open Sans"/>
                <w:bCs/>
                <w:sz w:val="20"/>
                <w:szCs w:val="20"/>
              </w:rPr>
            </w:pPr>
            <w:r w:rsidRPr="00D07D4D">
              <w:rPr>
                <w:rFonts w:ascii="Open Sans" w:hAnsi="Open Sans" w:cs="Open Sans"/>
                <w:bCs/>
                <w:sz w:val="20"/>
                <w:szCs w:val="20"/>
              </w:rPr>
              <w:t xml:space="preserve">Outline the medical, community, and crime control models of corrections used in the U.S. since 1900, identifying recurring trends and major reform movements in the 21st century.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081B71" w:rsidTr="007D7BEB">
        <w:tc>
          <w:tcPr>
            <w:tcW w:w="7555" w:type="dxa"/>
            <w:shd w:val="clear" w:color="auto" w:fill="DBE5F1" w:themeFill="accent1" w:themeFillTint="33"/>
          </w:tcPr>
          <w:p w:rsidR="00081B71"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t xml:space="preserve">Determine the offense with the highest percentage of convicted criminals currently incarcerated in Tennessee’s prison system. Calculate the average sentence length and analyze trends in incarceration rates in Tennessee over the past decade. </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7D7BEB">
        <w:tc>
          <w:tcPr>
            <w:tcW w:w="7555" w:type="dxa"/>
            <w:shd w:val="clear" w:color="auto" w:fill="DBE5F1" w:themeFill="accent1" w:themeFillTint="33"/>
          </w:tcPr>
          <w:p w:rsidR="00081B71"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t xml:space="preserve">Calculate the costs associated with investigating, arresting, prosecuting, sentencing, and housing someone who has committed a felony. </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7D7BEB">
        <w:tc>
          <w:tcPr>
            <w:tcW w:w="7555" w:type="dxa"/>
            <w:shd w:val="clear" w:color="auto" w:fill="DBE5F1" w:themeFill="accent1" w:themeFillTint="33"/>
          </w:tcPr>
          <w:p w:rsidR="00081B71"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t xml:space="preserve">Prepare a chart of the federal and state prisons and county jails in Tennessee, detailing special services or populations served and the level of security at each. Choose one institution (such as the women’s state prison or the federal prison) and compare and contrast services provided at that institution to those provided at other prison facilities. </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7D7BEB">
        <w:tc>
          <w:tcPr>
            <w:tcW w:w="7555" w:type="dxa"/>
            <w:shd w:val="clear" w:color="auto" w:fill="DBE5F1" w:themeFill="accent1" w:themeFillTint="33"/>
          </w:tcPr>
          <w:p w:rsidR="00081B71"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t>Diagram the structure of the juvenile detention system in Tennessee; explore efforts underway in the state to address the problem of disproportionate confinement.</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7D7BEB">
        <w:tc>
          <w:tcPr>
            <w:tcW w:w="7555" w:type="dxa"/>
            <w:shd w:val="clear" w:color="auto" w:fill="DBE5F1" w:themeFill="accent1" w:themeFillTint="33"/>
          </w:tcPr>
          <w:p w:rsidR="00081B71" w:rsidRPr="00D07D4D" w:rsidRDefault="00D07D4D" w:rsidP="00D07D4D">
            <w:pPr>
              <w:pStyle w:val="ListParagraph"/>
              <w:numPr>
                <w:ilvl w:val="0"/>
                <w:numId w:val="13"/>
              </w:numPr>
              <w:rPr>
                <w:rFonts w:ascii="Open Sans" w:hAnsi="Open Sans" w:cs="Open Sans"/>
                <w:bCs/>
                <w:sz w:val="20"/>
                <w:szCs w:val="20"/>
              </w:rPr>
            </w:pPr>
            <w:r w:rsidRPr="00D07D4D">
              <w:rPr>
                <w:rFonts w:ascii="Open Sans" w:hAnsi="Open Sans" w:cs="Open Sans"/>
                <w:sz w:val="20"/>
                <w:szCs w:val="20"/>
              </w:rPr>
              <w:t>Search for interview transcripts, video documentation, or other published primary and secondary sources detailing first-hand testimony of contemporary prison culture and determine how it is affected by the size and security level of the prison or the types of crimes committed by inmates. Cite example cases whose decisions affected the rights incarcerated individuals. Describe basic prisoner rights protected by the Constitution</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7D7BEB">
        <w:tc>
          <w:tcPr>
            <w:tcW w:w="7555" w:type="dxa"/>
            <w:shd w:val="clear" w:color="auto" w:fill="DBE5F1" w:themeFill="accent1" w:themeFillTint="33"/>
          </w:tcPr>
          <w:p w:rsidR="00081B71"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t xml:space="preserve">Investigate the Rules of the Tennessee Corrections Institute related to correctional facilities inspection and summarize some of the minimum standards for local jails and detention facilities, addressing categories </w:t>
            </w:r>
            <w:r w:rsidRPr="00D07D4D">
              <w:rPr>
                <w:rFonts w:ascii="Open Sans" w:hAnsi="Open Sans" w:cs="Open Sans"/>
                <w:sz w:val="20"/>
                <w:szCs w:val="20"/>
              </w:rPr>
              <w:lastRenderedPageBreak/>
              <w:t xml:space="preserve">such as security, discipline, administration, medical services, and food services. </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7D7BEB">
        <w:tc>
          <w:tcPr>
            <w:tcW w:w="7555" w:type="dxa"/>
            <w:shd w:val="clear" w:color="auto" w:fill="DBE5F1" w:themeFill="accent1" w:themeFillTint="33"/>
          </w:tcPr>
          <w:p w:rsidR="00081B71" w:rsidRPr="0088006E" w:rsidRDefault="00D07D4D" w:rsidP="0088006E">
            <w:pPr>
              <w:pStyle w:val="ListParagraph"/>
              <w:numPr>
                <w:ilvl w:val="0"/>
                <w:numId w:val="13"/>
              </w:numPr>
              <w:tabs>
                <w:tab w:val="left" w:pos="270"/>
              </w:tabs>
              <w:rPr>
                <w:rFonts w:ascii="Open Sans" w:hAnsi="Open Sans" w:cs="Open Sans"/>
                <w:sz w:val="20"/>
                <w:szCs w:val="20"/>
              </w:rPr>
            </w:pPr>
            <w:r w:rsidRPr="00D07D4D">
              <w:rPr>
                <w:rFonts w:ascii="Open Sans" w:hAnsi="Open Sans" w:cs="Open Sans"/>
                <w:sz w:val="20"/>
                <w:szCs w:val="20"/>
              </w:rPr>
              <w:t xml:space="preserve">Differentiate at least three issues county correctional facilities in Tennessee are currently facing; correlate contributing factors for each issue and debate a range of policy changes that could potentially mitigate current areas of concern. Example topics could include state reimbursement issues and support for individuals with mental health conditions. </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D07D4D" w:rsidTr="007D7BEB">
        <w:tc>
          <w:tcPr>
            <w:tcW w:w="7555" w:type="dxa"/>
            <w:shd w:val="clear" w:color="auto" w:fill="DBE5F1" w:themeFill="accent1" w:themeFillTint="33"/>
          </w:tcPr>
          <w:p w:rsidR="00D07D4D" w:rsidRPr="0088006E" w:rsidRDefault="00D07D4D" w:rsidP="0088006E">
            <w:pPr>
              <w:pStyle w:val="ListParagraph"/>
              <w:numPr>
                <w:ilvl w:val="0"/>
                <w:numId w:val="13"/>
              </w:numPr>
              <w:rPr>
                <w:rFonts w:ascii="Open Sans" w:hAnsi="Open Sans" w:cs="Open Sans"/>
                <w:sz w:val="20"/>
                <w:szCs w:val="20"/>
              </w:rPr>
            </w:pPr>
            <w:r w:rsidRPr="00D07D4D">
              <w:rPr>
                <w:rFonts w:ascii="Open Sans" w:hAnsi="Open Sans" w:cs="Open Sans"/>
                <w:sz w:val="20"/>
                <w:szCs w:val="20"/>
              </w:rPr>
              <w:t xml:space="preserve">Analyze legal considerations of domestic cases including marriage, divorce, child custody, and abuse. Draft a divorce decree outlining division of property and debt, alimony, child custody and support. File an answer with at least one affirmative defense to fault grounds for divorce. </w:t>
            </w:r>
          </w:p>
        </w:tc>
        <w:tc>
          <w:tcPr>
            <w:tcW w:w="630" w:type="dxa"/>
            <w:shd w:val="clear" w:color="auto" w:fill="DBE5F1" w:themeFill="accent1" w:themeFillTint="33"/>
          </w:tcPr>
          <w:p w:rsidR="00D07D4D" w:rsidRDefault="00D07D4D" w:rsidP="00D53761">
            <w:pPr>
              <w:rPr>
                <w:rFonts w:ascii="Open Sans" w:eastAsia="Times New Roman" w:hAnsi="Open Sans" w:cs="Open Sans"/>
                <w:sz w:val="20"/>
                <w:szCs w:val="20"/>
              </w:rPr>
            </w:pPr>
          </w:p>
        </w:tc>
        <w:tc>
          <w:tcPr>
            <w:tcW w:w="630" w:type="dxa"/>
            <w:shd w:val="clear" w:color="auto" w:fill="DBE5F1" w:themeFill="accent1" w:themeFillTint="33"/>
          </w:tcPr>
          <w:p w:rsidR="00D07D4D" w:rsidRDefault="00D07D4D" w:rsidP="00D53761">
            <w:pPr>
              <w:rPr>
                <w:rFonts w:ascii="Open Sans" w:eastAsia="Times New Roman" w:hAnsi="Open Sans" w:cs="Open Sans"/>
                <w:sz w:val="20"/>
                <w:szCs w:val="20"/>
              </w:rPr>
            </w:pPr>
          </w:p>
        </w:tc>
        <w:tc>
          <w:tcPr>
            <w:tcW w:w="4135" w:type="dxa"/>
            <w:shd w:val="clear" w:color="auto" w:fill="DBE5F1" w:themeFill="accent1" w:themeFillTint="33"/>
          </w:tcPr>
          <w:p w:rsidR="00D07D4D" w:rsidRDefault="00D07D4D" w:rsidP="00D53761">
            <w:pPr>
              <w:rPr>
                <w:rFonts w:ascii="Open Sans" w:eastAsia="Times New Roman" w:hAnsi="Open Sans" w:cs="Open Sans"/>
                <w:sz w:val="20"/>
                <w:szCs w:val="20"/>
              </w:rPr>
            </w:pPr>
          </w:p>
        </w:tc>
      </w:tr>
      <w:tr w:rsidR="00D07D4D" w:rsidTr="007D7BEB">
        <w:tc>
          <w:tcPr>
            <w:tcW w:w="7555" w:type="dxa"/>
            <w:shd w:val="clear" w:color="auto" w:fill="DBE5F1" w:themeFill="accent1" w:themeFillTint="33"/>
          </w:tcPr>
          <w:p w:rsidR="00D07D4D" w:rsidRPr="0088006E" w:rsidRDefault="00D07D4D" w:rsidP="0088006E">
            <w:pPr>
              <w:pStyle w:val="ListParagraph"/>
              <w:numPr>
                <w:ilvl w:val="0"/>
                <w:numId w:val="13"/>
              </w:numPr>
              <w:spacing w:line="259" w:lineRule="auto"/>
              <w:rPr>
                <w:rFonts w:ascii="Open Sans" w:hAnsi="Open Sans" w:cs="Open Sans"/>
                <w:sz w:val="20"/>
                <w:szCs w:val="20"/>
              </w:rPr>
            </w:pPr>
            <w:r w:rsidRPr="00AC4719">
              <w:rPr>
                <w:rFonts w:ascii="Open Sans" w:hAnsi="Open Sans" w:cs="Open Sans"/>
                <w:sz w:val="20"/>
                <w:szCs w:val="20"/>
              </w:rPr>
              <w:t xml:space="preserve">Investigate items that are considered personal property and determine the characteristics of items that would deem them real property. Analyze case studies related to real and personal property differentiating between both types of properties within each case study. </w:t>
            </w:r>
          </w:p>
        </w:tc>
        <w:tc>
          <w:tcPr>
            <w:tcW w:w="630" w:type="dxa"/>
            <w:shd w:val="clear" w:color="auto" w:fill="DBE5F1" w:themeFill="accent1" w:themeFillTint="33"/>
          </w:tcPr>
          <w:p w:rsidR="00D07D4D" w:rsidRDefault="00D07D4D" w:rsidP="00D53761">
            <w:pPr>
              <w:rPr>
                <w:rFonts w:ascii="Open Sans" w:eastAsia="Times New Roman" w:hAnsi="Open Sans" w:cs="Open Sans"/>
                <w:sz w:val="20"/>
                <w:szCs w:val="20"/>
              </w:rPr>
            </w:pPr>
          </w:p>
        </w:tc>
        <w:tc>
          <w:tcPr>
            <w:tcW w:w="630" w:type="dxa"/>
            <w:shd w:val="clear" w:color="auto" w:fill="DBE5F1" w:themeFill="accent1" w:themeFillTint="33"/>
          </w:tcPr>
          <w:p w:rsidR="00D07D4D" w:rsidRDefault="00D07D4D" w:rsidP="00D53761">
            <w:pPr>
              <w:rPr>
                <w:rFonts w:ascii="Open Sans" w:eastAsia="Times New Roman" w:hAnsi="Open Sans" w:cs="Open Sans"/>
                <w:sz w:val="20"/>
                <w:szCs w:val="20"/>
              </w:rPr>
            </w:pPr>
          </w:p>
        </w:tc>
        <w:tc>
          <w:tcPr>
            <w:tcW w:w="4135" w:type="dxa"/>
            <w:shd w:val="clear" w:color="auto" w:fill="DBE5F1" w:themeFill="accent1" w:themeFillTint="33"/>
          </w:tcPr>
          <w:p w:rsidR="00D07D4D" w:rsidRDefault="00D07D4D" w:rsidP="00D53761">
            <w:pPr>
              <w:rPr>
                <w:rFonts w:ascii="Open Sans" w:eastAsia="Times New Roman" w:hAnsi="Open Sans" w:cs="Open Sans"/>
                <w:sz w:val="20"/>
                <w:szCs w:val="20"/>
              </w:rPr>
            </w:pPr>
          </w:p>
        </w:tc>
      </w:tr>
      <w:tr w:rsidR="00D07D4D" w:rsidTr="007D7BEB">
        <w:tc>
          <w:tcPr>
            <w:tcW w:w="7555" w:type="dxa"/>
            <w:shd w:val="clear" w:color="auto" w:fill="DBE5F1" w:themeFill="accent1" w:themeFillTint="33"/>
          </w:tcPr>
          <w:p w:rsidR="00D07D4D" w:rsidRPr="0088006E" w:rsidRDefault="00D07D4D" w:rsidP="0088006E">
            <w:pPr>
              <w:pStyle w:val="ListParagraph"/>
              <w:numPr>
                <w:ilvl w:val="0"/>
                <w:numId w:val="13"/>
              </w:numPr>
              <w:spacing w:line="259" w:lineRule="auto"/>
              <w:rPr>
                <w:rFonts w:ascii="Open Sans" w:hAnsi="Open Sans" w:cs="Open Sans"/>
                <w:sz w:val="20"/>
                <w:szCs w:val="20"/>
              </w:rPr>
            </w:pPr>
            <w:r>
              <w:rPr>
                <w:rFonts w:ascii="Open Sans" w:hAnsi="Open Sans" w:cs="Open Sans"/>
                <w:sz w:val="20"/>
                <w:szCs w:val="20"/>
              </w:rPr>
              <w:t>Role play an original sales presentation for an estate plan to a fictional couple. Include components such as wills, trusts, beneficiary designations, power of attorney, and medical directives in the presentation while persuading the couple to include each of the components in their estate plan.</w:t>
            </w:r>
          </w:p>
        </w:tc>
        <w:tc>
          <w:tcPr>
            <w:tcW w:w="630" w:type="dxa"/>
            <w:shd w:val="clear" w:color="auto" w:fill="DBE5F1" w:themeFill="accent1" w:themeFillTint="33"/>
          </w:tcPr>
          <w:p w:rsidR="00D07D4D" w:rsidRDefault="00D07D4D" w:rsidP="00D53761">
            <w:pPr>
              <w:rPr>
                <w:rFonts w:ascii="Open Sans" w:eastAsia="Times New Roman" w:hAnsi="Open Sans" w:cs="Open Sans"/>
                <w:sz w:val="20"/>
                <w:szCs w:val="20"/>
              </w:rPr>
            </w:pPr>
          </w:p>
        </w:tc>
        <w:tc>
          <w:tcPr>
            <w:tcW w:w="630" w:type="dxa"/>
            <w:shd w:val="clear" w:color="auto" w:fill="DBE5F1" w:themeFill="accent1" w:themeFillTint="33"/>
          </w:tcPr>
          <w:p w:rsidR="00D07D4D" w:rsidRDefault="00D07D4D" w:rsidP="00D53761">
            <w:pPr>
              <w:rPr>
                <w:rFonts w:ascii="Open Sans" w:eastAsia="Times New Roman" w:hAnsi="Open Sans" w:cs="Open Sans"/>
                <w:sz w:val="20"/>
                <w:szCs w:val="20"/>
              </w:rPr>
            </w:pPr>
          </w:p>
        </w:tc>
        <w:tc>
          <w:tcPr>
            <w:tcW w:w="4135" w:type="dxa"/>
            <w:shd w:val="clear" w:color="auto" w:fill="DBE5F1" w:themeFill="accent1" w:themeFillTint="33"/>
          </w:tcPr>
          <w:p w:rsidR="00D07D4D" w:rsidRDefault="00D07D4D" w:rsidP="00D53761">
            <w:pPr>
              <w:rPr>
                <w:rFonts w:ascii="Open Sans" w:eastAsia="Times New Roman" w:hAnsi="Open Sans" w:cs="Open Sans"/>
                <w:sz w:val="20"/>
                <w:szCs w:val="20"/>
              </w:rPr>
            </w:pPr>
          </w:p>
        </w:tc>
      </w:tr>
      <w:tr w:rsidR="007D7BEB" w:rsidRPr="00214F1D" w:rsidTr="00223D39">
        <w:tc>
          <w:tcPr>
            <w:tcW w:w="12950" w:type="dxa"/>
            <w:gridSpan w:val="4"/>
            <w:shd w:val="clear" w:color="auto" w:fill="DBE5F1" w:themeFill="accent1" w:themeFillTint="33"/>
          </w:tcPr>
          <w:p w:rsidR="007D7BEB" w:rsidRPr="00125329" w:rsidRDefault="007D7BEB"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7D7BEB" w:rsidRDefault="007D7BEB" w:rsidP="00223D39">
            <w:pPr>
              <w:rPr>
                <w:rFonts w:ascii="Open Sans" w:eastAsia="Times New Roman" w:hAnsi="Open Sans" w:cs="Open Sans"/>
                <w:sz w:val="20"/>
                <w:szCs w:val="20"/>
              </w:rPr>
            </w:pPr>
          </w:p>
          <w:p w:rsidR="007D7BEB" w:rsidRDefault="007D7BEB" w:rsidP="00223D39">
            <w:pPr>
              <w:rPr>
                <w:rFonts w:ascii="Open Sans" w:eastAsia="Times New Roman" w:hAnsi="Open Sans" w:cs="Open Sans"/>
                <w:sz w:val="20"/>
                <w:szCs w:val="20"/>
              </w:rPr>
            </w:pPr>
          </w:p>
          <w:p w:rsidR="007D7BEB" w:rsidRDefault="007D7BEB" w:rsidP="00223D39">
            <w:pPr>
              <w:rPr>
                <w:rFonts w:ascii="Open Sans" w:eastAsia="Times New Roman" w:hAnsi="Open Sans" w:cs="Open Sans"/>
                <w:sz w:val="20"/>
                <w:szCs w:val="20"/>
              </w:rPr>
            </w:pPr>
          </w:p>
          <w:p w:rsidR="007D7BEB" w:rsidRDefault="007D7BEB" w:rsidP="00223D39">
            <w:pPr>
              <w:rPr>
                <w:rFonts w:ascii="Open Sans" w:eastAsia="Times New Roman" w:hAnsi="Open Sans" w:cs="Open Sans"/>
                <w:sz w:val="20"/>
                <w:szCs w:val="20"/>
              </w:rPr>
            </w:pPr>
          </w:p>
          <w:p w:rsidR="007D7BEB" w:rsidRPr="00214F1D" w:rsidRDefault="007D7BEB" w:rsidP="00223D39">
            <w:pPr>
              <w:rPr>
                <w:rFonts w:ascii="Open Sans" w:eastAsia="Times New Roman" w:hAnsi="Open Sans" w:cs="Open Sans"/>
                <w:sz w:val="20"/>
                <w:szCs w:val="20"/>
              </w:rPr>
            </w:pPr>
          </w:p>
        </w:tc>
      </w:tr>
      <w:tr w:rsidR="007D7BEB" w:rsidTr="007D7BEB">
        <w:trPr>
          <w:trHeight w:val="360"/>
        </w:trPr>
        <w:tc>
          <w:tcPr>
            <w:tcW w:w="7555" w:type="dxa"/>
            <w:vMerge w:val="restart"/>
            <w:shd w:val="clear" w:color="auto" w:fill="DBE5F1" w:themeFill="accent1" w:themeFillTint="33"/>
          </w:tcPr>
          <w:p w:rsidR="007D7BEB" w:rsidRDefault="007D7BEB"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7D7BEB" w:rsidRPr="00125329" w:rsidRDefault="007D7BEB" w:rsidP="00223D39">
            <w:pPr>
              <w:rPr>
                <w:rFonts w:ascii="Open Sans" w:eastAsia="Times New Roman" w:hAnsi="Open Sans" w:cs="Open Sans"/>
                <w:b/>
                <w:sz w:val="20"/>
                <w:szCs w:val="20"/>
              </w:rPr>
            </w:pPr>
          </w:p>
          <w:p w:rsidR="007D7BEB" w:rsidRDefault="007D7BEB"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19</w:t>
            </w:r>
            <w:r>
              <w:rPr>
                <w:rFonts w:ascii="Open Sans" w:eastAsia="Times New Roman" w:hAnsi="Open Sans" w:cs="Open Sans"/>
                <w:sz w:val="20"/>
                <w:szCs w:val="20"/>
              </w:rPr>
              <w:t xml:space="preserve">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7D7BEB" w:rsidRDefault="007D7BEB"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7D7BEB" w:rsidRDefault="007D7BEB"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7D7BEB" w:rsidRDefault="007D7BEB" w:rsidP="00223D39">
            <w:pPr>
              <w:rPr>
                <w:rFonts w:ascii="Open Sans" w:eastAsia="Times New Roman" w:hAnsi="Open Sans" w:cs="Open Sans"/>
                <w:sz w:val="20"/>
                <w:szCs w:val="20"/>
              </w:rPr>
            </w:pPr>
          </w:p>
        </w:tc>
      </w:tr>
      <w:tr w:rsidR="007D7BEB" w:rsidTr="007D7BEB">
        <w:trPr>
          <w:trHeight w:val="720"/>
        </w:trPr>
        <w:tc>
          <w:tcPr>
            <w:tcW w:w="7555" w:type="dxa"/>
            <w:vMerge/>
            <w:shd w:val="clear" w:color="auto" w:fill="DBE5F1" w:themeFill="accent1" w:themeFillTint="33"/>
          </w:tcPr>
          <w:p w:rsidR="007D7BEB" w:rsidRPr="00125329" w:rsidRDefault="007D7BEB" w:rsidP="00223D39">
            <w:pPr>
              <w:rPr>
                <w:rFonts w:ascii="Open Sans" w:eastAsia="Times New Roman" w:hAnsi="Open Sans" w:cs="Open Sans"/>
                <w:b/>
                <w:sz w:val="20"/>
                <w:szCs w:val="20"/>
              </w:rPr>
            </w:pPr>
          </w:p>
        </w:tc>
        <w:tc>
          <w:tcPr>
            <w:tcW w:w="630" w:type="dxa"/>
            <w:shd w:val="clear" w:color="auto" w:fill="92D050"/>
          </w:tcPr>
          <w:p w:rsidR="007D7BEB" w:rsidRDefault="007D7BEB" w:rsidP="00223D39">
            <w:pPr>
              <w:rPr>
                <w:rFonts w:ascii="Open Sans" w:eastAsia="Times New Roman" w:hAnsi="Open Sans" w:cs="Open Sans"/>
                <w:sz w:val="20"/>
                <w:szCs w:val="20"/>
              </w:rPr>
            </w:pPr>
          </w:p>
        </w:tc>
        <w:tc>
          <w:tcPr>
            <w:tcW w:w="630" w:type="dxa"/>
            <w:shd w:val="clear" w:color="auto" w:fill="FF0000"/>
          </w:tcPr>
          <w:p w:rsidR="007D7BEB" w:rsidRDefault="007D7BEB" w:rsidP="00223D39">
            <w:pPr>
              <w:rPr>
                <w:rFonts w:ascii="Open Sans" w:eastAsia="Times New Roman" w:hAnsi="Open Sans" w:cs="Open Sans"/>
                <w:sz w:val="20"/>
                <w:szCs w:val="20"/>
              </w:rPr>
            </w:pPr>
          </w:p>
        </w:tc>
        <w:tc>
          <w:tcPr>
            <w:tcW w:w="4135" w:type="dxa"/>
            <w:vMerge/>
            <w:shd w:val="clear" w:color="auto" w:fill="DBE5F1" w:themeFill="accent1" w:themeFillTint="33"/>
          </w:tcPr>
          <w:p w:rsidR="007D7BEB" w:rsidRDefault="007D7BEB" w:rsidP="00223D39">
            <w:pPr>
              <w:rPr>
                <w:rFonts w:ascii="Open Sans" w:eastAsia="Times New Roman" w:hAnsi="Open Sans" w:cs="Open Sans"/>
                <w:sz w:val="20"/>
                <w:szCs w:val="20"/>
              </w:rPr>
            </w:pP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lastRenderedPageBreak/>
        <w:tab/>
        <w:t xml:space="preserve">                  </w:t>
      </w: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7D7BEB" w:rsidRPr="00214F1D" w:rsidTr="00223D39">
        <w:trPr>
          <w:trHeight w:val="267"/>
        </w:trPr>
        <w:tc>
          <w:tcPr>
            <w:tcW w:w="13902" w:type="dxa"/>
            <w:gridSpan w:val="4"/>
            <w:shd w:val="clear" w:color="auto" w:fill="FFCC66"/>
          </w:tcPr>
          <w:p w:rsidR="007D7BEB" w:rsidRPr="00BE1730" w:rsidRDefault="007D7BEB" w:rsidP="00223D39">
            <w:pPr>
              <w:jc w:val="center"/>
              <w:rPr>
                <w:rFonts w:ascii="Open Sans" w:hAnsi="Open Sans" w:cs="Open Sans"/>
                <w:b/>
                <w:sz w:val="28"/>
                <w:szCs w:val="28"/>
              </w:rPr>
            </w:pPr>
            <w:r w:rsidRPr="00BE1730">
              <w:rPr>
                <w:rFonts w:ascii="Open Sans" w:hAnsi="Open Sans" w:cs="Open Sans"/>
                <w:b/>
                <w:sz w:val="28"/>
                <w:szCs w:val="28"/>
              </w:rPr>
              <w:t>SECTION II</w:t>
            </w:r>
          </w:p>
          <w:p w:rsidR="007D7BEB" w:rsidRDefault="007D7BEB"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7D7BEB" w:rsidRPr="00003A5D" w:rsidRDefault="007D7BEB"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7D7BEB" w:rsidRPr="00214F1D" w:rsidTr="00223D39">
        <w:trPr>
          <w:trHeight w:val="267"/>
        </w:trPr>
        <w:tc>
          <w:tcPr>
            <w:tcW w:w="13902" w:type="dxa"/>
            <w:gridSpan w:val="4"/>
            <w:shd w:val="clear" w:color="auto" w:fill="FFCC66"/>
          </w:tcPr>
          <w:p w:rsidR="007D7BEB" w:rsidRPr="00214F1D" w:rsidRDefault="007D7BEB" w:rsidP="00223D39">
            <w:pPr>
              <w:rPr>
                <w:rFonts w:ascii="Open Sans" w:hAnsi="Open Sans" w:cs="Open Sans"/>
                <w:b/>
                <w:sz w:val="20"/>
                <w:szCs w:val="20"/>
              </w:rPr>
            </w:pPr>
            <w:r w:rsidRPr="00214F1D">
              <w:rPr>
                <w:rFonts w:ascii="Open Sans" w:hAnsi="Open Sans" w:cs="Open Sans"/>
                <w:b/>
                <w:sz w:val="20"/>
                <w:szCs w:val="20"/>
              </w:rPr>
              <w:t>METRICS:</w:t>
            </w:r>
          </w:p>
        </w:tc>
      </w:tr>
      <w:tr w:rsidR="007D7BEB" w:rsidRPr="00214F1D" w:rsidTr="00223D39">
        <w:trPr>
          <w:trHeight w:val="6406"/>
        </w:trPr>
        <w:tc>
          <w:tcPr>
            <w:tcW w:w="13902" w:type="dxa"/>
            <w:gridSpan w:val="4"/>
            <w:shd w:val="clear" w:color="auto" w:fill="FFFFCC"/>
          </w:tcPr>
          <w:p w:rsidR="007D7BEB" w:rsidRPr="00214F1D" w:rsidRDefault="007D7BEB"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7D7BEB" w:rsidRPr="00214F1D" w:rsidTr="00223D39">
              <w:trPr>
                <w:trHeight w:val="485"/>
              </w:trPr>
              <w:tc>
                <w:tcPr>
                  <w:tcW w:w="6718" w:type="dxa"/>
                  <w:shd w:val="clear" w:color="auto" w:fill="FFFFCC"/>
                  <w:vAlign w:val="center"/>
                </w:tcPr>
                <w:p w:rsidR="007D7BEB" w:rsidRPr="00214F1D" w:rsidRDefault="007D7BEB"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7D7BEB" w:rsidRDefault="007D7BEB"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7D7BEB" w:rsidRPr="00214F1D" w:rsidTr="00223D39">
              <w:trPr>
                <w:trHeight w:val="710"/>
              </w:trPr>
              <w:tc>
                <w:tcPr>
                  <w:tcW w:w="6718" w:type="dxa"/>
                  <w:shd w:val="clear" w:color="auto" w:fill="FFFFCC"/>
                  <w:vAlign w:val="center"/>
                </w:tcPr>
                <w:p w:rsidR="007D7BEB" w:rsidRPr="00214F1D" w:rsidRDefault="007D7BEB"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7D7BEB" w:rsidRPr="00214F1D" w:rsidRDefault="007D7BEB" w:rsidP="00223D39">
                  <w:pPr>
                    <w:framePr w:hSpace="180" w:wrap="around" w:vAnchor="text" w:hAnchor="page" w:x="976" w:y="19"/>
                    <w:jc w:val="center"/>
                    <w:rPr>
                      <w:rFonts w:ascii="Open Sans" w:hAnsi="Open Sans" w:cs="Open Sans"/>
                      <w:b/>
                      <w:sz w:val="20"/>
                      <w:szCs w:val="20"/>
                    </w:rPr>
                  </w:pPr>
                </w:p>
              </w:tc>
            </w:tr>
            <w:tr w:rsidR="007D7BEB" w:rsidRPr="00214F1D" w:rsidTr="00223D39">
              <w:trPr>
                <w:trHeight w:val="1070"/>
              </w:trPr>
              <w:tc>
                <w:tcPr>
                  <w:tcW w:w="6718" w:type="dxa"/>
                  <w:shd w:val="clear" w:color="auto" w:fill="FFFFCC"/>
                  <w:vAlign w:val="center"/>
                </w:tcPr>
                <w:p w:rsidR="007D7BEB" w:rsidRPr="00214F1D" w:rsidRDefault="007D7BEB"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7D7BEB" w:rsidRPr="00214F1D" w:rsidRDefault="007D7BEB" w:rsidP="00223D39">
                  <w:pPr>
                    <w:framePr w:hSpace="180" w:wrap="around" w:vAnchor="text" w:hAnchor="page" w:x="976" w:y="19"/>
                    <w:jc w:val="center"/>
                    <w:rPr>
                      <w:rFonts w:ascii="Open Sans" w:hAnsi="Open Sans" w:cs="Open Sans"/>
                      <w:b/>
                      <w:sz w:val="20"/>
                      <w:szCs w:val="20"/>
                    </w:rPr>
                  </w:pPr>
                </w:p>
              </w:tc>
            </w:tr>
            <w:tr w:rsidR="007D7BEB" w:rsidRPr="00214F1D" w:rsidTr="00223D39">
              <w:trPr>
                <w:trHeight w:val="1070"/>
              </w:trPr>
              <w:tc>
                <w:tcPr>
                  <w:tcW w:w="6718" w:type="dxa"/>
                  <w:shd w:val="clear" w:color="auto" w:fill="FFFFCC"/>
                  <w:vAlign w:val="center"/>
                </w:tcPr>
                <w:p w:rsidR="007D7BEB" w:rsidRPr="00214F1D" w:rsidRDefault="007D7BEB"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7D7BEB" w:rsidRPr="00214F1D" w:rsidRDefault="007D7BEB" w:rsidP="00223D39">
                  <w:pPr>
                    <w:framePr w:hSpace="180" w:wrap="around" w:vAnchor="text" w:hAnchor="page" w:x="976" w:y="19"/>
                    <w:jc w:val="center"/>
                    <w:rPr>
                      <w:rFonts w:ascii="Open Sans" w:hAnsi="Open Sans" w:cs="Open Sans"/>
                      <w:b/>
                      <w:sz w:val="20"/>
                      <w:szCs w:val="20"/>
                    </w:rPr>
                  </w:pPr>
                </w:p>
              </w:tc>
            </w:tr>
            <w:tr w:rsidR="007D7BEB" w:rsidRPr="00214F1D" w:rsidTr="00223D39">
              <w:trPr>
                <w:trHeight w:val="890"/>
              </w:trPr>
              <w:tc>
                <w:tcPr>
                  <w:tcW w:w="6718" w:type="dxa"/>
                  <w:shd w:val="clear" w:color="auto" w:fill="FFFFCC"/>
                  <w:vAlign w:val="center"/>
                </w:tcPr>
                <w:p w:rsidR="007D7BEB" w:rsidRPr="00214F1D" w:rsidRDefault="007D7BEB"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7D7BEB" w:rsidRPr="00214F1D" w:rsidRDefault="007D7BEB" w:rsidP="00223D39">
                  <w:pPr>
                    <w:framePr w:hSpace="180" w:wrap="around" w:vAnchor="text" w:hAnchor="page" w:x="976" w:y="19"/>
                    <w:jc w:val="center"/>
                    <w:rPr>
                      <w:rFonts w:ascii="Open Sans" w:hAnsi="Open Sans" w:cs="Open Sans"/>
                      <w:b/>
                      <w:sz w:val="20"/>
                      <w:szCs w:val="20"/>
                    </w:rPr>
                  </w:pPr>
                </w:p>
              </w:tc>
            </w:tr>
            <w:tr w:rsidR="007D7BEB" w:rsidRPr="00214F1D" w:rsidTr="00223D39">
              <w:trPr>
                <w:trHeight w:val="1070"/>
              </w:trPr>
              <w:tc>
                <w:tcPr>
                  <w:tcW w:w="6718" w:type="dxa"/>
                  <w:shd w:val="clear" w:color="auto" w:fill="FFFFCC"/>
                  <w:vAlign w:val="center"/>
                </w:tcPr>
                <w:p w:rsidR="007D7BEB" w:rsidRPr="00214F1D" w:rsidRDefault="007D7BEB"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D7BEB" w:rsidRPr="00214F1D" w:rsidRDefault="007D7BE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7D7BEB" w:rsidRPr="00214F1D" w:rsidRDefault="007D7BEB" w:rsidP="00223D39">
                  <w:pPr>
                    <w:framePr w:hSpace="180" w:wrap="around" w:vAnchor="text" w:hAnchor="page" w:x="976" w:y="19"/>
                    <w:jc w:val="center"/>
                    <w:rPr>
                      <w:rFonts w:ascii="Open Sans" w:hAnsi="Open Sans" w:cs="Open Sans"/>
                      <w:b/>
                      <w:sz w:val="20"/>
                      <w:szCs w:val="20"/>
                    </w:rPr>
                  </w:pPr>
                </w:p>
              </w:tc>
            </w:tr>
          </w:tbl>
          <w:p w:rsidR="007D7BEB" w:rsidRPr="00214F1D" w:rsidRDefault="007D7BEB" w:rsidP="00223D39">
            <w:pPr>
              <w:tabs>
                <w:tab w:val="left" w:pos="1065"/>
              </w:tabs>
              <w:rPr>
                <w:rFonts w:ascii="Open Sans" w:hAnsi="Open Sans" w:cs="Open Sans"/>
                <w:sz w:val="20"/>
                <w:szCs w:val="20"/>
              </w:rPr>
            </w:pPr>
          </w:p>
        </w:tc>
      </w:tr>
      <w:tr w:rsidR="007D7BEB" w:rsidRPr="00214F1D" w:rsidTr="00223D39">
        <w:trPr>
          <w:trHeight w:val="1358"/>
        </w:trPr>
        <w:tc>
          <w:tcPr>
            <w:tcW w:w="13902" w:type="dxa"/>
            <w:gridSpan w:val="4"/>
            <w:shd w:val="clear" w:color="auto" w:fill="FFFFCC"/>
          </w:tcPr>
          <w:p w:rsidR="007D7BEB" w:rsidRPr="00214F1D" w:rsidRDefault="007D7BEB"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7D7BEB" w:rsidRPr="00214F1D" w:rsidTr="00223D39">
        <w:trPr>
          <w:trHeight w:val="425"/>
        </w:trPr>
        <w:tc>
          <w:tcPr>
            <w:tcW w:w="6835" w:type="dxa"/>
            <w:vMerge w:val="restart"/>
            <w:shd w:val="clear" w:color="auto" w:fill="FFFFCC"/>
          </w:tcPr>
          <w:p w:rsidR="007D7BEB" w:rsidRDefault="007D7BEB" w:rsidP="00223D39">
            <w:pPr>
              <w:rPr>
                <w:rFonts w:ascii="Open Sans" w:hAnsi="Open Sans" w:cs="Open Sans"/>
                <w:b/>
                <w:sz w:val="20"/>
                <w:szCs w:val="20"/>
              </w:rPr>
            </w:pPr>
            <w:r>
              <w:rPr>
                <w:rFonts w:ascii="Open Sans" w:hAnsi="Open Sans" w:cs="Open Sans"/>
                <w:b/>
                <w:sz w:val="20"/>
                <w:szCs w:val="20"/>
              </w:rPr>
              <w:t>Materials meet all 5 metrics in section II: Rigor</w:t>
            </w:r>
          </w:p>
          <w:p w:rsidR="007D7BEB" w:rsidRDefault="007D7BEB" w:rsidP="00223D39">
            <w:pPr>
              <w:rPr>
                <w:rFonts w:ascii="Open Sans" w:hAnsi="Open Sans" w:cs="Open Sans"/>
                <w:b/>
                <w:sz w:val="20"/>
                <w:szCs w:val="20"/>
              </w:rPr>
            </w:pPr>
          </w:p>
          <w:p w:rsidR="007D7BEB" w:rsidRPr="00003A5D" w:rsidRDefault="007D7BEB"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7D7BEB" w:rsidRDefault="007D7BEB"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7D7BEB" w:rsidRDefault="007D7BEB"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7D7BEB" w:rsidRDefault="007D7BEB" w:rsidP="00223D39">
            <w:pPr>
              <w:jc w:val="center"/>
              <w:rPr>
                <w:rFonts w:ascii="Open Sans" w:hAnsi="Open Sans" w:cs="Open Sans"/>
                <w:b/>
                <w:sz w:val="20"/>
                <w:szCs w:val="20"/>
              </w:rPr>
            </w:pPr>
          </w:p>
        </w:tc>
      </w:tr>
      <w:tr w:rsidR="007D7BEB" w:rsidRPr="00214F1D" w:rsidTr="00223D39">
        <w:trPr>
          <w:trHeight w:val="682"/>
        </w:trPr>
        <w:tc>
          <w:tcPr>
            <w:tcW w:w="6835" w:type="dxa"/>
            <w:vMerge/>
            <w:shd w:val="clear" w:color="auto" w:fill="FFFFCC"/>
          </w:tcPr>
          <w:p w:rsidR="007D7BEB" w:rsidRDefault="007D7BEB" w:rsidP="00223D39">
            <w:pPr>
              <w:rPr>
                <w:rFonts w:ascii="Open Sans" w:hAnsi="Open Sans" w:cs="Open Sans"/>
                <w:b/>
                <w:sz w:val="20"/>
                <w:szCs w:val="20"/>
              </w:rPr>
            </w:pPr>
          </w:p>
        </w:tc>
        <w:tc>
          <w:tcPr>
            <w:tcW w:w="1170" w:type="dxa"/>
            <w:shd w:val="clear" w:color="auto" w:fill="92D050"/>
          </w:tcPr>
          <w:p w:rsidR="007D7BEB" w:rsidRDefault="007D7BEB" w:rsidP="00223D39">
            <w:pPr>
              <w:rPr>
                <w:rFonts w:ascii="Open Sans" w:hAnsi="Open Sans" w:cs="Open Sans"/>
                <w:b/>
                <w:sz w:val="20"/>
                <w:szCs w:val="20"/>
              </w:rPr>
            </w:pPr>
          </w:p>
        </w:tc>
        <w:tc>
          <w:tcPr>
            <w:tcW w:w="1260" w:type="dxa"/>
            <w:shd w:val="clear" w:color="auto" w:fill="FF0000"/>
          </w:tcPr>
          <w:p w:rsidR="007D7BEB" w:rsidRDefault="007D7BEB" w:rsidP="00223D39">
            <w:pPr>
              <w:rPr>
                <w:rFonts w:ascii="Open Sans" w:hAnsi="Open Sans" w:cs="Open Sans"/>
                <w:b/>
                <w:sz w:val="20"/>
                <w:szCs w:val="20"/>
              </w:rPr>
            </w:pPr>
          </w:p>
        </w:tc>
        <w:tc>
          <w:tcPr>
            <w:tcW w:w="4637" w:type="dxa"/>
            <w:vMerge/>
            <w:shd w:val="clear" w:color="auto" w:fill="FFFFCC"/>
          </w:tcPr>
          <w:p w:rsidR="007D7BEB" w:rsidRDefault="007D7BEB" w:rsidP="00223D39">
            <w:pPr>
              <w:rPr>
                <w:rFonts w:ascii="Open Sans" w:hAnsi="Open Sans" w:cs="Open Sans"/>
                <w:b/>
                <w:sz w:val="20"/>
                <w:szCs w:val="20"/>
              </w:rPr>
            </w:pPr>
          </w:p>
        </w:tc>
      </w:tr>
    </w:tbl>
    <w:p w:rsidR="007D7BEB" w:rsidRPr="00214F1D" w:rsidRDefault="007D7BEB" w:rsidP="007D7BEB">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7D7BEB" w:rsidRPr="00214F1D" w:rsidTr="00223D39">
        <w:trPr>
          <w:trHeight w:val="267"/>
        </w:trPr>
        <w:tc>
          <w:tcPr>
            <w:tcW w:w="13860" w:type="dxa"/>
            <w:gridSpan w:val="4"/>
            <w:shd w:val="clear" w:color="auto" w:fill="CC66FF"/>
          </w:tcPr>
          <w:p w:rsidR="007D7BEB" w:rsidRPr="00AF7A17" w:rsidRDefault="007D7BEB" w:rsidP="00223D39">
            <w:pPr>
              <w:jc w:val="center"/>
              <w:rPr>
                <w:rFonts w:ascii="Open Sans" w:hAnsi="Open Sans" w:cs="Open Sans"/>
                <w:b/>
                <w:sz w:val="28"/>
                <w:szCs w:val="28"/>
              </w:rPr>
            </w:pPr>
            <w:r w:rsidRPr="00AF7A17">
              <w:rPr>
                <w:rFonts w:ascii="Open Sans" w:hAnsi="Open Sans" w:cs="Open Sans"/>
                <w:b/>
                <w:sz w:val="28"/>
                <w:szCs w:val="28"/>
              </w:rPr>
              <w:t>SECTION III</w:t>
            </w:r>
          </w:p>
          <w:p w:rsidR="007D7BEB" w:rsidRPr="00AF7A17" w:rsidRDefault="007D7BEB"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7D7BEB" w:rsidRPr="0073274E" w:rsidRDefault="007D7BEB"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7D7BEB" w:rsidRPr="00214F1D" w:rsidTr="00223D39">
        <w:trPr>
          <w:trHeight w:val="323"/>
        </w:trPr>
        <w:tc>
          <w:tcPr>
            <w:tcW w:w="13860" w:type="dxa"/>
            <w:gridSpan w:val="4"/>
            <w:shd w:val="clear" w:color="auto" w:fill="CC66FF"/>
          </w:tcPr>
          <w:p w:rsidR="007D7BEB" w:rsidRPr="00214F1D" w:rsidRDefault="007D7BEB" w:rsidP="00223D39">
            <w:pPr>
              <w:rPr>
                <w:rFonts w:ascii="Open Sans" w:hAnsi="Open Sans" w:cs="Open Sans"/>
                <w:b/>
                <w:sz w:val="20"/>
                <w:szCs w:val="20"/>
              </w:rPr>
            </w:pPr>
            <w:r w:rsidRPr="00214F1D">
              <w:rPr>
                <w:rFonts w:ascii="Open Sans" w:hAnsi="Open Sans" w:cs="Open Sans"/>
                <w:b/>
                <w:sz w:val="20"/>
                <w:szCs w:val="20"/>
              </w:rPr>
              <w:t>METRICS:</w:t>
            </w:r>
          </w:p>
        </w:tc>
      </w:tr>
      <w:tr w:rsidR="007D7BEB"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7D7BEB" w:rsidRPr="00214F1D" w:rsidTr="00223D39">
              <w:trPr>
                <w:trHeight w:val="800"/>
              </w:trPr>
              <w:tc>
                <w:tcPr>
                  <w:tcW w:w="2507" w:type="pct"/>
                  <w:shd w:val="clear" w:color="auto" w:fill="CCC0D9" w:themeFill="accent4" w:themeFillTint="66"/>
                  <w:vAlign w:val="center"/>
                </w:tcPr>
                <w:p w:rsidR="007D7BEB" w:rsidRPr="00214F1D" w:rsidRDefault="007D7BEB"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7D7BEB" w:rsidRPr="00214F1D" w:rsidRDefault="007D7BEB"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7D7BEB" w:rsidRDefault="007D7BEB"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7D7BEB" w:rsidRPr="00214F1D" w:rsidRDefault="007D7BEB" w:rsidP="00223D39">
                  <w:pPr>
                    <w:jc w:val="center"/>
                    <w:rPr>
                      <w:rFonts w:ascii="Open Sans" w:hAnsi="Open Sans" w:cs="Open Sans"/>
                      <w:b/>
                      <w:sz w:val="20"/>
                      <w:szCs w:val="20"/>
                    </w:rPr>
                  </w:pPr>
                  <w:r>
                    <w:rPr>
                      <w:rFonts w:ascii="Open Sans" w:hAnsi="Open Sans" w:cs="Open Sans"/>
                      <w:b/>
                      <w:sz w:val="20"/>
                      <w:szCs w:val="20"/>
                    </w:rPr>
                    <w:t>Evidence/Notes</w:t>
                  </w:r>
                </w:p>
              </w:tc>
            </w:tr>
            <w:tr w:rsidR="007D7BEB" w:rsidRPr="00214F1D" w:rsidTr="00223D39">
              <w:trPr>
                <w:trHeight w:val="800"/>
              </w:trPr>
              <w:tc>
                <w:tcPr>
                  <w:tcW w:w="2507" w:type="pct"/>
                  <w:shd w:val="clear" w:color="auto" w:fill="CCC0D9" w:themeFill="accent4" w:themeFillTint="66"/>
                  <w:vAlign w:val="center"/>
                </w:tcPr>
                <w:p w:rsidR="007D7BEB" w:rsidRPr="00214F1D" w:rsidRDefault="007D7BEB"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7D7BEB" w:rsidRPr="00214F1D" w:rsidRDefault="007D7BEB" w:rsidP="00223D39">
                  <w:pPr>
                    <w:jc w:val="center"/>
                    <w:rPr>
                      <w:rFonts w:ascii="Open Sans" w:hAnsi="Open Sans" w:cs="Open Sans"/>
                      <w:b/>
                      <w:sz w:val="20"/>
                      <w:szCs w:val="20"/>
                    </w:rPr>
                  </w:pPr>
                </w:p>
              </w:tc>
              <w:tc>
                <w:tcPr>
                  <w:tcW w:w="363" w:type="pct"/>
                  <w:shd w:val="clear" w:color="auto" w:fill="CCC0D9" w:themeFill="accent4" w:themeFillTint="66"/>
                </w:tcPr>
                <w:p w:rsidR="007D7BEB" w:rsidRPr="00214F1D" w:rsidRDefault="007D7BEB" w:rsidP="00223D39">
                  <w:pPr>
                    <w:jc w:val="center"/>
                    <w:rPr>
                      <w:rFonts w:ascii="Open Sans" w:hAnsi="Open Sans" w:cs="Open Sans"/>
                      <w:b/>
                      <w:sz w:val="20"/>
                      <w:szCs w:val="20"/>
                    </w:rPr>
                  </w:pPr>
                </w:p>
              </w:tc>
              <w:tc>
                <w:tcPr>
                  <w:tcW w:w="1767" w:type="pct"/>
                  <w:shd w:val="clear" w:color="auto" w:fill="CCC0D9" w:themeFill="accent4" w:themeFillTint="66"/>
                </w:tcPr>
                <w:p w:rsidR="007D7BEB" w:rsidRPr="00214F1D" w:rsidRDefault="007D7BEB" w:rsidP="00223D39">
                  <w:pPr>
                    <w:jc w:val="center"/>
                    <w:rPr>
                      <w:rFonts w:ascii="Open Sans" w:hAnsi="Open Sans" w:cs="Open Sans"/>
                      <w:b/>
                      <w:sz w:val="20"/>
                      <w:szCs w:val="20"/>
                    </w:rPr>
                  </w:pPr>
                </w:p>
              </w:tc>
            </w:tr>
            <w:tr w:rsidR="007D7BEB" w:rsidRPr="00214F1D" w:rsidTr="00223D39">
              <w:trPr>
                <w:trHeight w:val="962"/>
              </w:trPr>
              <w:tc>
                <w:tcPr>
                  <w:tcW w:w="2507" w:type="pct"/>
                  <w:shd w:val="clear" w:color="auto" w:fill="CCC0D9" w:themeFill="accent4" w:themeFillTint="66"/>
                  <w:vAlign w:val="center"/>
                </w:tcPr>
                <w:p w:rsidR="007D7BEB" w:rsidRPr="00214F1D" w:rsidRDefault="007D7BEB"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7D7BEB" w:rsidRPr="00214F1D" w:rsidRDefault="007D7BEB"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7D7BEB" w:rsidRPr="00214F1D" w:rsidRDefault="007D7BEB" w:rsidP="00223D39">
                  <w:pPr>
                    <w:jc w:val="center"/>
                    <w:rPr>
                      <w:rFonts w:ascii="Open Sans" w:hAnsi="Open Sans" w:cs="Open Sans"/>
                      <w:b/>
                      <w:sz w:val="20"/>
                      <w:szCs w:val="20"/>
                    </w:rPr>
                  </w:pPr>
                </w:p>
              </w:tc>
              <w:tc>
                <w:tcPr>
                  <w:tcW w:w="1767" w:type="pct"/>
                  <w:shd w:val="clear" w:color="auto" w:fill="CCC0D9" w:themeFill="accent4" w:themeFillTint="66"/>
                </w:tcPr>
                <w:p w:rsidR="007D7BEB" w:rsidRPr="00214F1D" w:rsidRDefault="007D7BEB" w:rsidP="00223D39">
                  <w:pPr>
                    <w:jc w:val="center"/>
                    <w:rPr>
                      <w:rFonts w:ascii="Open Sans" w:hAnsi="Open Sans" w:cs="Open Sans"/>
                      <w:b/>
                      <w:sz w:val="20"/>
                      <w:szCs w:val="20"/>
                    </w:rPr>
                  </w:pPr>
                </w:p>
              </w:tc>
            </w:tr>
            <w:tr w:rsidR="007D7BEB" w:rsidRPr="00214F1D" w:rsidTr="00223D39">
              <w:trPr>
                <w:trHeight w:val="962"/>
              </w:trPr>
              <w:tc>
                <w:tcPr>
                  <w:tcW w:w="2507" w:type="pct"/>
                  <w:shd w:val="clear" w:color="auto" w:fill="CCC0D9" w:themeFill="accent4" w:themeFillTint="66"/>
                  <w:vAlign w:val="center"/>
                </w:tcPr>
                <w:p w:rsidR="007D7BEB" w:rsidRPr="00214F1D" w:rsidRDefault="007D7BEB"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7D7BEB" w:rsidRPr="00214F1D" w:rsidRDefault="007D7BEB"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7D7BEB" w:rsidRPr="00214F1D" w:rsidRDefault="007D7BEB" w:rsidP="00223D39">
                  <w:pPr>
                    <w:jc w:val="center"/>
                    <w:rPr>
                      <w:rFonts w:ascii="Open Sans" w:hAnsi="Open Sans" w:cs="Open Sans"/>
                      <w:b/>
                      <w:sz w:val="20"/>
                      <w:szCs w:val="20"/>
                    </w:rPr>
                  </w:pPr>
                </w:p>
              </w:tc>
              <w:tc>
                <w:tcPr>
                  <w:tcW w:w="1767" w:type="pct"/>
                  <w:shd w:val="clear" w:color="auto" w:fill="CCC0D9" w:themeFill="accent4" w:themeFillTint="66"/>
                </w:tcPr>
                <w:p w:rsidR="007D7BEB" w:rsidRPr="00214F1D" w:rsidRDefault="007D7BEB" w:rsidP="00223D39">
                  <w:pPr>
                    <w:jc w:val="center"/>
                    <w:rPr>
                      <w:rFonts w:ascii="Open Sans" w:hAnsi="Open Sans" w:cs="Open Sans"/>
                      <w:b/>
                      <w:sz w:val="20"/>
                      <w:szCs w:val="20"/>
                    </w:rPr>
                  </w:pPr>
                </w:p>
              </w:tc>
            </w:tr>
            <w:tr w:rsidR="007D7BEB" w:rsidRPr="00214F1D" w:rsidTr="00223D39">
              <w:trPr>
                <w:trHeight w:val="962"/>
              </w:trPr>
              <w:tc>
                <w:tcPr>
                  <w:tcW w:w="2507" w:type="pct"/>
                  <w:shd w:val="clear" w:color="auto" w:fill="CCC0D9" w:themeFill="accent4" w:themeFillTint="66"/>
                  <w:vAlign w:val="center"/>
                </w:tcPr>
                <w:p w:rsidR="007D7BEB" w:rsidRPr="00214F1D" w:rsidRDefault="007D7BEB"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7D7BEB" w:rsidRPr="00214F1D" w:rsidRDefault="007D7BEB"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7D7BEB" w:rsidRPr="00214F1D" w:rsidRDefault="007D7BEB" w:rsidP="00223D39">
                  <w:pPr>
                    <w:jc w:val="center"/>
                    <w:rPr>
                      <w:rFonts w:ascii="Open Sans" w:hAnsi="Open Sans" w:cs="Open Sans"/>
                      <w:b/>
                      <w:sz w:val="20"/>
                      <w:szCs w:val="20"/>
                    </w:rPr>
                  </w:pPr>
                </w:p>
              </w:tc>
              <w:tc>
                <w:tcPr>
                  <w:tcW w:w="1767" w:type="pct"/>
                  <w:shd w:val="clear" w:color="auto" w:fill="CCC0D9" w:themeFill="accent4" w:themeFillTint="66"/>
                </w:tcPr>
                <w:p w:rsidR="007D7BEB" w:rsidRPr="00214F1D" w:rsidRDefault="007D7BEB" w:rsidP="00223D39">
                  <w:pPr>
                    <w:jc w:val="center"/>
                    <w:rPr>
                      <w:rFonts w:ascii="Open Sans" w:hAnsi="Open Sans" w:cs="Open Sans"/>
                      <w:b/>
                      <w:sz w:val="20"/>
                      <w:szCs w:val="20"/>
                    </w:rPr>
                  </w:pPr>
                </w:p>
              </w:tc>
            </w:tr>
          </w:tbl>
          <w:p w:rsidR="007D7BEB" w:rsidRPr="00214F1D" w:rsidRDefault="007D7BEB" w:rsidP="00223D39">
            <w:pPr>
              <w:rPr>
                <w:rFonts w:ascii="Open Sans" w:hAnsi="Open Sans" w:cs="Open Sans"/>
                <w:sz w:val="20"/>
                <w:szCs w:val="20"/>
              </w:rPr>
            </w:pPr>
          </w:p>
        </w:tc>
      </w:tr>
      <w:tr w:rsidR="007D7BEB" w:rsidRPr="00214F1D" w:rsidTr="00223D39">
        <w:trPr>
          <w:trHeight w:val="620"/>
        </w:trPr>
        <w:tc>
          <w:tcPr>
            <w:tcW w:w="13860" w:type="dxa"/>
            <w:gridSpan w:val="4"/>
            <w:shd w:val="clear" w:color="auto" w:fill="CCC0D9" w:themeFill="accent4" w:themeFillTint="66"/>
          </w:tcPr>
          <w:p w:rsidR="007D7BEB" w:rsidRDefault="007D7BEB"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7D7BEB" w:rsidRDefault="007D7BEB" w:rsidP="00223D39">
            <w:pPr>
              <w:keepNext/>
              <w:outlineLvl w:val="4"/>
              <w:rPr>
                <w:rFonts w:ascii="Open Sans" w:hAnsi="Open Sans" w:cs="Open Sans"/>
                <w:b/>
                <w:sz w:val="20"/>
                <w:szCs w:val="20"/>
              </w:rPr>
            </w:pPr>
          </w:p>
          <w:p w:rsidR="007D7BEB" w:rsidRDefault="007D7BEB" w:rsidP="00223D39">
            <w:pPr>
              <w:keepNext/>
              <w:outlineLvl w:val="4"/>
              <w:rPr>
                <w:rFonts w:ascii="Open Sans" w:hAnsi="Open Sans" w:cs="Open Sans"/>
                <w:b/>
                <w:sz w:val="20"/>
                <w:szCs w:val="20"/>
              </w:rPr>
            </w:pPr>
          </w:p>
          <w:p w:rsidR="007D7BEB" w:rsidRPr="00214F1D" w:rsidRDefault="007D7BEB" w:rsidP="00223D39">
            <w:pPr>
              <w:keepNext/>
              <w:outlineLvl w:val="4"/>
              <w:rPr>
                <w:rFonts w:ascii="Open Sans" w:hAnsi="Open Sans" w:cs="Open Sans"/>
                <w:b/>
                <w:sz w:val="20"/>
                <w:szCs w:val="20"/>
              </w:rPr>
            </w:pPr>
          </w:p>
        </w:tc>
      </w:tr>
      <w:tr w:rsidR="007D7BEB" w:rsidRPr="00214F1D" w:rsidTr="00223D39">
        <w:trPr>
          <w:trHeight w:val="332"/>
        </w:trPr>
        <w:tc>
          <w:tcPr>
            <w:tcW w:w="6907" w:type="dxa"/>
            <w:vMerge w:val="restart"/>
            <w:shd w:val="clear" w:color="auto" w:fill="CCC0D9" w:themeFill="accent4" w:themeFillTint="66"/>
          </w:tcPr>
          <w:p w:rsidR="007D7BEB" w:rsidRDefault="007D7BEB"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7D7BEB" w:rsidRDefault="007D7BEB" w:rsidP="00223D39">
            <w:pPr>
              <w:keepNext/>
              <w:outlineLvl w:val="4"/>
              <w:rPr>
                <w:rFonts w:ascii="Open Sans" w:hAnsi="Open Sans" w:cs="Open Sans"/>
                <w:b/>
                <w:sz w:val="20"/>
                <w:szCs w:val="20"/>
              </w:rPr>
            </w:pPr>
          </w:p>
          <w:p w:rsidR="007D7BEB" w:rsidRPr="00214F1D" w:rsidRDefault="007D7BEB"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7D7BEB" w:rsidRPr="00214F1D" w:rsidRDefault="007D7BEB"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7D7BEB" w:rsidRPr="00214F1D" w:rsidRDefault="007D7BEB"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7D7BEB" w:rsidRPr="00214F1D" w:rsidRDefault="007D7BEB" w:rsidP="00223D39">
            <w:pPr>
              <w:keepNext/>
              <w:outlineLvl w:val="4"/>
              <w:rPr>
                <w:rFonts w:ascii="Open Sans" w:hAnsi="Open Sans" w:cs="Open Sans"/>
                <w:b/>
                <w:sz w:val="20"/>
                <w:szCs w:val="20"/>
              </w:rPr>
            </w:pPr>
          </w:p>
        </w:tc>
      </w:tr>
      <w:tr w:rsidR="007D7BEB" w:rsidRPr="00214F1D" w:rsidTr="00223D39">
        <w:trPr>
          <w:trHeight w:val="405"/>
        </w:trPr>
        <w:tc>
          <w:tcPr>
            <w:tcW w:w="6907" w:type="dxa"/>
            <w:vMerge/>
            <w:shd w:val="clear" w:color="auto" w:fill="CCC0D9" w:themeFill="accent4" w:themeFillTint="66"/>
          </w:tcPr>
          <w:p w:rsidR="007D7BEB" w:rsidRDefault="007D7BEB" w:rsidP="00223D39">
            <w:pPr>
              <w:keepNext/>
              <w:outlineLvl w:val="4"/>
              <w:rPr>
                <w:rFonts w:ascii="Open Sans" w:hAnsi="Open Sans" w:cs="Open Sans"/>
                <w:b/>
                <w:sz w:val="20"/>
                <w:szCs w:val="20"/>
              </w:rPr>
            </w:pPr>
          </w:p>
        </w:tc>
        <w:tc>
          <w:tcPr>
            <w:tcW w:w="1080" w:type="dxa"/>
            <w:shd w:val="clear" w:color="auto" w:fill="92D050"/>
          </w:tcPr>
          <w:p w:rsidR="007D7BEB" w:rsidRPr="00214F1D" w:rsidRDefault="007D7BEB" w:rsidP="00223D39">
            <w:pPr>
              <w:keepNext/>
              <w:outlineLvl w:val="4"/>
              <w:rPr>
                <w:rFonts w:ascii="Open Sans" w:hAnsi="Open Sans" w:cs="Open Sans"/>
                <w:b/>
                <w:sz w:val="20"/>
                <w:szCs w:val="20"/>
              </w:rPr>
            </w:pPr>
          </w:p>
        </w:tc>
        <w:tc>
          <w:tcPr>
            <w:tcW w:w="900" w:type="dxa"/>
            <w:shd w:val="clear" w:color="auto" w:fill="FF0000"/>
          </w:tcPr>
          <w:p w:rsidR="007D7BEB" w:rsidRPr="00214F1D" w:rsidRDefault="007D7BEB"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7D7BEB" w:rsidRPr="00214F1D" w:rsidRDefault="007D7BEB" w:rsidP="00223D39">
            <w:pPr>
              <w:keepNext/>
              <w:outlineLvl w:val="4"/>
              <w:rPr>
                <w:rFonts w:ascii="Open Sans" w:hAnsi="Open Sans" w:cs="Open Sans"/>
                <w:b/>
                <w:sz w:val="20"/>
                <w:szCs w:val="20"/>
              </w:rPr>
            </w:pPr>
          </w:p>
        </w:tc>
      </w:tr>
    </w:tbl>
    <w:p w:rsidR="007D7BEB" w:rsidRPr="00214F1D" w:rsidRDefault="007D7BEB" w:rsidP="007D7BEB">
      <w:pPr>
        <w:spacing w:after="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Default="007D7BEB" w:rsidP="007D7BEB">
      <w:pPr>
        <w:spacing w:after="0"/>
        <w:ind w:left="720"/>
        <w:contextualSpacing/>
        <w:rPr>
          <w:rFonts w:ascii="Open Sans" w:hAnsi="Open Sans" w:cs="Open Sans"/>
          <w:sz w:val="20"/>
          <w:szCs w:val="20"/>
        </w:rPr>
      </w:pPr>
    </w:p>
    <w:p w:rsidR="007D7BEB" w:rsidRPr="00214F1D" w:rsidRDefault="007D7BEB" w:rsidP="007D7BEB">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7D7BEB" w:rsidRPr="00214F1D" w:rsidTr="00223D39">
        <w:trPr>
          <w:trHeight w:val="890"/>
        </w:trPr>
        <w:tc>
          <w:tcPr>
            <w:tcW w:w="13860" w:type="dxa"/>
            <w:shd w:val="clear" w:color="auto" w:fill="F2F2F2" w:themeFill="background1" w:themeFillShade="F2"/>
            <w:vAlign w:val="center"/>
          </w:tcPr>
          <w:p w:rsidR="007D7BEB" w:rsidRDefault="007D7BEB" w:rsidP="00223D39">
            <w:pPr>
              <w:rPr>
                <w:rFonts w:ascii="Open Sans" w:eastAsia="Times New Roman" w:hAnsi="Open Sans" w:cs="Open Sans"/>
                <w:b/>
                <w:sz w:val="20"/>
                <w:szCs w:val="20"/>
              </w:rPr>
            </w:pPr>
          </w:p>
          <w:p w:rsidR="007D7BEB" w:rsidRPr="00AF7A17" w:rsidRDefault="007D7BEB"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7D7BEB" w:rsidRPr="00214F1D" w:rsidRDefault="007D7BEB"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7D7BEB" w:rsidRPr="00214F1D" w:rsidTr="00223D39">
        <w:trPr>
          <w:trHeight w:val="1457"/>
        </w:trPr>
        <w:tc>
          <w:tcPr>
            <w:tcW w:w="13860" w:type="dxa"/>
          </w:tcPr>
          <w:p w:rsidR="007D7BEB" w:rsidRPr="00214F1D" w:rsidRDefault="007D7BEB" w:rsidP="00223D39">
            <w:pPr>
              <w:contextualSpacing/>
              <w:rPr>
                <w:rFonts w:ascii="Open Sans" w:hAnsi="Open Sans" w:cs="Open Sans"/>
                <w:sz w:val="20"/>
                <w:szCs w:val="20"/>
              </w:rPr>
            </w:pPr>
          </w:p>
          <w:p w:rsidR="007D7BEB" w:rsidRPr="00214F1D" w:rsidRDefault="007D7BEB"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7D7BEB" w:rsidRPr="00AF7A17" w:rsidRDefault="007D7BEB"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7D7BEB" w:rsidRPr="00214F1D" w:rsidRDefault="007D7BEB" w:rsidP="00223D39">
            <w:pPr>
              <w:contextualSpacing/>
              <w:rPr>
                <w:rFonts w:ascii="Open Sans" w:hAnsi="Open Sans" w:cs="Open Sans"/>
                <w:sz w:val="20"/>
                <w:szCs w:val="20"/>
              </w:rPr>
            </w:pPr>
          </w:p>
        </w:tc>
      </w:tr>
    </w:tbl>
    <w:p w:rsidR="007D7BEB" w:rsidRPr="00214F1D" w:rsidRDefault="007D7BEB" w:rsidP="007D7BEB">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7D7BEB" w:rsidRPr="00214F1D" w:rsidTr="00223D39">
        <w:tc>
          <w:tcPr>
            <w:tcW w:w="7290" w:type="dxa"/>
            <w:shd w:val="clear" w:color="auto" w:fill="F2F2F2" w:themeFill="background1" w:themeFillShade="F2"/>
            <w:vAlign w:val="center"/>
          </w:tcPr>
          <w:p w:rsidR="007D7BEB" w:rsidRPr="00214F1D" w:rsidRDefault="007D7BEB"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D7BEB" w:rsidRPr="00214F1D" w:rsidTr="00223D39">
        <w:trPr>
          <w:trHeight w:val="1403"/>
        </w:trPr>
        <w:tc>
          <w:tcPr>
            <w:tcW w:w="7290" w:type="dxa"/>
            <w:vAlign w:val="center"/>
          </w:tcPr>
          <w:p w:rsidR="007D7BEB" w:rsidRPr="00214F1D" w:rsidRDefault="007D7BEB"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680" w:type="dxa"/>
          </w:tcPr>
          <w:p w:rsidR="007D7BEB" w:rsidRPr="00214F1D" w:rsidRDefault="007D7BEB" w:rsidP="00223D39">
            <w:pPr>
              <w:contextualSpacing/>
              <w:rPr>
                <w:rFonts w:ascii="Open Sans" w:hAnsi="Open Sans" w:cs="Open Sans"/>
                <w:sz w:val="20"/>
                <w:szCs w:val="20"/>
              </w:rPr>
            </w:pPr>
          </w:p>
        </w:tc>
      </w:tr>
      <w:tr w:rsidR="007D7BEB" w:rsidRPr="00214F1D" w:rsidTr="00223D39">
        <w:trPr>
          <w:trHeight w:val="1700"/>
        </w:trPr>
        <w:tc>
          <w:tcPr>
            <w:tcW w:w="7290" w:type="dxa"/>
            <w:vAlign w:val="center"/>
          </w:tcPr>
          <w:p w:rsidR="007D7BEB" w:rsidRPr="00214F1D" w:rsidRDefault="007D7BEB"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7D7BEB" w:rsidRPr="00214F1D" w:rsidRDefault="007D7BEB" w:rsidP="00223D39">
            <w:pPr>
              <w:contextualSpacing/>
              <w:rPr>
                <w:rFonts w:ascii="Open Sans" w:hAnsi="Open Sans" w:cs="Open Sans"/>
                <w:sz w:val="20"/>
                <w:szCs w:val="20"/>
              </w:rPr>
            </w:pPr>
          </w:p>
        </w:tc>
      </w:tr>
      <w:tr w:rsidR="007D7BEB" w:rsidRPr="00214F1D" w:rsidTr="00223D39">
        <w:trPr>
          <w:trHeight w:val="1520"/>
        </w:trPr>
        <w:tc>
          <w:tcPr>
            <w:tcW w:w="7290" w:type="dxa"/>
            <w:vAlign w:val="center"/>
          </w:tcPr>
          <w:p w:rsidR="007D7BEB" w:rsidRPr="00214F1D" w:rsidRDefault="007D7BEB"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7D7BEB" w:rsidRPr="00214F1D" w:rsidRDefault="007D7BEB" w:rsidP="00223D39">
            <w:pPr>
              <w:contextualSpacing/>
              <w:rPr>
                <w:rFonts w:ascii="Open Sans" w:hAnsi="Open Sans" w:cs="Open Sans"/>
                <w:sz w:val="20"/>
                <w:szCs w:val="20"/>
              </w:rPr>
            </w:pPr>
          </w:p>
        </w:tc>
      </w:tr>
    </w:tbl>
    <w:p w:rsidR="007D7BEB" w:rsidRDefault="007D7BEB" w:rsidP="007D7BEB">
      <w:pPr>
        <w:spacing w:after="0" w:line="240" w:lineRule="auto"/>
        <w:rPr>
          <w:rFonts w:ascii="Open Sans" w:hAnsi="Open Sans" w:cs="Open Sans"/>
          <w:sz w:val="20"/>
          <w:szCs w:val="20"/>
        </w:rPr>
      </w:pPr>
    </w:p>
    <w:p w:rsidR="007D7BEB" w:rsidRDefault="007D7BEB" w:rsidP="007D7BEB">
      <w:pPr>
        <w:spacing w:after="0" w:line="240" w:lineRule="auto"/>
        <w:rPr>
          <w:rFonts w:ascii="Open Sans" w:hAnsi="Open Sans" w:cs="Open Sans"/>
          <w:sz w:val="20"/>
          <w:szCs w:val="20"/>
        </w:rPr>
      </w:pPr>
    </w:p>
    <w:p w:rsidR="007D7BEB" w:rsidRDefault="007D7BEB" w:rsidP="007D7BEB">
      <w:pPr>
        <w:spacing w:after="0" w:line="240" w:lineRule="auto"/>
        <w:rPr>
          <w:rFonts w:ascii="Open Sans" w:hAnsi="Open Sans" w:cs="Open Sans"/>
          <w:sz w:val="20"/>
          <w:szCs w:val="20"/>
        </w:rPr>
      </w:pPr>
    </w:p>
    <w:p w:rsidR="007D7BEB" w:rsidRPr="00214F1D" w:rsidRDefault="007D7BEB" w:rsidP="007D7BEB">
      <w:pPr>
        <w:spacing w:after="0" w:line="240" w:lineRule="auto"/>
        <w:rPr>
          <w:rFonts w:ascii="Open Sans" w:hAnsi="Open Sans" w:cs="Open Sans"/>
          <w:sz w:val="20"/>
          <w:szCs w:val="20"/>
        </w:rPr>
      </w:pPr>
      <w:bookmarkStart w:id="0" w:name="_GoBack"/>
      <w:bookmarkEnd w:id="0"/>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7D7BEB" w:rsidRPr="00214F1D" w:rsidTr="00223D39">
        <w:trPr>
          <w:trHeight w:val="350"/>
        </w:trPr>
        <w:tc>
          <w:tcPr>
            <w:tcW w:w="7290" w:type="dxa"/>
            <w:shd w:val="clear" w:color="auto" w:fill="F2F2F2" w:themeFill="background1" w:themeFillShade="F2"/>
            <w:vAlign w:val="center"/>
          </w:tcPr>
          <w:p w:rsidR="007D7BEB" w:rsidRPr="00214F1D" w:rsidRDefault="007D7BEB" w:rsidP="00223D39">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D7BEB" w:rsidRPr="00214F1D" w:rsidTr="00223D39">
        <w:trPr>
          <w:trHeight w:val="1187"/>
        </w:trPr>
        <w:tc>
          <w:tcPr>
            <w:tcW w:w="7290" w:type="dxa"/>
            <w:vAlign w:val="center"/>
          </w:tcPr>
          <w:p w:rsidR="007D7BEB" w:rsidRPr="00214F1D" w:rsidRDefault="007D7BEB"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680" w:type="dxa"/>
          </w:tcPr>
          <w:p w:rsidR="007D7BEB" w:rsidRPr="00214F1D" w:rsidRDefault="007D7BEB" w:rsidP="00223D39">
            <w:pPr>
              <w:contextualSpacing/>
              <w:rPr>
                <w:rFonts w:ascii="Open Sans" w:hAnsi="Open Sans" w:cs="Open Sans"/>
                <w:sz w:val="20"/>
                <w:szCs w:val="20"/>
              </w:rPr>
            </w:pPr>
          </w:p>
        </w:tc>
      </w:tr>
      <w:tr w:rsidR="007D7BEB" w:rsidRPr="00214F1D" w:rsidTr="00223D39">
        <w:trPr>
          <w:trHeight w:val="1250"/>
        </w:trPr>
        <w:tc>
          <w:tcPr>
            <w:tcW w:w="7290" w:type="dxa"/>
            <w:vAlign w:val="center"/>
          </w:tcPr>
          <w:p w:rsidR="007D7BEB" w:rsidRPr="00214F1D" w:rsidRDefault="007D7BEB"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7D7BEB" w:rsidRPr="00214F1D" w:rsidRDefault="007D7BEB" w:rsidP="00223D39">
            <w:pPr>
              <w:contextualSpacing/>
              <w:rPr>
                <w:rFonts w:ascii="Open Sans" w:hAnsi="Open Sans" w:cs="Open Sans"/>
                <w:sz w:val="20"/>
                <w:szCs w:val="20"/>
              </w:rPr>
            </w:pPr>
          </w:p>
        </w:tc>
      </w:tr>
      <w:tr w:rsidR="007D7BEB" w:rsidRPr="00214F1D" w:rsidTr="00223D39">
        <w:trPr>
          <w:trHeight w:val="1781"/>
        </w:trPr>
        <w:tc>
          <w:tcPr>
            <w:tcW w:w="7290" w:type="dxa"/>
            <w:vAlign w:val="center"/>
          </w:tcPr>
          <w:p w:rsidR="007D7BEB" w:rsidRPr="00214F1D" w:rsidRDefault="007D7BEB"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7D7BEB" w:rsidRPr="00214F1D" w:rsidRDefault="007D7BEB" w:rsidP="00223D39">
            <w:pPr>
              <w:contextualSpacing/>
              <w:rPr>
                <w:rFonts w:ascii="Open Sans" w:hAnsi="Open Sans" w:cs="Open Sans"/>
                <w:sz w:val="20"/>
                <w:szCs w:val="20"/>
              </w:rPr>
            </w:pPr>
          </w:p>
        </w:tc>
      </w:tr>
    </w:tbl>
    <w:p w:rsidR="007D7BEB" w:rsidRPr="00214F1D" w:rsidRDefault="007D7BEB" w:rsidP="007D7BEB">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7D7BEB" w:rsidRPr="00214F1D" w:rsidTr="00223D39">
        <w:trPr>
          <w:trHeight w:val="395"/>
        </w:trPr>
        <w:tc>
          <w:tcPr>
            <w:tcW w:w="7290" w:type="dxa"/>
            <w:shd w:val="clear" w:color="auto" w:fill="F2F2F2" w:themeFill="background1" w:themeFillShade="F2"/>
            <w:vAlign w:val="center"/>
          </w:tcPr>
          <w:p w:rsidR="007D7BEB" w:rsidRPr="00214F1D" w:rsidRDefault="007D7BEB"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D7BEB" w:rsidRPr="00214F1D" w:rsidTr="00223D39">
        <w:trPr>
          <w:trHeight w:val="1160"/>
        </w:trPr>
        <w:tc>
          <w:tcPr>
            <w:tcW w:w="7290" w:type="dxa"/>
            <w:vAlign w:val="center"/>
          </w:tcPr>
          <w:p w:rsidR="007D7BEB" w:rsidRPr="00214F1D" w:rsidRDefault="007D7BEB"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680" w:type="dxa"/>
          </w:tcPr>
          <w:p w:rsidR="007D7BEB" w:rsidRPr="00214F1D" w:rsidRDefault="007D7BEB" w:rsidP="00223D39">
            <w:pPr>
              <w:contextualSpacing/>
              <w:rPr>
                <w:rFonts w:ascii="Open Sans" w:hAnsi="Open Sans" w:cs="Open Sans"/>
                <w:sz w:val="20"/>
                <w:szCs w:val="20"/>
              </w:rPr>
            </w:pPr>
          </w:p>
        </w:tc>
      </w:tr>
      <w:tr w:rsidR="007D7BEB" w:rsidRPr="00214F1D" w:rsidTr="00223D39">
        <w:trPr>
          <w:trHeight w:val="1376"/>
        </w:trPr>
        <w:tc>
          <w:tcPr>
            <w:tcW w:w="7290" w:type="dxa"/>
            <w:vAlign w:val="center"/>
          </w:tcPr>
          <w:p w:rsidR="007D7BEB" w:rsidRPr="00214F1D" w:rsidRDefault="007D7BEB"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680" w:type="dxa"/>
          </w:tcPr>
          <w:p w:rsidR="007D7BEB" w:rsidRPr="00214F1D" w:rsidRDefault="007D7BEB" w:rsidP="00223D39">
            <w:pPr>
              <w:contextualSpacing/>
              <w:rPr>
                <w:rFonts w:ascii="Open Sans" w:hAnsi="Open Sans" w:cs="Open Sans"/>
                <w:sz w:val="20"/>
                <w:szCs w:val="20"/>
              </w:rPr>
            </w:pPr>
          </w:p>
        </w:tc>
      </w:tr>
      <w:tr w:rsidR="007D7BEB" w:rsidRPr="00214F1D" w:rsidTr="00223D39">
        <w:trPr>
          <w:trHeight w:val="1376"/>
        </w:trPr>
        <w:tc>
          <w:tcPr>
            <w:tcW w:w="7290" w:type="dxa"/>
            <w:vAlign w:val="center"/>
          </w:tcPr>
          <w:p w:rsidR="007D7BEB" w:rsidRPr="00214F1D" w:rsidRDefault="007D7BEB"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680" w:type="dxa"/>
          </w:tcPr>
          <w:p w:rsidR="007D7BEB" w:rsidRPr="00214F1D" w:rsidRDefault="007D7BEB" w:rsidP="00223D39">
            <w:pPr>
              <w:contextualSpacing/>
              <w:rPr>
                <w:rFonts w:ascii="Open Sans" w:hAnsi="Open Sans" w:cs="Open Sans"/>
                <w:sz w:val="20"/>
                <w:szCs w:val="20"/>
              </w:rPr>
            </w:pPr>
          </w:p>
        </w:tc>
      </w:tr>
    </w:tbl>
    <w:p w:rsidR="007D7BEB" w:rsidRPr="00214F1D" w:rsidRDefault="007D7BEB" w:rsidP="007D7BEB">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7D7BEB" w:rsidRPr="00214F1D" w:rsidTr="00223D39">
        <w:trPr>
          <w:trHeight w:val="395"/>
        </w:trPr>
        <w:tc>
          <w:tcPr>
            <w:tcW w:w="7290" w:type="dxa"/>
            <w:shd w:val="clear" w:color="auto" w:fill="F2F2F2" w:themeFill="background1" w:themeFillShade="F2"/>
            <w:vAlign w:val="center"/>
          </w:tcPr>
          <w:p w:rsidR="007D7BEB" w:rsidRPr="00214F1D" w:rsidRDefault="007D7BEB"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D7BEB" w:rsidRPr="00214F1D" w:rsidTr="00223D39">
        <w:trPr>
          <w:trHeight w:val="1367"/>
        </w:trPr>
        <w:tc>
          <w:tcPr>
            <w:tcW w:w="7290" w:type="dxa"/>
            <w:vAlign w:val="center"/>
          </w:tcPr>
          <w:p w:rsidR="007D7BEB" w:rsidRPr="00214F1D" w:rsidRDefault="007D7BEB"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361" w:type="dxa"/>
          </w:tcPr>
          <w:p w:rsidR="007D7BEB" w:rsidRPr="00214F1D" w:rsidRDefault="007D7BEB" w:rsidP="00223D39">
            <w:pPr>
              <w:contextualSpacing/>
              <w:rPr>
                <w:rFonts w:ascii="Open Sans" w:hAnsi="Open Sans" w:cs="Open Sans"/>
                <w:sz w:val="20"/>
                <w:szCs w:val="20"/>
              </w:rPr>
            </w:pPr>
          </w:p>
        </w:tc>
      </w:tr>
      <w:tr w:rsidR="007D7BEB" w:rsidRPr="00214F1D" w:rsidTr="00223D39">
        <w:trPr>
          <w:trHeight w:val="1115"/>
        </w:trPr>
        <w:tc>
          <w:tcPr>
            <w:tcW w:w="7290" w:type="dxa"/>
            <w:vAlign w:val="center"/>
          </w:tcPr>
          <w:p w:rsidR="007D7BEB" w:rsidRPr="00214F1D" w:rsidRDefault="007D7BEB"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361" w:type="dxa"/>
          </w:tcPr>
          <w:p w:rsidR="007D7BEB" w:rsidRPr="00214F1D" w:rsidRDefault="007D7BEB" w:rsidP="00223D39">
            <w:pPr>
              <w:contextualSpacing/>
              <w:rPr>
                <w:rFonts w:ascii="Open Sans" w:hAnsi="Open Sans" w:cs="Open Sans"/>
                <w:sz w:val="20"/>
                <w:szCs w:val="20"/>
              </w:rPr>
            </w:pPr>
          </w:p>
        </w:tc>
      </w:tr>
      <w:tr w:rsidR="007D7BEB" w:rsidRPr="00214F1D" w:rsidTr="00223D39">
        <w:trPr>
          <w:trHeight w:val="1376"/>
        </w:trPr>
        <w:tc>
          <w:tcPr>
            <w:tcW w:w="7290" w:type="dxa"/>
            <w:vAlign w:val="center"/>
          </w:tcPr>
          <w:p w:rsidR="007D7BEB" w:rsidRPr="00214F1D" w:rsidRDefault="007D7BEB"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361" w:type="dxa"/>
          </w:tcPr>
          <w:p w:rsidR="007D7BEB" w:rsidRPr="00214F1D" w:rsidRDefault="007D7BEB" w:rsidP="00223D39">
            <w:pPr>
              <w:contextualSpacing/>
              <w:rPr>
                <w:rFonts w:ascii="Open Sans" w:hAnsi="Open Sans" w:cs="Open Sans"/>
                <w:sz w:val="20"/>
                <w:szCs w:val="20"/>
              </w:rPr>
            </w:pPr>
          </w:p>
        </w:tc>
      </w:tr>
      <w:tr w:rsidR="007D7BEB" w:rsidRPr="00214F1D" w:rsidTr="00223D39">
        <w:trPr>
          <w:trHeight w:val="1376"/>
        </w:trPr>
        <w:tc>
          <w:tcPr>
            <w:tcW w:w="7290" w:type="dxa"/>
            <w:vAlign w:val="center"/>
          </w:tcPr>
          <w:p w:rsidR="007D7BEB" w:rsidRPr="00214F1D" w:rsidRDefault="007D7BEB"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361" w:type="dxa"/>
          </w:tcPr>
          <w:p w:rsidR="007D7BEB" w:rsidRPr="00214F1D" w:rsidRDefault="007D7BEB" w:rsidP="00223D39">
            <w:pPr>
              <w:contextualSpacing/>
              <w:rPr>
                <w:rFonts w:ascii="Open Sans" w:hAnsi="Open Sans" w:cs="Open Sans"/>
                <w:sz w:val="20"/>
                <w:szCs w:val="20"/>
              </w:rPr>
            </w:pPr>
          </w:p>
        </w:tc>
      </w:tr>
    </w:tbl>
    <w:p w:rsidR="007D7BEB" w:rsidRDefault="007D7BEB" w:rsidP="007D7BEB">
      <w:pPr>
        <w:spacing w:after="0"/>
        <w:rPr>
          <w:rFonts w:ascii="Open Sans" w:hAnsi="Open Sans" w:cs="Open Sans"/>
          <w:sz w:val="20"/>
          <w:szCs w:val="20"/>
        </w:rPr>
      </w:pPr>
    </w:p>
    <w:p w:rsidR="007D7BEB" w:rsidRDefault="007D7BEB" w:rsidP="007D7BEB">
      <w:pPr>
        <w:spacing w:after="0"/>
        <w:rPr>
          <w:rFonts w:ascii="Open Sans" w:hAnsi="Open Sans" w:cs="Open Sans"/>
          <w:sz w:val="20"/>
          <w:szCs w:val="20"/>
        </w:rPr>
      </w:pPr>
    </w:p>
    <w:p w:rsidR="007D7BEB" w:rsidRDefault="007D7BEB" w:rsidP="007D7BEB">
      <w:pPr>
        <w:spacing w:after="0"/>
        <w:rPr>
          <w:rFonts w:ascii="Open Sans" w:hAnsi="Open Sans" w:cs="Open Sans"/>
          <w:sz w:val="20"/>
          <w:szCs w:val="20"/>
        </w:rPr>
      </w:pPr>
    </w:p>
    <w:p w:rsidR="007D7BEB" w:rsidRPr="00214F1D" w:rsidRDefault="007D7BEB" w:rsidP="007D7BEB">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7D7BEB" w:rsidRPr="00214F1D" w:rsidTr="00223D39">
        <w:trPr>
          <w:trHeight w:val="395"/>
        </w:trPr>
        <w:tc>
          <w:tcPr>
            <w:tcW w:w="7290" w:type="dxa"/>
            <w:shd w:val="clear" w:color="auto" w:fill="F2F2F2" w:themeFill="background1" w:themeFillShade="F2"/>
            <w:vAlign w:val="center"/>
          </w:tcPr>
          <w:p w:rsidR="007D7BEB" w:rsidRPr="00214F1D" w:rsidRDefault="007D7BEB" w:rsidP="00223D39">
            <w:pPr>
              <w:rPr>
                <w:rFonts w:ascii="Open Sans" w:eastAsia="Times New Roman" w:hAnsi="Open Sans" w:cs="Open Sans"/>
                <w:b/>
                <w:sz w:val="20"/>
                <w:szCs w:val="20"/>
              </w:rPr>
            </w:pPr>
            <w:r w:rsidRPr="00214F1D">
              <w:rPr>
                <w:rFonts w:ascii="Open Sans" w:eastAsia="Times New Roman" w:hAnsi="Open Sans" w:cs="Open Sans"/>
                <w:b/>
                <w:sz w:val="20"/>
                <w:szCs w:val="20"/>
              </w:rPr>
              <w:t>ASSESSMENTS</w:t>
            </w:r>
          </w:p>
        </w:tc>
        <w:tc>
          <w:tcPr>
            <w:tcW w:w="990" w:type="dxa"/>
            <w:shd w:val="clear" w:color="auto" w:fill="F2F2F2" w:themeFill="background1" w:themeFillShade="F2"/>
            <w:vAlign w:val="center"/>
          </w:tcPr>
          <w:p w:rsidR="007D7BEB" w:rsidRPr="00B472FD" w:rsidRDefault="007D7BEB"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7D7BEB" w:rsidRPr="00B472FD" w:rsidRDefault="007D7BEB"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D7BEB" w:rsidRPr="00214F1D" w:rsidTr="00223D39">
        <w:trPr>
          <w:trHeight w:val="1502"/>
        </w:trPr>
        <w:tc>
          <w:tcPr>
            <w:tcW w:w="7290" w:type="dxa"/>
            <w:vAlign w:val="center"/>
          </w:tcPr>
          <w:p w:rsidR="007D7BEB" w:rsidRPr="00214F1D" w:rsidRDefault="007D7BEB"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7D7BEB" w:rsidRPr="00B472F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B472FD" w:rsidRDefault="007D7BEB" w:rsidP="00223D39">
            <w:pPr>
              <w:contextualSpacing/>
              <w:jc w:val="center"/>
              <w:rPr>
                <w:rFonts w:ascii="Open Sans" w:hAnsi="Open Sans" w:cs="Open Sans"/>
                <w:sz w:val="20"/>
                <w:szCs w:val="20"/>
              </w:rPr>
            </w:pPr>
          </w:p>
        </w:tc>
        <w:tc>
          <w:tcPr>
            <w:tcW w:w="4361" w:type="dxa"/>
          </w:tcPr>
          <w:p w:rsidR="007D7BEB" w:rsidRPr="00214F1D" w:rsidRDefault="007D7BEB" w:rsidP="00223D39">
            <w:pPr>
              <w:contextualSpacing/>
              <w:rPr>
                <w:rFonts w:ascii="Open Sans" w:hAnsi="Open Sans" w:cs="Open Sans"/>
                <w:sz w:val="20"/>
                <w:szCs w:val="20"/>
              </w:rPr>
            </w:pPr>
          </w:p>
        </w:tc>
      </w:tr>
      <w:tr w:rsidR="007D7BEB" w:rsidRPr="00214F1D" w:rsidTr="00223D39">
        <w:trPr>
          <w:trHeight w:val="1115"/>
        </w:trPr>
        <w:tc>
          <w:tcPr>
            <w:tcW w:w="7290" w:type="dxa"/>
            <w:vAlign w:val="center"/>
          </w:tcPr>
          <w:p w:rsidR="007D7BEB" w:rsidRPr="00214F1D" w:rsidRDefault="007D7BEB"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lastRenderedPageBreak/>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7D7BEB" w:rsidRPr="00B472F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B472FD" w:rsidRDefault="007D7BEB" w:rsidP="00223D39">
            <w:pPr>
              <w:contextualSpacing/>
              <w:jc w:val="center"/>
              <w:rPr>
                <w:rFonts w:ascii="Open Sans" w:hAnsi="Open Sans" w:cs="Open Sans"/>
                <w:sz w:val="20"/>
                <w:szCs w:val="20"/>
              </w:rPr>
            </w:pPr>
          </w:p>
        </w:tc>
        <w:tc>
          <w:tcPr>
            <w:tcW w:w="4361" w:type="dxa"/>
          </w:tcPr>
          <w:p w:rsidR="007D7BEB" w:rsidRPr="00214F1D" w:rsidRDefault="007D7BEB" w:rsidP="00223D39">
            <w:pPr>
              <w:contextualSpacing/>
              <w:rPr>
                <w:rFonts w:ascii="Open Sans" w:hAnsi="Open Sans" w:cs="Open Sans"/>
                <w:sz w:val="20"/>
                <w:szCs w:val="20"/>
              </w:rPr>
            </w:pPr>
          </w:p>
        </w:tc>
      </w:tr>
      <w:tr w:rsidR="007D7BEB" w:rsidRPr="00214F1D" w:rsidTr="00223D39">
        <w:trPr>
          <w:trHeight w:val="1376"/>
        </w:trPr>
        <w:tc>
          <w:tcPr>
            <w:tcW w:w="7290" w:type="dxa"/>
            <w:vAlign w:val="center"/>
          </w:tcPr>
          <w:p w:rsidR="007D7BEB" w:rsidRPr="00214F1D" w:rsidRDefault="007D7BEB"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D7BEB" w:rsidRPr="00214F1D" w:rsidRDefault="007D7BEB" w:rsidP="00223D39">
            <w:pPr>
              <w:contextualSpacing/>
              <w:jc w:val="center"/>
              <w:rPr>
                <w:rFonts w:ascii="Open Sans" w:hAnsi="Open Sans" w:cs="Open Sans"/>
                <w:sz w:val="20"/>
                <w:szCs w:val="20"/>
              </w:rPr>
            </w:pPr>
          </w:p>
        </w:tc>
        <w:tc>
          <w:tcPr>
            <w:tcW w:w="4361" w:type="dxa"/>
          </w:tcPr>
          <w:p w:rsidR="007D7BEB" w:rsidRPr="00214F1D" w:rsidRDefault="007D7BEB" w:rsidP="00223D39">
            <w:pPr>
              <w:contextualSpacing/>
              <w:rPr>
                <w:rFonts w:ascii="Open Sans" w:hAnsi="Open Sans" w:cs="Open Sans"/>
                <w:sz w:val="20"/>
                <w:szCs w:val="20"/>
              </w:rPr>
            </w:pPr>
          </w:p>
        </w:tc>
      </w:tr>
    </w:tbl>
    <w:p w:rsidR="007D7BEB" w:rsidRPr="00214F1D" w:rsidRDefault="007D7BEB" w:rsidP="007D7BEB">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7D7BEB" w:rsidRPr="00214F1D" w:rsidTr="00223D39">
        <w:trPr>
          <w:trHeight w:val="395"/>
        </w:trPr>
        <w:tc>
          <w:tcPr>
            <w:tcW w:w="13631" w:type="dxa"/>
            <w:shd w:val="clear" w:color="auto" w:fill="F2F2F2" w:themeFill="background1" w:themeFillShade="F2"/>
          </w:tcPr>
          <w:p w:rsidR="007D7BEB" w:rsidRPr="00807E9D" w:rsidRDefault="007D7BEB"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7D7BEB" w:rsidRPr="00214F1D" w:rsidRDefault="007D7BEB" w:rsidP="00223D39">
            <w:pPr>
              <w:rPr>
                <w:rFonts w:ascii="Open Sans" w:hAnsi="Open Sans" w:cs="Open Sans"/>
                <w:b/>
                <w:sz w:val="20"/>
                <w:szCs w:val="20"/>
              </w:rPr>
            </w:pPr>
          </w:p>
          <w:p w:rsidR="007D7BEB" w:rsidRPr="00807E9D" w:rsidRDefault="007D7BEB"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7D7BEB" w:rsidRPr="00214F1D" w:rsidTr="00223D39">
        <w:trPr>
          <w:trHeight w:val="395"/>
        </w:trPr>
        <w:tc>
          <w:tcPr>
            <w:tcW w:w="7015" w:type="dxa"/>
            <w:shd w:val="thinReverseDiagStripe" w:color="D9D9D9" w:themeColor="background1" w:themeShade="D9" w:fill="auto"/>
            <w:vAlign w:val="center"/>
          </w:tcPr>
          <w:p w:rsidR="007D7BEB" w:rsidRPr="00214F1D" w:rsidRDefault="007D7BEB"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7D7BEB" w:rsidRPr="00214F1D" w:rsidRDefault="007D7BEB"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7D7BEB" w:rsidRPr="00214F1D" w:rsidTr="00223D39">
        <w:trPr>
          <w:trHeight w:val="1259"/>
        </w:trPr>
        <w:tc>
          <w:tcPr>
            <w:tcW w:w="7015" w:type="dxa"/>
            <w:shd w:val="thinReverseDiagStripe" w:color="D9D9D9" w:themeColor="background1" w:themeShade="D9" w:fill="auto"/>
            <w:vAlign w:val="center"/>
          </w:tcPr>
          <w:p w:rsidR="007D7BEB" w:rsidRPr="00214F1D" w:rsidRDefault="007D7BEB"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7D7BEB" w:rsidRPr="00214F1D" w:rsidRDefault="007D7BEB" w:rsidP="00223D39">
            <w:pPr>
              <w:contextualSpacing/>
              <w:jc w:val="center"/>
              <w:rPr>
                <w:rFonts w:ascii="Open Sans" w:hAnsi="Open Sans" w:cs="Open Sans"/>
                <w:i/>
                <w:sz w:val="20"/>
                <w:szCs w:val="20"/>
              </w:rPr>
            </w:pPr>
          </w:p>
        </w:tc>
      </w:tr>
      <w:tr w:rsidR="007D7BEB" w:rsidRPr="00214F1D" w:rsidTr="00223D39">
        <w:trPr>
          <w:trHeight w:val="1115"/>
        </w:trPr>
        <w:tc>
          <w:tcPr>
            <w:tcW w:w="7015" w:type="dxa"/>
            <w:shd w:val="thinReverseDiagStripe" w:color="D9D9D9" w:themeColor="background1" w:themeShade="D9" w:fill="auto"/>
            <w:vAlign w:val="center"/>
          </w:tcPr>
          <w:p w:rsidR="007D7BEB" w:rsidRPr="00214F1D" w:rsidRDefault="007D7BEB"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7D7BEB" w:rsidRPr="00214F1D" w:rsidRDefault="007D7BEB" w:rsidP="00223D39">
            <w:pPr>
              <w:contextualSpacing/>
              <w:jc w:val="center"/>
              <w:rPr>
                <w:rFonts w:ascii="Open Sans" w:hAnsi="Open Sans" w:cs="Open Sans"/>
                <w:sz w:val="20"/>
                <w:szCs w:val="20"/>
              </w:rPr>
            </w:pPr>
          </w:p>
        </w:tc>
      </w:tr>
    </w:tbl>
    <w:p w:rsidR="007D7BEB" w:rsidRPr="00214F1D" w:rsidRDefault="007D7BEB" w:rsidP="007D7BEB">
      <w:pPr>
        <w:rPr>
          <w:rFonts w:ascii="Open Sans"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sectPr w:rsidR="00F30CEA"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9B8" w:rsidRDefault="00AE49B8" w:rsidP="007D7BEB">
      <w:pPr>
        <w:spacing w:after="0" w:line="240" w:lineRule="auto"/>
      </w:pPr>
      <w:r>
        <w:separator/>
      </w:r>
    </w:p>
  </w:endnote>
  <w:endnote w:type="continuationSeparator" w:id="0">
    <w:p w:rsidR="00AE49B8" w:rsidRDefault="00AE49B8" w:rsidP="007D7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9B8" w:rsidRDefault="00AE49B8" w:rsidP="007D7BEB">
      <w:pPr>
        <w:spacing w:after="0" w:line="240" w:lineRule="auto"/>
      </w:pPr>
      <w:r>
        <w:separator/>
      </w:r>
    </w:p>
  </w:footnote>
  <w:footnote w:type="continuationSeparator" w:id="0">
    <w:p w:rsidR="00AE49B8" w:rsidRDefault="00AE49B8" w:rsidP="007D7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BEB" w:rsidRPr="00D53761" w:rsidRDefault="007D7BEB" w:rsidP="007D7BEB">
    <w:pPr>
      <w:spacing w:after="0" w:line="240" w:lineRule="auto"/>
      <w:jc w:val="center"/>
      <w:rPr>
        <w:b/>
        <w:i/>
        <w:sz w:val="28"/>
      </w:rPr>
    </w:pPr>
    <w:r>
      <w:rPr>
        <w:noProof/>
      </w:rPr>
      <w:drawing>
        <wp:anchor distT="0" distB="0" distL="114300" distR="114300" simplePos="0" relativeHeight="251659264" behindDoc="0" locked="0" layoutInCell="1" allowOverlap="1" wp14:anchorId="74EF4613" wp14:editId="1A604755">
          <wp:simplePos x="0" y="0"/>
          <wp:positionH relativeFrom="column">
            <wp:posOffset>-561975</wp:posOffset>
          </wp:positionH>
          <wp:positionV relativeFrom="paragraph">
            <wp:posOffset>-278130</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7D7BEB" w:rsidRDefault="007D7BEB" w:rsidP="007D7BEB">
    <w:pPr>
      <w:pStyle w:val="Header"/>
      <w:jc w:val="center"/>
    </w:pPr>
    <w:r w:rsidRPr="00222BE9">
      <w:rPr>
        <w:b/>
        <w:sz w:val="28"/>
      </w:rPr>
      <w:t>PRE-LAW 3</w:t>
    </w:r>
    <w:r>
      <w:rPr>
        <w:b/>
        <w:sz w:val="28"/>
      </w:rPr>
      <w:t>, 6197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E1922"/>
    <w:multiLevelType w:val="hybridMultilevel"/>
    <w:tmpl w:val="CBA29132"/>
    <w:lvl w:ilvl="0" w:tplc="A012577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F7706"/>
    <w:multiLevelType w:val="hybridMultilevel"/>
    <w:tmpl w:val="61F67D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3E50"/>
    <w:multiLevelType w:val="hybridMultilevel"/>
    <w:tmpl w:val="C204BBB4"/>
    <w:lvl w:ilvl="0" w:tplc="306030B2">
      <w:start w:val="1"/>
      <w:numFmt w:val="decimal"/>
      <w:lvlText w:val="%1)"/>
      <w:lvlJc w:val="left"/>
      <w:pPr>
        <w:ind w:left="720" w:hanging="360"/>
      </w:pPr>
      <w:rPr>
        <w:rFonts w:hint="default"/>
      </w:rPr>
    </w:lvl>
    <w:lvl w:ilvl="1" w:tplc="306030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F3393"/>
    <w:multiLevelType w:val="hybridMultilevel"/>
    <w:tmpl w:val="6484BA1C"/>
    <w:lvl w:ilvl="0" w:tplc="DC449724">
      <w:start w:val="1"/>
      <w:numFmt w:val="decimal"/>
      <w:lvlText w:val="%1)"/>
      <w:lvlJc w:val="left"/>
      <w:pPr>
        <w:ind w:left="720" w:hanging="360"/>
      </w:pPr>
      <w:rPr>
        <w:rFonts w:hint="default"/>
        <w:b w:val="0"/>
      </w:rPr>
    </w:lvl>
    <w:lvl w:ilvl="1" w:tplc="7F9851B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8"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9" w15:restartNumberingAfterBreak="0">
    <w:nsid w:val="225C65A8"/>
    <w:multiLevelType w:val="hybridMultilevel"/>
    <w:tmpl w:val="69C66418"/>
    <w:lvl w:ilvl="0" w:tplc="CE82E232">
      <w:start w:val="20"/>
      <w:numFmt w:val="decimal"/>
      <w:lvlText w:val="%1)"/>
      <w:lvlJc w:val="left"/>
      <w:pPr>
        <w:ind w:left="81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212D15"/>
    <w:multiLevelType w:val="hybridMultilevel"/>
    <w:tmpl w:val="2B3627EA"/>
    <w:lvl w:ilvl="0" w:tplc="AA32C1C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B15C74"/>
    <w:multiLevelType w:val="hybridMultilevel"/>
    <w:tmpl w:val="22D009CE"/>
    <w:lvl w:ilvl="0" w:tplc="5AC0DF32">
      <w:start w:val="1"/>
      <w:numFmt w:val="decimal"/>
      <w:lvlText w:val="%1)"/>
      <w:lvlJc w:val="left"/>
      <w:pPr>
        <w:ind w:left="810"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15:restartNumberingAfterBreak="0">
    <w:nsid w:val="2AD4347A"/>
    <w:multiLevelType w:val="hybridMultilevel"/>
    <w:tmpl w:val="67C0BBF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4433D"/>
    <w:multiLevelType w:val="hybridMultilevel"/>
    <w:tmpl w:val="39E69E5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042BF"/>
    <w:multiLevelType w:val="hybridMultilevel"/>
    <w:tmpl w:val="C00C245E"/>
    <w:lvl w:ilvl="0" w:tplc="9B7093C4">
      <w:start w:val="13"/>
      <w:numFmt w:val="decimal"/>
      <w:lvlText w:val="%1)"/>
      <w:lvlJc w:val="left"/>
      <w:pPr>
        <w:ind w:left="81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5E2792"/>
    <w:multiLevelType w:val="hybridMultilevel"/>
    <w:tmpl w:val="62ACFFB0"/>
    <w:lvl w:ilvl="0" w:tplc="F1CE03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614841"/>
    <w:multiLevelType w:val="hybridMultilevel"/>
    <w:tmpl w:val="6FA0ABD2"/>
    <w:lvl w:ilvl="0" w:tplc="531E2A62">
      <w:start w:val="2"/>
      <w:numFmt w:val="lowerLetter"/>
      <w:lvlText w:val="%1."/>
      <w:lvlJc w:val="left"/>
      <w:pPr>
        <w:ind w:left="234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7EF566E"/>
    <w:multiLevelType w:val="hybridMultilevel"/>
    <w:tmpl w:val="28000FB6"/>
    <w:lvl w:ilvl="0" w:tplc="1BA28736">
      <w:start w:val="9"/>
      <w:numFmt w:val="decimal"/>
      <w:lvlText w:val="%1)"/>
      <w:lvlJc w:val="left"/>
      <w:pPr>
        <w:ind w:left="81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776E03DF"/>
    <w:multiLevelType w:val="hybridMultilevel"/>
    <w:tmpl w:val="5EAA2100"/>
    <w:lvl w:ilvl="0" w:tplc="B88C6442">
      <w:start w:val="1"/>
      <w:numFmt w:val="decimal"/>
      <w:lvlText w:val="%1)"/>
      <w:lvlJc w:val="left"/>
      <w:pPr>
        <w:ind w:left="72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227BFC"/>
    <w:multiLevelType w:val="hybridMultilevel"/>
    <w:tmpl w:val="257A373A"/>
    <w:lvl w:ilvl="0" w:tplc="0E08C7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7"/>
  </w:num>
  <w:num w:numId="3">
    <w:abstractNumId w:val="22"/>
  </w:num>
  <w:num w:numId="4">
    <w:abstractNumId w:val="8"/>
  </w:num>
  <w:num w:numId="5">
    <w:abstractNumId w:val="4"/>
  </w:num>
  <w:num w:numId="6">
    <w:abstractNumId w:val="24"/>
  </w:num>
  <w:num w:numId="7">
    <w:abstractNumId w:val="20"/>
  </w:num>
  <w:num w:numId="8">
    <w:abstractNumId w:val="25"/>
  </w:num>
  <w:num w:numId="9">
    <w:abstractNumId w:val="26"/>
  </w:num>
  <w:num w:numId="10">
    <w:abstractNumId w:val="11"/>
  </w:num>
  <w:num w:numId="11">
    <w:abstractNumId w:val="15"/>
  </w:num>
  <w:num w:numId="12">
    <w:abstractNumId w:val="5"/>
  </w:num>
  <w:num w:numId="13">
    <w:abstractNumId w:val="10"/>
  </w:num>
  <w:num w:numId="14">
    <w:abstractNumId w:val="3"/>
  </w:num>
  <w:num w:numId="15">
    <w:abstractNumId w:val="12"/>
  </w:num>
  <w:num w:numId="16">
    <w:abstractNumId w:val="14"/>
  </w:num>
  <w:num w:numId="17">
    <w:abstractNumId w:val="28"/>
  </w:num>
  <w:num w:numId="18">
    <w:abstractNumId w:val="16"/>
  </w:num>
  <w:num w:numId="19">
    <w:abstractNumId w:val="6"/>
  </w:num>
  <w:num w:numId="20">
    <w:abstractNumId w:val="1"/>
  </w:num>
  <w:num w:numId="21">
    <w:abstractNumId w:val="19"/>
  </w:num>
  <w:num w:numId="22">
    <w:abstractNumId w:val="18"/>
  </w:num>
  <w:num w:numId="23">
    <w:abstractNumId w:val="0"/>
  </w:num>
  <w:num w:numId="24">
    <w:abstractNumId w:val="13"/>
  </w:num>
  <w:num w:numId="25">
    <w:abstractNumId w:val="21"/>
  </w:num>
  <w:num w:numId="26">
    <w:abstractNumId w:val="17"/>
  </w:num>
  <w:num w:numId="27">
    <w:abstractNumId w:val="9"/>
  </w:num>
  <w:num w:numId="28">
    <w:abstractNumId w:val="27"/>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45A42"/>
    <w:rsid w:val="0006519D"/>
    <w:rsid w:val="00072127"/>
    <w:rsid w:val="00075263"/>
    <w:rsid w:val="00081B71"/>
    <w:rsid w:val="000845EB"/>
    <w:rsid w:val="000E3170"/>
    <w:rsid w:val="00115038"/>
    <w:rsid w:val="0011573F"/>
    <w:rsid w:val="00124855"/>
    <w:rsid w:val="001602D8"/>
    <w:rsid w:val="001A0833"/>
    <w:rsid w:val="001B02DE"/>
    <w:rsid w:val="001B5E52"/>
    <w:rsid w:val="00222BE9"/>
    <w:rsid w:val="002D0902"/>
    <w:rsid w:val="00316618"/>
    <w:rsid w:val="00316AA4"/>
    <w:rsid w:val="003965B7"/>
    <w:rsid w:val="0040440A"/>
    <w:rsid w:val="004079F5"/>
    <w:rsid w:val="00415672"/>
    <w:rsid w:val="004156E2"/>
    <w:rsid w:val="00421523"/>
    <w:rsid w:val="0043492C"/>
    <w:rsid w:val="00465233"/>
    <w:rsid w:val="00473800"/>
    <w:rsid w:val="005B1541"/>
    <w:rsid w:val="005C6289"/>
    <w:rsid w:val="005D7F02"/>
    <w:rsid w:val="00610137"/>
    <w:rsid w:val="006240A2"/>
    <w:rsid w:val="00642569"/>
    <w:rsid w:val="00677286"/>
    <w:rsid w:val="00682FFB"/>
    <w:rsid w:val="006A1A1A"/>
    <w:rsid w:val="006B1BCA"/>
    <w:rsid w:val="006B2D51"/>
    <w:rsid w:val="006D23A5"/>
    <w:rsid w:val="006E2D4E"/>
    <w:rsid w:val="006F3C74"/>
    <w:rsid w:val="007125FD"/>
    <w:rsid w:val="00730420"/>
    <w:rsid w:val="00745453"/>
    <w:rsid w:val="007728F3"/>
    <w:rsid w:val="0078544F"/>
    <w:rsid w:val="007C21F4"/>
    <w:rsid w:val="007D7BEB"/>
    <w:rsid w:val="00871B0B"/>
    <w:rsid w:val="0088006E"/>
    <w:rsid w:val="008B526F"/>
    <w:rsid w:val="008C4C6B"/>
    <w:rsid w:val="008C71E0"/>
    <w:rsid w:val="008C7DB3"/>
    <w:rsid w:val="008F0203"/>
    <w:rsid w:val="00911CDD"/>
    <w:rsid w:val="009378D4"/>
    <w:rsid w:val="00981326"/>
    <w:rsid w:val="00993D58"/>
    <w:rsid w:val="009B1574"/>
    <w:rsid w:val="009E68E4"/>
    <w:rsid w:val="00A24BE7"/>
    <w:rsid w:val="00AB444A"/>
    <w:rsid w:val="00AE49B8"/>
    <w:rsid w:val="00B04523"/>
    <w:rsid w:val="00B31E0B"/>
    <w:rsid w:val="00B440CE"/>
    <w:rsid w:val="00B564D1"/>
    <w:rsid w:val="00B9770E"/>
    <w:rsid w:val="00BF74CE"/>
    <w:rsid w:val="00C033C2"/>
    <w:rsid w:val="00C25F66"/>
    <w:rsid w:val="00C3750F"/>
    <w:rsid w:val="00C406CE"/>
    <w:rsid w:val="00C4526C"/>
    <w:rsid w:val="00CE0E9C"/>
    <w:rsid w:val="00CF1BC0"/>
    <w:rsid w:val="00D07D4D"/>
    <w:rsid w:val="00D11A14"/>
    <w:rsid w:val="00D151E9"/>
    <w:rsid w:val="00D53761"/>
    <w:rsid w:val="00D73280"/>
    <w:rsid w:val="00D80682"/>
    <w:rsid w:val="00DE024E"/>
    <w:rsid w:val="00DF7998"/>
    <w:rsid w:val="00E2342D"/>
    <w:rsid w:val="00E33ABB"/>
    <w:rsid w:val="00E45E61"/>
    <w:rsid w:val="00E70F53"/>
    <w:rsid w:val="00EB1010"/>
    <w:rsid w:val="00ED3FD4"/>
    <w:rsid w:val="00EF5194"/>
    <w:rsid w:val="00F13C67"/>
    <w:rsid w:val="00F30CEA"/>
    <w:rsid w:val="00F5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7D7B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BEB"/>
  </w:style>
  <w:style w:type="paragraph" w:styleId="Footer">
    <w:name w:val="footer"/>
    <w:basedOn w:val="Normal"/>
    <w:link w:val="FooterChar"/>
    <w:uiPriority w:val="99"/>
    <w:unhideWhenUsed/>
    <w:rsid w:val="007D7B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914FB-C9E6-4C88-9C66-21659B98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2436</Words>
  <Characters>13887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10</cp:revision>
  <cp:lastPrinted>2016-06-14T21:25:00Z</cp:lastPrinted>
  <dcterms:created xsi:type="dcterms:W3CDTF">2018-07-23T16:03:00Z</dcterms:created>
  <dcterms:modified xsi:type="dcterms:W3CDTF">2018-09-19T13:53:00Z</dcterms:modified>
</cp:coreProperties>
</file>