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F121F" w:rsidRDefault="00D53761" w:rsidP="00D53761">
      <w:pPr>
        <w:spacing w:after="0" w:line="240" w:lineRule="auto"/>
        <w:rPr>
          <w:rFonts w:ascii="Open Sans" w:eastAsia="Times New Roman" w:hAnsi="Open Sans" w:cs="Open Sans"/>
          <w:sz w:val="16"/>
          <w:szCs w:val="16"/>
        </w:rPr>
      </w:pPr>
      <w:r w:rsidRPr="00DF121F">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F121F">
        <w:rPr>
          <w:rFonts w:ascii="Open Sans" w:eastAsia="Times New Roman" w:hAnsi="Open Sans" w:cs="Open Sans"/>
          <w:i/>
          <w:sz w:val="16"/>
          <w:szCs w:val="16"/>
        </w:rPr>
        <w:t xml:space="preserve">grade </w:t>
      </w:r>
      <w:r w:rsidRPr="00DF121F">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F121F">
        <w:rPr>
          <w:rFonts w:ascii="Open Sans" w:eastAsia="Times New Roman" w:hAnsi="Open Sans" w:cs="Open Sans"/>
          <w:i/>
          <w:sz w:val="16"/>
          <w:szCs w:val="16"/>
        </w:rPr>
        <w:t>course levels</w:t>
      </w:r>
      <w:r w:rsidRPr="00DF121F">
        <w:rPr>
          <w:rFonts w:ascii="Open Sans" w:eastAsia="Times New Roman" w:hAnsi="Open Sans" w:cs="Open Sans"/>
          <w:sz w:val="16"/>
          <w:szCs w:val="16"/>
        </w:rPr>
        <w:t xml:space="preserve">, not </w:t>
      </w:r>
      <w:r w:rsidRPr="00DF121F">
        <w:rPr>
          <w:rFonts w:ascii="Open Sans" w:eastAsia="Times New Roman" w:hAnsi="Open Sans" w:cs="Open Sans"/>
          <w:i/>
          <w:sz w:val="16"/>
          <w:szCs w:val="16"/>
        </w:rPr>
        <w:t>grade</w:t>
      </w:r>
      <w:r w:rsidRPr="00DF121F">
        <w:rPr>
          <w:rFonts w:ascii="Open Sans" w:eastAsia="Times New Roman" w:hAnsi="Open Sans" w:cs="Open Sans"/>
          <w:sz w:val="16"/>
          <w:szCs w:val="16"/>
        </w:rPr>
        <w:t xml:space="preserve"> </w:t>
      </w:r>
      <w:r w:rsidRPr="00DF121F">
        <w:rPr>
          <w:rFonts w:ascii="Open Sans" w:eastAsia="Times New Roman" w:hAnsi="Open Sans" w:cs="Open Sans"/>
          <w:i/>
          <w:sz w:val="16"/>
          <w:szCs w:val="16"/>
        </w:rPr>
        <w:t>levels</w:t>
      </w:r>
      <w:r w:rsidRPr="00DF121F">
        <w:rPr>
          <w:rFonts w:ascii="Open Sans" w:eastAsia="Times New Roman" w:hAnsi="Open Sans" w:cs="Open Sans"/>
          <w:sz w:val="16"/>
          <w:szCs w:val="16"/>
        </w:rPr>
        <w:t xml:space="preserve"> or </w:t>
      </w:r>
      <w:r w:rsidRPr="00DF121F">
        <w:rPr>
          <w:rFonts w:ascii="Open Sans" w:eastAsia="Times New Roman" w:hAnsi="Open Sans" w:cs="Open Sans"/>
          <w:i/>
          <w:sz w:val="16"/>
          <w:szCs w:val="16"/>
        </w:rPr>
        <w:t>grade bands</w:t>
      </w:r>
      <w:r w:rsidRPr="00DF121F">
        <w:rPr>
          <w:rFonts w:ascii="Open Sans" w:eastAsia="Times New Roman" w:hAnsi="Open Sans" w:cs="Open Sans"/>
          <w:sz w:val="16"/>
          <w:szCs w:val="16"/>
        </w:rPr>
        <w:t>.</w:t>
      </w:r>
    </w:p>
    <w:p w:rsidR="006E61BC" w:rsidRPr="00DF121F" w:rsidRDefault="006E61BC" w:rsidP="00D53761">
      <w:pPr>
        <w:spacing w:after="0" w:line="240" w:lineRule="auto"/>
        <w:rPr>
          <w:rFonts w:ascii="Open Sans" w:eastAsia="Times New Roman" w:hAnsi="Open Sans" w:cs="Open Sans"/>
          <w:sz w:val="20"/>
          <w:szCs w:val="20"/>
        </w:rPr>
      </w:pPr>
    </w:p>
    <w:p w:rsidR="005D7F02" w:rsidRPr="00DF121F" w:rsidRDefault="005D7F02" w:rsidP="00D53761">
      <w:pPr>
        <w:spacing w:after="0" w:line="240" w:lineRule="auto"/>
        <w:rPr>
          <w:rFonts w:ascii="Open Sans" w:eastAsia="Times New Roman" w:hAnsi="Open Sans" w:cs="Open Sans"/>
          <w:sz w:val="20"/>
          <w:szCs w:val="20"/>
        </w:rPr>
      </w:pPr>
    </w:p>
    <w:p w:rsidR="00F30CEA" w:rsidRPr="00DF121F" w:rsidRDefault="00F30CEA"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E51036" w:rsidRPr="00214F1D" w:rsidTr="00223D39">
        <w:tc>
          <w:tcPr>
            <w:tcW w:w="12950" w:type="dxa"/>
            <w:gridSpan w:val="4"/>
            <w:shd w:val="clear" w:color="auto" w:fill="8DB3E2" w:themeFill="text2" w:themeFillTint="66"/>
          </w:tcPr>
          <w:p w:rsidR="00E51036" w:rsidRPr="00807E9D" w:rsidRDefault="00E51036" w:rsidP="00223D39">
            <w:pPr>
              <w:jc w:val="center"/>
              <w:rPr>
                <w:rFonts w:ascii="Open Sans" w:hAnsi="Open Sans" w:cs="Open Sans"/>
                <w:b/>
                <w:sz w:val="28"/>
                <w:szCs w:val="28"/>
              </w:rPr>
            </w:pPr>
            <w:r w:rsidRPr="00807E9D">
              <w:rPr>
                <w:rFonts w:ascii="Open Sans" w:hAnsi="Open Sans" w:cs="Open Sans"/>
                <w:b/>
                <w:sz w:val="28"/>
                <w:szCs w:val="28"/>
              </w:rPr>
              <w:t>SECTION I</w:t>
            </w:r>
          </w:p>
          <w:p w:rsidR="00E51036" w:rsidRDefault="00E51036" w:rsidP="00223D39">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E51036" w:rsidRPr="00807E9D" w:rsidRDefault="00E51036" w:rsidP="00223D39">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E51036" w:rsidRPr="00214F1D" w:rsidRDefault="00E51036" w:rsidP="00223D39">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E51036" w:rsidRPr="00003A5D" w:rsidTr="00223D39">
        <w:tc>
          <w:tcPr>
            <w:tcW w:w="12950" w:type="dxa"/>
            <w:gridSpan w:val="4"/>
            <w:shd w:val="clear" w:color="auto" w:fill="8DB3E2" w:themeFill="text2" w:themeFillTint="66"/>
          </w:tcPr>
          <w:p w:rsidR="00E51036" w:rsidRPr="00003A5D" w:rsidRDefault="00E51036" w:rsidP="00223D39">
            <w:pPr>
              <w:rPr>
                <w:rFonts w:ascii="Open Sans" w:eastAsia="Times New Roman" w:hAnsi="Open Sans" w:cs="Open Sans"/>
                <w:b/>
                <w:sz w:val="20"/>
                <w:szCs w:val="20"/>
              </w:rPr>
            </w:pPr>
            <w:r>
              <w:rPr>
                <w:rFonts w:ascii="Open Sans" w:hAnsi="Open Sans" w:cs="Open Sans"/>
                <w:i/>
                <w:sz w:val="20"/>
                <w:szCs w:val="20"/>
              </w:rPr>
              <w:t xml:space="preserve">Of the 27 standards listed below, 22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E51036" w:rsidRPr="00214F1D" w:rsidTr="00223D39">
        <w:tc>
          <w:tcPr>
            <w:tcW w:w="12950" w:type="dxa"/>
            <w:gridSpan w:val="4"/>
            <w:shd w:val="clear" w:color="auto" w:fill="8DB3E2" w:themeFill="text2" w:themeFillTint="66"/>
          </w:tcPr>
          <w:p w:rsidR="00E51036" w:rsidRPr="00214F1D" w:rsidRDefault="00E51036" w:rsidP="00223D39">
            <w:pPr>
              <w:jc w:val="center"/>
              <w:rPr>
                <w:rFonts w:ascii="Open Sans" w:eastAsia="Times New Roman" w:hAnsi="Open Sans" w:cs="Open Sans"/>
                <w:b/>
                <w:sz w:val="20"/>
                <w:szCs w:val="20"/>
              </w:rPr>
            </w:pPr>
            <w:r>
              <w:rPr>
                <w:rFonts w:ascii="Open Sans" w:eastAsia="Times New Roman" w:hAnsi="Open Sans" w:cs="Open Sans"/>
                <w:b/>
                <w:sz w:val="20"/>
                <w:szCs w:val="20"/>
              </w:rPr>
              <w:t>Evidence of 80% Alignment to S</w:t>
            </w:r>
            <w:r w:rsidRPr="00214F1D">
              <w:rPr>
                <w:rFonts w:ascii="Open Sans" w:eastAsia="Times New Roman" w:hAnsi="Open Sans" w:cs="Open Sans"/>
                <w:b/>
                <w:sz w:val="20"/>
                <w:szCs w:val="20"/>
              </w:rPr>
              <w:t>tandards</w:t>
            </w:r>
          </w:p>
        </w:tc>
      </w:tr>
      <w:tr w:rsidR="005D7F02" w:rsidRPr="00DF121F" w:rsidTr="00E51036">
        <w:tc>
          <w:tcPr>
            <w:tcW w:w="7555" w:type="dxa"/>
            <w:shd w:val="clear" w:color="auto" w:fill="C6D9F1" w:themeFill="text2" w:themeFillTint="33"/>
          </w:tcPr>
          <w:p w:rsidR="005D7F02" w:rsidRPr="00DF121F" w:rsidRDefault="005D7F02" w:rsidP="00D53761">
            <w:pPr>
              <w:rPr>
                <w:rFonts w:ascii="Open Sans" w:eastAsia="Times New Roman" w:hAnsi="Open Sans" w:cs="Open Sans"/>
                <w:b/>
                <w:sz w:val="20"/>
                <w:szCs w:val="20"/>
              </w:rPr>
            </w:pPr>
            <w:r w:rsidRPr="00DF121F">
              <w:rPr>
                <w:rFonts w:ascii="Open Sans" w:eastAsia="Times New Roman" w:hAnsi="Open Sans" w:cs="Open Sans"/>
                <w:b/>
                <w:sz w:val="20"/>
                <w:szCs w:val="20"/>
              </w:rPr>
              <w:t>Standard</w:t>
            </w:r>
            <w:r w:rsidR="00597503" w:rsidRPr="00DF121F">
              <w:rPr>
                <w:rFonts w:ascii="Open Sans" w:eastAsia="Times New Roman" w:hAnsi="Open Sans" w:cs="Open Sans"/>
                <w:b/>
                <w:sz w:val="20"/>
                <w:szCs w:val="20"/>
              </w:rPr>
              <w:t>s</w:t>
            </w:r>
          </w:p>
        </w:tc>
        <w:tc>
          <w:tcPr>
            <w:tcW w:w="630" w:type="dxa"/>
            <w:shd w:val="clear" w:color="auto" w:fill="C6D9F1" w:themeFill="text2" w:themeFillTint="33"/>
          </w:tcPr>
          <w:p w:rsidR="005D7F02" w:rsidRPr="00DF121F" w:rsidRDefault="00F30CEA" w:rsidP="00D53761">
            <w:pPr>
              <w:rPr>
                <w:rFonts w:ascii="Open Sans" w:eastAsia="Times New Roman" w:hAnsi="Open Sans" w:cs="Open Sans"/>
                <w:b/>
                <w:sz w:val="20"/>
                <w:szCs w:val="20"/>
              </w:rPr>
            </w:pPr>
            <w:r w:rsidRPr="00DF121F">
              <w:rPr>
                <w:rFonts w:ascii="Open Sans" w:eastAsia="Times New Roman" w:hAnsi="Open Sans" w:cs="Open Sans"/>
                <w:b/>
                <w:sz w:val="20"/>
                <w:szCs w:val="20"/>
              </w:rPr>
              <w:t>Yes</w:t>
            </w:r>
          </w:p>
        </w:tc>
        <w:tc>
          <w:tcPr>
            <w:tcW w:w="630" w:type="dxa"/>
            <w:shd w:val="clear" w:color="auto" w:fill="C6D9F1" w:themeFill="text2" w:themeFillTint="33"/>
          </w:tcPr>
          <w:p w:rsidR="005D7F02" w:rsidRPr="00DF121F" w:rsidRDefault="00F30CEA" w:rsidP="00D53761">
            <w:pPr>
              <w:rPr>
                <w:rFonts w:ascii="Open Sans" w:eastAsia="Times New Roman" w:hAnsi="Open Sans" w:cs="Open Sans"/>
                <w:b/>
                <w:sz w:val="20"/>
                <w:szCs w:val="20"/>
              </w:rPr>
            </w:pPr>
            <w:r w:rsidRPr="00DF121F">
              <w:rPr>
                <w:rFonts w:ascii="Open Sans" w:eastAsia="Times New Roman" w:hAnsi="Open Sans" w:cs="Open Sans"/>
                <w:b/>
                <w:sz w:val="20"/>
                <w:szCs w:val="20"/>
              </w:rPr>
              <w:t>No</w:t>
            </w:r>
          </w:p>
        </w:tc>
        <w:tc>
          <w:tcPr>
            <w:tcW w:w="4135" w:type="dxa"/>
            <w:shd w:val="clear" w:color="auto" w:fill="C6D9F1" w:themeFill="text2" w:themeFillTint="33"/>
          </w:tcPr>
          <w:p w:rsidR="005D7F02" w:rsidRPr="00DF121F" w:rsidRDefault="00E51036" w:rsidP="00E51036">
            <w:pPr>
              <w:rPr>
                <w:rFonts w:ascii="Open Sans" w:eastAsia="Times New Roman" w:hAnsi="Open Sans" w:cs="Open Sans"/>
                <w:sz w:val="20"/>
                <w:szCs w:val="20"/>
              </w:rPr>
            </w:pPr>
            <w:r>
              <w:rPr>
                <w:rFonts w:ascii="Open Sans" w:eastAsia="Times New Roman" w:hAnsi="Open Sans" w:cs="Open Sans"/>
                <w:b/>
                <w:sz w:val="20"/>
                <w:szCs w:val="20"/>
              </w:rPr>
              <w:t>Evidence/Notes</w:t>
            </w:r>
          </w:p>
        </w:tc>
      </w:tr>
      <w:tr w:rsidR="005D7F02" w:rsidRPr="00DF121F" w:rsidTr="00E51036">
        <w:tc>
          <w:tcPr>
            <w:tcW w:w="7555" w:type="dxa"/>
            <w:shd w:val="clear" w:color="auto" w:fill="DBE5F1" w:themeFill="accent1" w:themeFillTint="33"/>
          </w:tcPr>
          <w:p w:rsidR="005A74FD" w:rsidRPr="003A368C" w:rsidRDefault="005A74FD" w:rsidP="005A74FD">
            <w:pPr>
              <w:pStyle w:val="ListParagraph"/>
              <w:numPr>
                <w:ilvl w:val="0"/>
                <w:numId w:val="13"/>
              </w:numPr>
              <w:autoSpaceDE w:val="0"/>
              <w:autoSpaceDN w:val="0"/>
              <w:adjustRightInd w:val="0"/>
              <w:rPr>
                <w:rFonts w:ascii="Open Sans" w:hAnsi="Open Sans" w:cs="Open Sans"/>
                <w:color w:val="000000"/>
                <w:sz w:val="20"/>
                <w:szCs w:val="20"/>
              </w:rPr>
            </w:pPr>
            <w:r w:rsidRPr="003A368C">
              <w:rPr>
                <w:rFonts w:ascii="Open Sans" w:hAnsi="Open Sans" w:cs="Open Sans"/>
                <w:color w:val="000000"/>
                <w:sz w:val="20"/>
                <w:szCs w:val="20"/>
              </w:rPr>
              <w:t xml:space="preserve">A student will have a Personalized Learning Plan that identifies their long-term goals, demonstrates how the Work-Based Learning (WBL) experience aligns with their elective focus and/or high school plan of study, addresses how the student plans to meet and demonstrate the course standards, and addresses employability skill attainment in the following areas: </w:t>
            </w:r>
          </w:p>
          <w:p w:rsidR="005A74FD" w:rsidRPr="003A368C" w:rsidRDefault="005A74FD" w:rsidP="005A74FD">
            <w:pPr>
              <w:pStyle w:val="ListParagraph"/>
              <w:numPr>
                <w:ilvl w:val="1"/>
                <w:numId w:val="13"/>
              </w:numPr>
              <w:autoSpaceDE w:val="0"/>
              <w:autoSpaceDN w:val="0"/>
              <w:adjustRightInd w:val="0"/>
              <w:spacing w:after="43"/>
              <w:rPr>
                <w:rFonts w:ascii="Open Sans" w:hAnsi="Open Sans" w:cs="Open Sans"/>
                <w:color w:val="000000"/>
                <w:sz w:val="20"/>
                <w:szCs w:val="20"/>
              </w:rPr>
            </w:pPr>
            <w:r w:rsidRPr="003A368C">
              <w:rPr>
                <w:rFonts w:ascii="Open Sans" w:hAnsi="Open Sans" w:cs="Open Sans"/>
                <w:color w:val="000000"/>
                <w:sz w:val="20"/>
                <w:szCs w:val="20"/>
              </w:rPr>
              <w:t xml:space="preserve">Application of academic and technical knowledge and skills (embedded in course standards) </w:t>
            </w:r>
          </w:p>
          <w:p w:rsidR="005A74FD" w:rsidRPr="003A368C" w:rsidRDefault="005A74FD" w:rsidP="005A74FD">
            <w:pPr>
              <w:pStyle w:val="ListParagraph"/>
              <w:numPr>
                <w:ilvl w:val="1"/>
                <w:numId w:val="13"/>
              </w:numPr>
              <w:autoSpaceDE w:val="0"/>
              <w:autoSpaceDN w:val="0"/>
              <w:adjustRightInd w:val="0"/>
              <w:spacing w:after="43"/>
              <w:rPr>
                <w:rFonts w:ascii="Open Sans" w:hAnsi="Open Sans" w:cs="Open Sans"/>
                <w:color w:val="000000"/>
                <w:sz w:val="20"/>
                <w:szCs w:val="20"/>
              </w:rPr>
            </w:pPr>
            <w:r w:rsidRPr="003A368C">
              <w:rPr>
                <w:rFonts w:ascii="Open Sans" w:hAnsi="Open Sans" w:cs="Open Sans"/>
                <w:color w:val="000000"/>
                <w:sz w:val="20"/>
                <w:szCs w:val="20"/>
              </w:rPr>
              <w:t xml:space="preserve">Career knowledge and navigation skills </w:t>
            </w:r>
          </w:p>
          <w:p w:rsidR="005A74FD" w:rsidRDefault="005A74FD" w:rsidP="005A74FD">
            <w:pPr>
              <w:pStyle w:val="ListParagraph"/>
              <w:numPr>
                <w:ilvl w:val="1"/>
                <w:numId w:val="13"/>
              </w:numPr>
              <w:autoSpaceDE w:val="0"/>
              <w:autoSpaceDN w:val="0"/>
              <w:adjustRightInd w:val="0"/>
              <w:spacing w:after="43"/>
              <w:rPr>
                <w:rFonts w:ascii="Open Sans" w:hAnsi="Open Sans" w:cs="Open Sans"/>
                <w:color w:val="000000"/>
                <w:sz w:val="20"/>
                <w:szCs w:val="20"/>
              </w:rPr>
            </w:pPr>
            <w:r w:rsidRPr="003A368C">
              <w:rPr>
                <w:rFonts w:ascii="Open Sans" w:hAnsi="Open Sans" w:cs="Open Sans"/>
                <w:color w:val="000000"/>
                <w:sz w:val="20"/>
                <w:szCs w:val="20"/>
              </w:rPr>
              <w:t>21st Century</w:t>
            </w:r>
            <w:r>
              <w:rPr>
                <w:rFonts w:ascii="Open Sans" w:hAnsi="Open Sans" w:cs="Open Sans"/>
                <w:color w:val="000000"/>
                <w:sz w:val="20"/>
                <w:szCs w:val="20"/>
              </w:rPr>
              <w:t xml:space="preserve"> learning and innovation skills</w:t>
            </w:r>
          </w:p>
          <w:p w:rsidR="005D7F02" w:rsidRPr="005A74FD" w:rsidRDefault="005A74FD" w:rsidP="005A74FD">
            <w:pPr>
              <w:pStyle w:val="ListParagraph"/>
              <w:numPr>
                <w:ilvl w:val="1"/>
                <w:numId w:val="13"/>
              </w:numPr>
              <w:autoSpaceDE w:val="0"/>
              <w:autoSpaceDN w:val="0"/>
              <w:adjustRightInd w:val="0"/>
              <w:spacing w:after="43"/>
              <w:rPr>
                <w:rFonts w:ascii="Open Sans" w:hAnsi="Open Sans" w:cs="Open Sans"/>
                <w:color w:val="000000"/>
                <w:sz w:val="20"/>
                <w:szCs w:val="20"/>
              </w:rPr>
            </w:pPr>
            <w:r w:rsidRPr="005A74FD">
              <w:rPr>
                <w:rFonts w:ascii="Open Sans" w:hAnsi="Open Sans" w:cs="Open Sans"/>
                <w:color w:val="000000"/>
                <w:sz w:val="20"/>
                <w:szCs w:val="20"/>
              </w:rPr>
              <w:t>Personal and social skills</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E51036">
        <w:tc>
          <w:tcPr>
            <w:tcW w:w="7555" w:type="dxa"/>
            <w:shd w:val="clear" w:color="auto" w:fill="DBE5F1" w:themeFill="accent1" w:themeFillTint="33"/>
          </w:tcPr>
          <w:p w:rsidR="005D7F02" w:rsidRPr="005A74FD" w:rsidRDefault="005A74FD" w:rsidP="005A74FD">
            <w:pPr>
              <w:pStyle w:val="ListParagraph"/>
              <w:numPr>
                <w:ilvl w:val="0"/>
                <w:numId w:val="13"/>
              </w:numPr>
              <w:rPr>
                <w:rFonts w:ascii="Open Sans" w:hAnsi="Open Sans" w:cs="Open Sans"/>
                <w:sz w:val="20"/>
                <w:szCs w:val="20"/>
              </w:rPr>
            </w:pPr>
            <w:r w:rsidRPr="00F775D4">
              <w:rPr>
                <w:rFonts w:ascii="Open Sans" w:hAnsi="Open Sans" w:cs="Open Sans"/>
                <w:sz w:val="20"/>
                <w:szCs w:val="20"/>
              </w:rPr>
              <w:t xml:space="preserve">Analyze the concepts and principles of the Hazard Analysis and Critical Control Points (HACCP) program approach to food safety from the Food and Drug Administration (FDA) and United States Department of Agriculture (USDA) in relation to meats and seafood. Demonstrate the concepts and principles in the foodservice setting to ensure food safety when working with meats and seafood.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E51036">
        <w:tc>
          <w:tcPr>
            <w:tcW w:w="7555" w:type="dxa"/>
            <w:shd w:val="clear" w:color="auto" w:fill="DBE5F1" w:themeFill="accent1" w:themeFillTint="33"/>
          </w:tcPr>
          <w:p w:rsidR="005D7F02" w:rsidRPr="005A74FD" w:rsidRDefault="005A74FD" w:rsidP="005A74FD">
            <w:pPr>
              <w:numPr>
                <w:ilvl w:val="0"/>
                <w:numId w:val="13"/>
              </w:numPr>
              <w:contextualSpacing/>
              <w:rPr>
                <w:rFonts w:ascii="Open Sans" w:hAnsi="Open Sans" w:cs="Open Sans"/>
                <w:sz w:val="20"/>
                <w:szCs w:val="20"/>
              </w:rPr>
            </w:pPr>
            <w:r w:rsidRPr="005B0CFC">
              <w:rPr>
                <w:rFonts w:ascii="Open Sans" w:hAnsi="Open Sans" w:cs="Open Sans"/>
                <w:sz w:val="20"/>
                <w:szCs w:val="20"/>
              </w:rPr>
              <w:lastRenderedPageBreak/>
              <w:t xml:space="preserve">Research the state laws and rules that govern foodservice businesses, including catering operations, from the Tennessee Department of Health (TDH). Demonstrate adherence to all applicable laws in the course of completing the capstone project.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E51036">
        <w:tc>
          <w:tcPr>
            <w:tcW w:w="7555" w:type="dxa"/>
            <w:shd w:val="clear" w:color="auto" w:fill="DBE5F1" w:themeFill="accent1" w:themeFillTint="33"/>
          </w:tcPr>
          <w:p w:rsidR="005D7F02" w:rsidRPr="005A74FD" w:rsidRDefault="005A74FD" w:rsidP="005A74FD">
            <w:pPr>
              <w:numPr>
                <w:ilvl w:val="0"/>
                <w:numId w:val="13"/>
              </w:numPr>
              <w:contextualSpacing/>
              <w:rPr>
                <w:rFonts w:ascii="Open Sans" w:hAnsi="Open Sans" w:cs="Open Sans"/>
                <w:b/>
                <w:sz w:val="20"/>
                <w:szCs w:val="20"/>
              </w:rPr>
            </w:pPr>
            <w:r w:rsidRPr="005B0CFC">
              <w:rPr>
                <w:rFonts w:ascii="Open Sans" w:hAnsi="Open Sans" w:cs="Open Sans"/>
                <w:sz w:val="20"/>
                <w:szCs w:val="20"/>
              </w:rPr>
              <w:t xml:space="preserve">Compile, practice, and critique safety and sanitation procedures related to handling, preparing, storing, and serving food from industry-approved technical manuals and government published fact sheets. Identify, review, and demonstrate common laboratory safety procedures, including but not limited to prevention and control procedures and personal hygiene expectations. Incorporate safety procedures and complete safety test with 100 percent accuracy; include exam in the student portfolio.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E51036">
        <w:tc>
          <w:tcPr>
            <w:tcW w:w="7555" w:type="dxa"/>
            <w:shd w:val="clear" w:color="auto" w:fill="DBE5F1" w:themeFill="accent1" w:themeFillTint="33"/>
          </w:tcPr>
          <w:p w:rsidR="005A74FD" w:rsidRDefault="005A74FD" w:rsidP="005A74FD">
            <w:pPr>
              <w:rPr>
                <w:rFonts w:ascii="Open Sans" w:hAnsi="Open Sans" w:cs="Open Sans"/>
                <w:i/>
                <w:sz w:val="20"/>
                <w:szCs w:val="20"/>
              </w:rPr>
            </w:pPr>
          </w:p>
          <w:p w:rsidR="005A74FD" w:rsidRPr="005A74FD" w:rsidRDefault="005A74FD" w:rsidP="005A74FD">
            <w:pPr>
              <w:rPr>
                <w:rFonts w:ascii="Open Sans" w:hAnsi="Open Sans" w:cs="Open Sans"/>
                <w:i/>
                <w:sz w:val="20"/>
                <w:szCs w:val="20"/>
              </w:rPr>
            </w:pPr>
            <w:r w:rsidRPr="005A74FD">
              <w:rPr>
                <w:rFonts w:ascii="Open Sans" w:hAnsi="Open Sans" w:cs="Open Sans"/>
                <w:i/>
                <w:sz w:val="20"/>
                <w:szCs w:val="20"/>
              </w:rPr>
              <w:t>Fish &amp; Shellfish</w:t>
            </w:r>
          </w:p>
          <w:p w:rsidR="005D7F02" w:rsidRPr="005A74FD" w:rsidRDefault="005A74FD" w:rsidP="005A74FD">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Identify the major types of shellfish and finfish (saltwater and freshwater) used in commercial foodservice, citing research from government resources such as the United States Department of Agriculture (USDA) Food List or the United States Food and Drug Administration (FDA) approved list. Summarize guidelines from sources such as the United States Department of Agriculture (USDA) Food Fact sheets for assessing the quality and freshness of finfish and shellfish.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5D7F02" w:rsidRPr="00DF121F" w:rsidTr="00E51036">
        <w:tc>
          <w:tcPr>
            <w:tcW w:w="7555" w:type="dxa"/>
            <w:shd w:val="clear" w:color="auto" w:fill="DBE5F1" w:themeFill="accent1" w:themeFillTint="33"/>
          </w:tcPr>
          <w:p w:rsidR="005D7F02" w:rsidRPr="005A74FD" w:rsidRDefault="005A74FD" w:rsidP="005A74FD">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Analyze the National Oceanic and Atmospheric Administration (NOAA) inspection and grading procedures for finfish and shellfish. From the research, summarize how the products are graded, classified, and inspected. Examine the United States Food and Drug Administration’s (FDA) list of approved acceptable market names and seek additional research to clarify unfamiliar products. </w:t>
            </w: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5A74FD" w:rsidRDefault="005D7F02" w:rsidP="00D53761">
            <w:pPr>
              <w:rPr>
                <w:rFonts w:ascii="Open Sans" w:eastAsia="Times New Roman" w:hAnsi="Open Sans" w:cs="Open Sans"/>
                <w:sz w:val="20"/>
                <w:szCs w:val="20"/>
              </w:rPr>
            </w:pPr>
          </w:p>
        </w:tc>
      </w:tr>
      <w:tr w:rsidR="001B02DE" w:rsidRPr="00DF121F" w:rsidTr="00E51036">
        <w:tc>
          <w:tcPr>
            <w:tcW w:w="7555" w:type="dxa"/>
            <w:shd w:val="clear" w:color="auto" w:fill="DBE5F1" w:themeFill="accent1" w:themeFillTint="33"/>
          </w:tcPr>
          <w:p w:rsidR="001B02DE" w:rsidRPr="005A74FD" w:rsidRDefault="005A74FD" w:rsidP="005A74FD">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Create a diagram/graphic of the different fabrication forms that chefs may work with in a commercial kitchen. Summarize the various moist-heat and dry-heat cooking methods from a collection of seafood recipes. Research the principles of finfish and shellfish cookery using culinary journals and magazines. Select the best cooking method for </w:t>
            </w:r>
            <w:r w:rsidRPr="005B0CFC">
              <w:rPr>
                <w:rFonts w:ascii="Open Sans" w:hAnsi="Open Sans" w:cs="Open Sans"/>
                <w:sz w:val="20"/>
                <w:szCs w:val="20"/>
              </w:rPr>
              <w:lastRenderedPageBreak/>
              <w:t xml:space="preserve">certain finfish and shellfish, and be able to explain to a potential customer, client, or supervisor how the cooking method achieves the desired flavor profile, texture, and presentation.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E51036">
        <w:tc>
          <w:tcPr>
            <w:tcW w:w="7555" w:type="dxa"/>
            <w:shd w:val="clear" w:color="auto" w:fill="DBE5F1" w:themeFill="accent1" w:themeFillTint="33"/>
          </w:tcPr>
          <w:p w:rsidR="001B02DE" w:rsidRPr="005A74FD" w:rsidRDefault="005A74FD" w:rsidP="005A74FD">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Create an entrée menu listing for a finfish or shellfish dish to be served in a restaurant. The entrée listing should reflect the use of local products and connections to a certain region. Craft an accompanying explanatory text discussing the use of the local products and connection to the region.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E51036">
        <w:tc>
          <w:tcPr>
            <w:tcW w:w="7555" w:type="dxa"/>
            <w:shd w:val="clear" w:color="auto" w:fill="DBE5F1" w:themeFill="accent1" w:themeFillTint="33"/>
          </w:tcPr>
          <w:p w:rsidR="005A74FD" w:rsidRPr="005A74FD" w:rsidRDefault="005A74FD" w:rsidP="005A74FD">
            <w:pPr>
              <w:rPr>
                <w:rFonts w:ascii="Open Sans" w:hAnsi="Open Sans" w:cs="Open Sans"/>
                <w:i/>
                <w:sz w:val="20"/>
                <w:szCs w:val="20"/>
              </w:rPr>
            </w:pPr>
            <w:r w:rsidRPr="005A74FD">
              <w:rPr>
                <w:rFonts w:ascii="Open Sans" w:hAnsi="Open Sans" w:cs="Open Sans"/>
                <w:i/>
                <w:sz w:val="20"/>
                <w:szCs w:val="20"/>
              </w:rPr>
              <w:t>Cakes</w:t>
            </w:r>
          </w:p>
          <w:p w:rsidR="001B02DE" w:rsidRPr="005A74FD" w:rsidRDefault="005A74FD" w:rsidP="005A74FD">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Categorize the different types of cakes by identifying their mixing methods (i.e., creaming and sponge), the functions of their ingredients, and the methods for preparing the pan for baking. Compile a collection of cake recipes into an index. Select one recipe to demonstrate the preparation method for a group, using proper culinary terminology to narrate and explain the procedure.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E51036">
        <w:tc>
          <w:tcPr>
            <w:tcW w:w="7555" w:type="dxa"/>
            <w:shd w:val="clear" w:color="auto" w:fill="DBE5F1" w:themeFill="accent1" w:themeFillTint="33"/>
          </w:tcPr>
          <w:p w:rsidR="001B02DE" w:rsidRPr="005A74FD" w:rsidRDefault="005A74FD" w:rsidP="005A74FD">
            <w:pPr>
              <w:numPr>
                <w:ilvl w:val="0"/>
                <w:numId w:val="13"/>
              </w:numPr>
              <w:contextualSpacing/>
              <w:rPr>
                <w:rFonts w:ascii="Open Sans" w:hAnsi="Open Sans" w:cs="Open Sans"/>
                <w:sz w:val="20"/>
                <w:szCs w:val="20"/>
              </w:rPr>
            </w:pPr>
            <w:r w:rsidRPr="005B0CFC">
              <w:rPr>
                <w:rFonts w:ascii="Open Sans" w:hAnsi="Open Sans" w:cs="Open Sans"/>
                <w:sz w:val="20"/>
                <w:szCs w:val="20"/>
              </w:rPr>
              <w:t xml:space="preserve">Summarize from recipes and culinary textbooks the steps to follow when assembling a multilayer cake. Identify and use the kitchen tools needed to successfully practice the skill. Using resources ranging from baking blogs to industry magazines, investigate current trends in finishing and decorating cakes. Craft an essay presenting claims and counterclaims concerning the best method for assembling a multilayer cake.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1B02DE" w:rsidRPr="00DF121F" w:rsidTr="00E51036">
        <w:tc>
          <w:tcPr>
            <w:tcW w:w="7555" w:type="dxa"/>
            <w:shd w:val="clear" w:color="auto" w:fill="DBE5F1" w:themeFill="accent1" w:themeFillTint="33"/>
          </w:tcPr>
          <w:p w:rsidR="005A74FD" w:rsidRPr="005A74FD" w:rsidRDefault="005A74FD" w:rsidP="005A74FD">
            <w:pPr>
              <w:rPr>
                <w:rFonts w:ascii="Open Sans" w:hAnsi="Open Sans" w:cs="Open Sans"/>
                <w:i/>
                <w:sz w:val="20"/>
                <w:szCs w:val="20"/>
              </w:rPr>
            </w:pPr>
            <w:r w:rsidRPr="005A74FD">
              <w:rPr>
                <w:rFonts w:ascii="Open Sans" w:hAnsi="Open Sans" w:cs="Open Sans"/>
                <w:i/>
                <w:sz w:val="20"/>
                <w:szCs w:val="20"/>
              </w:rPr>
              <w:t>Custards, Foams &amp; Buttercreams</w:t>
            </w:r>
          </w:p>
          <w:p w:rsidR="001B02DE" w:rsidRPr="005A74FD" w:rsidRDefault="005A74FD" w:rsidP="005A74FD">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Compare and contrast the different types of custards (stirred and baked) and foams (whipped cream, meringue, mousse, and Bavarian crème) commonly used in commercial foodservice. Discuss how the preparation methods affect the appearance, volume, and weight of foams. Compile a collection of recipes illustrating the diversity of custards and foams in the foodservice industry. </w:t>
            </w: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5A74FD" w:rsidRDefault="001B02DE" w:rsidP="00D53761">
            <w:pPr>
              <w:rPr>
                <w:rFonts w:ascii="Open Sans" w:eastAsia="Times New Roman" w:hAnsi="Open Sans" w:cs="Open Sans"/>
                <w:sz w:val="20"/>
                <w:szCs w:val="20"/>
              </w:rPr>
            </w:pPr>
          </w:p>
        </w:tc>
      </w:tr>
      <w:tr w:rsidR="00DE024E" w:rsidRPr="00DF121F" w:rsidTr="00E51036">
        <w:tc>
          <w:tcPr>
            <w:tcW w:w="7555" w:type="dxa"/>
            <w:shd w:val="clear" w:color="auto" w:fill="DBE5F1" w:themeFill="accent1" w:themeFillTint="33"/>
          </w:tcPr>
          <w:p w:rsidR="00DE024E" w:rsidRPr="00D570EC" w:rsidRDefault="00D570EC" w:rsidP="00D570EC">
            <w:pPr>
              <w:numPr>
                <w:ilvl w:val="0"/>
                <w:numId w:val="13"/>
              </w:numPr>
              <w:contextualSpacing/>
              <w:rPr>
                <w:rFonts w:ascii="Open Sans" w:hAnsi="Open Sans" w:cs="Open Sans"/>
                <w:sz w:val="20"/>
                <w:szCs w:val="20"/>
              </w:rPr>
            </w:pPr>
            <w:r w:rsidRPr="005B0CFC">
              <w:rPr>
                <w:rFonts w:ascii="Open Sans" w:hAnsi="Open Sans" w:cs="Open Sans"/>
                <w:sz w:val="20"/>
                <w:szCs w:val="20"/>
              </w:rPr>
              <w:t xml:space="preserve">Research the two types of buttercream (American and French) and the multistep process for preparing each. In a taste test/observation, </w:t>
            </w:r>
            <w:r w:rsidRPr="005B0CFC">
              <w:rPr>
                <w:rFonts w:ascii="Open Sans" w:hAnsi="Open Sans" w:cs="Open Sans"/>
                <w:sz w:val="20"/>
                <w:szCs w:val="20"/>
              </w:rPr>
              <w:lastRenderedPageBreak/>
              <w:t xml:space="preserve">compare the taste, structure, and composition of each. Create and continually revise the recipes for different types of buttercream.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E51036">
        <w:tc>
          <w:tcPr>
            <w:tcW w:w="7555" w:type="dxa"/>
            <w:shd w:val="clear" w:color="auto" w:fill="DBE5F1" w:themeFill="accent1" w:themeFillTint="33"/>
          </w:tcPr>
          <w:p w:rsidR="00D570EC" w:rsidRPr="00D570EC" w:rsidRDefault="00D570EC" w:rsidP="00D570EC">
            <w:pPr>
              <w:rPr>
                <w:rFonts w:ascii="Open Sans" w:hAnsi="Open Sans" w:cs="Open Sans"/>
                <w:i/>
                <w:sz w:val="20"/>
                <w:szCs w:val="20"/>
              </w:rPr>
            </w:pPr>
            <w:r w:rsidRPr="00D570EC">
              <w:rPr>
                <w:rFonts w:ascii="Open Sans" w:hAnsi="Open Sans" w:cs="Open Sans"/>
                <w:i/>
                <w:sz w:val="20"/>
                <w:szCs w:val="20"/>
              </w:rPr>
              <w:t xml:space="preserve">Desserts Sauces &amp; Frozen Desserts </w:t>
            </w:r>
          </w:p>
          <w:p w:rsidR="00DE024E" w:rsidRPr="00D570EC" w:rsidRDefault="00D570EC" w:rsidP="00D570EC">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Citing evidence from a variety of recipes and/or culinary textbooks, analyze the different types of dessert sauces (i.e., crème </w:t>
            </w:r>
            <w:proofErr w:type="spellStart"/>
            <w:r w:rsidRPr="005B0CFC">
              <w:rPr>
                <w:rFonts w:ascii="Open Sans" w:hAnsi="Open Sans" w:cs="Open Sans"/>
                <w:sz w:val="20"/>
                <w:szCs w:val="20"/>
              </w:rPr>
              <w:t>anglaise</w:t>
            </w:r>
            <w:proofErr w:type="spellEnd"/>
            <w:r w:rsidRPr="005B0CFC">
              <w:rPr>
                <w:rFonts w:ascii="Open Sans" w:hAnsi="Open Sans" w:cs="Open Sans"/>
                <w:sz w:val="20"/>
                <w:szCs w:val="20"/>
              </w:rPr>
              <w:t xml:space="preserve">, chocolate, caramel, and fruit sauces) and the role of the ingredients used in each. Evaluate a range of dessert dishes that may benefit from the addition of various sauces. Demonstrate ability to prepare sauces from recipes, making modifications when needed. Evaluate the sauces for proper appearance, flavor, and texture.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71C36" w:rsidRPr="00DF121F" w:rsidTr="00E51036">
        <w:tc>
          <w:tcPr>
            <w:tcW w:w="7555" w:type="dxa"/>
            <w:shd w:val="clear" w:color="auto" w:fill="DBE5F1" w:themeFill="accent1" w:themeFillTint="33"/>
          </w:tcPr>
          <w:p w:rsidR="00D71C36" w:rsidRPr="00D570EC" w:rsidRDefault="00D570EC" w:rsidP="00D570EC">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Using print or digital resources, discuss the qualities of frozen desserts, citing examples of each. Evaluate a frozen dessert recipe, analyzing the choice of ingredients. Outline any proposed modifications, including substitute ingredients. </w:t>
            </w:r>
          </w:p>
        </w:tc>
        <w:tc>
          <w:tcPr>
            <w:tcW w:w="630"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c>
          <w:tcPr>
            <w:tcW w:w="630"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c>
          <w:tcPr>
            <w:tcW w:w="4135" w:type="dxa"/>
            <w:shd w:val="clear" w:color="auto" w:fill="DBE5F1" w:themeFill="accent1" w:themeFillTint="33"/>
          </w:tcPr>
          <w:p w:rsidR="00D71C36" w:rsidRPr="005A74FD" w:rsidRDefault="00D71C36" w:rsidP="00D53761">
            <w:pPr>
              <w:rPr>
                <w:rFonts w:ascii="Open Sans" w:eastAsia="Times New Roman" w:hAnsi="Open Sans" w:cs="Open Sans"/>
                <w:sz w:val="20"/>
                <w:szCs w:val="20"/>
              </w:rPr>
            </w:pPr>
          </w:p>
        </w:tc>
      </w:tr>
      <w:tr w:rsidR="00DE024E" w:rsidRPr="00DF121F" w:rsidTr="00E51036">
        <w:tc>
          <w:tcPr>
            <w:tcW w:w="7555" w:type="dxa"/>
            <w:shd w:val="clear" w:color="auto" w:fill="DBE5F1" w:themeFill="accent1" w:themeFillTint="33"/>
          </w:tcPr>
          <w:p w:rsidR="00DE024E" w:rsidRPr="00D570EC" w:rsidRDefault="00D570EC" w:rsidP="00D570EC">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Research the principles of green design, responsible design, and sustainable design in the commercial kitchen setting. Examine how a foodservice establishment has successfully implemented one of these principles, and discuss the impact it has had on the business.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E51036">
        <w:tc>
          <w:tcPr>
            <w:tcW w:w="7555" w:type="dxa"/>
            <w:shd w:val="clear" w:color="auto" w:fill="DBE5F1" w:themeFill="accent1" w:themeFillTint="33"/>
          </w:tcPr>
          <w:p w:rsidR="00DE024E" w:rsidRPr="00D570EC" w:rsidRDefault="00D570EC" w:rsidP="00D570EC">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Research the importance of sustainable practices in the foodservice industry. Create a plan to reduce foodservice waste and to minimize the impact on the environment. The plan should focus especially on reducing water and conserving energy.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E51036">
        <w:tc>
          <w:tcPr>
            <w:tcW w:w="7555" w:type="dxa"/>
            <w:shd w:val="clear" w:color="auto" w:fill="DBE5F1" w:themeFill="accent1" w:themeFillTint="33"/>
          </w:tcPr>
          <w:p w:rsidR="00DE024E" w:rsidRPr="00D570EC" w:rsidRDefault="00D570EC" w:rsidP="00D570EC">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Search for the resumes of professional chefs and foodservice professionals retrieved from the websites of institutions, organizations, or professional networks. Discuss what is typically included in the resumes of foodservice professionals, compare and contrast several examples, and create a personal resume modeled after elements identified in the search.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F121F" w:rsidRPr="00DF121F" w:rsidTr="00E51036">
        <w:tc>
          <w:tcPr>
            <w:tcW w:w="7555" w:type="dxa"/>
            <w:shd w:val="clear" w:color="auto" w:fill="DBE5F1" w:themeFill="accent1" w:themeFillTint="33"/>
          </w:tcPr>
          <w:p w:rsidR="00DB5CEF" w:rsidRPr="00D570EC" w:rsidRDefault="00D570EC" w:rsidP="00D570EC">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Participate in a mock interview. Prior to the interview, prepare a paper that includes the following: tips on dress and grooming, most commonly asked interview questions, appropriate conduct during an interview, and recommended follow-up procedures. Upon completion </w:t>
            </w:r>
            <w:r w:rsidRPr="005B0CFC">
              <w:rPr>
                <w:rFonts w:ascii="Open Sans" w:hAnsi="Open Sans" w:cs="Open Sans"/>
                <w:sz w:val="20"/>
                <w:szCs w:val="20"/>
              </w:rPr>
              <w:lastRenderedPageBreak/>
              <w:t xml:space="preserve">of the interview, write a thank you letter to the interviewer in a hand-written or email format. </w:t>
            </w:r>
          </w:p>
        </w:tc>
        <w:tc>
          <w:tcPr>
            <w:tcW w:w="630" w:type="dxa"/>
            <w:shd w:val="clear" w:color="auto" w:fill="DBE5F1" w:themeFill="accent1" w:themeFillTint="33"/>
          </w:tcPr>
          <w:p w:rsidR="00DF121F" w:rsidRPr="005A74FD" w:rsidRDefault="00DF121F" w:rsidP="00D53761">
            <w:pPr>
              <w:rPr>
                <w:rFonts w:ascii="Open Sans" w:eastAsia="Times New Roman" w:hAnsi="Open Sans" w:cs="Open Sans"/>
                <w:sz w:val="20"/>
                <w:szCs w:val="20"/>
              </w:rPr>
            </w:pPr>
          </w:p>
        </w:tc>
        <w:tc>
          <w:tcPr>
            <w:tcW w:w="630" w:type="dxa"/>
            <w:shd w:val="clear" w:color="auto" w:fill="DBE5F1" w:themeFill="accent1" w:themeFillTint="33"/>
          </w:tcPr>
          <w:p w:rsidR="00DF121F" w:rsidRPr="005A74FD" w:rsidRDefault="00DF121F" w:rsidP="00D53761">
            <w:pPr>
              <w:rPr>
                <w:rFonts w:ascii="Open Sans" w:eastAsia="Times New Roman" w:hAnsi="Open Sans" w:cs="Open Sans"/>
                <w:sz w:val="20"/>
                <w:szCs w:val="20"/>
              </w:rPr>
            </w:pPr>
          </w:p>
        </w:tc>
        <w:tc>
          <w:tcPr>
            <w:tcW w:w="4135" w:type="dxa"/>
            <w:shd w:val="clear" w:color="auto" w:fill="DBE5F1" w:themeFill="accent1" w:themeFillTint="33"/>
          </w:tcPr>
          <w:p w:rsidR="00DF121F" w:rsidRPr="005A74FD" w:rsidRDefault="00DF121F" w:rsidP="00D53761">
            <w:pPr>
              <w:rPr>
                <w:rFonts w:ascii="Open Sans" w:eastAsia="Times New Roman" w:hAnsi="Open Sans" w:cs="Open Sans"/>
                <w:sz w:val="20"/>
                <w:szCs w:val="20"/>
              </w:rPr>
            </w:pPr>
          </w:p>
        </w:tc>
      </w:tr>
      <w:tr w:rsidR="00DE024E" w:rsidRPr="00DF121F" w:rsidTr="00E51036">
        <w:tc>
          <w:tcPr>
            <w:tcW w:w="7555" w:type="dxa"/>
            <w:shd w:val="clear" w:color="auto" w:fill="DBE5F1" w:themeFill="accent1" w:themeFillTint="33"/>
          </w:tcPr>
          <w:p w:rsidR="00DE024E" w:rsidRPr="00D570EC" w:rsidRDefault="00D570EC" w:rsidP="00D570EC">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Compare and contrast types of business ownership models, including at minimum the following: sole proprietorships, partnerships, small businesses, cooperatives, limited liability corporations, and corporations. In a narrative referencing foodservice examples, explain the organizational structure of each model and describe its advantages and disadvantages to both owner and customer.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E51036">
        <w:tc>
          <w:tcPr>
            <w:tcW w:w="7555" w:type="dxa"/>
            <w:shd w:val="clear" w:color="auto" w:fill="DBE5F1" w:themeFill="accent1" w:themeFillTint="33"/>
          </w:tcPr>
          <w:p w:rsidR="00DE024E" w:rsidRPr="00D570EC" w:rsidRDefault="00D570EC" w:rsidP="00D570EC">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Investigate methods for reducing costs in the commercial kitchen, including but not limited to investments in energy-saving technologies, bulk purchasing strategies, and buying local. Using supporting graphic illustrations and calculations, develop a proposal for a mock client or manager, outlining how the business can save money while also adhering to its mission, without compromising the quality of food or service.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E51036">
        <w:tc>
          <w:tcPr>
            <w:tcW w:w="7555" w:type="dxa"/>
            <w:shd w:val="clear" w:color="auto" w:fill="DBE5F1" w:themeFill="accent1" w:themeFillTint="33"/>
          </w:tcPr>
          <w:p w:rsidR="00DE024E" w:rsidRPr="00D570EC" w:rsidRDefault="00D570EC" w:rsidP="00D570EC">
            <w:pPr>
              <w:numPr>
                <w:ilvl w:val="0"/>
                <w:numId w:val="13"/>
              </w:numPr>
              <w:contextualSpacing/>
              <w:rPr>
                <w:rFonts w:ascii="Open Sans" w:hAnsi="Open Sans" w:cs="Open Sans"/>
                <w:sz w:val="20"/>
                <w:szCs w:val="20"/>
              </w:rPr>
            </w:pPr>
            <w:r w:rsidRPr="005B0CFC">
              <w:rPr>
                <w:rFonts w:ascii="Open Sans" w:hAnsi="Open Sans" w:cs="Open Sans"/>
                <w:sz w:val="20"/>
                <w:szCs w:val="20"/>
              </w:rPr>
              <w:t xml:space="preserve">Evaluate which foodservice strategies are appropriate for certain events (i.e., banquets, receptions, lunches, etc.). Compare and contrast successful strategies used by event planning and catering companies, drawing on profiles of these companies and other evidence from industry magazines, blogs, news articles, or textbooks. As part of the class capstone project, investigate potential clients for a catering event, and collaboratively determine which client would be appropriate, given classroom constraints. Potential clients could include, for example, a local non-profit or community organization, a parent-teacher association, student government association, sports team, and more.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E51036">
        <w:tc>
          <w:tcPr>
            <w:tcW w:w="7555" w:type="dxa"/>
            <w:shd w:val="clear" w:color="auto" w:fill="DBE5F1" w:themeFill="accent1" w:themeFillTint="33"/>
          </w:tcPr>
          <w:p w:rsidR="00D570EC" w:rsidRPr="00D570EC" w:rsidRDefault="00D570EC" w:rsidP="00D570EC">
            <w:pPr>
              <w:pStyle w:val="ListParagraph"/>
              <w:numPr>
                <w:ilvl w:val="0"/>
                <w:numId w:val="13"/>
              </w:numPr>
              <w:rPr>
                <w:rFonts w:ascii="Open Sans" w:hAnsi="Open Sans" w:cs="Open Sans"/>
                <w:sz w:val="20"/>
                <w:szCs w:val="20"/>
              </w:rPr>
            </w:pPr>
            <w:r w:rsidRPr="00D570EC">
              <w:rPr>
                <w:rFonts w:ascii="Open Sans" w:hAnsi="Open Sans" w:cs="Open Sans"/>
                <w:sz w:val="20"/>
                <w:szCs w:val="20"/>
              </w:rPr>
              <w:t xml:space="preserve">Collaboratively, develop a </w:t>
            </w:r>
            <w:r w:rsidRPr="00D570EC">
              <w:rPr>
                <w:rFonts w:ascii="Open Sans" w:hAnsi="Open Sans" w:cs="Open Sans"/>
                <w:i/>
                <w:sz w:val="20"/>
                <w:szCs w:val="20"/>
              </w:rPr>
              <w:t>professionalism</w:t>
            </w:r>
            <w:r w:rsidRPr="00D570EC">
              <w:rPr>
                <w:rFonts w:ascii="Open Sans" w:hAnsi="Open Sans" w:cs="Open Sans"/>
                <w:sz w:val="20"/>
                <w:szCs w:val="20"/>
              </w:rPr>
              <w:t xml:space="preserve"> evaluation rubric with performance indicators for each of the following professional attributes and use it to evaluate course assignments and personal work:</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Attendance/punctuality</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Professional dress and behavior</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Positive attitude</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Collaboration</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lastRenderedPageBreak/>
              <w:t>Honesty</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Respect</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Responsibility</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Appropriate technology use</w:t>
            </w:r>
          </w:p>
          <w:p w:rsidR="00DE024E" w:rsidRPr="00D570EC" w:rsidRDefault="00D570EC" w:rsidP="00D570EC">
            <w:pPr>
              <w:pStyle w:val="ListParagraph"/>
              <w:rPr>
                <w:rFonts w:ascii="Open Sans" w:hAnsi="Open Sans" w:cs="Open Sans"/>
                <w:sz w:val="20"/>
                <w:szCs w:val="20"/>
              </w:rPr>
            </w:pPr>
            <w:r w:rsidRPr="00D570EC">
              <w:rPr>
                <w:rFonts w:ascii="Open Sans" w:hAnsi="Open Sans" w:cs="Open Sans"/>
                <w:sz w:val="20"/>
                <w:szCs w:val="20"/>
              </w:rPr>
              <w:t xml:space="preserve">Share the rubric with the client for evaluation purposes as part of the capstone project.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E51036">
        <w:tc>
          <w:tcPr>
            <w:tcW w:w="7555" w:type="dxa"/>
            <w:shd w:val="clear" w:color="auto" w:fill="DBE5F1" w:themeFill="accent1" w:themeFillTint="33"/>
          </w:tcPr>
          <w:p w:rsidR="00D570EC" w:rsidRPr="00D570EC" w:rsidRDefault="00D570EC" w:rsidP="00D570EC">
            <w:pPr>
              <w:pStyle w:val="ListParagraph"/>
              <w:numPr>
                <w:ilvl w:val="0"/>
                <w:numId w:val="13"/>
              </w:numPr>
              <w:rPr>
                <w:rFonts w:ascii="Open Sans" w:hAnsi="Open Sans" w:cs="Open Sans"/>
                <w:sz w:val="20"/>
                <w:szCs w:val="20"/>
              </w:rPr>
            </w:pPr>
            <w:r w:rsidRPr="00D570EC">
              <w:rPr>
                <w:rFonts w:ascii="Open Sans" w:hAnsi="Open Sans" w:cs="Open Sans"/>
                <w:sz w:val="20"/>
                <w:szCs w:val="20"/>
              </w:rPr>
              <w:t xml:space="preserve">Research how event planning and catering companies submit proposals to potential clients, and compare and contrast sample proposals in a variety of formats. Determine the central components necessary for any foodservice-related proposal (e.g., a projected budget). Develop an original event proposal, as approved by the instructor. The proposal should include at minimum the following:  </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 xml:space="preserve">Introduction </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 xml:space="preserve">Theme of event </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Timeline of planning</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 xml:space="preserve">Appropriate </w:t>
            </w:r>
            <w:proofErr w:type="spellStart"/>
            <w:r w:rsidRPr="00D570EC">
              <w:rPr>
                <w:rFonts w:ascii="Open Sans" w:hAnsi="Open Sans" w:cs="Open Sans"/>
                <w:sz w:val="20"/>
                <w:szCs w:val="20"/>
              </w:rPr>
              <w:t>tablewares</w:t>
            </w:r>
            <w:proofErr w:type="spellEnd"/>
            <w:r w:rsidRPr="00D570EC">
              <w:rPr>
                <w:rFonts w:ascii="Open Sans" w:hAnsi="Open Sans" w:cs="Open Sans"/>
                <w:sz w:val="20"/>
                <w:szCs w:val="20"/>
              </w:rPr>
              <w:t xml:space="preserve">, linens, and decorations  </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 xml:space="preserve">Menu </w:t>
            </w:r>
          </w:p>
          <w:p w:rsidR="00D570EC"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Budget/cost analysis</w:t>
            </w:r>
          </w:p>
          <w:p w:rsidR="00DE024E" w:rsidRPr="00D570EC" w:rsidRDefault="00D570EC" w:rsidP="00D570EC">
            <w:pPr>
              <w:pStyle w:val="ListParagraph"/>
              <w:numPr>
                <w:ilvl w:val="1"/>
                <w:numId w:val="13"/>
              </w:numPr>
              <w:rPr>
                <w:rFonts w:ascii="Open Sans" w:hAnsi="Open Sans" w:cs="Open Sans"/>
                <w:sz w:val="20"/>
                <w:szCs w:val="20"/>
              </w:rPr>
            </w:pPr>
            <w:r w:rsidRPr="00D570EC">
              <w:rPr>
                <w:rFonts w:ascii="Open Sans" w:hAnsi="Open Sans" w:cs="Open Sans"/>
                <w:sz w:val="20"/>
                <w:szCs w:val="20"/>
              </w:rPr>
              <w:t>Professionalism evaluation rubric</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DE024E" w:rsidRPr="00DF121F" w:rsidTr="00E51036">
        <w:tc>
          <w:tcPr>
            <w:tcW w:w="7555" w:type="dxa"/>
            <w:shd w:val="clear" w:color="auto" w:fill="DBE5F1" w:themeFill="accent1" w:themeFillTint="33"/>
          </w:tcPr>
          <w:p w:rsidR="00DE024E" w:rsidRPr="00D570EC" w:rsidRDefault="00D570EC" w:rsidP="00D570EC">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Present the event proposal to the client, asking for feedback and recommendations. Analyze the feedback and recommendations to justify any changes to the event proposal, citing evidence from the initial presentation. Submit the final event proposal for approval, documenting all changes made. </w:t>
            </w: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5A74FD" w:rsidRDefault="00DE024E" w:rsidP="00D53761">
            <w:pPr>
              <w:rPr>
                <w:rFonts w:ascii="Open Sans" w:eastAsia="Times New Roman" w:hAnsi="Open Sans" w:cs="Open Sans"/>
                <w:sz w:val="20"/>
                <w:szCs w:val="20"/>
              </w:rPr>
            </w:pPr>
          </w:p>
        </w:tc>
      </w:tr>
      <w:tr w:rsidR="008F55AA" w:rsidRPr="00DF121F" w:rsidTr="00E51036">
        <w:tc>
          <w:tcPr>
            <w:tcW w:w="7555" w:type="dxa"/>
            <w:shd w:val="clear" w:color="auto" w:fill="DBE5F1" w:themeFill="accent1" w:themeFillTint="33"/>
          </w:tcPr>
          <w:p w:rsidR="008F55AA" w:rsidRPr="00D570EC" w:rsidRDefault="00D570EC" w:rsidP="00D570EC">
            <w:pPr>
              <w:pStyle w:val="ListParagraph"/>
              <w:numPr>
                <w:ilvl w:val="0"/>
                <w:numId w:val="13"/>
              </w:numPr>
              <w:rPr>
                <w:rFonts w:ascii="Open Sans" w:hAnsi="Open Sans" w:cs="Open Sans"/>
                <w:sz w:val="20"/>
                <w:szCs w:val="20"/>
              </w:rPr>
            </w:pPr>
            <w:r w:rsidRPr="005B0CFC">
              <w:rPr>
                <w:rFonts w:ascii="Open Sans" w:hAnsi="Open Sans" w:cs="Open Sans"/>
                <w:sz w:val="20"/>
                <w:szCs w:val="20"/>
              </w:rPr>
              <w:t>Using the final approved event proposal, execute the timeline to demonstrate teamwork, problem-solving, and decision-making skills. Work collaboratively to ensure that the needs and expectations of the client are met for the event. In a personal journal entry, document the capstone experience, drawing on the connections between the project and cours</w:t>
            </w:r>
            <w:r>
              <w:rPr>
                <w:rFonts w:ascii="Open Sans" w:hAnsi="Open Sans" w:cs="Open Sans"/>
                <w:sz w:val="20"/>
                <w:szCs w:val="20"/>
              </w:rPr>
              <w:t>e content.</w:t>
            </w:r>
          </w:p>
        </w:tc>
        <w:tc>
          <w:tcPr>
            <w:tcW w:w="630" w:type="dxa"/>
            <w:shd w:val="clear" w:color="auto" w:fill="DBE5F1" w:themeFill="accent1" w:themeFillTint="33"/>
          </w:tcPr>
          <w:p w:rsidR="008F55AA" w:rsidRPr="005A74FD" w:rsidRDefault="008F55AA" w:rsidP="00D53761">
            <w:pPr>
              <w:rPr>
                <w:rFonts w:ascii="Open Sans" w:eastAsia="Times New Roman" w:hAnsi="Open Sans" w:cs="Open Sans"/>
                <w:sz w:val="20"/>
                <w:szCs w:val="20"/>
              </w:rPr>
            </w:pPr>
          </w:p>
        </w:tc>
        <w:tc>
          <w:tcPr>
            <w:tcW w:w="630" w:type="dxa"/>
            <w:shd w:val="clear" w:color="auto" w:fill="DBE5F1" w:themeFill="accent1" w:themeFillTint="33"/>
          </w:tcPr>
          <w:p w:rsidR="008F55AA" w:rsidRPr="005A74FD" w:rsidRDefault="008F55AA" w:rsidP="00D53761">
            <w:pPr>
              <w:rPr>
                <w:rFonts w:ascii="Open Sans" w:eastAsia="Times New Roman" w:hAnsi="Open Sans" w:cs="Open Sans"/>
                <w:sz w:val="20"/>
                <w:szCs w:val="20"/>
              </w:rPr>
            </w:pPr>
          </w:p>
        </w:tc>
        <w:tc>
          <w:tcPr>
            <w:tcW w:w="4135" w:type="dxa"/>
            <w:shd w:val="clear" w:color="auto" w:fill="DBE5F1" w:themeFill="accent1" w:themeFillTint="33"/>
          </w:tcPr>
          <w:p w:rsidR="008F55AA" w:rsidRPr="005A74FD" w:rsidRDefault="008F55AA" w:rsidP="00D53761">
            <w:pPr>
              <w:rPr>
                <w:rFonts w:ascii="Open Sans" w:eastAsia="Times New Roman" w:hAnsi="Open Sans" w:cs="Open Sans"/>
                <w:sz w:val="20"/>
                <w:szCs w:val="20"/>
              </w:rPr>
            </w:pPr>
          </w:p>
        </w:tc>
      </w:tr>
      <w:tr w:rsidR="00D570EC" w:rsidRPr="00DF121F" w:rsidTr="00E51036">
        <w:tc>
          <w:tcPr>
            <w:tcW w:w="7555" w:type="dxa"/>
            <w:shd w:val="clear" w:color="auto" w:fill="DBE5F1" w:themeFill="accent1" w:themeFillTint="33"/>
          </w:tcPr>
          <w:p w:rsidR="00D570EC" w:rsidRPr="00D570EC" w:rsidRDefault="00D570EC" w:rsidP="00D570EC">
            <w:pPr>
              <w:numPr>
                <w:ilvl w:val="0"/>
                <w:numId w:val="13"/>
              </w:numPr>
              <w:contextualSpacing/>
              <w:rPr>
                <w:rFonts w:ascii="Open Sans" w:hAnsi="Open Sans" w:cs="Open Sans"/>
                <w:sz w:val="20"/>
                <w:szCs w:val="20"/>
              </w:rPr>
            </w:pPr>
            <w:r w:rsidRPr="005B0CFC">
              <w:rPr>
                <w:rFonts w:ascii="Open Sans" w:hAnsi="Open Sans" w:cs="Open Sans"/>
                <w:sz w:val="20"/>
                <w:szCs w:val="20"/>
              </w:rPr>
              <w:t xml:space="preserve">Compile and interpret the evaluation rubric and feedback from the client, reading the results closely to allow for critical analysis and reflection. Upon conclusion of the capstone project, craft a reflection </w:t>
            </w:r>
            <w:r w:rsidRPr="005B0CFC">
              <w:rPr>
                <w:rFonts w:ascii="Open Sans" w:hAnsi="Open Sans" w:cs="Open Sans"/>
                <w:sz w:val="20"/>
                <w:szCs w:val="20"/>
              </w:rPr>
              <w:lastRenderedPageBreak/>
              <w:t>paper discussing the experience and its impact on career growth. Use technology to create a class presentation showcasing highlights, challenges, and les</w:t>
            </w:r>
            <w:r>
              <w:rPr>
                <w:rFonts w:ascii="Open Sans" w:hAnsi="Open Sans" w:cs="Open Sans"/>
                <w:sz w:val="20"/>
                <w:szCs w:val="20"/>
              </w:rPr>
              <w:t>sons learned from the capstone.</w:t>
            </w:r>
          </w:p>
        </w:tc>
        <w:tc>
          <w:tcPr>
            <w:tcW w:w="630" w:type="dxa"/>
            <w:shd w:val="clear" w:color="auto" w:fill="DBE5F1" w:themeFill="accent1" w:themeFillTint="33"/>
          </w:tcPr>
          <w:p w:rsidR="00D570EC" w:rsidRPr="005A74FD" w:rsidRDefault="00D570EC" w:rsidP="00D53761">
            <w:pPr>
              <w:rPr>
                <w:rFonts w:ascii="Open Sans" w:eastAsia="Times New Roman" w:hAnsi="Open Sans" w:cs="Open Sans"/>
                <w:sz w:val="20"/>
                <w:szCs w:val="20"/>
              </w:rPr>
            </w:pPr>
          </w:p>
        </w:tc>
        <w:tc>
          <w:tcPr>
            <w:tcW w:w="630" w:type="dxa"/>
            <w:shd w:val="clear" w:color="auto" w:fill="DBE5F1" w:themeFill="accent1" w:themeFillTint="33"/>
          </w:tcPr>
          <w:p w:rsidR="00D570EC" w:rsidRPr="005A74FD" w:rsidRDefault="00D570EC" w:rsidP="00D53761">
            <w:pPr>
              <w:rPr>
                <w:rFonts w:ascii="Open Sans" w:eastAsia="Times New Roman" w:hAnsi="Open Sans" w:cs="Open Sans"/>
                <w:sz w:val="20"/>
                <w:szCs w:val="20"/>
              </w:rPr>
            </w:pPr>
          </w:p>
        </w:tc>
        <w:tc>
          <w:tcPr>
            <w:tcW w:w="4135" w:type="dxa"/>
            <w:shd w:val="clear" w:color="auto" w:fill="DBE5F1" w:themeFill="accent1" w:themeFillTint="33"/>
          </w:tcPr>
          <w:p w:rsidR="00D570EC" w:rsidRPr="005A74FD" w:rsidRDefault="00D570EC" w:rsidP="00D53761">
            <w:pPr>
              <w:rPr>
                <w:rFonts w:ascii="Open Sans" w:eastAsia="Times New Roman" w:hAnsi="Open Sans" w:cs="Open Sans"/>
                <w:sz w:val="20"/>
                <w:szCs w:val="20"/>
              </w:rPr>
            </w:pPr>
          </w:p>
        </w:tc>
      </w:tr>
      <w:tr w:rsidR="00D570EC" w:rsidRPr="00DF121F" w:rsidTr="00E51036">
        <w:tc>
          <w:tcPr>
            <w:tcW w:w="7555" w:type="dxa"/>
            <w:shd w:val="clear" w:color="auto" w:fill="DBE5F1" w:themeFill="accent1" w:themeFillTint="33"/>
          </w:tcPr>
          <w:p w:rsidR="00D570EC" w:rsidRPr="00D570EC" w:rsidRDefault="00D570EC" w:rsidP="00D570EC">
            <w:pPr>
              <w:pStyle w:val="ListParagraph"/>
              <w:numPr>
                <w:ilvl w:val="0"/>
                <w:numId w:val="13"/>
              </w:numPr>
              <w:rPr>
                <w:rFonts w:ascii="Open Sans" w:hAnsi="Open Sans" w:cs="Open Sans"/>
                <w:sz w:val="20"/>
                <w:szCs w:val="20"/>
              </w:rPr>
            </w:pPr>
            <w:r w:rsidRPr="005B0CFC">
              <w:rPr>
                <w:rFonts w:ascii="Open Sans" w:hAnsi="Open Sans" w:cs="Open Sans"/>
                <w:sz w:val="20"/>
                <w:szCs w:val="20"/>
              </w:rPr>
              <w:t xml:space="preserve">Update the portfolio started in </w:t>
            </w:r>
            <w:r w:rsidRPr="005B0CFC">
              <w:rPr>
                <w:rFonts w:ascii="Open Sans" w:hAnsi="Open Sans" w:cs="Open Sans"/>
                <w:i/>
                <w:sz w:val="20"/>
                <w:szCs w:val="20"/>
              </w:rPr>
              <w:t>Culinary Arts I</w:t>
            </w:r>
            <w:r w:rsidRPr="005B0CFC">
              <w:rPr>
                <w:rFonts w:ascii="Open Sans" w:hAnsi="Open Sans" w:cs="Open Sans"/>
                <w:sz w:val="20"/>
                <w:szCs w:val="20"/>
              </w:rPr>
              <w:t xml:space="preserve"> to demonstrate mastery of skills and knowledge acquired throughout the full </w:t>
            </w:r>
            <w:r w:rsidRPr="005B0CFC">
              <w:rPr>
                <w:rFonts w:ascii="Open Sans" w:hAnsi="Open Sans" w:cs="Open Sans"/>
                <w:i/>
                <w:sz w:val="20"/>
                <w:szCs w:val="20"/>
              </w:rPr>
              <w:t>Culinary Arts</w:t>
            </w:r>
            <w:r w:rsidRPr="005B0CFC">
              <w:rPr>
                <w:rFonts w:ascii="Open Sans" w:hAnsi="Open Sans" w:cs="Open Sans"/>
                <w:sz w:val="20"/>
                <w:szCs w:val="20"/>
              </w:rPr>
              <w:t xml:space="preserve"> program of study and applied in the final course. The portfolio should reflect thoughtful assessment and evaluation of the progression of work, exhibiting personal and professional growth in the culinary field. </w:t>
            </w:r>
          </w:p>
        </w:tc>
        <w:tc>
          <w:tcPr>
            <w:tcW w:w="630" w:type="dxa"/>
            <w:shd w:val="clear" w:color="auto" w:fill="DBE5F1" w:themeFill="accent1" w:themeFillTint="33"/>
          </w:tcPr>
          <w:p w:rsidR="00D570EC" w:rsidRPr="005A74FD" w:rsidRDefault="00D570EC" w:rsidP="00D53761">
            <w:pPr>
              <w:rPr>
                <w:rFonts w:ascii="Open Sans" w:eastAsia="Times New Roman" w:hAnsi="Open Sans" w:cs="Open Sans"/>
                <w:sz w:val="20"/>
                <w:szCs w:val="20"/>
              </w:rPr>
            </w:pPr>
          </w:p>
        </w:tc>
        <w:tc>
          <w:tcPr>
            <w:tcW w:w="630" w:type="dxa"/>
            <w:shd w:val="clear" w:color="auto" w:fill="DBE5F1" w:themeFill="accent1" w:themeFillTint="33"/>
          </w:tcPr>
          <w:p w:rsidR="00D570EC" w:rsidRPr="005A74FD" w:rsidRDefault="00D570EC" w:rsidP="00D53761">
            <w:pPr>
              <w:rPr>
                <w:rFonts w:ascii="Open Sans" w:eastAsia="Times New Roman" w:hAnsi="Open Sans" w:cs="Open Sans"/>
                <w:sz w:val="20"/>
                <w:szCs w:val="20"/>
              </w:rPr>
            </w:pPr>
          </w:p>
        </w:tc>
        <w:tc>
          <w:tcPr>
            <w:tcW w:w="4135" w:type="dxa"/>
            <w:shd w:val="clear" w:color="auto" w:fill="DBE5F1" w:themeFill="accent1" w:themeFillTint="33"/>
          </w:tcPr>
          <w:p w:rsidR="00D570EC" w:rsidRPr="005A74FD" w:rsidRDefault="00D570EC" w:rsidP="00D53761">
            <w:pPr>
              <w:rPr>
                <w:rFonts w:ascii="Open Sans" w:eastAsia="Times New Roman" w:hAnsi="Open Sans" w:cs="Open Sans"/>
                <w:sz w:val="20"/>
                <w:szCs w:val="20"/>
              </w:rPr>
            </w:pPr>
          </w:p>
        </w:tc>
      </w:tr>
      <w:tr w:rsidR="00E51036" w:rsidRPr="00214F1D" w:rsidTr="00223D39">
        <w:tc>
          <w:tcPr>
            <w:tcW w:w="12950" w:type="dxa"/>
            <w:gridSpan w:val="4"/>
            <w:shd w:val="clear" w:color="auto" w:fill="DBE5F1" w:themeFill="accent1" w:themeFillTint="33"/>
          </w:tcPr>
          <w:p w:rsidR="00E51036" w:rsidRPr="00125329" w:rsidRDefault="00E51036" w:rsidP="00223D39">
            <w:pPr>
              <w:rPr>
                <w:rFonts w:ascii="Open Sans" w:eastAsia="Times New Roman" w:hAnsi="Open Sans" w:cs="Open Sans"/>
                <w:b/>
                <w:sz w:val="20"/>
                <w:szCs w:val="20"/>
              </w:rPr>
            </w:pPr>
            <w:r w:rsidRPr="00125329">
              <w:rPr>
                <w:rFonts w:ascii="Open Sans" w:eastAsia="Times New Roman" w:hAnsi="Open Sans" w:cs="Open Sans"/>
                <w:b/>
                <w:sz w:val="20"/>
                <w:szCs w:val="20"/>
              </w:rPr>
              <w:t>Additional comments on the standards alignment with the materials:</w:t>
            </w:r>
          </w:p>
          <w:p w:rsidR="00E51036" w:rsidRDefault="00E51036" w:rsidP="00223D39">
            <w:pPr>
              <w:rPr>
                <w:rFonts w:ascii="Open Sans" w:eastAsia="Times New Roman" w:hAnsi="Open Sans" w:cs="Open Sans"/>
                <w:sz w:val="20"/>
                <w:szCs w:val="20"/>
              </w:rPr>
            </w:pPr>
          </w:p>
          <w:p w:rsidR="00E51036" w:rsidRDefault="00E51036" w:rsidP="00223D39">
            <w:pPr>
              <w:rPr>
                <w:rFonts w:ascii="Open Sans" w:eastAsia="Times New Roman" w:hAnsi="Open Sans" w:cs="Open Sans"/>
                <w:sz w:val="20"/>
                <w:szCs w:val="20"/>
              </w:rPr>
            </w:pPr>
          </w:p>
          <w:p w:rsidR="00E51036" w:rsidRDefault="00E51036" w:rsidP="00223D39">
            <w:pPr>
              <w:rPr>
                <w:rFonts w:ascii="Open Sans" w:eastAsia="Times New Roman" w:hAnsi="Open Sans" w:cs="Open Sans"/>
                <w:sz w:val="20"/>
                <w:szCs w:val="20"/>
              </w:rPr>
            </w:pPr>
          </w:p>
          <w:p w:rsidR="00E51036" w:rsidRDefault="00E51036" w:rsidP="00223D39">
            <w:pPr>
              <w:rPr>
                <w:rFonts w:ascii="Open Sans" w:eastAsia="Times New Roman" w:hAnsi="Open Sans" w:cs="Open Sans"/>
                <w:sz w:val="20"/>
                <w:szCs w:val="20"/>
              </w:rPr>
            </w:pPr>
          </w:p>
          <w:p w:rsidR="00E51036" w:rsidRPr="00214F1D" w:rsidRDefault="00E51036" w:rsidP="00223D39">
            <w:pPr>
              <w:rPr>
                <w:rFonts w:ascii="Open Sans" w:eastAsia="Times New Roman" w:hAnsi="Open Sans" w:cs="Open Sans"/>
                <w:sz w:val="20"/>
                <w:szCs w:val="20"/>
              </w:rPr>
            </w:pPr>
          </w:p>
        </w:tc>
      </w:tr>
      <w:tr w:rsidR="00E51036" w:rsidTr="00E51036">
        <w:trPr>
          <w:trHeight w:val="315"/>
        </w:trPr>
        <w:tc>
          <w:tcPr>
            <w:tcW w:w="7555" w:type="dxa"/>
            <w:vMerge w:val="restart"/>
            <w:shd w:val="clear" w:color="auto" w:fill="DBE5F1" w:themeFill="accent1" w:themeFillTint="33"/>
          </w:tcPr>
          <w:p w:rsidR="00E51036" w:rsidRDefault="00E51036" w:rsidP="00223D39">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rsidR="00E51036" w:rsidRPr="00125329" w:rsidRDefault="00E51036" w:rsidP="00223D39">
            <w:pPr>
              <w:rPr>
                <w:rFonts w:ascii="Open Sans" w:eastAsia="Times New Roman" w:hAnsi="Open Sans" w:cs="Open Sans"/>
                <w:b/>
                <w:sz w:val="20"/>
                <w:szCs w:val="20"/>
              </w:rPr>
            </w:pPr>
          </w:p>
          <w:p w:rsidR="00E51036" w:rsidRDefault="00E51036" w:rsidP="00223D39">
            <w:pPr>
              <w:rPr>
                <w:rFonts w:ascii="Open Sans" w:eastAsia="Times New Roman" w:hAnsi="Open Sans" w:cs="Open Sans"/>
                <w:sz w:val="20"/>
                <w:szCs w:val="20"/>
              </w:rPr>
            </w:pPr>
            <w:r>
              <w:rPr>
                <w:rFonts w:ascii="Open Sans" w:eastAsia="Times New Roman" w:hAnsi="Open Sans" w:cs="Open Sans"/>
                <w:sz w:val="20"/>
                <w:szCs w:val="20"/>
              </w:rPr>
              <w:t xml:space="preserve">This means that at least 22 boxes in this section were marked “YES.” If 5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rsidR="00E51036" w:rsidRDefault="00E51036" w:rsidP="00223D39">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30" w:type="dxa"/>
            <w:shd w:val="clear" w:color="auto" w:fill="DBE5F1" w:themeFill="accent1" w:themeFillTint="33"/>
          </w:tcPr>
          <w:p w:rsidR="00E51036" w:rsidRDefault="00E51036" w:rsidP="00223D39">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rsidR="00E51036" w:rsidRDefault="00E51036" w:rsidP="00223D39">
            <w:pPr>
              <w:rPr>
                <w:rFonts w:ascii="Open Sans" w:eastAsia="Times New Roman" w:hAnsi="Open Sans" w:cs="Open Sans"/>
                <w:sz w:val="20"/>
                <w:szCs w:val="20"/>
              </w:rPr>
            </w:pPr>
          </w:p>
        </w:tc>
      </w:tr>
      <w:tr w:rsidR="00E51036" w:rsidTr="00E51036">
        <w:trPr>
          <w:trHeight w:val="765"/>
        </w:trPr>
        <w:tc>
          <w:tcPr>
            <w:tcW w:w="7555" w:type="dxa"/>
            <w:vMerge/>
            <w:shd w:val="clear" w:color="auto" w:fill="DBE5F1" w:themeFill="accent1" w:themeFillTint="33"/>
          </w:tcPr>
          <w:p w:rsidR="00E51036" w:rsidRPr="00125329" w:rsidRDefault="00E51036" w:rsidP="00223D39">
            <w:pPr>
              <w:rPr>
                <w:rFonts w:ascii="Open Sans" w:eastAsia="Times New Roman" w:hAnsi="Open Sans" w:cs="Open Sans"/>
                <w:b/>
                <w:sz w:val="20"/>
                <w:szCs w:val="20"/>
              </w:rPr>
            </w:pPr>
          </w:p>
        </w:tc>
        <w:tc>
          <w:tcPr>
            <w:tcW w:w="630" w:type="dxa"/>
            <w:shd w:val="clear" w:color="auto" w:fill="92D050"/>
          </w:tcPr>
          <w:p w:rsidR="00E51036" w:rsidRDefault="00E51036" w:rsidP="00223D39">
            <w:pPr>
              <w:rPr>
                <w:rFonts w:ascii="Open Sans" w:eastAsia="Times New Roman" w:hAnsi="Open Sans" w:cs="Open Sans"/>
                <w:sz w:val="20"/>
                <w:szCs w:val="20"/>
              </w:rPr>
            </w:pPr>
          </w:p>
        </w:tc>
        <w:tc>
          <w:tcPr>
            <w:tcW w:w="630" w:type="dxa"/>
            <w:shd w:val="clear" w:color="auto" w:fill="FF0000"/>
          </w:tcPr>
          <w:p w:rsidR="00E51036" w:rsidRDefault="00E51036" w:rsidP="00223D39">
            <w:pPr>
              <w:rPr>
                <w:rFonts w:ascii="Open Sans" w:eastAsia="Times New Roman" w:hAnsi="Open Sans" w:cs="Open Sans"/>
                <w:sz w:val="20"/>
                <w:szCs w:val="20"/>
              </w:rPr>
            </w:pPr>
          </w:p>
        </w:tc>
        <w:tc>
          <w:tcPr>
            <w:tcW w:w="4135" w:type="dxa"/>
            <w:vMerge/>
            <w:shd w:val="clear" w:color="auto" w:fill="DBE5F1" w:themeFill="accent1" w:themeFillTint="33"/>
          </w:tcPr>
          <w:p w:rsidR="00E51036" w:rsidRDefault="00E51036" w:rsidP="00223D39">
            <w:pPr>
              <w:rPr>
                <w:rFonts w:ascii="Open Sans" w:eastAsia="Times New Roman" w:hAnsi="Open Sans" w:cs="Open Sans"/>
                <w:sz w:val="20"/>
                <w:szCs w:val="20"/>
              </w:rPr>
            </w:pPr>
          </w:p>
        </w:tc>
      </w:tr>
    </w:tbl>
    <w:p w:rsidR="00E51036" w:rsidRDefault="008C7DB3" w:rsidP="00597503">
      <w:pPr>
        <w:rPr>
          <w:rFonts w:ascii="Open Sans" w:eastAsia="Times New Roman" w:hAnsi="Open Sans" w:cs="Open Sans"/>
          <w:sz w:val="20"/>
          <w:szCs w:val="20"/>
        </w:rPr>
      </w:pPr>
      <w:r w:rsidRPr="00DF121F">
        <w:rPr>
          <w:rFonts w:ascii="Open Sans" w:eastAsia="Times New Roman" w:hAnsi="Open Sans" w:cs="Open Sans"/>
          <w:sz w:val="20"/>
          <w:szCs w:val="20"/>
        </w:rPr>
        <w:tab/>
      </w:r>
    </w:p>
    <w:p w:rsidR="00E51036" w:rsidRDefault="00E51036" w:rsidP="00597503">
      <w:pPr>
        <w:rPr>
          <w:rFonts w:ascii="Open Sans" w:eastAsia="Times New Roman" w:hAnsi="Open Sans" w:cs="Open Sans"/>
          <w:sz w:val="20"/>
          <w:szCs w:val="20"/>
        </w:rPr>
      </w:pPr>
    </w:p>
    <w:p w:rsidR="00E51036" w:rsidRDefault="00E51036" w:rsidP="00597503">
      <w:pPr>
        <w:rPr>
          <w:rFonts w:ascii="Open Sans" w:eastAsia="Times New Roman" w:hAnsi="Open Sans" w:cs="Open Sans"/>
          <w:sz w:val="20"/>
          <w:szCs w:val="20"/>
        </w:rPr>
      </w:pPr>
    </w:p>
    <w:p w:rsidR="00E51036" w:rsidRDefault="00E51036" w:rsidP="00597503">
      <w:pPr>
        <w:rPr>
          <w:rFonts w:ascii="Open Sans" w:eastAsia="Times New Roman" w:hAnsi="Open Sans" w:cs="Open Sans"/>
          <w:sz w:val="20"/>
          <w:szCs w:val="20"/>
        </w:rPr>
      </w:pPr>
    </w:p>
    <w:p w:rsidR="00E51036" w:rsidRDefault="00E51036" w:rsidP="00597503">
      <w:pPr>
        <w:rPr>
          <w:rFonts w:ascii="Open Sans" w:eastAsia="Times New Roman" w:hAnsi="Open Sans" w:cs="Open Sans"/>
          <w:sz w:val="20"/>
          <w:szCs w:val="20"/>
        </w:rPr>
      </w:pPr>
    </w:p>
    <w:p w:rsidR="00E51036" w:rsidRDefault="00E51036" w:rsidP="00597503">
      <w:pPr>
        <w:rPr>
          <w:rFonts w:ascii="Open Sans" w:eastAsia="Times New Roman" w:hAnsi="Open Sans" w:cs="Open Sans"/>
          <w:sz w:val="20"/>
          <w:szCs w:val="20"/>
        </w:rPr>
      </w:pPr>
    </w:p>
    <w:p w:rsidR="00E51036" w:rsidRDefault="00E51036" w:rsidP="00597503">
      <w:pPr>
        <w:rPr>
          <w:rFonts w:ascii="Open Sans" w:eastAsia="Times New Roman" w:hAnsi="Open Sans" w:cs="Open Sans"/>
          <w:sz w:val="20"/>
          <w:szCs w:val="20"/>
        </w:rPr>
      </w:pPr>
    </w:p>
    <w:p w:rsidR="00E51036" w:rsidRDefault="00E51036" w:rsidP="00597503">
      <w:pPr>
        <w:rPr>
          <w:rFonts w:ascii="Open Sans" w:eastAsia="Times New Roman" w:hAnsi="Open Sans" w:cs="Open Sans"/>
          <w:sz w:val="20"/>
          <w:szCs w:val="20"/>
        </w:rPr>
      </w:pPr>
    </w:p>
    <w:p w:rsidR="00E51036" w:rsidRDefault="008C7DB3" w:rsidP="00597503">
      <w:pPr>
        <w:rPr>
          <w:rFonts w:ascii="Open Sans" w:eastAsia="Times New Roman" w:hAnsi="Open Sans" w:cs="Open Sans"/>
          <w:sz w:val="20"/>
          <w:szCs w:val="20"/>
        </w:rPr>
      </w:pPr>
      <w:r w:rsidRPr="00DF121F">
        <w:rPr>
          <w:rFonts w:ascii="Open Sans" w:eastAsia="Times New Roman" w:hAnsi="Open Sans" w:cs="Open Sans"/>
          <w:sz w:val="20"/>
          <w:szCs w:val="20"/>
        </w:rPr>
        <w:lastRenderedPageBreak/>
        <w:tab/>
      </w: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E51036" w:rsidRPr="00214F1D" w:rsidTr="00223D39">
        <w:trPr>
          <w:trHeight w:val="267"/>
        </w:trPr>
        <w:tc>
          <w:tcPr>
            <w:tcW w:w="13902" w:type="dxa"/>
            <w:gridSpan w:val="4"/>
            <w:shd w:val="clear" w:color="auto" w:fill="FFCC66"/>
          </w:tcPr>
          <w:p w:rsidR="00E51036" w:rsidRPr="00BE1730" w:rsidRDefault="00E51036" w:rsidP="00223D39">
            <w:pPr>
              <w:jc w:val="center"/>
              <w:rPr>
                <w:rFonts w:ascii="Open Sans" w:hAnsi="Open Sans" w:cs="Open Sans"/>
                <w:b/>
                <w:sz w:val="28"/>
                <w:szCs w:val="28"/>
              </w:rPr>
            </w:pPr>
            <w:r w:rsidRPr="00BE1730">
              <w:rPr>
                <w:rFonts w:ascii="Open Sans" w:hAnsi="Open Sans" w:cs="Open Sans"/>
                <w:b/>
                <w:sz w:val="28"/>
                <w:szCs w:val="28"/>
              </w:rPr>
              <w:t>SECTION II</w:t>
            </w:r>
          </w:p>
          <w:p w:rsidR="00E51036" w:rsidRDefault="00E51036"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E51036" w:rsidRPr="00003A5D" w:rsidRDefault="00E51036"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E51036" w:rsidRPr="00214F1D" w:rsidTr="00223D39">
        <w:trPr>
          <w:trHeight w:val="267"/>
        </w:trPr>
        <w:tc>
          <w:tcPr>
            <w:tcW w:w="13902" w:type="dxa"/>
            <w:gridSpan w:val="4"/>
            <w:shd w:val="clear" w:color="auto" w:fill="FFCC66"/>
          </w:tcPr>
          <w:p w:rsidR="00E51036" w:rsidRPr="00214F1D" w:rsidRDefault="00E51036" w:rsidP="00223D39">
            <w:pPr>
              <w:rPr>
                <w:rFonts w:ascii="Open Sans" w:hAnsi="Open Sans" w:cs="Open Sans"/>
                <w:b/>
                <w:sz w:val="20"/>
                <w:szCs w:val="20"/>
              </w:rPr>
            </w:pPr>
            <w:r w:rsidRPr="00214F1D">
              <w:rPr>
                <w:rFonts w:ascii="Open Sans" w:hAnsi="Open Sans" w:cs="Open Sans"/>
                <w:b/>
                <w:sz w:val="20"/>
                <w:szCs w:val="20"/>
              </w:rPr>
              <w:t>METRICS:</w:t>
            </w:r>
          </w:p>
        </w:tc>
      </w:tr>
      <w:tr w:rsidR="00E51036" w:rsidRPr="00214F1D" w:rsidTr="00223D39">
        <w:trPr>
          <w:trHeight w:val="6406"/>
        </w:trPr>
        <w:tc>
          <w:tcPr>
            <w:tcW w:w="13902" w:type="dxa"/>
            <w:gridSpan w:val="4"/>
            <w:shd w:val="clear" w:color="auto" w:fill="FFFFCC"/>
          </w:tcPr>
          <w:p w:rsidR="00E51036" w:rsidRPr="00214F1D" w:rsidRDefault="00E51036"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E51036" w:rsidRPr="00214F1D" w:rsidTr="00223D39">
              <w:trPr>
                <w:trHeight w:val="485"/>
              </w:trPr>
              <w:tc>
                <w:tcPr>
                  <w:tcW w:w="6718" w:type="dxa"/>
                  <w:shd w:val="clear" w:color="auto" w:fill="FFFFCC"/>
                  <w:vAlign w:val="center"/>
                </w:tcPr>
                <w:p w:rsidR="00E51036" w:rsidRPr="00214F1D" w:rsidRDefault="00E51036" w:rsidP="00223D39">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E51036" w:rsidRPr="00214F1D" w:rsidRDefault="00E51036"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E51036" w:rsidRPr="00214F1D" w:rsidRDefault="00E51036"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E51036" w:rsidRDefault="00E51036"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E51036" w:rsidRPr="00214F1D" w:rsidTr="00223D39">
              <w:trPr>
                <w:trHeight w:val="710"/>
              </w:trPr>
              <w:tc>
                <w:tcPr>
                  <w:tcW w:w="6718" w:type="dxa"/>
                  <w:shd w:val="clear" w:color="auto" w:fill="FFFFCC"/>
                  <w:vAlign w:val="center"/>
                </w:tcPr>
                <w:p w:rsidR="00E51036" w:rsidRPr="00214F1D" w:rsidRDefault="00E51036" w:rsidP="00223D39">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E51036" w:rsidRPr="00214F1D" w:rsidRDefault="00E51036"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E51036" w:rsidRPr="00214F1D" w:rsidRDefault="00E51036"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E51036" w:rsidRPr="00214F1D" w:rsidRDefault="00E51036" w:rsidP="00223D39">
                  <w:pPr>
                    <w:framePr w:hSpace="180" w:wrap="around" w:vAnchor="text" w:hAnchor="page" w:x="976" w:y="19"/>
                    <w:jc w:val="center"/>
                    <w:rPr>
                      <w:rFonts w:ascii="Open Sans" w:hAnsi="Open Sans" w:cs="Open Sans"/>
                      <w:b/>
                      <w:sz w:val="20"/>
                      <w:szCs w:val="20"/>
                    </w:rPr>
                  </w:pPr>
                </w:p>
              </w:tc>
            </w:tr>
            <w:tr w:rsidR="00E51036" w:rsidRPr="00214F1D" w:rsidTr="00223D39">
              <w:trPr>
                <w:trHeight w:val="1070"/>
              </w:trPr>
              <w:tc>
                <w:tcPr>
                  <w:tcW w:w="6718" w:type="dxa"/>
                  <w:shd w:val="clear" w:color="auto" w:fill="FFFFCC"/>
                  <w:vAlign w:val="center"/>
                </w:tcPr>
                <w:p w:rsidR="00E51036" w:rsidRPr="00214F1D" w:rsidRDefault="00E51036"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E51036" w:rsidRPr="00214F1D" w:rsidRDefault="00E51036"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E51036" w:rsidRPr="00214F1D" w:rsidRDefault="00E51036"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E51036" w:rsidRPr="00214F1D" w:rsidRDefault="00E51036" w:rsidP="00223D39">
                  <w:pPr>
                    <w:framePr w:hSpace="180" w:wrap="around" w:vAnchor="text" w:hAnchor="page" w:x="976" w:y="19"/>
                    <w:jc w:val="center"/>
                    <w:rPr>
                      <w:rFonts w:ascii="Open Sans" w:hAnsi="Open Sans" w:cs="Open Sans"/>
                      <w:b/>
                      <w:sz w:val="20"/>
                      <w:szCs w:val="20"/>
                    </w:rPr>
                  </w:pPr>
                </w:p>
              </w:tc>
            </w:tr>
            <w:tr w:rsidR="00E51036" w:rsidRPr="00214F1D" w:rsidTr="00223D39">
              <w:trPr>
                <w:trHeight w:val="1070"/>
              </w:trPr>
              <w:tc>
                <w:tcPr>
                  <w:tcW w:w="6718" w:type="dxa"/>
                  <w:shd w:val="clear" w:color="auto" w:fill="FFFFCC"/>
                  <w:vAlign w:val="center"/>
                </w:tcPr>
                <w:p w:rsidR="00E51036" w:rsidRPr="00214F1D" w:rsidRDefault="00E51036"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E51036" w:rsidRPr="00214F1D" w:rsidRDefault="00E51036"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E51036" w:rsidRPr="00214F1D" w:rsidRDefault="00E51036"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E51036" w:rsidRPr="00214F1D" w:rsidRDefault="00E51036" w:rsidP="00223D39">
                  <w:pPr>
                    <w:framePr w:hSpace="180" w:wrap="around" w:vAnchor="text" w:hAnchor="page" w:x="976" w:y="19"/>
                    <w:jc w:val="center"/>
                    <w:rPr>
                      <w:rFonts w:ascii="Open Sans" w:hAnsi="Open Sans" w:cs="Open Sans"/>
                      <w:b/>
                      <w:sz w:val="20"/>
                      <w:szCs w:val="20"/>
                    </w:rPr>
                  </w:pPr>
                </w:p>
              </w:tc>
            </w:tr>
            <w:tr w:rsidR="00E51036" w:rsidRPr="00214F1D" w:rsidTr="00223D39">
              <w:trPr>
                <w:trHeight w:val="890"/>
              </w:trPr>
              <w:tc>
                <w:tcPr>
                  <w:tcW w:w="6718" w:type="dxa"/>
                  <w:shd w:val="clear" w:color="auto" w:fill="FFFFCC"/>
                  <w:vAlign w:val="center"/>
                </w:tcPr>
                <w:p w:rsidR="00E51036" w:rsidRPr="00214F1D" w:rsidRDefault="00E51036"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E51036" w:rsidRPr="00214F1D" w:rsidRDefault="00E51036"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E51036" w:rsidRPr="00214F1D" w:rsidRDefault="00E51036"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E51036" w:rsidRPr="00214F1D" w:rsidRDefault="00E51036" w:rsidP="00223D39">
                  <w:pPr>
                    <w:framePr w:hSpace="180" w:wrap="around" w:vAnchor="text" w:hAnchor="page" w:x="976" w:y="19"/>
                    <w:jc w:val="center"/>
                    <w:rPr>
                      <w:rFonts w:ascii="Open Sans" w:hAnsi="Open Sans" w:cs="Open Sans"/>
                      <w:b/>
                      <w:sz w:val="20"/>
                      <w:szCs w:val="20"/>
                    </w:rPr>
                  </w:pPr>
                </w:p>
              </w:tc>
            </w:tr>
            <w:tr w:rsidR="00E51036" w:rsidRPr="00214F1D" w:rsidTr="00223D39">
              <w:trPr>
                <w:trHeight w:val="1070"/>
              </w:trPr>
              <w:tc>
                <w:tcPr>
                  <w:tcW w:w="6718" w:type="dxa"/>
                  <w:shd w:val="clear" w:color="auto" w:fill="FFFFCC"/>
                  <w:vAlign w:val="center"/>
                </w:tcPr>
                <w:p w:rsidR="00E51036" w:rsidRPr="00214F1D" w:rsidRDefault="00E51036" w:rsidP="00223D39">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E51036" w:rsidRPr="00214F1D" w:rsidRDefault="00E51036"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E51036" w:rsidRPr="00214F1D" w:rsidRDefault="00E51036"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E51036" w:rsidRPr="00214F1D" w:rsidRDefault="00E51036" w:rsidP="00223D39">
                  <w:pPr>
                    <w:framePr w:hSpace="180" w:wrap="around" w:vAnchor="text" w:hAnchor="page" w:x="976" w:y="19"/>
                    <w:jc w:val="center"/>
                    <w:rPr>
                      <w:rFonts w:ascii="Open Sans" w:hAnsi="Open Sans" w:cs="Open Sans"/>
                      <w:b/>
                      <w:sz w:val="20"/>
                      <w:szCs w:val="20"/>
                    </w:rPr>
                  </w:pPr>
                </w:p>
              </w:tc>
            </w:tr>
          </w:tbl>
          <w:p w:rsidR="00E51036" w:rsidRPr="00214F1D" w:rsidRDefault="00E51036" w:rsidP="00223D39">
            <w:pPr>
              <w:tabs>
                <w:tab w:val="left" w:pos="1065"/>
              </w:tabs>
              <w:rPr>
                <w:rFonts w:ascii="Open Sans" w:hAnsi="Open Sans" w:cs="Open Sans"/>
                <w:sz w:val="20"/>
                <w:szCs w:val="20"/>
              </w:rPr>
            </w:pPr>
          </w:p>
        </w:tc>
      </w:tr>
      <w:tr w:rsidR="00E51036" w:rsidRPr="00214F1D" w:rsidTr="00223D39">
        <w:trPr>
          <w:trHeight w:val="1358"/>
        </w:trPr>
        <w:tc>
          <w:tcPr>
            <w:tcW w:w="13902" w:type="dxa"/>
            <w:gridSpan w:val="4"/>
            <w:shd w:val="clear" w:color="auto" w:fill="FFFFCC"/>
          </w:tcPr>
          <w:p w:rsidR="00E51036" w:rsidRPr="00214F1D" w:rsidRDefault="00E51036"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E51036" w:rsidRPr="00214F1D" w:rsidTr="00223D39">
        <w:trPr>
          <w:trHeight w:val="425"/>
        </w:trPr>
        <w:tc>
          <w:tcPr>
            <w:tcW w:w="6835" w:type="dxa"/>
            <w:vMerge w:val="restart"/>
            <w:shd w:val="clear" w:color="auto" w:fill="FFFFCC"/>
          </w:tcPr>
          <w:p w:rsidR="00E51036" w:rsidRDefault="00E51036" w:rsidP="00223D39">
            <w:pPr>
              <w:rPr>
                <w:rFonts w:ascii="Open Sans" w:hAnsi="Open Sans" w:cs="Open Sans"/>
                <w:b/>
                <w:sz w:val="20"/>
                <w:szCs w:val="20"/>
              </w:rPr>
            </w:pPr>
            <w:r>
              <w:rPr>
                <w:rFonts w:ascii="Open Sans" w:hAnsi="Open Sans" w:cs="Open Sans"/>
                <w:b/>
                <w:sz w:val="20"/>
                <w:szCs w:val="20"/>
              </w:rPr>
              <w:t>Materials meet all 5 metrics in section II: Rigor</w:t>
            </w:r>
          </w:p>
          <w:p w:rsidR="00E51036" w:rsidRDefault="00E51036" w:rsidP="00223D39">
            <w:pPr>
              <w:rPr>
                <w:rFonts w:ascii="Open Sans" w:hAnsi="Open Sans" w:cs="Open Sans"/>
                <w:b/>
                <w:sz w:val="20"/>
                <w:szCs w:val="20"/>
              </w:rPr>
            </w:pPr>
          </w:p>
          <w:p w:rsidR="00E51036" w:rsidRPr="00003A5D" w:rsidRDefault="00E51036"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E51036" w:rsidRDefault="00E51036"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E51036" w:rsidRDefault="00E51036"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E51036" w:rsidRDefault="00E51036" w:rsidP="00223D39">
            <w:pPr>
              <w:jc w:val="center"/>
              <w:rPr>
                <w:rFonts w:ascii="Open Sans" w:hAnsi="Open Sans" w:cs="Open Sans"/>
                <w:b/>
                <w:sz w:val="20"/>
                <w:szCs w:val="20"/>
              </w:rPr>
            </w:pPr>
          </w:p>
        </w:tc>
      </w:tr>
      <w:tr w:rsidR="00E51036" w:rsidRPr="00214F1D" w:rsidTr="00223D39">
        <w:trPr>
          <w:trHeight w:val="682"/>
        </w:trPr>
        <w:tc>
          <w:tcPr>
            <w:tcW w:w="6835" w:type="dxa"/>
            <w:vMerge/>
            <w:shd w:val="clear" w:color="auto" w:fill="FFFFCC"/>
          </w:tcPr>
          <w:p w:rsidR="00E51036" w:rsidRDefault="00E51036" w:rsidP="00223D39">
            <w:pPr>
              <w:rPr>
                <w:rFonts w:ascii="Open Sans" w:hAnsi="Open Sans" w:cs="Open Sans"/>
                <w:b/>
                <w:sz w:val="20"/>
                <w:szCs w:val="20"/>
              </w:rPr>
            </w:pPr>
          </w:p>
        </w:tc>
        <w:tc>
          <w:tcPr>
            <w:tcW w:w="1170" w:type="dxa"/>
            <w:shd w:val="clear" w:color="auto" w:fill="92D050"/>
          </w:tcPr>
          <w:p w:rsidR="00E51036" w:rsidRDefault="00E51036" w:rsidP="00223D39">
            <w:pPr>
              <w:rPr>
                <w:rFonts w:ascii="Open Sans" w:hAnsi="Open Sans" w:cs="Open Sans"/>
                <w:b/>
                <w:sz w:val="20"/>
                <w:szCs w:val="20"/>
              </w:rPr>
            </w:pPr>
          </w:p>
        </w:tc>
        <w:tc>
          <w:tcPr>
            <w:tcW w:w="1260" w:type="dxa"/>
            <w:shd w:val="clear" w:color="auto" w:fill="FF0000"/>
          </w:tcPr>
          <w:p w:rsidR="00E51036" w:rsidRDefault="00E51036" w:rsidP="00223D39">
            <w:pPr>
              <w:rPr>
                <w:rFonts w:ascii="Open Sans" w:hAnsi="Open Sans" w:cs="Open Sans"/>
                <w:b/>
                <w:sz w:val="20"/>
                <w:szCs w:val="20"/>
              </w:rPr>
            </w:pPr>
          </w:p>
        </w:tc>
        <w:tc>
          <w:tcPr>
            <w:tcW w:w="4637" w:type="dxa"/>
            <w:vMerge/>
            <w:shd w:val="clear" w:color="auto" w:fill="FFFFCC"/>
          </w:tcPr>
          <w:p w:rsidR="00E51036" w:rsidRDefault="00E51036" w:rsidP="00223D39">
            <w:pPr>
              <w:rPr>
                <w:rFonts w:ascii="Open Sans" w:hAnsi="Open Sans" w:cs="Open Sans"/>
                <w:b/>
                <w:sz w:val="20"/>
                <w:szCs w:val="20"/>
              </w:rPr>
            </w:pPr>
          </w:p>
        </w:tc>
      </w:tr>
    </w:tbl>
    <w:p w:rsidR="00E51036" w:rsidRPr="00214F1D" w:rsidRDefault="00E51036" w:rsidP="00E51036">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E51036" w:rsidRPr="00214F1D" w:rsidTr="00223D39">
        <w:trPr>
          <w:trHeight w:val="267"/>
        </w:trPr>
        <w:tc>
          <w:tcPr>
            <w:tcW w:w="13860" w:type="dxa"/>
            <w:gridSpan w:val="4"/>
            <w:shd w:val="clear" w:color="auto" w:fill="CC66FF"/>
          </w:tcPr>
          <w:p w:rsidR="00E51036" w:rsidRPr="00AF7A17" w:rsidRDefault="00E51036" w:rsidP="00223D39">
            <w:pPr>
              <w:jc w:val="center"/>
              <w:rPr>
                <w:rFonts w:ascii="Open Sans" w:hAnsi="Open Sans" w:cs="Open Sans"/>
                <w:b/>
                <w:sz w:val="28"/>
                <w:szCs w:val="28"/>
              </w:rPr>
            </w:pPr>
            <w:r w:rsidRPr="00AF7A17">
              <w:rPr>
                <w:rFonts w:ascii="Open Sans" w:hAnsi="Open Sans" w:cs="Open Sans"/>
                <w:b/>
                <w:sz w:val="28"/>
                <w:szCs w:val="28"/>
              </w:rPr>
              <w:t>SECTION III</w:t>
            </w:r>
          </w:p>
          <w:p w:rsidR="00E51036" w:rsidRPr="00AF7A17" w:rsidRDefault="00E51036"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E51036" w:rsidRPr="0073274E" w:rsidRDefault="00E51036"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E51036" w:rsidRPr="00214F1D" w:rsidTr="00223D39">
        <w:trPr>
          <w:trHeight w:val="323"/>
        </w:trPr>
        <w:tc>
          <w:tcPr>
            <w:tcW w:w="13860" w:type="dxa"/>
            <w:gridSpan w:val="4"/>
            <w:shd w:val="clear" w:color="auto" w:fill="CC66FF"/>
          </w:tcPr>
          <w:p w:rsidR="00E51036" w:rsidRPr="00214F1D" w:rsidRDefault="00E51036" w:rsidP="00223D39">
            <w:pPr>
              <w:rPr>
                <w:rFonts w:ascii="Open Sans" w:hAnsi="Open Sans" w:cs="Open Sans"/>
                <w:b/>
                <w:sz w:val="20"/>
                <w:szCs w:val="20"/>
              </w:rPr>
            </w:pPr>
            <w:r w:rsidRPr="00214F1D">
              <w:rPr>
                <w:rFonts w:ascii="Open Sans" w:hAnsi="Open Sans" w:cs="Open Sans"/>
                <w:b/>
                <w:sz w:val="20"/>
                <w:szCs w:val="20"/>
              </w:rPr>
              <w:t>METRICS:</w:t>
            </w:r>
          </w:p>
        </w:tc>
      </w:tr>
      <w:tr w:rsidR="00E51036"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E51036" w:rsidRPr="00214F1D" w:rsidTr="00223D39">
              <w:trPr>
                <w:trHeight w:val="800"/>
              </w:trPr>
              <w:tc>
                <w:tcPr>
                  <w:tcW w:w="2507" w:type="pct"/>
                  <w:shd w:val="clear" w:color="auto" w:fill="CCC0D9" w:themeFill="accent4" w:themeFillTint="66"/>
                  <w:vAlign w:val="center"/>
                </w:tcPr>
                <w:p w:rsidR="00E51036" w:rsidRPr="00214F1D" w:rsidRDefault="00E51036"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E51036" w:rsidRPr="00214F1D" w:rsidRDefault="00E51036"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E51036" w:rsidRDefault="00E51036"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E51036" w:rsidRPr="00214F1D" w:rsidRDefault="00E51036" w:rsidP="00223D39">
                  <w:pPr>
                    <w:jc w:val="center"/>
                    <w:rPr>
                      <w:rFonts w:ascii="Open Sans" w:hAnsi="Open Sans" w:cs="Open Sans"/>
                      <w:b/>
                      <w:sz w:val="20"/>
                      <w:szCs w:val="20"/>
                    </w:rPr>
                  </w:pPr>
                  <w:r>
                    <w:rPr>
                      <w:rFonts w:ascii="Open Sans" w:hAnsi="Open Sans" w:cs="Open Sans"/>
                      <w:b/>
                      <w:sz w:val="20"/>
                      <w:szCs w:val="20"/>
                    </w:rPr>
                    <w:t>Evidence/Notes</w:t>
                  </w:r>
                </w:p>
              </w:tc>
            </w:tr>
            <w:tr w:rsidR="00E51036" w:rsidRPr="00214F1D" w:rsidTr="00223D39">
              <w:trPr>
                <w:trHeight w:val="800"/>
              </w:trPr>
              <w:tc>
                <w:tcPr>
                  <w:tcW w:w="2507" w:type="pct"/>
                  <w:shd w:val="clear" w:color="auto" w:fill="CCC0D9" w:themeFill="accent4" w:themeFillTint="66"/>
                  <w:vAlign w:val="center"/>
                </w:tcPr>
                <w:p w:rsidR="00E51036" w:rsidRPr="00214F1D" w:rsidRDefault="00E51036"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E51036" w:rsidRPr="00214F1D" w:rsidRDefault="00E51036" w:rsidP="00223D39">
                  <w:pPr>
                    <w:jc w:val="center"/>
                    <w:rPr>
                      <w:rFonts w:ascii="Open Sans" w:hAnsi="Open Sans" w:cs="Open Sans"/>
                      <w:b/>
                      <w:sz w:val="20"/>
                      <w:szCs w:val="20"/>
                    </w:rPr>
                  </w:pPr>
                </w:p>
              </w:tc>
              <w:tc>
                <w:tcPr>
                  <w:tcW w:w="363" w:type="pct"/>
                  <w:shd w:val="clear" w:color="auto" w:fill="CCC0D9" w:themeFill="accent4" w:themeFillTint="66"/>
                </w:tcPr>
                <w:p w:rsidR="00E51036" w:rsidRPr="00214F1D" w:rsidRDefault="00E51036" w:rsidP="00223D39">
                  <w:pPr>
                    <w:jc w:val="center"/>
                    <w:rPr>
                      <w:rFonts w:ascii="Open Sans" w:hAnsi="Open Sans" w:cs="Open Sans"/>
                      <w:b/>
                      <w:sz w:val="20"/>
                      <w:szCs w:val="20"/>
                    </w:rPr>
                  </w:pPr>
                </w:p>
              </w:tc>
              <w:tc>
                <w:tcPr>
                  <w:tcW w:w="1767" w:type="pct"/>
                  <w:shd w:val="clear" w:color="auto" w:fill="CCC0D9" w:themeFill="accent4" w:themeFillTint="66"/>
                </w:tcPr>
                <w:p w:rsidR="00E51036" w:rsidRPr="00214F1D" w:rsidRDefault="00E51036" w:rsidP="00223D39">
                  <w:pPr>
                    <w:jc w:val="center"/>
                    <w:rPr>
                      <w:rFonts w:ascii="Open Sans" w:hAnsi="Open Sans" w:cs="Open Sans"/>
                      <w:b/>
                      <w:sz w:val="20"/>
                      <w:szCs w:val="20"/>
                    </w:rPr>
                  </w:pPr>
                </w:p>
              </w:tc>
            </w:tr>
            <w:tr w:rsidR="00E51036" w:rsidRPr="00214F1D" w:rsidTr="00223D39">
              <w:trPr>
                <w:trHeight w:val="962"/>
              </w:trPr>
              <w:tc>
                <w:tcPr>
                  <w:tcW w:w="2507" w:type="pct"/>
                  <w:shd w:val="clear" w:color="auto" w:fill="CCC0D9" w:themeFill="accent4" w:themeFillTint="66"/>
                  <w:vAlign w:val="center"/>
                </w:tcPr>
                <w:p w:rsidR="00E51036" w:rsidRPr="00214F1D" w:rsidRDefault="00E51036"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E51036" w:rsidRPr="00214F1D" w:rsidRDefault="00E51036"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E51036" w:rsidRPr="00214F1D" w:rsidRDefault="00E51036" w:rsidP="00223D39">
                  <w:pPr>
                    <w:jc w:val="center"/>
                    <w:rPr>
                      <w:rFonts w:ascii="Open Sans" w:hAnsi="Open Sans" w:cs="Open Sans"/>
                      <w:b/>
                      <w:sz w:val="20"/>
                      <w:szCs w:val="20"/>
                    </w:rPr>
                  </w:pPr>
                </w:p>
              </w:tc>
              <w:tc>
                <w:tcPr>
                  <w:tcW w:w="1767" w:type="pct"/>
                  <w:shd w:val="clear" w:color="auto" w:fill="CCC0D9" w:themeFill="accent4" w:themeFillTint="66"/>
                </w:tcPr>
                <w:p w:rsidR="00E51036" w:rsidRPr="00214F1D" w:rsidRDefault="00E51036" w:rsidP="00223D39">
                  <w:pPr>
                    <w:jc w:val="center"/>
                    <w:rPr>
                      <w:rFonts w:ascii="Open Sans" w:hAnsi="Open Sans" w:cs="Open Sans"/>
                      <w:b/>
                      <w:sz w:val="20"/>
                      <w:szCs w:val="20"/>
                    </w:rPr>
                  </w:pPr>
                </w:p>
              </w:tc>
            </w:tr>
            <w:tr w:rsidR="00E51036" w:rsidRPr="00214F1D" w:rsidTr="00223D39">
              <w:trPr>
                <w:trHeight w:val="962"/>
              </w:trPr>
              <w:tc>
                <w:tcPr>
                  <w:tcW w:w="2507" w:type="pct"/>
                  <w:shd w:val="clear" w:color="auto" w:fill="CCC0D9" w:themeFill="accent4" w:themeFillTint="66"/>
                  <w:vAlign w:val="center"/>
                </w:tcPr>
                <w:p w:rsidR="00E51036" w:rsidRPr="00214F1D" w:rsidRDefault="00E51036"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E51036" w:rsidRPr="00214F1D" w:rsidRDefault="00E51036"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E51036" w:rsidRPr="00214F1D" w:rsidRDefault="00E51036" w:rsidP="00223D39">
                  <w:pPr>
                    <w:jc w:val="center"/>
                    <w:rPr>
                      <w:rFonts w:ascii="Open Sans" w:hAnsi="Open Sans" w:cs="Open Sans"/>
                      <w:b/>
                      <w:sz w:val="20"/>
                      <w:szCs w:val="20"/>
                    </w:rPr>
                  </w:pPr>
                </w:p>
              </w:tc>
              <w:tc>
                <w:tcPr>
                  <w:tcW w:w="1767" w:type="pct"/>
                  <w:shd w:val="clear" w:color="auto" w:fill="CCC0D9" w:themeFill="accent4" w:themeFillTint="66"/>
                </w:tcPr>
                <w:p w:rsidR="00E51036" w:rsidRPr="00214F1D" w:rsidRDefault="00E51036" w:rsidP="00223D39">
                  <w:pPr>
                    <w:jc w:val="center"/>
                    <w:rPr>
                      <w:rFonts w:ascii="Open Sans" w:hAnsi="Open Sans" w:cs="Open Sans"/>
                      <w:b/>
                      <w:sz w:val="20"/>
                      <w:szCs w:val="20"/>
                    </w:rPr>
                  </w:pPr>
                </w:p>
              </w:tc>
            </w:tr>
            <w:tr w:rsidR="00E51036" w:rsidRPr="00214F1D" w:rsidTr="00223D39">
              <w:trPr>
                <w:trHeight w:val="962"/>
              </w:trPr>
              <w:tc>
                <w:tcPr>
                  <w:tcW w:w="2507" w:type="pct"/>
                  <w:shd w:val="clear" w:color="auto" w:fill="CCC0D9" w:themeFill="accent4" w:themeFillTint="66"/>
                  <w:vAlign w:val="center"/>
                </w:tcPr>
                <w:p w:rsidR="00E51036" w:rsidRPr="00214F1D" w:rsidRDefault="00E51036"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Materials provide opportunities for students to practice and reflect upon 21st century (or “soft”) skills.</w:t>
                  </w:r>
                </w:p>
              </w:tc>
              <w:tc>
                <w:tcPr>
                  <w:tcW w:w="363" w:type="pct"/>
                  <w:shd w:val="clear" w:color="auto" w:fill="CCC0D9" w:themeFill="accent4" w:themeFillTint="66"/>
                  <w:vAlign w:val="center"/>
                </w:tcPr>
                <w:p w:rsidR="00E51036" w:rsidRPr="00214F1D" w:rsidRDefault="00E51036"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E51036" w:rsidRPr="00214F1D" w:rsidRDefault="00E51036" w:rsidP="00223D39">
                  <w:pPr>
                    <w:jc w:val="center"/>
                    <w:rPr>
                      <w:rFonts w:ascii="Open Sans" w:hAnsi="Open Sans" w:cs="Open Sans"/>
                      <w:b/>
                      <w:sz w:val="20"/>
                      <w:szCs w:val="20"/>
                    </w:rPr>
                  </w:pPr>
                </w:p>
              </w:tc>
              <w:tc>
                <w:tcPr>
                  <w:tcW w:w="1767" w:type="pct"/>
                  <w:shd w:val="clear" w:color="auto" w:fill="CCC0D9" w:themeFill="accent4" w:themeFillTint="66"/>
                </w:tcPr>
                <w:p w:rsidR="00E51036" w:rsidRPr="00214F1D" w:rsidRDefault="00E51036" w:rsidP="00223D39">
                  <w:pPr>
                    <w:jc w:val="center"/>
                    <w:rPr>
                      <w:rFonts w:ascii="Open Sans" w:hAnsi="Open Sans" w:cs="Open Sans"/>
                      <w:b/>
                      <w:sz w:val="20"/>
                      <w:szCs w:val="20"/>
                    </w:rPr>
                  </w:pPr>
                </w:p>
              </w:tc>
            </w:tr>
          </w:tbl>
          <w:p w:rsidR="00E51036" w:rsidRPr="00214F1D" w:rsidRDefault="00E51036" w:rsidP="00223D39">
            <w:pPr>
              <w:rPr>
                <w:rFonts w:ascii="Open Sans" w:hAnsi="Open Sans" w:cs="Open Sans"/>
                <w:sz w:val="20"/>
                <w:szCs w:val="20"/>
              </w:rPr>
            </w:pPr>
          </w:p>
        </w:tc>
      </w:tr>
      <w:tr w:rsidR="00E51036" w:rsidRPr="00214F1D" w:rsidTr="00223D39">
        <w:trPr>
          <w:trHeight w:val="620"/>
        </w:trPr>
        <w:tc>
          <w:tcPr>
            <w:tcW w:w="13860" w:type="dxa"/>
            <w:gridSpan w:val="4"/>
            <w:shd w:val="clear" w:color="auto" w:fill="CCC0D9" w:themeFill="accent4" w:themeFillTint="66"/>
          </w:tcPr>
          <w:p w:rsidR="00E51036" w:rsidRDefault="00E51036"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E51036" w:rsidRDefault="00E51036" w:rsidP="00223D39">
            <w:pPr>
              <w:keepNext/>
              <w:outlineLvl w:val="4"/>
              <w:rPr>
                <w:rFonts w:ascii="Open Sans" w:hAnsi="Open Sans" w:cs="Open Sans"/>
                <w:b/>
                <w:sz w:val="20"/>
                <w:szCs w:val="20"/>
              </w:rPr>
            </w:pPr>
          </w:p>
          <w:p w:rsidR="00E51036" w:rsidRDefault="00E51036" w:rsidP="00223D39">
            <w:pPr>
              <w:keepNext/>
              <w:outlineLvl w:val="4"/>
              <w:rPr>
                <w:rFonts w:ascii="Open Sans" w:hAnsi="Open Sans" w:cs="Open Sans"/>
                <w:b/>
                <w:sz w:val="20"/>
                <w:szCs w:val="20"/>
              </w:rPr>
            </w:pPr>
          </w:p>
          <w:p w:rsidR="00E51036" w:rsidRPr="00214F1D" w:rsidRDefault="00E51036" w:rsidP="00223D39">
            <w:pPr>
              <w:keepNext/>
              <w:outlineLvl w:val="4"/>
              <w:rPr>
                <w:rFonts w:ascii="Open Sans" w:hAnsi="Open Sans" w:cs="Open Sans"/>
                <w:b/>
                <w:sz w:val="20"/>
                <w:szCs w:val="20"/>
              </w:rPr>
            </w:pPr>
          </w:p>
        </w:tc>
      </w:tr>
      <w:tr w:rsidR="00E51036" w:rsidRPr="00214F1D" w:rsidTr="00223D39">
        <w:trPr>
          <w:trHeight w:val="332"/>
        </w:trPr>
        <w:tc>
          <w:tcPr>
            <w:tcW w:w="6907" w:type="dxa"/>
            <w:vMerge w:val="restart"/>
            <w:shd w:val="clear" w:color="auto" w:fill="CCC0D9" w:themeFill="accent4" w:themeFillTint="66"/>
          </w:tcPr>
          <w:p w:rsidR="00E51036" w:rsidRDefault="00E51036"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E51036" w:rsidRDefault="00E51036" w:rsidP="00223D39">
            <w:pPr>
              <w:keepNext/>
              <w:outlineLvl w:val="4"/>
              <w:rPr>
                <w:rFonts w:ascii="Open Sans" w:hAnsi="Open Sans" w:cs="Open Sans"/>
                <w:b/>
                <w:sz w:val="20"/>
                <w:szCs w:val="20"/>
              </w:rPr>
            </w:pPr>
          </w:p>
          <w:p w:rsidR="00E51036" w:rsidRPr="00214F1D" w:rsidRDefault="00E51036"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E51036" w:rsidRPr="00214F1D" w:rsidRDefault="00E51036"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E51036" w:rsidRPr="00214F1D" w:rsidRDefault="00E51036"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rsidR="00E51036" w:rsidRPr="00214F1D" w:rsidRDefault="00E51036" w:rsidP="00223D39">
            <w:pPr>
              <w:keepNext/>
              <w:outlineLvl w:val="4"/>
              <w:rPr>
                <w:rFonts w:ascii="Open Sans" w:hAnsi="Open Sans" w:cs="Open Sans"/>
                <w:b/>
                <w:sz w:val="20"/>
                <w:szCs w:val="20"/>
              </w:rPr>
            </w:pPr>
          </w:p>
        </w:tc>
      </w:tr>
      <w:tr w:rsidR="00E51036" w:rsidRPr="00214F1D" w:rsidTr="00223D39">
        <w:trPr>
          <w:trHeight w:val="405"/>
        </w:trPr>
        <w:tc>
          <w:tcPr>
            <w:tcW w:w="6907" w:type="dxa"/>
            <w:vMerge/>
            <w:shd w:val="clear" w:color="auto" w:fill="CCC0D9" w:themeFill="accent4" w:themeFillTint="66"/>
          </w:tcPr>
          <w:p w:rsidR="00E51036" w:rsidRDefault="00E51036" w:rsidP="00223D39">
            <w:pPr>
              <w:keepNext/>
              <w:outlineLvl w:val="4"/>
              <w:rPr>
                <w:rFonts w:ascii="Open Sans" w:hAnsi="Open Sans" w:cs="Open Sans"/>
                <w:b/>
                <w:sz w:val="20"/>
                <w:szCs w:val="20"/>
              </w:rPr>
            </w:pPr>
          </w:p>
        </w:tc>
        <w:tc>
          <w:tcPr>
            <w:tcW w:w="1080" w:type="dxa"/>
            <w:shd w:val="clear" w:color="auto" w:fill="92D050"/>
          </w:tcPr>
          <w:p w:rsidR="00E51036" w:rsidRPr="00214F1D" w:rsidRDefault="00E51036" w:rsidP="00223D39">
            <w:pPr>
              <w:keepNext/>
              <w:outlineLvl w:val="4"/>
              <w:rPr>
                <w:rFonts w:ascii="Open Sans" w:hAnsi="Open Sans" w:cs="Open Sans"/>
                <w:b/>
                <w:sz w:val="20"/>
                <w:szCs w:val="20"/>
              </w:rPr>
            </w:pPr>
          </w:p>
        </w:tc>
        <w:tc>
          <w:tcPr>
            <w:tcW w:w="900" w:type="dxa"/>
            <w:shd w:val="clear" w:color="auto" w:fill="FF0000"/>
          </w:tcPr>
          <w:p w:rsidR="00E51036" w:rsidRPr="00214F1D" w:rsidRDefault="00E51036" w:rsidP="00223D39">
            <w:pPr>
              <w:keepNext/>
              <w:outlineLvl w:val="4"/>
              <w:rPr>
                <w:rFonts w:ascii="Open Sans" w:hAnsi="Open Sans" w:cs="Open Sans"/>
                <w:b/>
                <w:sz w:val="20"/>
                <w:szCs w:val="20"/>
              </w:rPr>
            </w:pPr>
          </w:p>
        </w:tc>
        <w:tc>
          <w:tcPr>
            <w:tcW w:w="4973" w:type="dxa"/>
            <w:vMerge/>
            <w:shd w:val="clear" w:color="auto" w:fill="CCC0D9" w:themeFill="accent4" w:themeFillTint="66"/>
          </w:tcPr>
          <w:p w:rsidR="00E51036" w:rsidRPr="00214F1D" w:rsidRDefault="00E51036" w:rsidP="00223D39">
            <w:pPr>
              <w:keepNext/>
              <w:outlineLvl w:val="4"/>
              <w:rPr>
                <w:rFonts w:ascii="Open Sans" w:hAnsi="Open Sans" w:cs="Open Sans"/>
                <w:b/>
                <w:sz w:val="20"/>
                <w:szCs w:val="20"/>
              </w:rPr>
            </w:pPr>
          </w:p>
        </w:tc>
      </w:tr>
    </w:tbl>
    <w:p w:rsidR="00E51036" w:rsidRPr="00214F1D" w:rsidRDefault="00E51036" w:rsidP="00E51036">
      <w:pPr>
        <w:spacing w:after="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Default="00E51036" w:rsidP="00E51036">
      <w:pPr>
        <w:spacing w:after="0"/>
        <w:ind w:left="720"/>
        <w:contextualSpacing/>
        <w:rPr>
          <w:rFonts w:ascii="Open Sans" w:hAnsi="Open Sans" w:cs="Open Sans"/>
          <w:sz w:val="20"/>
          <w:szCs w:val="20"/>
        </w:rPr>
      </w:pPr>
    </w:p>
    <w:p w:rsidR="00E51036" w:rsidRPr="00214F1D" w:rsidRDefault="00E51036" w:rsidP="00E51036">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E51036" w:rsidRPr="00214F1D" w:rsidTr="00223D39">
        <w:trPr>
          <w:trHeight w:val="890"/>
        </w:trPr>
        <w:tc>
          <w:tcPr>
            <w:tcW w:w="13860" w:type="dxa"/>
            <w:shd w:val="clear" w:color="auto" w:fill="F2F2F2" w:themeFill="background1" w:themeFillShade="F2"/>
            <w:vAlign w:val="center"/>
          </w:tcPr>
          <w:p w:rsidR="00E51036" w:rsidRDefault="00E51036" w:rsidP="00223D39">
            <w:pPr>
              <w:rPr>
                <w:rFonts w:ascii="Open Sans" w:eastAsia="Times New Roman" w:hAnsi="Open Sans" w:cs="Open Sans"/>
                <w:b/>
                <w:sz w:val="20"/>
                <w:szCs w:val="20"/>
              </w:rPr>
            </w:pPr>
          </w:p>
          <w:p w:rsidR="00E51036" w:rsidRPr="00AF7A17" w:rsidRDefault="00E51036"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E51036" w:rsidRPr="00214F1D" w:rsidRDefault="00E51036"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E51036" w:rsidRPr="00214F1D" w:rsidTr="00223D39">
        <w:trPr>
          <w:trHeight w:val="1457"/>
        </w:trPr>
        <w:tc>
          <w:tcPr>
            <w:tcW w:w="13860" w:type="dxa"/>
          </w:tcPr>
          <w:p w:rsidR="00E51036" w:rsidRPr="00214F1D" w:rsidRDefault="00E51036" w:rsidP="00223D39">
            <w:pPr>
              <w:contextualSpacing/>
              <w:rPr>
                <w:rFonts w:ascii="Open Sans" w:hAnsi="Open Sans" w:cs="Open Sans"/>
                <w:sz w:val="20"/>
                <w:szCs w:val="20"/>
              </w:rPr>
            </w:pPr>
          </w:p>
          <w:p w:rsidR="00E51036" w:rsidRPr="00214F1D" w:rsidRDefault="00E51036"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E51036" w:rsidRPr="00AF7A17" w:rsidRDefault="00E51036"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E51036" w:rsidRPr="00214F1D" w:rsidRDefault="00E51036" w:rsidP="00223D39">
            <w:pPr>
              <w:contextualSpacing/>
              <w:rPr>
                <w:rFonts w:ascii="Open Sans" w:hAnsi="Open Sans" w:cs="Open Sans"/>
                <w:sz w:val="20"/>
                <w:szCs w:val="20"/>
              </w:rPr>
            </w:pPr>
          </w:p>
        </w:tc>
      </w:tr>
    </w:tbl>
    <w:p w:rsidR="00E51036" w:rsidRPr="00214F1D" w:rsidRDefault="00E51036" w:rsidP="00E51036">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E51036" w:rsidRPr="00214F1D" w:rsidTr="00223D39">
        <w:tc>
          <w:tcPr>
            <w:tcW w:w="7290" w:type="dxa"/>
            <w:shd w:val="clear" w:color="auto" w:fill="F2F2F2" w:themeFill="background1" w:themeFillShade="F2"/>
            <w:vAlign w:val="center"/>
          </w:tcPr>
          <w:p w:rsidR="00E51036" w:rsidRPr="00214F1D" w:rsidRDefault="00E51036"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E51036" w:rsidRPr="00214F1D" w:rsidTr="00223D39">
        <w:trPr>
          <w:trHeight w:val="1403"/>
        </w:trPr>
        <w:tc>
          <w:tcPr>
            <w:tcW w:w="7290" w:type="dxa"/>
            <w:vAlign w:val="center"/>
          </w:tcPr>
          <w:p w:rsidR="00E51036" w:rsidRPr="00214F1D" w:rsidRDefault="00E51036"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680" w:type="dxa"/>
          </w:tcPr>
          <w:p w:rsidR="00E51036" w:rsidRPr="00214F1D" w:rsidRDefault="00E51036" w:rsidP="00223D39">
            <w:pPr>
              <w:contextualSpacing/>
              <w:rPr>
                <w:rFonts w:ascii="Open Sans" w:hAnsi="Open Sans" w:cs="Open Sans"/>
                <w:sz w:val="20"/>
                <w:szCs w:val="20"/>
              </w:rPr>
            </w:pPr>
          </w:p>
        </w:tc>
      </w:tr>
      <w:tr w:rsidR="00E51036" w:rsidRPr="00214F1D" w:rsidTr="00223D39">
        <w:trPr>
          <w:trHeight w:val="1700"/>
        </w:trPr>
        <w:tc>
          <w:tcPr>
            <w:tcW w:w="7290" w:type="dxa"/>
            <w:vAlign w:val="center"/>
          </w:tcPr>
          <w:p w:rsidR="00E51036" w:rsidRPr="00214F1D" w:rsidRDefault="00E51036"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E51036" w:rsidRPr="00214F1D" w:rsidRDefault="00E51036" w:rsidP="00223D39">
            <w:pPr>
              <w:contextualSpacing/>
              <w:rPr>
                <w:rFonts w:ascii="Open Sans" w:hAnsi="Open Sans" w:cs="Open Sans"/>
                <w:sz w:val="20"/>
                <w:szCs w:val="20"/>
              </w:rPr>
            </w:pPr>
          </w:p>
        </w:tc>
      </w:tr>
      <w:tr w:rsidR="00E51036" w:rsidRPr="00214F1D" w:rsidTr="00223D39">
        <w:trPr>
          <w:trHeight w:val="1520"/>
        </w:trPr>
        <w:tc>
          <w:tcPr>
            <w:tcW w:w="7290" w:type="dxa"/>
            <w:vAlign w:val="center"/>
          </w:tcPr>
          <w:p w:rsidR="00E51036" w:rsidRPr="00214F1D" w:rsidRDefault="00E51036"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E51036" w:rsidRPr="00214F1D" w:rsidRDefault="00E51036" w:rsidP="00223D39">
            <w:pPr>
              <w:contextualSpacing/>
              <w:rPr>
                <w:rFonts w:ascii="Open Sans" w:hAnsi="Open Sans" w:cs="Open Sans"/>
                <w:sz w:val="20"/>
                <w:szCs w:val="20"/>
              </w:rPr>
            </w:pPr>
          </w:p>
        </w:tc>
      </w:tr>
    </w:tbl>
    <w:p w:rsidR="00E51036" w:rsidRDefault="00E51036" w:rsidP="00E51036">
      <w:pPr>
        <w:spacing w:after="0" w:line="240" w:lineRule="auto"/>
        <w:rPr>
          <w:rFonts w:ascii="Open Sans" w:hAnsi="Open Sans" w:cs="Open Sans"/>
          <w:sz w:val="20"/>
          <w:szCs w:val="20"/>
        </w:rPr>
      </w:pPr>
    </w:p>
    <w:p w:rsidR="00E51036" w:rsidRDefault="00E51036" w:rsidP="00E51036">
      <w:pPr>
        <w:spacing w:after="0" w:line="240" w:lineRule="auto"/>
        <w:rPr>
          <w:rFonts w:ascii="Open Sans" w:hAnsi="Open Sans" w:cs="Open Sans"/>
          <w:sz w:val="20"/>
          <w:szCs w:val="20"/>
        </w:rPr>
      </w:pPr>
    </w:p>
    <w:p w:rsidR="00E51036" w:rsidRPr="00214F1D" w:rsidRDefault="00E51036" w:rsidP="00E51036">
      <w:pPr>
        <w:spacing w:after="0" w:line="240" w:lineRule="auto"/>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E51036" w:rsidRPr="00214F1D" w:rsidTr="00223D39">
        <w:trPr>
          <w:trHeight w:val="350"/>
        </w:trPr>
        <w:tc>
          <w:tcPr>
            <w:tcW w:w="7290" w:type="dxa"/>
            <w:shd w:val="clear" w:color="auto" w:fill="F2F2F2" w:themeFill="background1" w:themeFillShade="F2"/>
            <w:vAlign w:val="center"/>
          </w:tcPr>
          <w:p w:rsidR="00E51036" w:rsidRPr="00214F1D" w:rsidRDefault="00E51036" w:rsidP="00223D39">
            <w:pPr>
              <w:rPr>
                <w:rFonts w:ascii="Open Sans" w:eastAsia="Times New Roman" w:hAnsi="Open Sans" w:cs="Open Sans"/>
                <w:b/>
                <w:sz w:val="20"/>
                <w:szCs w:val="20"/>
              </w:rPr>
            </w:pPr>
            <w:r w:rsidRPr="00214F1D">
              <w:rPr>
                <w:rFonts w:ascii="Open Sans" w:hAnsi="Open Sans" w:cs="Open Sans"/>
                <w:b/>
                <w:sz w:val="20"/>
                <w:szCs w:val="20"/>
              </w:rPr>
              <w:lastRenderedPageBreak/>
              <w:t>SEQUENCE AND PROGRESSION OF STANDARDS</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E51036" w:rsidRPr="00214F1D" w:rsidTr="00223D39">
        <w:trPr>
          <w:trHeight w:val="1187"/>
        </w:trPr>
        <w:tc>
          <w:tcPr>
            <w:tcW w:w="7290" w:type="dxa"/>
            <w:vAlign w:val="center"/>
          </w:tcPr>
          <w:p w:rsidR="00E51036" w:rsidRPr="00214F1D" w:rsidRDefault="00E51036"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680" w:type="dxa"/>
          </w:tcPr>
          <w:p w:rsidR="00E51036" w:rsidRPr="00214F1D" w:rsidRDefault="00E51036" w:rsidP="00223D39">
            <w:pPr>
              <w:contextualSpacing/>
              <w:rPr>
                <w:rFonts w:ascii="Open Sans" w:hAnsi="Open Sans" w:cs="Open Sans"/>
                <w:sz w:val="20"/>
                <w:szCs w:val="20"/>
              </w:rPr>
            </w:pPr>
          </w:p>
        </w:tc>
      </w:tr>
      <w:tr w:rsidR="00E51036" w:rsidRPr="00214F1D" w:rsidTr="00223D39">
        <w:trPr>
          <w:trHeight w:val="1250"/>
        </w:trPr>
        <w:tc>
          <w:tcPr>
            <w:tcW w:w="7290" w:type="dxa"/>
            <w:vAlign w:val="center"/>
          </w:tcPr>
          <w:p w:rsidR="00E51036" w:rsidRPr="00214F1D" w:rsidRDefault="00E51036"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E51036" w:rsidRPr="00214F1D" w:rsidRDefault="00E51036" w:rsidP="00223D39">
            <w:pPr>
              <w:contextualSpacing/>
              <w:rPr>
                <w:rFonts w:ascii="Open Sans" w:hAnsi="Open Sans" w:cs="Open Sans"/>
                <w:sz w:val="20"/>
                <w:szCs w:val="20"/>
              </w:rPr>
            </w:pPr>
          </w:p>
        </w:tc>
      </w:tr>
      <w:tr w:rsidR="00E51036" w:rsidRPr="00214F1D" w:rsidTr="00223D39">
        <w:trPr>
          <w:trHeight w:val="1781"/>
        </w:trPr>
        <w:tc>
          <w:tcPr>
            <w:tcW w:w="7290" w:type="dxa"/>
            <w:vAlign w:val="center"/>
          </w:tcPr>
          <w:p w:rsidR="00E51036" w:rsidRPr="00214F1D" w:rsidRDefault="00E51036"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E51036" w:rsidRPr="00214F1D" w:rsidRDefault="00E51036" w:rsidP="00223D39">
            <w:pPr>
              <w:contextualSpacing/>
              <w:rPr>
                <w:rFonts w:ascii="Open Sans" w:hAnsi="Open Sans" w:cs="Open Sans"/>
                <w:sz w:val="20"/>
                <w:szCs w:val="20"/>
              </w:rPr>
            </w:pPr>
          </w:p>
        </w:tc>
      </w:tr>
    </w:tbl>
    <w:p w:rsidR="00E51036" w:rsidRPr="00214F1D" w:rsidRDefault="00E51036" w:rsidP="00E51036">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E51036" w:rsidRPr="00214F1D" w:rsidTr="00223D39">
        <w:trPr>
          <w:trHeight w:val="395"/>
        </w:trPr>
        <w:tc>
          <w:tcPr>
            <w:tcW w:w="7290" w:type="dxa"/>
            <w:shd w:val="clear" w:color="auto" w:fill="F2F2F2" w:themeFill="background1" w:themeFillShade="F2"/>
            <w:vAlign w:val="center"/>
          </w:tcPr>
          <w:p w:rsidR="00E51036" w:rsidRPr="00214F1D" w:rsidRDefault="00E51036"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E51036" w:rsidRPr="00214F1D" w:rsidTr="00223D39">
        <w:trPr>
          <w:trHeight w:val="1160"/>
        </w:trPr>
        <w:tc>
          <w:tcPr>
            <w:tcW w:w="7290" w:type="dxa"/>
            <w:vAlign w:val="center"/>
          </w:tcPr>
          <w:p w:rsidR="00E51036" w:rsidRPr="00214F1D" w:rsidRDefault="00E51036"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680" w:type="dxa"/>
          </w:tcPr>
          <w:p w:rsidR="00E51036" w:rsidRPr="00214F1D" w:rsidRDefault="00E51036" w:rsidP="00223D39">
            <w:pPr>
              <w:contextualSpacing/>
              <w:rPr>
                <w:rFonts w:ascii="Open Sans" w:hAnsi="Open Sans" w:cs="Open Sans"/>
                <w:sz w:val="20"/>
                <w:szCs w:val="20"/>
              </w:rPr>
            </w:pPr>
          </w:p>
        </w:tc>
      </w:tr>
      <w:tr w:rsidR="00E51036" w:rsidRPr="00214F1D" w:rsidTr="00223D39">
        <w:trPr>
          <w:trHeight w:val="1376"/>
        </w:trPr>
        <w:tc>
          <w:tcPr>
            <w:tcW w:w="7290" w:type="dxa"/>
            <w:vAlign w:val="center"/>
          </w:tcPr>
          <w:p w:rsidR="00E51036" w:rsidRPr="00214F1D" w:rsidRDefault="00E51036"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680" w:type="dxa"/>
          </w:tcPr>
          <w:p w:rsidR="00E51036" w:rsidRPr="00214F1D" w:rsidRDefault="00E51036" w:rsidP="00223D39">
            <w:pPr>
              <w:contextualSpacing/>
              <w:rPr>
                <w:rFonts w:ascii="Open Sans" w:hAnsi="Open Sans" w:cs="Open Sans"/>
                <w:sz w:val="20"/>
                <w:szCs w:val="20"/>
              </w:rPr>
            </w:pPr>
          </w:p>
        </w:tc>
      </w:tr>
      <w:tr w:rsidR="00E51036" w:rsidRPr="00214F1D" w:rsidTr="00223D39">
        <w:trPr>
          <w:trHeight w:val="1376"/>
        </w:trPr>
        <w:tc>
          <w:tcPr>
            <w:tcW w:w="7290" w:type="dxa"/>
            <w:vAlign w:val="center"/>
          </w:tcPr>
          <w:p w:rsidR="00E51036" w:rsidRPr="00214F1D" w:rsidRDefault="00E51036"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680" w:type="dxa"/>
          </w:tcPr>
          <w:p w:rsidR="00E51036" w:rsidRPr="00214F1D" w:rsidRDefault="00E51036" w:rsidP="00223D39">
            <w:pPr>
              <w:contextualSpacing/>
              <w:rPr>
                <w:rFonts w:ascii="Open Sans" w:hAnsi="Open Sans" w:cs="Open Sans"/>
                <w:sz w:val="20"/>
                <w:szCs w:val="20"/>
              </w:rPr>
            </w:pPr>
          </w:p>
        </w:tc>
      </w:tr>
    </w:tbl>
    <w:p w:rsidR="00E51036" w:rsidRPr="00214F1D" w:rsidRDefault="00E51036" w:rsidP="00E51036">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E51036" w:rsidRPr="00214F1D" w:rsidTr="00223D39">
        <w:trPr>
          <w:trHeight w:val="395"/>
        </w:trPr>
        <w:tc>
          <w:tcPr>
            <w:tcW w:w="7290" w:type="dxa"/>
            <w:shd w:val="clear" w:color="auto" w:fill="F2F2F2" w:themeFill="background1" w:themeFillShade="F2"/>
            <w:vAlign w:val="center"/>
          </w:tcPr>
          <w:p w:rsidR="00E51036" w:rsidRPr="00214F1D" w:rsidRDefault="00E51036"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E51036" w:rsidRPr="00214F1D" w:rsidTr="00223D39">
        <w:trPr>
          <w:trHeight w:val="1367"/>
        </w:trPr>
        <w:tc>
          <w:tcPr>
            <w:tcW w:w="7290" w:type="dxa"/>
            <w:vAlign w:val="center"/>
          </w:tcPr>
          <w:p w:rsidR="00E51036" w:rsidRPr="00214F1D" w:rsidRDefault="00E51036"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361" w:type="dxa"/>
          </w:tcPr>
          <w:p w:rsidR="00E51036" w:rsidRPr="00214F1D" w:rsidRDefault="00E51036" w:rsidP="00223D39">
            <w:pPr>
              <w:contextualSpacing/>
              <w:rPr>
                <w:rFonts w:ascii="Open Sans" w:hAnsi="Open Sans" w:cs="Open Sans"/>
                <w:sz w:val="20"/>
                <w:szCs w:val="20"/>
              </w:rPr>
            </w:pPr>
          </w:p>
        </w:tc>
      </w:tr>
      <w:tr w:rsidR="00E51036" w:rsidRPr="00214F1D" w:rsidTr="00223D39">
        <w:trPr>
          <w:trHeight w:val="1115"/>
        </w:trPr>
        <w:tc>
          <w:tcPr>
            <w:tcW w:w="7290" w:type="dxa"/>
            <w:vAlign w:val="center"/>
          </w:tcPr>
          <w:p w:rsidR="00E51036" w:rsidRPr="00214F1D" w:rsidRDefault="00E51036"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361" w:type="dxa"/>
          </w:tcPr>
          <w:p w:rsidR="00E51036" w:rsidRPr="00214F1D" w:rsidRDefault="00E51036" w:rsidP="00223D39">
            <w:pPr>
              <w:contextualSpacing/>
              <w:rPr>
                <w:rFonts w:ascii="Open Sans" w:hAnsi="Open Sans" w:cs="Open Sans"/>
                <w:sz w:val="20"/>
                <w:szCs w:val="20"/>
              </w:rPr>
            </w:pPr>
          </w:p>
        </w:tc>
      </w:tr>
      <w:tr w:rsidR="00E51036" w:rsidRPr="00214F1D" w:rsidTr="00223D39">
        <w:trPr>
          <w:trHeight w:val="1376"/>
        </w:trPr>
        <w:tc>
          <w:tcPr>
            <w:tcW w:w="7290" w:type="dxa"/>
            <w:vAlign w:val="center"/>
          </w:tcPr>
          <w:p w:rsidR="00E51036" w:rsidRPr="00214F1D" w:rsidRDefault="00E51036"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361" w:type="dxa"/>
          </w:tcPr>
          <w:p w:rsidR="00E51036" w:rsidRPr="00214F1D" w:rsidRDefault="00E51036" w:rsidP="00223D39">
            <w:pPr>
              <w:contextualSpacing/>
              <w:rPr>
                <w:rFonts w:ascii="Open Sans" w:hAnsi="Open Sans" w:cs="Open Sans"/>
                <w:sz w:val="20"/>
                <w:szCs w:val="20"/>
              </w:rPr>
            </w:pPr>
          </w:p>
        </w:tc>
      </w:tr>
      <w:tr w:rsidR="00E51036" w:rsidRPr="00214F1D" w:rsidTr="00223D39">
        <w:trPr>
          <w:trHeight w:val="1376"/>
        </w:trPr>
        <w:tc>
          <w:tcPr>
            <w:tcW w:w="7290" w:type="dxa"/>
            <w:vAlign w:val="center"/>
          </w:tcPr>
          <w:p w:rsidR="00E51036" w:rsidRPr="00214F1D" w:rsidRDefault="00E51036"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361" w:type="dxa"/>
          </w:tcPr>
          <w:p w:rsidR="00E51036" w:rsidRPr="00214F1D" w:rsidRDefault="00E51036" w:rsidP="00223D39">
            <w:pPr>
              <w:contextualSpacing/>
              <w:rPr>
                <w:rFonts w:ascii="Open Sans" w:hAnsi="Open Sans" w:cs="Open Sans"/>
                <w:sz w:val="20"/>
                <w:szCs w:val="20"/>
              </w:rPr>
            </w:pPr>
          </w:p>
        </w:tc>
      </w:tr>
    </w:tbl>
    <w:p w:rsidR="00E51036" w:rsidRDefault="00E51036" w:rsidP="00E51036">
      <w:pPr>
        <w:spacing w:after="0"/>
        <w:rPr>
          <w:rFonts w:ascii="Open Sans" w:hAnsi="Open Sans" w:cs="Open Sans"/>
          <w:sz w:val="20"/>
          <w:szCs w:val="20"/>
        </w:rPr>
      </w:pPr>
    </w:p>
    <w:p w:rsidR="00E51036" w:rsidRDefault="00E51036" w:rsidP="00E51036">
      <w:pPr>
        <w:spacing w:after="0"/>
        <w:rPr>
          <w:rFonts w:ascii="Open Sans" w:hAnsi="Open Sans" w:cs="Open Sans"/>
          <w:sz w:val="20"/>
          <w:szCs w:val="20"/>
        </w:rPr>
      </w:pPr>
    </w:p>
    <w:p w:rsidR="00E51036" w:rsidRDefault="00E51036" w:rsidP="00E51036">
      <w:pPr>
        <w:spacing w:after="0"/>
        <w:rPr>
          <w:rFonts w:ascii="Open Sans" w:hAnsi="Open Sans" w:cs="Open Sans"/>
          <w:sz w:val="20"/>
          <w:szCs w:val="20"/>
        </w:rPr>
      </w:pPr>
    </w:p>
    <w:p w:rsidR="00E51036" w:rsidRPr="00214F1D" w:rsidRDefault="00E51036" w:rsidP="00E51036">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E51036" w:rsidRPr="00214F1D" w:rsidTr="00223D39">
        <w:trPr>
          <w:trHeight w:val="395"/>
        </w:trPr>
        <w:tc>
          <w:tcPr>
            <w:tcW w:w="7290" w:type="dxa"/>
            <w:shd w:val="clear" w:color="auto" w:fill="F2F2F2" w:themeFill="background1" w:themeFillShade="F2"/>
            <w:vAlign w:val="center"/>
          </w:tcPr>
          <w:p w:rsidR="00E51036" w:rsidRPr="00214F1D" w:rsidRDefault="00E51036" w:rsidP="00223D39">
            <w:pPr>
              <w:rPr>
                <w:rFonts w:ascii="Open Sans" w:eastAsia="Times New Roman" w:hAnsi="Open Sans" w:cs="Open Sans"/>
                <w:b/>
                <w:sz w:val="20"/>
                <w:szCs w:val="20"/>
              </w:rPr>
            </w:pPr>
            <w:r w:rsidRPr="00214F1D">
              <w:rPr>
                <w:rFonts w:ascii="Open Sans" w:eastAsia="Times New Roman" w:hAnsi="Open Sans" w:cs="Open Sans"/>
                <w:b/>
                <w:sz w:val="20"/>
                <w:szCs w:val="20"/>
              </w:rPr>
              <w:lastRenderedPageBreak/>
              <w:t>ASSESSMENTS</w:t>
            </w:r>
          </w:p>
        </w:tc>
        <w:tc>
          <w:tcPr>
            <w:tcW w:w="990" w:type="dxa"/>
            <w:shd w:val="clear" w:color="auto" w:fill="F2F2F2" w:themeFill="background1" w:themeFillShade="F2"/>
            <w:vAlign w:val="center"/>
          </w:tcPr>
          <w:p w:rsidR="00E51036" w:rsidRPr="00B472FD" w:rsidRDefault="00E51036"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E51036" w:rsidRPr="00B472FD" w:rsidRDefault="00E51036"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E51036" w:rsidRPr="00214F1D" w:rsidTr="00223D39">
        <w:trPr>
          <w:trHeight w:val="1502"/>
        </w:trPr>
        <w:tc>
          <w:tcPr>
            <w:tcW w:w="7290" w:type="dxa"/>
            <w:vAlign w:val="center"/>
          </w:tcPr>
          <w:p w:rsidR="00E51036" w:rsidRPr="00214F1D" w:rsidRDefault="00E51036"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E51036" w:rsidRPr="00B472F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B472FD" w:rsidRDefault="00E51036" w:rsidP="00223D39">
            <w:pPr>
              <w:contextualSpacing/>
              <w:jc w:val="center"/>
              <w:rPr>
                <w:rFonts w:ascii="Open Sans" w:hAnsi="Open Sans" w:cs="Open Sans"/>
                <w:sz w:val="20"/>
                <w:szCs w:val="20"/>
              </w:rPr>
            </w:pPr>
          </w:p>
        </w:tc>
        <w:tc>
          <w:tcPr>
            <w:tcW w:w="4361" w:type="dxa"/>
          </w:tcPr>
          <w:p w:rsidR="00E51036" w:rsidRPr="00214F1D" w:rsidRDefault="00E51036" w:rsidP="00223D39">
            <w:pPr>
              <w:contextualSpacing/>
              <w:rPr>
                <w:rFonts w:ascii="Open Sans" w:hAnsi="Open Sans" w:cs="Open Sans"/>
                <w:sz w:val="20"/>
                <w:szCs w:val="20"/>
              </w:rPr>
            </w:pPr>
          </w:p>
        </w:tc>
      </w:tr>
      <w:tr w:rsidR="00E51036" w:rsidRPr="00214F1D" w:rsidTr="00223D39">
        <w:trPr>
          <w:trHeight w:val="1115"/>
        </w:trPr>
        <w:tc>
          <w:tcPr>
            <w:tcW w:w="7290" w:type="dxa"/>
            <w:vAlign w:val="center"/>
          </w:tcPr>
          <w:p w:rsidR="00E51036" w:rsidRPr="00214F1D" w:rsidRDefault="00E51036"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E51036" w:rsidRPr="00B472F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B472FD" w:rsidRDefault="00E51036" w:rsidP="00223D39">
            <w:pPr>
              <w:contextualSpacing/>
              <w:jc w:val="center"/>
              <w:rPr>
                <w:rFonts w:ascii="Open Sans" w:hAnsi="Open Sans" w:cs="Open Sans"/>
                <w:sz w:val="20"/>
                <w:szCs w:val="20"/>
              </w:rPr>
            </w:pPr>
          </w:p>
        </w:tc>
        <w:tc>
          <w:tcPr>
            <w:tcW w:w="4361" w:type="dxa"/>
          </w:tcPr>
          <w:p w:rsidR="00E51036" w:rsidRPr="00214F1D" w:rsidRDefault="00E51036" w:rsidP="00223D39">
            <w:pPr>
              <w:contextualSpacing/>
              <w:rPr>
                <w:rFonts w:ascii="Open Sans" w:hAnsi="Open Sans" w:cs="Open Sans"/>
                <w:sz w:val="20"/>
                <w:szCs w:val="20"/>
              </w:rPr>
            </w:pPr>
          </w:p>
        </w:tc>
      </w:tr>
      <w:tr w:rsidR="00E51036" w:rsidRPr="00214F1D" w:rsidTr="00223D39">
        <w:trPr>
          <w:trHeight w:val="1376"/>
        </w:trPr>
        <w:tc>
          <w:tcPr>
            <w:tcW w:w="7290" w:type="dxa"/>
            <w:vAlign w:val="center"/>
          </w:tcPr>
          <w:p w:rsidR="00E51036" w:rsidRPr="00214F1D" w:rsidRDefault="00E51036"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E51036" w:rsidRPr="00214F1D" w:rsidRDefault="00E51036" w:rsidP="00223D39">
            <w:pPr>
              <w:contextualSpacing/>
              <w:jc w:val="center"/>
              <w:rPr>
                <w:rFonts w:ascii="Open Sans" w:hAnsi="Open Sans" w:cs="Open Sans"/>
                <w:sz w:val="20"/>
                <w:szCs w:val="20"/>
              </w:rPr>
            </w:pPr>
          </w:p>
        </w:tc>
        <w:tc>
          <w:tcPr>
            <w:tcW w:w="4361" w:type="dxa"/>
          </w:tcPr>
          <w:p w:rsidR="00E51036" w:rsidRPr="00214F1D" w:rsidRDefault="00E51036" w:rsidP="00223D39">
            <w:pPr>
              <w:contextualSpacing/>
              <w:rPr>
                <w:rFonts w:ascii="Open Sans" w:hAnsi="Open Sans" w:cs="Open Sans"/>
                <w:sz w:val="20"/>
                <w:szCs w:val="20"/>
              </w:rPr>
            </w:pPr>
          </w:p>
        </w:tc>
      </w:tr>
    </w:tbl>
    <w:p w:rsidR="00E51036" w:rsidRPr="00214F1D" w:rsidRDefault="00E51036" w:rsidP="00E51036">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E51036" w:rsidRPr="00214F1D" w:rsidTr="00223D39">
        <w:trPr>
          <w:trHeight w:val="395"/>
        </w:trPr>
        <w:tc>
          <w:tcPr>
            <w:tcW w:w="13631" w:type="dxa"/>
            <w:shd w:val="clear" w:color="auto" w:fill="F2F2F2" w:themeFill="background1" w:themeFillShade="F2"/>
          </w:tcPr>
          <w:p w:rsidR="00E51036" w:rsidRPr="00807E9D" w:rsidRDefault="00E51036"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E51036" w:rsidRPr="00214F1D" w:rsidRDefault="00E51036" w:rsidP="00223D39">
            <w:pPr>
              <w:rPr>
                <w:rFonts w:ascii="Open Sans" w:hAnsi="Open Sans" w:cs="Open Sans"/>
                <w:b/>
                <w:sz w:val="20"/>
                <w:szCs w:val="20"/>
              </w:rPr>
            </w:pPr>
          </w:p>
          <w:p w:rsidR="00E51036" w:rsidRPr="00807E9D" w:rsidRDefault="00E51036"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E51036" w:rsidRPr="00214F1D" w:rsidTr="00223D39">
        <w:trPr>
          <w:trHeight w:val="395"/>
        </w:trPr>
        <w:tc>
          <w:tcPr>
            <w:tcW w:w="7015" w:type="dxa"/>
            <w:shd w:val="thinReverseDiagStripe" w:color="D9D9D9" w:themeColor="background1" w:themeShade="D9" w:fill="auto"/>
            <w:vAlign w:val="center"/>
          </w:tcPr>
          <w:p w:rsidR="00E51036" w:rsidRPr="00214F1D" w:rsidRDefault="00E51036"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E51036" w:rsidRPr="00214F1D" w:rsidRDefault="00E51036"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E51036" w:rsidRPr="00214F1D" w:rsidTr="00223D39">
        <w:trPr>
          <w:trHeight w:val="1259"/>
        </w:trPr>
        <w:tc>
          <w:tcPr>
            <w:tcW w:w="7015" w:type="dxa"/>
            <w:shd w:val="thinReverseDiagStripe" w:color="D9D9D9" w:themeColor="background1" w:themeShade="D9" w:fill="auto"/>
            <w:vAlign w:val="center"/>
          </w:tcPr>
          <w:p w:rsidR="00E51036" w:rsidRPr="00214F1D" w:rsidRDefault="00E51036"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E51036" w:rsidRPr="00214F1D" w:rsidRDefault="00E51036" w:rsidP="00223D39">
            <w:pPr>
              <w:contextualSpacing/>
              <w:jc w:val="center"/>
              <w:rPr>
                <w:rFonts w:ascii="Open Sans" w:hAnsi="Open Sans" w:cs="Open Sans"/>
                <w:i/>
                <w:sz w:val="20"/>
                <w:szCs w:val="20"/>
              </w:rPr>
            </w:pPr>
          </w:p>
        </w:tc>
      </w:tr>
      <w:tr w:rsidR="00E51036" w:rsidRPr="00214F1D" w:rsidTr="00223D39">
        <w:trPr>
          <w:trHeight w:val="1115"/>
        </w:trPr>
        <w:tc>
          <w:tcPr>
            <w:tcW w:w="7015" w:type="dxa"/>
            <w:shd w:val="thinReverseDiagStripe" w:color="D9D9D9" w:themeColor="background1" w:themeShade="D9" w:fill="auto"/>
            <w:vAlign w:val="center"/>
          </w:tcPr>
          <w:p w:rsidR="00E51036" w:rsidRPr="00214F1D" w:rsidRDefault="00E51036"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E51036" w:rsidRPr="00214F1D" w:rsidRDefault="00E51036" w:rsidP="00223D39">
            <w:pPr>
              <w:contextualSpacing/>
              <w:jc w:val="center"/>
              <w:rPr>
                <w:rFonts w:ascii="Open Sans" w:hAnsi="Open Sans" w:cs="Open Sans"/>
                <w:sz w:val="20"/>
                <w:szCs w:val="20"/>
              </w:rPr>
            </w:pPr>
          </w:p>
        </w:tc>
      </w:tr>
    </w:tbl>
    <w:p w:rsidR="00F30CEA" w:rsidRPr="00E51036" w:rsidRDefault="008C7DB3" w:rsidP="00597503">
      <w:pPr>
        <w:rPr>
          <w:rFonts w:ascii="Open Sans" w:eastAsia="Times New Roman" w:hAnsi="Open Sans" w:cs="Open Sans"/>
          <w:sz w:val="20"/>
          <w:szCs w:val="20"/>
        </w:rPr>
      </w:pPr>
      <w:bookmarkStart w:id="0" w:name="_GoBack"/>
      <w:bookmarkEnd w:id="0"/>
      <w:r w:rsidRPr="00DF121F">
        <w:rPr>
          <w:rFonts w:ascii="Open Sans" w:eastAsia="Times New Roman" w:hAnsi="Open Sans" w:cs="Open Sans"/>
          <w:sz w:val="20"/>
          <w:szCs w:val="20"/>
        </w:rPr>
        <w:lastRenderedPageBreak/>
        <w:tab/>
      </w:r>
      <w:r w:rsidRPr="00DF121F">
        <w:rPr>
          <w:rFonts w:ascii="Open Sans" w:eastAsia="Times New Roman" w:hAnsi="Open Sans" w:cs="Open Sans"/>
          <w:sz w:val="20"/>
          <w:szCs w:val="20"/>
        </w:rPr>
        <w:tab/>
        <w:t xml:space="preserve">                  </w:t>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b/>
          <w:sz w:val="20"/>
          <w:szCs w:val="20"/>
        </w:rPr>
        <w:t xml:space="preserve"> </w:t>
      </w:r>
    </w:p>
    <w:sectPr w:rsidR="00F30CEA" w:rsidRPr="00E51036"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D73" w:rsidRDefault="00437D73" w:rsidP="00597503">
      <w:pPr>
        <w:spacing w:after="0" w:line="240" w:lineRule="auto"/>
      </w:pPr>
      <w:r>
        <w:separator/>
      </w:r>
    </w:p>
  </w:endnote>
  <w:endnote w:type="continuationSeparator" w:id="0">
    <w:p w:rsidR="00437D73" w:rsidRDefault="00437D73" w:rsidP="00597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D73" w:rsidRDefault="00437D73" w:rsidP="00597503">
      <w:pPr>
        <w:spacing w:after="0" w:line="240" w:lineRule="auto"/>
      </w:pPr>
      <w:r>
        <w:separator/>
      </w:r>
    </w:p>
  </w:footnote>
  <w:footnote w:type="continuationSeparator" w:id="0">
    <w:p w:rsidR="00437D73" w:rsidRDefault="00437D73" w:rsidP="005975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036" w:rsidRPr="00DF121F" w:rsidRDefault="00E51036" w:rsidP="00E51036">
    <w:pPr>
      <w:spacing w:after="0" w:line="240" w:lineRule="auto"/>
      <w:jc w:val="center"/>
      <w:rPr>
        <w:rFonts w:ascii="Open Sans" w:hAnsi="Open Sans" w:cs="Open Sans"/>
        <w:b/>
        <w:i/>
        <w:sz w:val="28"/>
      </w:rPr>
    </w:pPr>
    <w:r w:rsidRPr="00DF121F">
      <w:rPr>
        <w:rFonts w:ascii="Open Sans" w:hAnsi="Open Sans" w:cs="Open Sans"/>
        <w:noProof/>
      </w:rPr>
      <w:drawing>
        <wp:anchor distT="0" distB="0" distL="114300" distR="114300" simplePos="0" relativeHeight="251659264" behindDoc="0" locked="0" layoutInCell="1" allowOverlap="1" wp14:anchorId="64ED43F8" wp14:editId="7D5560D9">
          <wp:simplePos x="0" y="0"/>
          <wp:positionH relativeFrom="column">
            <wp:posOffset>-838200</wp:posOffset>
          </wp:positionH>
          <wp:positionV relativeFrom="paragraph">
            <wp:posOffset>-96520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F121F">
      <w:rPr>
        <w:rFonts w:ascii="Open Sans" w:hAnsi="Open Sans" w:cs="Open Sans"/>
        <w:b/>
        <w:sz w:val="28"/>
      </w:rPr>
      <w:t>TENNESSEE CAREER AND TECHNICAL EDUCATION TEXTBOOK SCREENING INSTRUMENT,</w:t>
    </w:r>
  </w:p>
  <w:p w:rsidR="00E51036" w:rsidRPr="00DF121F" w:rsidRDefault="00E51036" w:rsidP="00E51036">
    <w:pPr>
      <w:spacing w:after="0" w:line="240" w:lineRule="auto"/>
      <w:jc w:val="center"/>
      <w:rPr>
        <w:rFonts w:ascii="Open Sans" w:hAnsi="Open Sans" w:cs="Open Sans"/>
        <w:b/>
        <w:sz w:val="28"/>
      </w:rPr>
    </w:pPr>
    <w:r w:rsidRPr="00DF121F">
      <w:rPr>
        <w:rFonts w:ascii="Open Sans" w:hAnsi="Open Sans" w:cs="Open Sans"/>
        <w:b/>
        <w:sz w:val="28"/>
      </w:rPr>
      <w:t>CULINARY I</w:t>
    </w:r>
    <w:r>
      <w:rPr>
        <w:rFonts w:ascii="Open Sans" w:hAnsi="Open Sans" w:cs="Open Sans"/>
        <w:b/>
        <w:sz w:val="28"/>
      </w:rPr>
      <w:t>V, 6167</w:t>
    </w:r>
  </w:p>
  <w:p w:rsidR="00E51036" w:rsidRDefault="00E510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24259"/>
    <w:multiLevelType w:val="hybridMultilevel"/>
    <w:tmpl w:val="7C649836"/>
    <w:lvl w:ilvl="0" w:tplc="04090011">
      <w:start w:val="1"/>
      <w:numFmt w:val="decimal"/>
      <w:lvlText w:val="%1)"/>
      <w:lvlJc w:val="left"/>
      <w:pPr>
        <w:ind w:left="360" w:hanging="360"/>
      </w:pPr>
    </w:lvl>
    <w:lvl w:ilvl="1" w:tplc="0A6296A2">
      <w:start w:val="1"/>
      <w:numFmt w:val="lowerLetter"/>
      <w:lvlText w:val="%2."/>
      <w:lvlJc w:val="left"/>
      <w:pPr>
        <w:ind w:left="1800" w:hanging="360"/>
      </w:pPr>
    </w:lvl>
    <w:lvl w:ilvl="2" w:tplc="E7F2CFA4">
      <w:start w:val="1"/>
      <w:numFmt w:val="lowerLetter"/>
      <w:lvlText w:val="%3."/>
      <w:lvlJc w:val="left"/>
      <w:pPr>
        <w:ind w:left="1800" w:hanging="180"/>
      </w:pPr>
      <w:rPr>
        <w:rFonts w:asciiTheme="minorHAnsi" w:eastAsiaTheme="minorEastAsia" w:hAnsiTheme="minorHAnsi" w:cstheme="minorBidi"/>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A4C3A34"/>
    <w:multiLevelType w:val="hybridMultilevel"/>
    <w:tmpl w:val="687839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AA211A5"/>
    <w:multiLevelType w:val="hybridMultilevel"/>
    <w:tmpl w:val="A7D2979A"/>
    <w:lvl w:ilvl="0" w:tplc="78781738">
      <w:start w:val="1"/>
      <w:numFmt w:val="decimal"/>
      <w:lvlText w:val="%1)"/>
      <w:lvlJc w:val="left"/>
      <w:pPr>
        <w:ind w:left="720" w:hanging="360"/>
      </w:pPr>
      <w:rPr>
        <w:b w:val="0"/>
        <w:color w:val="auto"/>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A46F54"/>
    <w:multiLevelType w:val="hybridMultilevel"/>
    <w:tmpl w:val="C20490D6"/>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12102F07"/>
    <w:multiLevelType w:val="hybridMultilevel"/>
    <w:tmpl w:val="AA924DEC"/>
    <w:lvl w:ilvl="0" w:tplc="04090019">
      <w:start w:val="1"/>
      <w:numFmt w:val="lowerLetter"/>
      <w:lvlText w:val="%1."/>
      <w:lvlJc w:val="left"/>
      <w:pPr>
        <w:ind w:left="1636" w:hanging="360"/>
      </w:pPr>
      <w:rPr>
        <w:b w:val="0"/>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507F55"/>
    <w:multiLevelType w:val="hybridMultilevel"/>
    <w:tmpl w:val="42F87444"/>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9" w15:restartNumberingAfterBreak="0">
    <w:nsid w:val="184F3393"/>
    <w:multiLevelType w:val="hybridMultilevel"/>
    <w:tmpl w:val="EE78144A"/>
    <w:lvl w:ilvl="0" w:tplc="9EC21F3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11" w15:restartNumberingAfterBreak="0">
    <w:nsid w:val="18AE790B"/>
    <w:multiLevelType w:val="hybridMultilevel"/>
    <w:tmpl w:val="FFF2792C"/>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2"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13" w15:restartNumberingAfterBreak="0">
    <w:nsid w:val="24212D15"/>
    <w:multiLevelType w:val="hybridMultilevel"/>
    <w:tmpl w:val="568213B4"/>
    <w:lvl w:ilvl="0" w:tplc="4198B9B2">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A6435"/>
    <w:multiLevelType w:val="hybridMultilevel"/>
    <w:tmpl w:val="CB064F3E"/>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E012B3"/>
    <w:multiLevelType w:val="hybridMultilevel"/>
    <w:tmpl w:val="B082EDB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9" w15:restartNumberingAfterBreak="0">
    <w:nsid w:val="3D563FBE"/>
    <w:multiLevelType w:val="hybridMultilevel"/>
    <w:tmpl w:val="34F4D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EED4CC1"/>
    <w:multiLevelType w:val="hybridMultilevel"/>
    <w:tmpl w:val="21FE4E78"/>
    <w:lvl w:ilvl="0" w:tplc="D16495B2">
      <w:start w:val="1"/>
      <w:numFmt w:val="decimal"/>
      <w:lvlText w:val="%1)"/>
      <w:lvlJc w:val="left"/>
      <w:pPr>
        <w:ind w:left="720" w:hanging="360"/>
      </w:pPr>
      <w:rPr>
        <w:b w:val="0"/>
        <w:i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2"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50323F"/>
    <w:multiLevelType w:val="hybridMultilevel"/>
    <w:tmpl w:val="BB88F5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F6A0570"/>
    <w:multiLevelType w:val="hybridMultilevel"/>
    <w:tmpl w:val="DA8843A4"/>
    <w:lvl w:ilvl="0" w:tplc="04090011">
      <w:start w:val="1"/>
      <w:numFmt w:val="decimal"/>
      <w:lvlText w:val="%1)"/>
      <w:lvlJc w:val="left"/>
      <w:pPr>
        <w:ind w:left="91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6"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4"/>
  </w:num>
  <w:num w:numId="2">
    <w:abstractNumId w:val="10"/>
  </w:num>
  <w:num w:numId="3">
    <w:abstractNumId w:val="22"/>
  </w:num>
  <w:num w:numId="4">
    <w:abstractNumId w:val="12"/>
  </w:num>
  <w:num w:numId="5">
    <w:abstractNumId w:val="4"/>
  </w:num>
  <w:num w:numId="6">
    <w:abstractNumId w:val="26"/>
  </w:num>
  <w:num w:numId="7">
    <w:abstractNumId w:val="20"/>
  </w:num>
  <w:num w:numId="8">
    <w:abstractNumId w:val="27"/>
  </w:num>
  <w:num w:numId="9">
    <w:abstractNumId w:val="28"/>
  </w:num>
  <w:num w:numId="10">
    <w:abstractNumId w:val="14"/>
  </w:num>
  <w:num w:numId="11">
    <w:abstractNumId w:val="17"/>
  </w:num>
  <w:num w:numId="12">
    <w:abstractNumId w:val="7"/>
  </w:num>
  <w:num w:numId="13">
    <w:abstractNumId w:val="13"/>
  </w:num>
  <w:num w:numId="14">
    <w:abstractNumId w:val="3"/>
  </w:num>
  <w:num w:numId="15">
    <w:abstractNumId w:val="15"/>
  </w:num>
  <w:num w:numId="16">
    <w:abstractNumId w:val="2"/>
  </w:num>
  <w:num w:numId="17">
    <w:abstractNumId w:val="25"/>
  </w:num>
  <w:num w:numId="18">
    <w:abstractNumId w:val="23"/>
  </w:num>
  <w:num w:numId="19">
    <w:abstractNumId w:val="16"/>
  </w:num>
  <w:num w:numId="20">
    <w:abstractNumId w:val="11"/>
  </w:num>
  <w:num w:numId="21">
    <w:abstractNumId w:val="5"/>
  </w:num>
  <w:num w:numId="22">
    <w:abstractNumId w:val="6"/>
  </w:num>
  <w:num w:numId="23">
    <w:abstractNumId w:val="19"/>
  </w:num>
  <w:num w:numId="24">
    <w:abstractNumId w:val="8"/>
  </w:num>
  <w:num w:numId="25">
    <w:abstractNumId w:val="1"/>
  </w:num>
  <w:num w:numId="26">
    <w:abstractNumId w:val="21"/>
  </w:num>
  <w:num w:numId="27">
    <w:abstractNumId w:val="9"/>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59F1"/>
    <w:rsid w:val="00072127"/>
    <w:rsid w:val="00075263"/>
    <w:rsid w:val="000845EB"/>
    <w:rsid w:val="000E3170"/>
    <w:rsid w:val="00115038"/>
    <w:rsid w:val="0011573F"/>
    <w:rsid w:val="00124855"/>
    <w:rsid w:val="001602D8"/>
    <w:rsid w:val="001A0833"/>
    <w:rsid w:val="001B02DE"/>
    <w:rsid w:val="001B5E52"/>
    <w:rsid w:val="001D4CAE"/>
    <w:rsid w:val="002D0902"/>
    <w:rsid w:val="003965B7"/>
    <w:rsid w:val="004079F5"/>
    <w:rsid w:val="00415672"/>
    <w:rsid w:val="00421523"/>
    <w:rsid w:val="0043492C"/>
    <w:rsid w:val="00437D73"/>
    <w:rsid w:val="00465233"/>
    <w:rsid w:val="00473800"/>
    <w:rsid w:val="005165A3"/>
    <w:rsid w:val="00597503"/>
    <w:rsid w:val="005A74FD"/>
    <w:rsid w:val="005C6289"/>
    <w:rsid w:val="005D7F02"/>
    <w:rsid w:val="006240A2"/>
    <w:rsid w:val="00642569"/>
    <w:rsid w:val="006A1A1A"/>
    <w:rsid w:val="006B2D51"/>
    <w:rsid w:val="006D23A5"/>
    <w:rsid w:val="006E61BC"/>
    <w:rsid w:val="006F3C74"/>
    <w:rsid w:val="007125FD"/>
    <w:rsid w:val="00730420"/>
    <w:rsid w:val="00745453"/>
    <w:rsid w:val="007728F3"/>
    <w:rsid w:val="0078544F"/>
    <w:rsid w:val="007C21F4"/>
    <w:rsid w:val="00871B0B"/>
    <w:rsid w:val="008B526F"/>
    <w:rsid w:val="008C4C6B"/>
    <w:rsid w:val="008C71E0"/>
    <w:rsid w:val="008C7DB3"/>
    <w:rsid w:val="008F0203"/>
    <w:rsid w:val="008F55AA"/>
    <w:rsid w:val="00911CDD"/>
    <w:rsid w:val="00981326"/>
    <w:rsid w:val="009A1663"/>
    <w:rsid w:val="00A861A6"/>
    <w:rsid w:val="00AB444A"/>
    <w:rsid w:val="00B31E0B"/>
    <w:rsid w:val="00B440CE"/>
    <w:rsid w:val="00B564D1"/>
    <w:rsid w:val="00B9770E"/>
    <w:rsid w:val="00C033C2"/>
    <w:rsid w:val="00C25F66"/>
    <w:rsid w:val="00C3750F"/>
    <w:rsid w:val="00C4526C"/>
    <w:rsid w:val="00CB351C"/>
    <w:rsid w:val="00CE0E9C"/>
    <w:rsid w:val="00CF1BC0"/>
    <w:rsid w:val="00D11A14"/>
    <w:rsid w:val="00D36A89"/>
    <w:rsid w:val="00D53761"/>
    <w:rsid w:val="00D570EC"/>
    <w:rsid w:val="00D71C36"/>
    <w:rsid w:val="00D73280"/>
    <w:rsid w:val="00DB5CEF"/>
    <w:rsid w:val="00DE024E"/>
    <w:rsid w:val="00DF121F"/>
    <w:rsid w:val="00DF7998"/>
    <w:rsid w:val="00E240A0"/>
    <w:rsid w:val="00E33ABB"/>
    <w:rsid w:val="00E45E61"/>
    <w:rsid w:val="00E51036"/>
    <w:rsid w:val="00E70F53"/>
    <w:rsid w:val="00EB1010"/>
    <w:rsid w:val="00ED3FD4"/>
    <w:rsid w:val="00EF5194"/>
    <w:rsid w:val="00F13C67"/>
    <w:rsid w:val="00F30CEA"/>
    <w:rsid w:val="00F54597"/>
    <w:rsid w:val="00FE4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597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503"/>
  </w:style>
  <w:style w:type="paragraph" w:styleId="Footer">
    <w:name w:val="footer"/>
    <w:basedOn w:val="Normal"/>
    <w:link w:val="FooterChar"/>
    <w:uiPriority w:val="99"/>
    <w:unhideWhenUsed/>
    <w:rsid w:val="005975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F9AEE-6D9A-4DD1-8E07-45439B7AD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3036</Words>
  <Characters>17311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5</cp:revision>
  <cp:lastPrinted>2016-06-14T21:25:00Z</cp:lastPrinted>
  <dcterms:created xsi:type="dcterms:W3CDTF">2018-07-19T14:10:00Z</dcterms:created>
  <dcterms:modified xsi:type="dcterms:W3CDTF">2018-09-18T18:43:00Z</dcterms:modified>
</cp:coreProperties>
</file>