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color w:val="000000"/>
          <w:sz w:val="16"/>
          <w:szCs w:val="16"/>
        </w:rPr>
      </w:pPr>
    </w:p>
    <w:p w:rsidR="00ED0353" w:rsidRDefault="00ED0353" w:rsidP="00D53761">
      <w:pPr>
        <w:spacing w:after="0" w:line="240" w:lineRule="auto"/>
        <w:rPr>
          <w:rFonts w:ascii="Open Sans" w:eastAsia="Times New Roman" w:hAnsi="Open Sans" w:cs="Open Sans"/>
          <w:color w:val="000000"/>
          <w:sz w:val="16"/>
          <w:szCs w:val="16"/>
        </w:rPr>
      </w:pPr>
    </w:p>
    <w:p w:rsidR="00F30CEA"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F203D1" w:rsidRPr="00214F1D" w:rsidTr="00223D39">
        <w:tc>
          <w:tcPr>
            <w:tcW w:w="12950" w:type="dxa"/>
            <w:gridSpan w:val="4"/>
            <w:shd w:val="clear" w:color="auto" w:fill="8DB3E2" w:themeFill="text2" w:themeFillTint="66"/>
          </w:tcPr>
          <w:p w:rsidR="00F203D1" w:rsidRPr="00807E9D" w:rsidRDefault="00F203D1" w:rsidP="00223D39">
            <w:pPr>
              <w:jc w:val="center"/>
              <w:rPr>
                <w:rFonts w:ascii="Open Sans" w:hAnsi="Open Sans" w:cs="Open Sans"/>
                <w:b/>
                <w:sz w:val="28"/>
                <w:szCs w:val="28"/>
              </w:rPr>
            </w:pPr>
            <w:r w:rsidRPr="00807E9D">
              <w:rPr>
                <w:rFonts w:ascii="Open Sans" w:hAnsi="Open Sans" w:cs="Open Sans"/>
                <w:b/>
                <w:sz w:val="28"/>
                <w:szCs w:val="28"/>
              </w:rPr>
              <w:t>SECTION I</w:t>
            </w:r>
          </w:p>
          <w:p w:rsidR="00F203D1" w:rsidRDefault="00F203D1"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F203D1" w:rsidRPr="00807E9D" w:rsidRDefault="00F203D1"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F203D1" w:rsidRPr="00214F1D" w:rsidRDefault="00F203D1"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F203D1" w:rsidRPr="00003A5D" w:rsidTr="00223D39">
        <w:tc>
          <w:tcPr>
            <w:tcW w:w="12950" w:type="dxa"/>
            <w:gridSpan w:val="4"/>
            <w:shd w:val="clear" w:color="auto" w:fill="8DB3E2" w:themeFill="text2" w:themeFillTint="66"/>
          </w:tcPr>
          <w:p w:rsidR="00F203D1" w:rsidRPr="00003A5D" w:rsidRDefault="00F203D1" w:rsidP="00223D39">
            <w:pPr>
              <w:rPr>
                <w:rFonts w:ascii="Open Sans" w:eastAsia="Times New Roman" w:hAnsi="Open Sans" w:cs="Open Sans"/>
                <w:b/>
                <w:sz w:val="20"/>
                <w:szCs w:val="20"/>
              </w:rPr>
            </w:pPr>
            <w:r>
              <w:rPr>
                <w:rFonts w:ascii="Open Sans" w:hAnsi="Open Sans" w:cs="Open Sans"/>
                <w:i/>
                <w:sz w:val="20"/>
                <w:szCs w:val="20"/>
              </w:rPr>
              <w:t>Of the 22 standards listed below, 18</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F203D1" w:rsidRPr="00214F1D" w:rsidTr="00223D39">
        <w:tc>
          <w:tcPr>
            <w:tcW w:w="12950" w:type="dxa"/>
            <w:gridSpan w:val="4"/>
            <w:shd w:val="clear" w:color="auto" w:fill="8DB3E2" w:themeFill="text2" w:themeFillTint="66"/>
          </w:tcPr>
          <w:p w:rsidR="00F203D1" w:rsidRPr="00214F1D" w:rsidRDefault="00F203D1"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Tr="00F203D1">
        <w:tc>
          <w:tcPr>
            <w:tcW w:w="7555" w:type="dxa"/>
            <w:shd w:val="clear" w:color="auto" w:fill="C6D9F1" w:themeFill="text2" w:themeFillTint="33"/>
          </w:tcPr>
          <w:p w:rsidR="005D7F02" w:rsidRPr="00F30CEA" w:rsidRDefault="005D7F02" w:rsidP="00D53761">
            <w:pPr>
              <w:rPr>
                <w:rFonts w:ascii="Open Sans" w:eastAsia="Times New Roman" w:hAnsi="Open Sans" w:cs="Open Sans"/>
                <w:b/>
                <w:sz w:val="20"/>
                <w:szCs w:val="20"/>
              </w:rPr>
            </w:pPr>
            <w:r w:rsidRPr="00ED0353">
              <w:rPr>
                <w:rFonts w:ascii="Open Sans" w:eastAsia="Times New Roman" w:hAnsi="Open Sans" w:cs="Open Sans"/>
                <w:b/>
                <w:sz w:val="20"/>
                <w:szCs w:val="20"/>
              </w:rPr>
              <w:t>Standard</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shd w:val="clear" w:color="auto" w:fill="C6D9F1" w:themeFill="text2" w:themeFillTint="33"/>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w:t>
            </w:r>
            <w:r w:rsidR="00F203D1">
              <w:rPr>
                <w:rFonts w:ascii="Open Sans" w:eastAsia="Times New Roman" w:hAnsi="Open Sans" w:cs="Open Sans"/>
                <w:b/>
                <w:sz w:val="20"/>
                <w:szCs w:val="20"/>
                <w:shd w:val="clear" w:color="auto" w:fill="F2F2F2" w:themeFill="background1" w:themeFillShade="F2"/>
              </w:rPr>
              <w:t>dence/Notes</w:t>
            </w:r>
          </w:p>
        </w:tc>
      </w:tr>
      <w:tr w:rsidR="005D7F02" w:rsidTr="00F203D1">
        <w:tc>
          <w:tcPr>
            <w:tcW w:w="7555" w:type="dxa"/>
            <w:shd w:val="clear" w:color="auto" w:fill="DBE5F1" w:themeFill="accent1" w:themeFillTint="33"/>
          </w:tcPr>
          <w:p w:rsidR="00081B71" w:rsidRPr="00081B71" w:rsidRDefault="00081B71" w:rsidP="00081B71">
            <w:pPr>
              <w:pStyle w:val="ListParagraph"/>
              <w:numPr>
                <w:ilvl w:val="0"/>
                <w:numId w:val="13"/>
              </w:numPr>
              <w:contextualSpacing w:val="0"/>
              <w:rPr>
                <w:rFonts w:ascii="Open Sans" w:hAnsi="Open Sans" w:cs="Open Sans"/>
                <w:sz w:val="20"/>
                <w:szCs w:val="20"/>
              </w:rPr>
            </w:pPr>
            <w:r w:rsidRPr="00081B71">
              <w:rPr>
                <w:rFonts w:ascii="Open Sans" w:hAnsi="Open Sans" w:cs="Open Sans"/>
                <w:sz w:val="20"/>
                <w:szCs w:val="20"/>
              </w:rPr>
              <w:t xml:space="preserve">Investigate occupations that make up legal services. Demonstrate an understanding of each         occupation by accurately articulating the following: </w:t>
            </w:r>
          </w:p>
          <w:p w:rsidR="00081B71" w:rsidRPr="00081B71" w:rsidRDefault="00081B71" w:rsidP="00081B71">
            <w:pPr>
              <w:pStyle w:val="ListParagraph"/>
              <w:contextualSpacing w:val="0"/>
              <w:rPr>
                <w:rFonts w:ascii="Open Sans" w:hAnsi="Open Sans" w:cs="Open Sans"/>
                <w:sz w:val="20"/>
                <w:szCs w:val="20"/>
              </w:rPr>
            </w:pPr>
            <w:r w:rsidRPr="00081B71">
              <w:rPr>
                <w:rFonts w:ascii="Open Sans" w:hAnsi="Open Sans" w:cs="Open Sans"/>
                <w:sz w:val="20"/>
                <w:szCs w:val="20"/>
              </w:rPr>
              <w:t>a.    Job description</w:t>
            </w:r>
          </w:p>
          <w:p w:rsidR="00081B71" w:rsidRPr="00081B71" w:rsidRDefault="00081B71" w:rsidP="00081B71">
            <w:pPr>
              <w:pStyle w:val="ListParagraph"/>
              <w:contextualSpacing w:val="0"/>
              <w:rPr>
                <w:rFonts w:ascii="Open Sans" w:hAnsi="Open Sans" w:cs="Open Sans"/>
                <w:sz w:val="20"/>
                <w:szCs w:val="20"/>
              </w:rPr>
            </w:pPr>
            <w:r w:rsidRPr="00081B71">
              <w:rPr>
                <w:rFonts w:ascii="Open Sans" w:hAnsi="Open Sans" w:cs="Open Sans"/>
                <w:sz w:val="20"/>
                <w:szCs w:val="20"/>
              </w:rPr>
              <w:t>b.    Roles and responsibilities of the position</w:t>
            </w:r>
          </w:p>
          <w:p w:rsidR="00081B71" w:rsidRPr="00081B71" w:rsidRDefault="00081B71" w:rsidP="00081B71">
            <w:pPr>
              <w:pStyle w:val="ListParagraph"/>
              <w:contextualSpacing w:val="0"/>
              <w:rPr>
                <w:rFonts w:ascii="Open Sans" w:hAnsi="Open Sans" w:cs="Open Sans"/>
                <w:sz w:val="20"/>
                <w:szCs w:val="20"/>
              </w:rPr>
            </w:pPr>
            <w:r w:rsidRPr="00081B71">
              <w:rPr>
                <w:rFonts w:ascii="Open Sans" w:hAnsi="Open Sans" w:cs="Open Sans"/>
                <w:sz w:val="20"/>
                <w:szCs w:val="20"/>
              </w:rPr>
              <w:t>c.    Essential knowledge and skills needed for the career</w:t>
            </w:r>
          </w:p>
          <w:p w:rsidR="00081B71" w:rsidRPr="00081B71" w:rsidRDefault="00081B71" w:rsidP="00081B71">
            <w:pPr>
              <w:pStyle w:val="ListParagraph"/>
              <w:ind w:left="1147" w:hanging="427"/>
              <w:contextualSpacing w:val="0"/>
              <w:rPr>
                <w:rFonts w:ascii="Open Sans" w:hAnsi="Open Sans" w:cs="Open Sans"/>
                <w:sz w:val="20"/>
                <w:szCs w:val="20"/>
              </w:rPr>
            </w:pPr>
            <w:r w:rsidRPr="00081B71">
              <w:rPr>
                <w:rFonts w:ascii="Open Sans" w:hAnsi="Open Sans" w:cs="Open Sans"/>
                <w:sz w:val="20"/>
                <w:szCs w:val="20"/>
              </w:rPr>
              <w:t xml:space="preserve">d.    Comparison of similar careers available in state, federal, and </w:t>
            </w:r>
            <w:r>
              <w:rPr>
                <w:rFonts w:ascii="Open Sans" w:hAnsi="Open Sans" w:cs="Open Sans"/>
                <w:sz w:val="20"/>
                <w:szCs w:val="20"/>
              </w:rPr>
              <w:t xml:space="preserve"> </w:t>
            </w:r>
            <w:r w:rsidRPr="00081B71">
              <w:rPr>
                <w:rFonts w:ascii="Open Sans" w:hAnsi="Open Sans" w:cs="Open Sans"/>
                <w:sz w:val="20"/>
                <w:szCs w:val="20"/>
              </w:rPr>
              <w:t xml:space="preserve">military legal systems </w:t>
            </w:r>
          </w:p>
          <w:p w:rsidR="00081B71" w:rsidRPr="00081B71" w:rsidRDefault="00081B71" w:rsidP="00081B71">
            <w:pPr>
              <w:pStyle w:val="ListParagraph"/>
              <w:contextualSpacing w:val="0"/>
              <w:rPr>
                <w:rFonts w:ascii="Open Sans" w:hAnsi="Open Sans" w:cs="Open Sans"/>
                <w:sz w:val="20"/>
                <w:szCs w:val="20"/>
              </w:rPr>
            </w:pPr>
            <w:r w:rsidRPr="00081B71">
              <w:rPr>
                <w:rFonts w:ascii="Open Sans" w:hAnsi="Open Sans" w:cs="Open Sans"/>
                <w:sz w:val="20"/>
                <w:szCs w:val="20"/>
              </w:rPr>
              <w:t xml:space="preserve">e.    Educational, training, and certification requirements </w:t>
            </w:r>
          </w:p>
          <w:p w:rsidR="00081B71" w:rsidRPr="00081B71" w:rsidRDefault="00081B71" w:rsidP="00081B71">
            <w:pPr>
              <w:pStyle w:val="ListParagraph"/>
              <w:contextualSpacing w:val="0"/>
              <w:rPr>
                <w:rFonts w:ascii="Open Sans" w:hAnsi="Open Sans" w:cs="Open Sans"/>
                <w:sz w:val="20"/>
                <w:szCs w:val="20"/>
              </w:rPr>
            </w:pPr>
            <w:r w:rsidRPr="00081B71">
              <w:rPr>
                <w:rFonts w:ascii="Open Sans" w:hAnsi="Open Sans" w:cs="Open Sans"/>
                <w:sz w:val="20"/>
                <w:szCs w:val="20"/>
              </w:rPr>
              <w:t xml:space="preserve">f.     Licensure and credentialing requirements </w:t>
            </w:r>
          </w:p>
          <w:p w:rsidR="005D7F02" w:rsidRPr="001B02DE" w:rsidRDefault="005D7F02" w:rsidP="009B1574">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F203D1">
        <w:tc>
          <w:tcPr>
            <w:tcW w:w="7555" w:type="dxa"/>
            <w:shd w:val="clear" w:color="auto" w:fill="DBE5F1" w:themeFill="accent1" w:themeFillTint="33"/>
          </w:tcPr>
          <w:p w:rsidR="00081B71" w:rsidRPr="00081B71" w:rsidRDefault="00081B71" w:rsidP="00081B71">
            <w:pPr>
              <w:numPr>
                <w:ilvl w:val="0"/>
                <w:numId w:val="13"/>
              </w:numPr>
              <w:tabs>
                <w:tab w:val="left" w:pos="720"/>
                <w:tab w:val="left" w:pos="5580"/>
              </w:tabs>
              <w:rPr>
                <w:rFonts w:ascii="Open Sans" w:hAnsi="Open Sans" w:cs="Open Sans"/>
                <w:sz w:val="20"/>
                <w:szCs w:val="20"/>
              </w:rPr>
            </w:pPr>
            <w:r w:rsidRPr="00081B71">
              <w:rPr>
                <w:rFonts w:ascii="Open Sans" w:hAnsi="Open Sans" w:cs="Open Sans"/>
                <w:sz w:val="20"/>
                <w:szCs w:val="20"/>
              </w:rPr>
              <w:t xml:space="preserve">Articulate important historical events and milestones (such as European influences) impacting the evolution of the current legal system in the United States. Include a description of the evolution of the modern legal system to address terrorism, cybercrimes, and hate crimes. Use a timeline or other graphic to illustrate the major developments from the colonial period to today, citing specific textual evidence from research. </w:t>
            </w:r>
          </w:p>
          <w:p w:rsidR="005D7F02" w:rsidRPr="001B02DE" w:rsidRDefault="005D7F02" w:rsidP="009B1574">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F203D1">
        <w:tc>
          <w:tcPr>
            <w:tcW w:w="7555" w:type="dxa"/>
            <w:shd w:val="clear" w:color="auto" w:fill="DBE5F1" w:themeFill="accent1" w:themeFillTint="33"/>
          </w:tcPr>
          <w:p w:rsidR="00081B71" w:rsidRPr="00081B71" w:rsidRDefault="00081B71" w:rsidP="00081B71">
            <w:pPr>
              <w:pStyle w:val="ListParagraph"/>
              <w:numPr>
                <w:ilvl w:val="0"/>
                <w:numId w:val="13"/>
              </w:numPr>
              <w:contextualSpacing w:val="0"/>
              <w:rPr>
                <w:rFonts w:ascii="Open Sans" w:hAnsi="Open Sans" w:cs="Open Sans"/>
                <w:sz w:val="20"/>
                <w:szCs w:val="20"/>
              </w:rPr>
            </w:pPr>
            <w:r w:rsidRPr="00081B71">
              <w:rPr>
                <w:rFonts w:ascii="Open Sans" w:hAnsi="Open Sans" w:cs="Open Sans"/>
                <w:sz w:val="20"/>
                <w:szCs w:val="20"/>
              </w:rPr>
              <w:lastRenderedPageBreak/>
              <w:t xml:space="preserve">Compare and contrast requirements and duties for the executive and legislative branches, and examine the function of the judicial system as it relates to both branches. Include an explanation of the function of the system of checks and balances. </w:t>
            </w:r>
          </w:p>
          <w:p w:rsidR="005D7F02" w:rsidRPr="001B02DE" w:rsidRDefault="005D7F02" w:rsidP="009B1574">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F203D1">
        <w:tc>
          <w:tcPr>
            <w:tcW w:w="7555" w:type="dxa"/>
            <w:shd w:val="clear" w:color="auto" w:fill="DBE5F1" w:themeFill="accent1" w:themeFillTint="33"/>
          </w:tcPr>
          <w:p w:rsidR="00081B71" w:rsidRPr="00081B71" w:rsidRDefault="00081B71" w:rsidP="00081B71">
            <w:pPr>
              <w:pStyle w:val="ListParagraph"/>
              <w:numPr>
                <w:ilvl w:val="0"/>
                <w:numId w:val="13"/>
              </w:numPr>
            </w:pPr>
            <w:r w:rsidRPr="00081B71">
              <w:t>Create an artifact illustrating the role of the courts at the local, county, state, and federal levels including an explanation of procedural law at each level.</w:t>
            </w:r>
          </w:p>
          <w:p w:rsidR="005D7F02" w:rsidRPr="001B02DE" w:rsidRDefault="005D7F02" w:rsidP="009B1574">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F203D1">
        <w:tc>
          <w:tcPr>
            <w:tcW w:w="7555" w:type="dxa"/>
            <w:shd w:val="clear" w:color="auto" w:fill="DBE5F1" w:themeFill="accent1" w:themeFillTint="33"/>
          </w:tcPr>
          <w:p w:rsidR="00081B71" w:rsidRPr="00081B71" w:rsidRDefault="00081B71" w:rsidP="00081B71">
            <w:pPr>
              <w:pStyle w:val="ListParagraph"/>
              <w:numPr>
                <w:ilvl w:val="0"/>
                <w:numId w:val="13"/>
              </w:numPr>
              <w:rPr>
                <w:bCs/>
              </w:rPr>
            </w:pPr>
            <w:r w:rsidRPr="00081B71">
              <w:rPr>
                <w:bCs/>
              </w:rPr>
              <w:t xml:space="preserve">Create a graphic organizer to illustrate the structure of the relationships among key players in the legal system (including law enforcement organizations, legal service providers, corrections agencies, and security agencies) in the handling of crimes and of those who commit them. </w:t>
            </w:r>
          </w:p>
          <w:p w:rsidR="005D7F02" w:rsidRPr="001B02DE" w:rsidRDefault="005D7F02" w:rsidP="009B1574">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F203D1">
        <w:tc>
          <w:tcPr>
            <w:tcW w:w="7555" w:type="dxa"/>
            <w:shd w:val="clear" w:color="auto" w:fill="DBE5F1" w:themeFill="accent1" w:themeFillTint="33"/>
          </w:tcPr>
          <w:p w:rsidR="00081B71" w:rsidRPr="00081B71" w:rsidRDefault="00081B71" w:rsidP="00081B71">
            <w:pPr>
              <w:pStyle w:val="ListParagraph"/>
              <w:numPr>
                <w:ilvl w:val="0"/>
                <w:numId w:val="13"/>
              </w:numPr>
            </w:pPr>
            <w:r w:rsidRPr="00081B71">
              <w:t xml:space="preserve">Summarize the six types of laws (criminal, civil, administrative, statutory, common, constitutional), and discuss the purpose of each. Develop a graphic organizer to draw connections among sample laws for each type, relevant legal concepts such as burden of proof, and applicable defenses and punishments. </w:t>
            </w:r>
          </w:p>
          <w:p w:rsidR="005D7F02" w:rsidRPr="001B02DE" w:rsidRDefault="005D7F02" w:rsidP="00E2342D">
            <w:pPr>
              <w:pStyle w:val="ListParagraph"/>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1B02DE" w:rsidRDefault="00081B71" w:rsidP="00081B71">
            <w:pPr>
              <w:pStyle w:val="ListParagraph"/>
              <w:numPr>
                <w:ilvl w:val="0"/>
                <w:numId w:val="13"/>
              </w:numPr>
            </w:pPr>
            <w:r w:rsidRPr="00081B71">
              <w:rPr>
                <w:rFonts w:ascii="Open Sans" w:hAnsi="Open Sans" w:cs="Open Sans"/>
                <w:sz w:val="20"/>
                <w:szCs w:val="20"/>
              </w:rPr>
              <w:t>Explore the history of the first amendment and the five basic freedoms it covers: religion, speech, press, assembly, and petitions. Research current issues related to each freedom and the protections guaranteed to citizens. Create a scenario or campaign that applies the protections to students in a school setting for one of the freedoms. Review case law that applies to the scenario or campaign and write a case brief summarizing</w:t>
            </w:r>
            <w:r w:rsidRPr="00081B71">
              <w:rPr>
                <w:rFonts w:ascii="Open Sans" w:hAnsi="Open Sans" w:cs="Open Sans"/>
                <w:sz w:val="20"/>
                <w:szCs w:val="20"/>
                <w:lang w:val="en"/>
              </w:rPr>
              <w:t xml:space="preserve"> the issues, the rule of law, the action, and the holding. </w:t>
            </w:r>
            <w:r w:rsidRPr="00081B71">
              <w:rPr>
                <w:rFonts w:ascii="Open Sans" w:hAnsi="Open Sans" w:cs="Open Sans"/>
                <w:sz w:val="20"/>
                <w:szCs w:val="20"/>
              </w:rPr>
              <w:t xml:space="preserve">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1B02DE" w:rsidRDefault="00081B71" w:rsidP="00081B71">
            <w:pPr>
              <w:pStyle w:val="ListParagraph"/>
              <w:numPr>
                <w:ilvl w:val="0"/>
                <w:numId w:val="13"/>
              </w:numPr>
            </w:pPr>
            <w:r w:rsidRPr="00081B71">
              <w:rPr>
                <w:rFonts w:ascii="Open Sans" w:hAnsi="Open Sans" w:cs="Open Sans"/>
                <w:sz w:val="20"/>
                <w:szCs w:val="20"/>
              </w:rPr>
              <w:t>Interpret the Bill of Rights as it applies to the defendant. Create an artifact that summarizes each amendment and gives an example of its application. Choose one amendment and compose a short article that explains how the amendment ensures a fair trial.</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081B71" w:rsidRPr="00081B71" w:rsidRDefault="00081B71" w:rsidP="00081B71">
            <w:pPr>
              <w:pStyle w:val="ListParagraph"/>
              <w:numPr>
                <w:ilvl w:val="0"/>
                <w:numId w:val="13"/>
              </w:numPr>
              <w:rPr>
                <w:rFonts w:ascii="Open Sans" w:hAnsi="Open Sans" w:cs="Open Sans"/>
                <w:sz w:val="20"/>
                <w:szCs w:val="20"/>
              </w:rPr>
            </w:pPr>
            <w:r w:rsidRPr="00081B71">
              <w:rPr>
                <w:rFonts w:ascii="Open Sans" w:hAnsi="Open Sans" w:cs="Open Sans"/>
                <w:sz w:val="20"/>
                <w:szCs w:val="20"/>
              </w:rPr>
              <w:lastRenderedPageBreak/>
              <w:t>Outline the individual protections provided by the Fourth Amendment and illustrate in an informative narrative what can be considered a “reasonable expectation of privacy.” Explore landmark cases such as New Jersey v. T.L.O. and Katz v. U.S., and discuss in groups the expectations by students of privacy on school property with respect to search and seizure.</w:t>
            </w:r>
          </w:p>
          <w:p w:rsidR="00E2342D" w:rsidRDefault="00E2342D" w:rsidP="004156E2">
            <w:pPr>
              <w:pStyle w:val="ListParagraph"/>
              <w:ind w:left="1440"/>
            </w:pPr>
          </w:p>
          <w:p w:rsidR="001B02DE" w:rsidRDefault="001B02DE" w:rsidP="00E2342D">
            <w:pPr>
              <w:pStyle w:val="ListParagraph"/>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081B71" w:rsidRPr="00081B71" w:rsidRDefault="00081B71" w:rsidP="00081B71">
            <w:pPr>
              <w:pStyle w:val="ListParagraph"/>
              <w:numPr>
                <w:ilvl w:val="0"/>
                <w:numId w:val="13"/>
              </w:numPr>
              <w:rPr>
                <w:bCs/>
              </w:rPr>
            </w:pPr>
            <w:r w:rsidRPr="00081B71">
              <w:rPr>
                <w:bCs/>
              </w:rPr>
              <w:t xml:space="preserve">Summarize the Exclusionary Rule and explain in an oral argument or written narrative how it applies to the Fourth Amendment (Mapp v. Ohio) and the Fifth Amendment (Miranda v. Arizona). Describe the relationship of the fruit of the poisonous tree doctrine to the exclusionary rule (Silverthorne Lumber Co. v. United States). </w:t>
            </w:r>
          </w:p>
          <w:p w:rsidR="001B02DE" w:rsidRDefault="001B02DE" w:rsidP="00E2342D">
            <w:pPr>
              <w:pStyle w:val="ListParagraph"/>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081B71" w:rsidRPr="00081B71" w:rsidRDefault="00081B71" w:rsidP="00081B71">
            <w:pPr>
              <w:pStyle w:val="ListParagraph"/>
              <w:numPr>
                <w:ilvl w:val="0"/>
                <w:numId w:val="13"/>
              </w:numPr>
              <w:rPr>
                <w:rFonts w:ascii="Open Sans" w:hAnsi="Open Sans" w:cs="Open Sans"/>
                <w:bCs/>
                <w:sz w:val="20"/>
                <w:szCs w:val="20"/>
              </w:rPr>
            </w:pPr>
            <w:r w:rsidRPr="00081B71">
              <w:rPr>
                <w:rFonts w:ascii="Open Sans" w:hAnsi="Open Sans" w:cs="Open Sans"/>
                <w:bCs/>
                <w:sz w:val="20"/>
                <w:szCs w:val="20"/>
              </w:rPr>
              <w:t xml:space="preserve">Collect codes of ethics from professional organizations in legal services including </w:t>
            </w:r>
            <w:r w:rsidRPr="00081B71">
              <w:rPr>
                <w:rFonts w:ascii="Open Sans" w:hAnsi="Open Sans" w:cs="Open Sans"/>
                <w:bCs/>
                <w:sz w:val="20"/>
                <w:szCs w:val="20"/>
                <w:lang w:val="en"/>
              </w:rPr>
              <w:t>Tennessee Rules of Professional Conduct, Tennessee Code of Judicial Conduct, and Federal Code of Conduct</w:t>
            </w:r>
            <w:r w:rsidRPr="00081B71">
              <w:rPr>
                <w:rFonts w:ascii="Open Sans" w:hAnsi="Open Sans" w:cs="Open Sans"/>
                <w:bCs/>
                <w:sz w:val="20"/>
                <w:szCs w:val="20"/>
              </w:rPr>
              <w:t xml:space="preserve"> and examine areas of commonality. Synthesize principles from the codes of ethics to create a personal code of ethics. </w:t>
            </w:r>
          </w:p>
          <w:p w:rsidR="001B02DE" w:rsidRDefault="001B02DE" w:rsidP="00E2342D">
            <w:pPr>
              <w:pStyle w:val="ListParagraph"/>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F203D1">
        <w:tc>
          <w:tcPr>
            <w:tcW w:w="7555" w:type="dxa"/>
            <w:shd w:val="clear" w:color="auto" w:fill="DBE5F1" w:themeFill="accent1" w:themeFillTint="33"/>
          </w:tcPr>
          <w:p w:rsidR="001B02DE" w:rsidRDefault="00081B71" w:rsidP="00081B71">
            <w:pPr>
              <w:pStyle w:val="ListParagraph"/>
              <w:numPr>
                <w:ilvl w:val="0"/>
                <w:numId w:val="13"/>
              </w:numPr>
            </w:pPr>
            <w:r w:rsidRPr="00081B71">
              <w:rPr>
                <w:rFonts w:ascii="Open Sans" w:eastAsia="Calibri" w:hAnsi="Open Sans" w:cs="Open Sans"/>
                <w:bCs/>
                <w:sz w:val="20"/>
                <w:szCs w:val="20"/>
              </w:rPr>
              <w:t xml:space="preserve">Examine real-world situations that involve ethical dilemmas and the application of correct professional conduct as highlighted in recent news articles. Craft an argumentative essay making a claim about the importance of ethics and professional standards for persons working in legal services, citing examples from case studies to argue for the relevance of professional codes of conduct.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DE024E" w:rsidTr="00F203D1">
        <w:tc>
          <w:tcPr>
            <w:tcW w:w="7555" w:type="dxa"/>
            <w:shd w:val="clear" w:color="auto" w:fill="DBE5F1" w:themeFill="accent1" w:themeFillTint="33"/>
          </w:tcPr>
          <w:p w:rsidR="00081B71" w:rsidRPr="00081B71" w:rsidRDefault="00081B71" w:rsidP="00081B71">
            <w:pPr>
              <w:numPr>
                <w:ilvl w:val="0"/>
                <w:numId w:val="13"/>
              </w:numPr>
              <w:rPr>
                <w:rFonts w:ascii="Open Sans" w:hAnsi="Open Sans" w:cs="Open Sans"/>
                <w:bCs/>
                <w:sz w:val="20"/>
                <w:szCs w:val="20"/>
              </w:rPr>
            </w:pPr>
            <w:r w:rsidRPr="00081B71">
              <w:rPr>
                <w:rFonts w:ascii="Open Sans" w:hAnsi="Open Sans" w:cs="Open Sans"/>
                <w:bCs/>
                <w:sz w:val="20"/>
                <w:szCs w:val="20"/>
              </w:rPr>
              <w:t xml:space="preserve">Analyze how the influence of diverse cultures and customs impacts the field of legal services. Describe the importance of cultural differences when making decisions within the context of criminal, civil, and immigration law. </w:t>
            </w:r>
          </w:p>
          <w:p w:rsidR="00DE024E" w:rsidRDefault="00DE024E" w:rsidP="00A24BE7">
            <w:pPr>
              <w:pStyle w:val="ListParagraph"/>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numPr>
                <w:ilvl w:val="0"/>
                <w:numId w:val="13"/>
              </w:numPr>
              <w:rPr>
                <w:rFonts w:ascii="Open Sans" w:hAnsi="Open Sans" w:cs="Open Sans"/>
                <w:bCs/>
                <w:sz w:val="20"/>
                <w:szCs w:val="20"/>
              </w:rPr>
            </w:pPr>
            <w:r w:rsidRPr="00081B71">
              <w:rPr>
                <w:rFonts w:ascii="Open Sans" w:hAnsi="Open Sans" w:cs="Open Sans"/>
                <w:bCs/>
                <w:sz w:val="20"/>
                <w:szCs w:val="20"/>
              </w:rPr>
              <w:t xml:space="preserve">Differentiate between the various agencies in the Law and Public Safety sector at the local, state, and national levels by describing their </w:t>
            </w:r>
            <w:r w:rsidRPr="00081B71">
              <w:rPr>
                <w:rFonts w:ascii="Open Sans" w:hAnsi="Open Sans" w:cs="Open Sans"/>
                <w:bCs/>
                <w:sz w:val="20"/>
                <w:szCs w:val="20"/>
              </w:rPr>
              <w:lastRenderedPageBreak/>
              <w:t>jurisdiction, roles and responsibilities, and governing bodies. Identify conflicts in jurisdiction that may arise when multiple agencies work together, citing examples from case studies, interviews, or news articles.</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numPr>
                <w:ilvl w:val="0"/>
                <w:numId w:val="13"/>
              </w:numPr>
              <w:rPr>
                <w:rFonts w:ascii="Open Sans" w:hAnsi="Open Sans" w:cs="Open Sans"/>
                <w:bCs/>
                <w:sz w:val="20"/>
                <w:szCs w:val="20"/>
              </w:rPr>
            </w:pPr>
            <w:r w:rsidRPr="00081B71">
              <w:rPr>
                <w:rFonts w:ascii="Open Sans" w:hAnsi="Open Sans" w:cs="Open Sans"/>
                <w:bCs/>
                <w:sz w:val="20"/>
                <w:szCs w:val="20"/>
              </w:rPr>
              <w:t>Distinguish between the two major sources of crime statistics: the Federal Bureau of Investigation’s (FBI) Uniform Crime Reporting Program (known as UCR/NIBRS) and the National Crime Victimization Survey (NCVS) of the Bureau of Justice Statistics (BJS). Explain how modern criminal justice agencies are utilizing statistics from both sources, comparing and contrasting the characteristics of the data sets in an informative artifact.</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numPr>
                <w:ilvl w:val="0"/>
                <w:numId w:val="13"/>
              </w:numPr>
              <w:rPr>
                <w:rFonts w:ascii="Open Sans" w:hAnsi="Open Sans" w:cs="Open Sans"/>
                <w:bCs/>
                <w:sz w:val="20"/>
                <w:szCs w:val="20"/>
              </w:rPr>
            </w:pPr>
            <w:r w:rsidRPr="00081B71">
              <w:rPr>
                <w:rFonts w:ascii="Open Sans" w:hAnsi="Open Sans" w:cs="Open Sans"/>
                <w:bCs/>
                <w:sz w:val="20"/>
                <w:szCs w:val="20"/>
              </w:rPr>
              <w:t>Define criminal law and criminology. Research the major behavioral science theories describing criminal behavior. Identify theorists and elaborate on their major contributions to the field; include emerging theories sourced from contemporary scholarship. Apply a specific theory to explain a notable crime.</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numPr>
                <w:ilvl w:val="0"/>
                <w:numId w:val="13"/>
              </w:numPr>
              <w:rPr>
                <w:rFonts w:ascii="Open Sans" w:hAnsi="Open Sans" w:cs="Open Sans"/>
                <w:bCs/>
                <w:sz w:val="20"/>
                <w:szCs w:val="20"/>
              </w:rPr>
            </w:pPr>
            <w:r w:rsidRPr="00081B71">
              <w:rPr>
                <w:rFonts w:ascii="Open Sans" w:hAnsi="Open Sans" w:cs="Open Sans"/>
                <w:bCs/>
                <w:sz w:val="20"/>
                <w:szCs w:val="20"/>
              </w:rPr>
              <w:t>Examine the differences and similarities between the concepts of crime, victimization, and criminal behavior. Define each term in relation to the others and identify examples of the concepts in case studies.</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pStyle w:val="ListParagraph"/>
              <w:numPr>
                <w:ilvl w:val="0"/>
                <w:numId w:val="13"/>
              </w:numPr>
              <w:rPr>
                <w:rFonts w:ascii="Open Sans" w:hAnsi="Open Sans" w:cs="Open Sans"/>
                <w:sz w:val="20"/>
                <w:szCs w:val="20"/>
              </w:rPr>
            </w:pPr>
            <w:r w:rsidRPr="00081B71">
              <w:rPr>
                <w:rFonts w:ascii="Open Sans" w:hAnsi="Open Sans" w:cs="Open Sans"/>
                <w:sz w:val="20"/>
                <w:szCs w:val="20"/>
              </w:rPr>
              <w:t xml:space="preserve">Compare and contrast civil and criminal law. Research and create an outline of the specific areas of civil law including a short description of each area along with an example of a typical case. Explain the purpose of tort law including a discussion of intentional tort, negligence, and strict liability. Survey cases then categorize them according to type of tort. </w:t>
            </w:r>
          </w:p>
          <w:p w:rsidR="00081B71" w:rsidRPr="00081B71" w:rsidRDefault="00081B71" w:rsidP="00081B71">
            <w:pPr>
              <w:ind w:left="720"/>
              <w:rPr>
                <w:rFonts w:ascii="Open Sans" w:hAnsi="Open Sans" w:cs="Open Sans"/>
                <w:bC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081B71" w:rsidRDefault="00081B71" w:rsidP="00081B71">
            <w:pPr>
              <w:pStyle w:val="ListParagraph"/>
              <w:numPr>
                <w:ilvl w:val="0"/>
                <w:numId w:val="13"/>
              </w:numPr>
              <w:rPr>
                <w:rFonts w:ascii="Open Sans" w:hAnsi="Open Sans" w:cs="Open Sans"/>
                <w:sz w:val="20"/>
                <w:szCs w:val="20"/>
              </w:rPr>
            </w:pPr>
            <w:r w:rsidRPr="00081B71">
              <w:rPr>
                <w:rFonts w:ascii="Open Sans" w:hAnsi="Open Sans" w:cs="Open Sans"/>
                <w:sz w:val="20"/>
                <w:szCs w:val="20"/>
              </w:rPr>
              <w:t>Using the cases surveyed in standard 21, create a chart that illustrates the application of Tennessee</w:t>
            </w:r>
            <w:r w:rsidRPr="00081B71">
              <w:rPr>
                <w:rFonts w:ascii="Open Sans" w:hAnsi="Open Sans" w:cs="Open Sans"/>
                <w:sz w:val="20"/>
                <w:szCs w:val="20"/>
                <w:lang w:val="en"/>
              </w:rPr>
              <w:t xml:space="preserve"> Rules of Evidence and Federal Rules of Evidence. Choose one case and create a case brief to summarize the issues, the rule of law, the action, and the holding. Provide a legal memo with a student opinion of the case.</w:t>
            </w: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Default="00081B71" w:rsidP="00081B71">
            <w:pPr>
              <w:pStyle w:val="ListParagraph"/>
              <w:numPr>
                <w:ilvl w:val="0"/>
                <w:numId w:val="13"/>
              </w:numPr>
              <w:tabs>
                <w:tab w:val="left" w:pos="270"/>
              </w:tabs>
              <w:rPr>
                <w:rFonts w:ascii="Open Sans" w:hAnsi="Open Sans" w:cs="Open Sans"/>
                <w:sz w:val="20"/>
                <w:szCs w:val="20"/>
              </w:rPr>
            </w:pPr>
            <w:r w:rsidRPr="00397FB9">
              <w:rPr>
                <w:rFonts w:ascii="Open Sans" w:hAnsi="Open Sans" w:cs="Open Sans"/>
                <w:sz w:val="20"/>
                <w:szCs w:val="20"/>
              </w:rPr>
              <w:lastRenderedPageBreak/>
              <w:t xml:space="preserve">Analyze the history of immigration law including the Immigration and Nationality Act </w:t>
            </w:r>
            <w:r>
              <w:rPr>
                <w:rFonts w:ascii="Open Sans" w:hAnsi="Open Sans" w:cs="Open Sans"/>
                <w:sz w:val="20"/>
                <w:szCs w:val="20"/>
              </w:rPr>
              <w:t xml:space="preserve">of 1953 </w:t>
            </w:r>
            <w:r w:rsidRPr="00397FB9">
              <w:rPr>
                <w:rFonts w:ascii="Open Sans" w:hAnsi="Open Sans" w:cs="Open Sans"/>
                <w:sz w:val="20"/>
                <w:szCs w:val="20"/>
              </w:rPr>
              <w:t>and the Immigration Reform and Control Act</w:t>
            </w:r>
            <w:r>
              <w:rPr>
                <w:rFonts w:ascii="Open Sans" w:hAnsi="Open Sans" w:cs="Open Sans"/>
                <w:sz w:val="20"/>
                <w:szCs w:val="20"/>
              </w:rPr>
              <w:t xml:space="preserve"> of 1986</w:t>
            </w:r>
            <w:r w:rsidRPr="00397FB9">
              <w:rPr>
                <w:rFonts w:ascii="Open Sans" w:hAnsi="Open Sans" w:cs="Open Sans"/>
                <w:sz w:val="20"/>
                <w:szCs w:val="20"/>
              </w:rPr>
              <w:t>. Research and explain the doctrine of preemption as it relates to state immigration laws, and debate the constitutionality of Tennessee immigration laws as they relate to federal immigration laws.</w:t>
            </w:r>
          </w:p>
          <w:p w:rsidR="00081B71" w:rsidRPr="00081B71" w:rsidRDefault="00081B71" w:rsidP="00081B71">
            <w:pPr>
              <w:pStyle w:val="ListParagraph"/>
              <w:rPr>
                <w:rFonts w:ascii="Open Sans"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E4556D" w:rsidRDefault="00081B71" w:rsidP="00081B71">
            <w:pPr>
              <w:pStyle w:val="ListParagraph"/>
              <w:numPr>
                <w:ilvl w:val="0"/>
                <w:numId w:val="13"/>
              </w:numPr>
              <w:rPr>
                <w:rFonts w:ascii="Open Sans" w:hAnsi="Open Sans" w:cs="Open Sans"/>
                <w:sz w:val="20"/>
                <w:szCs w:val="20"/>
              </w:rPr>
            </w:pPr>
            <w:r>
              <w:rPr>
                <w:rFonts w:ascii="Open Sans" w:hAnsi="Open Sans" w:cs="Open Sans"/>
                <w:sz w:val="20"/>
                <w:szCs w:val="20"/>
              </w:rPr>
              <w:t>Research immigration law and describe three main categories: family-based immigration, employment-based immigration, and humanitarian immigration. Explain the relationship of federal and state immigration law.</w:t>
            </w:r>
          </w:p>
          <w:p w:rsidR="00081B71" w:rsidRPr="00397FB9" w:rsidRDefault="00081B71" w:rsidP="00081B71">
            <w:pPr>
              <w:pStyle w:val="ListParagraph"/>
              <w:tabs>
                <w:tab w:val="left" w:pos="270"/>
              </w:tabs>
              <w:rPr>
                <w:rFonts w:ascii="Open Sans"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081B71" w:rsidTr="00F203D1">
        <w:tc>
          <w:tcPr>
            <w:tcW w:w="7555" w:type="dxa"/>
            <w:shd w:val="clear" w:color="auto" w:fill="DBE5F1" w:themeFill="accent1" w:themeFillTint="33"/>
          </w:tcPr>
          <w:p w:rsidR="00081B71" w:rsidRPr="00F444D7" w:rsidRDefault="00081B71" w:rsidP="00081B71">
            <w:pPr>
              <w:pStyle w:val="ListParagraph"/>
              <w:numPr>
                <w:ilvl w:val="0"/>
                <w:numId w:val="13"/>
              </w:numPr>
              <w:tabs>
                <w:tab w:val="left" w:pos="270"/>
              </w:tabs>
              <w:rPr>
                <w:rFonts w:ascii="Open Sans" w:hAnsi="Open Sans" w:cs="Open Sans"/>
                <w:sz w:val="20"/>
                <w:szCs w:val="20"/>
              </w:rPr>
            </w:pPr>
            <w:r w:rsidRPr="00397FB9">
              <w:rPr>
                <w:rFonts w:ascii="Open Sans" w:hAnsi="Open Sans" w:cs="Open Sans"/>
                <w:sz w:val="20"/>
                <w:szCs w:val="20"/>
              </w:rPr>
              <w:t xml:space="preserve">Survey and explain the relationship of immigration court to the other court systems; include a discussion of the immigration court system’s unique characteristics. Create a public awareness campaign to help immigrants understand information about employment based petitions, family based petitions, visas, adjustment of status, asylum, and removal/deportation. Include information about specific cases that result in immigration court proceedings. </w:t>
            </w:r>
          </w:p>
          <w:p w:rsidR="00081B71" w:rsidRDefault="00081B71" w:rsidP="00081B71">
            <w:pPr>
              <w:pStyle w:val="ListParagraph"/>
              <w:rPr>
                <w:rFonts w:ascii="Open Sans"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630" w:type="dxa"/>
            <w:shd w:val="clear" w:color="auto" w:fill="DBE5F1" w:themeFill="accent1" w:themeFillTint="33"/>
          </w:tcPr>
          <w:p w:rsidR="00081B71" w:rsidRDefault="00081B71" w:rsidP="00D53761">
            <w:pPr>
              <w:rPr>
                <w:rFonts w:ascii="Open Sans" w:eastAsia="Times New Roman" w:hAnsi="Open Sans" w:cs="Open Sans"/>
                <w:sz w:val="20"/>
                <w:szCs w:val="20"/>
              </w:rPr>
            </w:pPr>
          </w:p>
        </w:tc>
        <w:tc>
          <w:tcPr>
            <w:tcW w:w="4135" w:type="dxa"/>
            <w:shd w:val="clear" w:color="auto" w:fill="DBE5F1" w:themeFill="accent1" w:themeFillTint="33"/>
          </w:tcPr>
          <w:p w:rsidR="00081B71" w:rsidRDefault="00081B71" w:rsidP="00D53761">
            <w:pPr>
              <w:rPr>
                <w:rFonts w:ascii="Open Sans" w:eastAsia="Times New Roman" w:hAnsi="Open Sans" w:cs="Open Sans"/>
                <w:sz w:val="20"/>
                <w:szCs w:val="20"/>
              </w:rPr>
            </w:pPr>
          </w:p>
        </w:tc>
      </w:tr>
      <w:tr w:rsidR="00F203D1" w:rsidRPr="00214F1D" w:rsidTr="00223D39">
        <w:tc>
          <w:tcPr>
            <w:tcW w:w="12950" w:type="dxa"/>
            <w:gridSpan w:val="4"/>
            <w:shd w:val="clear" w:color="auto" w:fill="DBE5F1" w:themeFill="accent1" w:themeFillTint="33"/>
          </w:tcPr>
          <w:p w:rsidR="00F203D1" w:rsidRPr="00125329" w:rsidRDefault="00F203D1"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F203D1" w:rsidRDefault="00F203D1" w:rsidP="00223D39">
            <w:pPr>
              <w:rPr>
                <w:rFonts w:ascii="Open Sans" w:eastAsia="Times New Roman" w:hAnsi="Open Sans" w:cs="Open Sans"/>
                <w:sz w:val="20"/>
                <w:szCs w:val="20"/>
              </w:rPr>
            </w:pPr>
          </w:p>
          <w:p w:rsidR="00F203D1" w:rsidRDefault="00F203D1" w:rsidP="00223D39">
            <w:pPr>
              <w:rPr>
                <w:rFonts w:ascii="Open Sans" w:eastAsia="Times New Roman" w:hAnsi="Open Sans" w:cs="Open Sans"/>
                <w:sz w:val="20"/>
                <w:szCs w:val="20"/>
              </w:rPr>
            </w:pPr>
          </w:p>
          <w:p w:rsidR="00F203D1" w:rsidRDefault="00F203D1" w:rsidP="00223D39">
            <w:pPr>
              <w:rPr>
                <w:rFonts w:ascii="Open Sans" w:eastAsia="Times New Roman" w:hAnsi="Open Sans" w:cs="Open Sans"/>
                <w:sz w:val="20"/>
                <w:szCs w:val="20"/>
              </w:rPr>
            </w:pPr>
          </w:p>
          <w:p w:rsidR="00F203D1" w:rsidRDefault="00F203D1" w:rsidP="00223D39">
            <w:pPr>
              <w:rPr>
                <w:rFonts w:ascii="Open Sans" w:eastAsia="Times New Roman" w:hAnsi="Open Sans" w:cs="Open Sans"/>
                <w:sz w:val="20"/>
                <w:szCs w:val="20"/>
              </w:rPr>
            </w:pPr>
          </w:p>
          <w:p w:rsidR="00F203D1" w:rsidRPr="00214F1D" w:rsidRDefault="00F203D1" w:rsidP="00223D39">
            <w:pPr>
              <w:rPr>
                <w:rFonts w:ascii="Open Sans" w:eastAsia="Times New Roman" w:hAnsi="Open Sans" w:cs="Open Sans"/>
                <w:sz w:val="20"/>
                <w:szCs w:val="20"/>
              </w:rPr>
            </w:pPr>
          </w:p>
        </w:tc>
      </w:tr>
      <w:tr w:rsidR="00F203D1" w:rsidTr="00F203D1">
        <w:trPr>
          <w:trHeight w:val="405"/>
        </w:trPr>
        <w:tc>
          <w:tcPr>
            <w:tcW w:w="7555" w:type="dxa"/>
            <w:vMerge w:val="restart"/>
            <w:shd w:val="clear" w:color="auto" w:fill="DBE5F1" w:themeFill="accent1" w:themeFillTint="33"/>
          </w:tcPr>
          <w:p w:rsidR="00F203D1" w:rsidRDefault="00F203D1"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F203D1" w:rsidRPr="00125329" w:rsidRDefault="00F203D1" w:rsidP="00223D39">
            <w:pPr>
              <w:rPr>
                <w:rFonts w:ascii="Open Sans" w:eastAsia="Times New Roman" w:hAnsi="Open Sans" w:cs="Open Sans"/>
                <w:b/>
                <w:sz w:val="20"/>
                <w:szCs w:val="20"/>
              </w:rPr>
            </w:pPr>
          </w:p>
          <w:p w:rsidR="00F203D1" w:rsidRDefault="00F203D1"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18</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F203D1" w:rsidRDefault="00F203D1"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F203D1" w:rsidRDefault="00F203D1"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F203D1" w:rsidRDefault="00F203D1" w:rsidP="00223D39">
            <w:pPr>
              <w:rPr>
                <w:rFonts w:ascii="Open Sans" w:eastAsia="Times New Roman" w:hAnsi="Open Sans" w:cs="Open Sans"/>
                <w:sz w:val="20"/>
                <w:szCs w:val="20"/>
              </w:rPr>
            </w:pPr>
          </w:p>
        </w:tc>
      </w:tr>
      <w:tr w:rsidR="00F203D1" w:rsidTr="00F203D1">
        <w:trPr>
          <w:trHeight w:val="675"/>
        </w:trPr>
        <w:tc>
          <w:tcPr>
            <w:tcW w:w="7555" w:type="dxa"/>
            <w:vMerge/>
            <w:shd w:val="clear" w:color="auto" w:fill="DBE5F1" w:themeFill="accent1" w:themeFillTint="33"/>
          </w:tcPr>
          <w:p w:rsidR="00F203D1" w:rsidRPr="00125329" w:rsidRDefault="00F203D1" w:rsidP="00223D39">
            <w:pPr>
              <w:rPr>
                <w:rFonts w:ascii="Open Sans" w:eastAsia="Times New Roman" w:hAnsi="Open Sans" w:cs="Open Sans"/>
                <w:b/>
                <w:sz w:val="20"/>
                <w:szCs w:val="20"/>
              </w:rPr>
            </w:pPr>
          </w:p>
        </w:tc>
        <w:tc>
          <w:tcPr>
            <w:tcW w:w="630" w:type="dxa"/>
            <w:shd w:val="clear" w:color="auto" w:fill="92D050"/>
          </w:tcPr>
          <w:p w:rsidR="00F203D1" w:rsidRDefault="00F203D1" w:rsidP="00223D39">
            <w:pPr>
              <w:rPr>
                <w:rFonts w:ascii="Open Sans" w:eastAsia="Times New Roman" w:hAnsi="Open Sans" w:cs="Open Sans"/>
                <w:sz w:val="20"/>
                <w:szCs w:val="20"/>
              </w:rPr>
            </w:pPr>
          </w:p>
        </w:tc>
        <w:tc>
          <w:tcPr>
            <w:tcW w:w="630" w:type="dxa"/>
            <w:shd w:val="clear" w:color="auto" w:fill="FF0000"/>
          </w:tcPr>
          <w:p w:rsidR="00F203D1" w:rsidRDefault="00F203D1" w:rsidP="00223D39">
            <w:pPr>
              <w:rPr>
                <w:rFonts w:ascii="Open Sans" w:eastAsia="Times New Roman" w:hAnsi="Open Sans" w:cs="Open Sans"/>
                <w:sz w:val="20"/>
                <w:szCs w:val="20"/>
              </w:rPr>
            </w:pPr>
          </w:p>
        </w:tc>
        <w:tc>
          <w:tcPr>
            <w:tcW w:w="4135" w:type="dxa"/>
            <w:vMerge/>
            <w:shd w:val="clear" w:color="auto" w:fill="DBE5F1" w:themeFill="accent1" w:themeFillTint="33"/>
          </w:tcPr>
          <w:p w:rsidR="00F203D1" w:rsidRDefault="00F203D1" w:rsidP="00223D39">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F203D1" w:rsidRDefault="00F203D1" w:rsidP="00D53761">
      <w:pPr>
        <w:spacing w:after="0" w:line="240" w:lineRule="auto"/>
        <w:rPr>
          <w:rFonts w:ascii="Open Sans" w:eastAsia="Times New Roman" w:hAnsi="Open Sans" w:cs="Open Sans"/>
          <w:sz w:val="20"/>
          <w:szCs w:val="20"/>
        </w:rPr>
      </w:pPr>
    </w:p>
    <w:p w:rsidR="00F203D1" w:rsidRDefault="00F203D1"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F203D1" w:rsidRPr="00214F1D" w:rsidTr="00223D39">
        <w:trPr>
          <w:trHeight w:val="267"/>
        </w:trPr>
        <w:tc>
          <w:tcPr>
            <w:tcW w:w="13902" w:type="dxa"/>
            <w:gridSpan w:val="4"/>
            <w:shd w:val="clear" w:color="auto" w:fill="FFCC66"/>
          </w:tcPr>
          <w:p w:rsidR="00F203D1" w:rsidRPr="00BE1730" w:rsidRDefault="00F203D1" w:rsidP="00223D39">
            <w:pPr>
              <w:jc w:val="center"/>
              <w:rPr>
                <w:rFonts w:ascii="Open Sans" w:hAnsi="Open Sans" w:cs="Open Sans"/>
                <w:b/>
                <w:sz w:val="28"/>
                <w:szCs w:val="28"/>
              </w:rPr>
            </w:pPr>
            <w:r w:rsidRPr="00BE1730">
              <w:rPr>
                <w:rFonts w:ascii="Open Sans" w:hAnsi="Open Sans" w:cs="Open Sans"/>
                <w:b/>
                <w:sz w:val="28"/>
                <w:szCs w:val="28"/>
              </w:rPr>
              <w:t>SECTION II</w:t>
            </w:r>
          </w:p>
          <w:p w:rsidR="00F203D1" w:rsidRDefault="00F203D1"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F203D1" w:rsidRPr="00003A5D" w:rsidRDefault="00F203D1"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F203D1" w:rsidRPr="00214F1D" w:rsidTr="00223D39">
        <w:trPr>
          <w:trHeight w:val="267"/>
        </w:trPr>
        <w:tc>
          <w:tcPr>
            <w:tcW w:w="13902" w:type="dxa"/>
            <w:gridSpan w:val="4"/>
            <w:shd w:val="clear" w:color="auto" w:fill="FFCC66"/>
          </w:tcPr>
          <w:p w:rsidR="00F203D1" w:rsidRPr="00214F1D" w:rsidRDefault="00F203D1" w:rsidP="00223D39">
            <w:pPr>
              <w:rPr>
                <w:rFonts w:ascii="Open Sans" w:hAnsi="Open Sans" w:cs="Open Sans"/>
                <w:b/>
                <w:sz w:val="20"/>
                <w:szCs w:val="20"/>
              </w:rPr>
            </w:pPr>
            <w:r w:rsidRPr="00214F1D">
              <w:rPr>
                <w:rFonts w:ascii="Open Sans" w:hAnsi="Open Sans" w:cs="Open Sans"/>
                <w:b/>
                <w:sz w:val="20"/>
                <w:szCs w:val="20"/>
              </w:rPr>
              <w:t>METRICS:</w:t>
            </w:r>
          </w:p>
        </w:tc>
      </w:tr>
      <w:tr w:rsidR="00F203D1" w:rsidRPr="00214F1D" w:rsidTr="00223D39">
        <w:trPr>
          <w:trHeight w:val="6406"/>
        </w:trPr>
        <w:tc>
          <w:tcPr>
            <w:tcW w:w="13902" w:type="dxa"/>
            <w:gridSpan w:val="4"/>
            <w:shd w:val="clear" w:color="auto" w:fill="FFFFCC"/>
          </w:tcPr>
          <w:p w:rsidR="00F203D1" w:rsidRPr="00214F1D" w:rsidRDefault="00F203D1"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F203D1" w:rsidRPr="00214F1D" w:rsidTr="00223D39">
              <w:trPr>
                <w:trHeight w:val="485"/>
              </w:trPr>
              <w:tc>
                <w:tcPr>
                  <w:tcW w:w="6718" w:type="dxa"/>
                  <w:shd w:val="clear" w:color="auto" w:fill="FFFFCC"/>
                  <w:vAlign w:val="center"/>
                </w:tcPr>
                <w:p w:rsidR="00F203D1" w:rsidRPr="00214F1D" w:rsidRDefault="00F203D1"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F203D1" w:rsidRDefault="00F203D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F203D1" w:rsidRPr="00214F1D" w:rsidTr="00223D39">
              <w:trPr>
                <w:trHeight w:val="710"/>
              </w:trPr>
              <w:tc>
                <w:tcPr>
                  <w:tcW w:w="6718" w:type="dxa"/>
                  <w:shd w:val="clear" w:color="auto" w:fill="FFFFCC"/>
                  <w:vAlign w:val="center"/>
                </w:tcPr>
                <w:p w:rsidR="00F203D1" w:rsidRPr="00214F1D" w:rsidRDefault="00F203D1"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203D1" w:rsidRPr="00214F1D" w:rsidRDefault="00F203D1" w:rsidP="00223D39">
                  <w:pPr>
                    <w:framePr w:hSpace="180" w:wrap="around" w:vAnchor="text" w:hAnchor="page" w:x="976" w:y="19"/>
                    <w:jc w:val="center"/>
                    <w:rPr>
                      <w:rFonts w:ascii="Open Sans" w:hAnsi="Open Sans" w:cs="Open Sans"/>
                      <w:b/>
                      <w:sz w:val="20"/>
                      <w:szCs w:val="20"/>
                    </w:rPr>
                  </w:pPr>
                </w:p>
              </w:tc>
            </w:tr>
            <w:tr w:rsidR="00F203D1" w:rsidRPr="00214F1D" w:rsidTr="00223D39">
              <w:trPr>
                <w:trHeight w:val="1070"/>
              </w:trPr>
              <w:tc>
                <w:tcPr>
                  <w:tcW w:w="6718" w:type="dxa"/>
                  <w:shd w:val="clear" w:color="auto" w:fill="FFFFCC"/>
                  <w:vAlign w:val="center"/>
                </w:tcPr>
                <w:p w:rsidR="00F203D1" w:rsidRPr="00214F1D" w:rsidRDefault="00F203D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203D1" w:rsidRPr="00214F1D" w:rsidRDefault="00F203D1" w:rsidP="00223D39">
                  <w:pPr>
                    <w:framePr w:hSpace="180" w:wrap="around" w:vAnchor="text" w:hAnchor="page" w:x="976" w:y="19"/>
                    <w:jc w:val="center"/>
                    <w:rPr>
                      <w:rFonts w:ascii="Open Sans" w:hAnsi="Open Sans" w:cs="Open Sans"/>
                      <w:b/>
                      <w:sz w:val="20"/>
                      <w:szCs w:val="20"/>
                    </w:rPr>
                  </w:pPr>
                </w:p>
              </w:tc>
            </w:tr>
            <w:tr w:rsidR="00F203D1" w:rsidRPr="00214F1D" w:rsidTr="00223D39">
              <w:trPr>
                <w:trHeight w:val="1070"/>
              </w:trPr>
              <w:tc>
                <w:tcPr>
                  <w:tcW w:w="6718" w:type="dxa"/>
                  <w:shd w:val="clear" w:color="auto" w:fill="FFFFCC"/>
                  <w:vAlign w:val="center"/>
                </w:tcPr>
                <w:p w:rsidR="00F203D1" w:rsidRPr="00214F1D" w:rsidRDefault="00F203D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203D1" w:rsidRPr="00214F1D" w:rsidRDefault="00F203D1" w:rsidP="00223D39">
                  <w:pPr>
                    <w:framePr w:hSpace="180" w:wrap="around" w:vAnchor="text" w:hAnchor="page" w:x="976" w:y="19"/>
                    <w:jc w:val="center"/>
                    <w:rPr>
                      <w:rFonts w:ascii="Open Sans" w:hAnsi="Open Sans" w:cs="Open Sans"/>
                      <w:b/>
                      <w:sz w:val="20"/>
                      <w:szCs w:val="20"/>
                    </w:rPr>
                  </w:pPr>
                </w:p>
              </w:tc>
            </w:tr>
            <w:tr w:rsidR="00F203D1" w:rsidRPr="00214F1D" w:rsidTr="00223D39">
              <w:trPr>
                <w:trHeight w:val="890"/>
              </w:trPr>
              <w:tc>
                <w:tcPr>
                  <w:tcW w:w="6718" w:type="dxa"/>
                  <w:shd w:val="clear" w:color="auto" w:fill="FFFFCC"/>
                  <w:vAlign w:val="center"/>
                </w:tcPr>
                <w:p w:rsidR="00F203D1" w:rsidRPr="00214F1D" w:rsidRDefault="00F203D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203D1" w:rsidRPr="00214F1D" w:rsidRDefault="00F203D1" w:rsidP="00223D39">
                  <w:pPr>
                    <w:framePr w:hSpace="180" w:wrap="around" w:vAnchor="text" w:hAnchor="page" w:x="976" w:y="19"/>
                    <w:jc w:val="center"/>
                    <w:rPr>
                      <w:rFonts w:ascii="Open Sans" w:hAnsi="Open Sans" w:cs="Open Sans"/>
                      <w:b/>
                      <w:sz w:val="20"/>
                      <w:szCs w:val="20"/>
                    </w:rPr>
                  </w:pPr>
                </w:p>
              </w:tc>
            </w:tr>
            <w:tr w:rsidR="00F203D1" w:rsidRPr="00214F1D" w:rsidTr="00223D39">
              <w:trPr>
                <w:trHeight w:val="1070"/>
              </w:trPr>
              <w:tc>
                <w:tcPr>
                  <w:tcW w:w="6718" w:type="dxa"/>
                  <w:shd w:val="clear" w:color="auto" w:fill="FFFFCC"/>
                  <w:vAlign w:val="center"/>
                </w:tcPr>
                <w:p w:rsidR="00F203D1" w:rsidRPr="00214F1D" w:rsidRDefault="00F203D1"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203D1" w:rsidRPr="00214F1D" w:rsidRDefault="00F203D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203D1" w:rsidRPr="00214F1D" w:rsidRDefault="00F203D1" w:rsidP="00223D39">
                  <w:pPr>
                    <w:framePr w:hSpace="180" w:wrap="around" w:vAnchor="text" w:hAnchor="page" w:x="976" w:y="19"/>
                    <w:jc w:val="center"/>
                    <w:rPr>
                      <w:rFonts w:ascii="Open Sans" w:hAnsi="Open Sans" w:cs="Open Sans"/>
                      <w:b/>
                      <w:sz w:val="20"/>
                      <w:szCs w:val="20"/>
                    </w:rPr>
                  </w:pPr>
                </w:p>
              </w:tc>
            </w:tr>
          </w:tbl>
          <w:p w:rsidR="00F203D1" w:rsidRPr="00214F1D" w:rsidRDefault="00F203D1" w:rsidP="00223D39">
            <w:pPr>
              <w:tabs>
                <w:tab w:val="left" w:pos="1065"/>
              </w:tabs>
              <w:rPr>
                <w:rFonts w:ascii="Open Sans" w:hAnsi="Open Sans" w:cs="Open Sans"/>
                <w:sz w:val="20"/>
                <w:szCs w:val="20"/>
              </w:rPr>
            </w:pPr>
          </w:p>
        </w:tc>
      </w:tr>
      <w:tr w:rsidR="00F203D1" w:rsidRPr="00214F1D" w:rsidTr="00223D39">
        <w:trPr>
          <w:trHeight w:val="1358"/>
        </w:trPr>
        <w:tc>
          <w:tcPr>
            <w:tcW w:w="13902" w:type="dxa"/>
            <w:gridSpan w:val="4"/>
            <w:shd w:val="clear" w:color="auto" w:fill="FFFFCC"/>
          </w:tcPr>
          <w:p w:rsidR="00F203D1" w:rsidRPr="00214F1D" w:rsidRDefault="00F203D1"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F203D1" w:rsidRPr="00214F1D" w:rsidTr="00223D39">
        <w:trPr>
          <w:trHeight w:val="425"/>
        </w:trPr>
        <w:tc>
          <w:tcPr>
            <w:tcW w:w="6835" w:type="dxa"/>
            <w:vMerge w:val="restart"/>
            <w:shd w:val="clear" w:color="auto" w:fill="FFFFCC"/>
          </w:tcPr>
          <w:p w:rsidR="00F203D1" w:rsidRDefault="00F203D1" w:rsidP="00223D39">
            <w:pPr>
              <w:rPr>
                <w:rFonts w:ascii="Open Sans" w:hAnsi="Open Sans" w:cs="Open Sans"/>
                <w:b/>
                <w:sz w:val="20"/>
                <w:szCs w:val="20"/>
              </w:rPr>
            </w:pPr>
            <w:r>
              <w:rPr>
                <w:rFonts w:ascii="Open Sans" w:hAnsi="Open Sans" w:cs="Open Sans"/>
                <w:b/>
                <w:sz w:val="20"/>
                <w:szCs w:val="20"/>
              </w:rPr>
              <w:t>Materials meet all 5 metrics in section II: Rigor</w:t>
            </w:r>
          </w:p>
          <w:p w:rsidR="00F203D1" w:rsidRDefault="00F203D1" w:rsidP="00223D39">
            <w:pPr>
              <w:rPr>
                <w:rFonts w:ascii="Open Sans" w:hAnsi="Open Sans" w:cs="Open Sans"/>
                <w:b/>
                <w:sz w:val="20"/>
                <w:szCs w:val="20"/>
              </w:rPr>
            </w:pPr>
          </w:p>
          <w:p w:rsidR="00F203D1" w:rsidRPr="00003A5D" w:rsidRDefault="00F203D1"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F203D1" w:rsidRDefault="00F203D1"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F203D1" w:rsidRDefault="00F203D1"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F203D1" w:rsidRDefault="00F203D1" w:rsidP="00223D39">
            <w:pPr>
              <w:jc w:val="center"/>
              <w:rPr>
                <w:rFonts w:ascii="Open Sans" w:hAnsi="Open Sans" w:cs="Open Sans"/>
                <w:b/>
                <w:sz w:val="20"/>
                <w:szCs w:val="20"/>
              </w:rPr>
            </w:pPr>
          </w:p>
        </w:tc>
      </w:tr>
      <w:tr w:rsidR="00F203D1" w:rsidRPr="00214F1D" w:rsidTr="00223D39">
        <w:trPr>
          <w:trHeight w:val="682"/>
        </w:trPr>
        <w:tc>
          <w:tcPr>
            <w:tcW w:w="6835" w:type="dxa"/>
            <w:vMerge/>
            <w:shd w:val="clear" w:color="auto" w:fill="FFFFCC"/>
          </w:tcPr>
          <w:p w:rsidR="00F203D1" w:rsidRDefault="00F203D1" w:rsidP="00223D39">
            <w:pPr>
              <w:rPr>
                <w:rFonts w:ascii="Open Sans" w:hAnsi="Open Sans" w:cs="Open Sans"/>
                <w:b/>
                <w:sz w:val="20"/>
                <w:szCs w:val="20"/>
              </w:rPr>
            </w:pPr>
          </w:p>
        </w:tc>
        <w:tc>
          <w:tcPr>
            <w:tcW w:w="1170" w:type="dxa"/>
            <w:shd w:val="clear" w:color="auto" w:fill="92D050"/>
          </w:tcPr>
          <w:p w:rsidR="00F203D1" w:rsidRDefault="00F203D1" w:rsidP="00223D39">
            <w:pPr>
              <w:rPr>
                <w:rFonts w:ascii="Open Sans" w:hAnsi="Open Sans" w:cs="Open Sans"/>
                <w:b/>
                <w:sz w:val="20"/>
                <w:szCs w:val="20"/>
              </w:rPr>
            </w:pPr>
          </w:p>
        </w:tc>
        <w:tc>
          <w:tcPr>
            <w:tcW w:w="1260" w:type="dxa"/>
            <w:shd w:val="clear" w:color="auto" w:fill="FF0000"/>
          </w:tcPr>
          <w:p w:rsidR="00F203D1" w:rsidRDefault="00F203D1" w:rsidP="00223D39">
            <w:pPr>
              <w:rPr>
                <w:rFonts w:ascii="Open Sans" w:hAnsi="Open Sans" w:cs="Open Sans"/>
                <w:b/>
                <w:sz w:val="20"/>
                <w:szCs w:val="20"/>
              </w:rPr>
            </w:pPr>
          </w:p>
        </w:tc>
        <w:tc>
          <w:tcPr>
            <w:tcW w:w="4637" w:type="dxa"/>
            <w:vMerge/>
            <w:shd w:val="clear" w:color="auto" w:fill="FFFFCC"/>
          </w:tcPr>
          <w:p w:rsidR="00F203D1" w:rsidRDefault="00F203D1" w:rsidP="00223D39">
            <w:pPr>
              <w:rPr>
                <w:rFonts w:ascii="Open Sans" w:hAnsi="Open Sans" w:cs="Open Sans"/>
                <w:b/>
                <w:sz w:val="20"/>
                <w:szCs w:val="20"/>
              </w:rPr>
            </w:pPr>
          </w:p>
        </w:tc>
      </w:tr>
    </w:tbl>
    <w:p w:rsidR="00F203D1" w:rsidRPr="00214F1D" w:rsidRDefault="00F203D1" w:rsidP="00F203D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F203D1" w:rsidRPr="00214F1D" w:rsidTr="00223D39">
        <w:trPr>
          <w:trHeight w:val="267"/>
        </w:trPr>
        <w:tc>
          <w:tcPr>
            <w:tcW w:w="13860" w:type="dxa"/>
            <w:gridSpan w:val="4"/>
            <w:shd w:val="clear" w:color="auto" w:fill="CC66FF"/>
          </w:tcPr>
          <w:p w:rsidR="00F203D1" w:rsidRPr="00AF7A17" w:rsidRDefault="00F203D1" w:rsidP="00223D39">
            <w:pPr>
              <w:jc w:val="center"/>
              <w:rPr>
                <w:rFonts w:ascii="Open Sans" w:hAnsi="Open Sans" w:cs="Open Sans"/>
                <w:b/>
                <w:sz w:val="28"/>
                <w:szCs w:val="28"/>
              </w:rPr>
            </w:pPr>
            <w:r w:rsidRPr="00AF7A17">
              <w:rPr>
                <w:rFonts w:ascii="Open Sans" w:hAnsi="Open Sans" w:cs="Open Sans"/>
                <w:b/>
                <w:sz w:val="28"/>
                <w:szCs w:val="28"/>
              </w:rPr>
              <w:t>SECTION III</w:t>
            </w:r>
          </w:p>
          <w:p w:rsidR="00F203D1" w:rsidRPr="00AF7A17" w:rsidRDefault="00F203D1"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F203D1" w:rsidRPr="0073274E" w:rsidRDefault="00F203D1"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F203D1" w:rsidRPr="00214F1D" w:rsidTr="00223D39">
        <w:trPr>
          <w:trHeight w:val="323"/>
        </w:trPr>
        <w:tc>
          <w:tcPr>
            <w:tcW w:w="13860" w:type="dxa"/>
            <w:gridSpan w:val="4"/>
            <w:shd w:val="clear" w:color="auto" w:fill="CC66FF"/>
          </w:tcPr>
          <w:p w:rsidR="00F203D1" w:rsidRPr="00214F1D" w:rsidRDefault="00F203D1" w:rsidP="00223D39">
            <w:pPr>
              <w:rPr>
                <w:rFonts w:ascii="Open Sans" w:hAnsi="Open Sans" w:cs="Open Sans"/>
                <w:b/>
                <w:sz w:val="20"/>
                <w:szCs w:val="20"/>
              </w:rPr>
            </w:pPr>
            <w:r w:rsidRPr="00214F1D">
              <w:rPr>
                <w:rFonts w:ascii="Open Sans" w:hAnsi="Open Sans" w:cs="Open Sans"/>
                <w:b/>
                <w:sz w:val="20"/>
                <w:szCs w:val="20"/>
              </w:rPr>
              <w:t>METRICS:</w:t>
            </w:r>
          </w:p>
        </w:tc>
      </w:tr>
      <w:tr w:rsidR="00F203D1"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F203D1" w:rsidRPr="00214F1D" w:rsidTr="00223D39">
              <w:trPr>
                <w:trHeight w:val="800"/>
              </w:trPr>
              <w:tc>
                <w:tcPr>
                  <w:tcW w:w="2507" w:type="pct"/>
                  <w:shd w:val="clear" w:color="auto" w:fill="CCC0D9" w:themeFill="accent4" w:themeFillTint="66"/>
                  <w:vAlign w:val="center"/>
                </w:tcPr>
                <w:p w:rsidR="00F203D1" w:rsidRPr="00214F1D" w:rsidRDefault="00F203D1"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F203D1" w:rsidRPr="00214F1D" w:rsidRDefault="00F203D1"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F203D1" w:rsidRDefault="00F203D1"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F203D1" w:rsidRPr="00214F1D" w:rsidRDefault="00F203D1" w:rsidP="00223D39">
                  <w:pPr>
                    <w:jc w:val="center"/>
                    <w:rPr>
                      <w:rFonts w:ascii="Open Sans" w:hAnsi="Open Sans" w:cs="Open Sans"/>
                      <w:b/>
                      <w:sz w:val="20"/>
                      <w:szCs w:val="20"/>
                    </w:rPr>
                  </w:pPr>
                  <w:r>
                    <w:rPr>
                      <w:rFonts w:ascii="Open Sans" w:hAnsi="Open Sans" w:cs="Open Sans"/>
                      <w:b/>
                      <w:sz w:val="20"/>
                      <w:szCs w:val="20"/>
                    </w:rPr>
                    <w:t>Evidence/Notes</w:t>
                  </w:r>
                </w:p>
              </w:tc>
            </w:tr>
            <w:tr w:rsidR="00F203D1" w:rsidRPr="00214F1D" w:rsidTr="00223D39">
              <w:trPr>
                <w:trHeight w:val="800"/>
              </w:trPr>
              <w:tc>
                <w:tcPr>
                  <w:tcW w:w="2507" w:type="pct"/>
                  <w:shd w:val="clear" w:color="auto" w:fill="CCC0D9" w:themeFill="accent4" w:themeFillTint="66"/>
                  <w:vAlign w:val="center"/>
                </w:tcPr>
                <w:p w:rsidR="00F203D1" w:rsidRPr="00214F1D" w:rsidRDefault="00F203D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F203D1" w:rsidRPr="00214F1D" w:rsidRDefault="00F203D1" w:rsidP="00223D39">
                  <w:pPr>
                    <w:jc w:val="center"/>
                    <w:rPr>
                      <w:rFonts w:ascii="Open Sans" w:hAnsi="Open Sans" w:cs="Open Sans"/>
                      <w:b/>
                      <w:sz w:val="20"/>
                      <w:szCs w:val="20"/>
                    </w:rPr>
                  </w:pPr>
                </w:p>
              </w:tc>
              <w:tc>
                <w:tcPr>
                  <w:tcW w:w="363"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c>
                <w:tcPr>
                  <w:tcW w:w="1767"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r>
            <w:tr w:rsidR="00F203D1" w:rsidRPr="00214F1D" w:rsidTr="00223D39">
              <w:trPr>
                <w:trHeight w:val="962"/>
              </w:trPr>
              <w:tc>
                <w:tcPr>
                  <w:tcW w:w="2507" w:type="pct"/>
                  <w:shd w:val="clear" w:color="auto" w:fill="CCC0D9" w:themeFill="accent4" w:themeFillTint="66"/>
                  <w:vAlign w:val="center"/>
                </w:tcPr>
                <w:p w:rsidR="00F203D1" w:rsidRPr="00214F1D" w:rsidRDefault="00F203D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F203D1" w:rsidRPr="00214F1D" w:rsidRDefault="00F203D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c>
                <w:tcPr>
                  <w:tcW w:w="1767"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r>
            <w:tr w:rsidR="00F203D1" w:rsidRPr="00214F1D" w:rsidTr="00223D39">
              <w:trPr>
                <w:trHeight w:val="962"/>
              </w:trPr>
              <w:tc>
                <w:tcPr>
                  <w:tcW w:w="2507" w:type="pct"/>
                  <w:shd w:val="clear" w:color="auto" w:fill="CCC0D9" w:themeFill="accent4" w:themeFillTint="66"/>
                  <w:vAlign w:val="center"/>
                </w:tcPr>
                <w:p w:rsidR="00F203D1" w:rsidRPr="00214F1D" w:rsidRDefault="00F203D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F203D1" w:rsidRPr="00214F1D" w:rsidRDefault="00F203D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c>
                <w:tcPr>
                  <w:tcW w:w="1767"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r>
            <w:tr w:rsidR="00F203D1" w:rsidRPr="00214F1D" w:rsidTr="00223D39">
              <w:trPr>
                <w:trHeight w:val="962"/>
              </w:trPr>
              <w:tc>
                <w:tcPr>
                  <w:tcW w:w="2507" w:type="pct"/>
                  <w:shd w:val="clear" w:color="auto" w:fill="CCC0D9" w:themeFill="accent4" w:themeFillTint="66"/>
                  <w:vAlign w:val="center"/>
                </w:tcPr>
                <w:p w:rsidR="00F203D1" w:rsidRPr="00214F1D" w:rsidRDefault="00F203D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F203D1" w:rsidRPr="00214F1D" w:rsidRDefault="00F203D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c>
                <w:tcPr>
                  <w:tcW w:w="1767" w:type="pct"/>
                  <w:shd w:val="clear" w:color="auto" w:fill="CCC0D9" w:themeFill="accent4" w:themeFillTint="66"/>
                </w:tcPr>
                <w:p w:rsidR="00F203D1" w:rsidRPr="00214F1D" w:rsidRDefault="00F203D1" w:rsidP="00223D39">
                  <w:pPr>
                    <w:jc w:val="center"/>
                    <w:rPr>
                      <w:rFonts w:ascii="Open Sans" w:hAnsi="Open Sans" w:cs="Open Sans"/>
                      <w:b/>
                      <w:sz w:val="20"/>
                      <w:szCs w:val="20"/>
                    </w:rPr>
                  </w:pPr>
                </w:p>
              </w:tc>
            </w:tr>
          </w:tbl>
          <w:p w:rsidR="00F203D1" w:rsidRPr="00214F1D" w:rsidRDefault="00F203D1" w:rsidP="00223D39">
            <w:pPr>
              <w:rPr>
                <w:rFonts w:ascii="Open Sans" w:hAnsi="Open Sans" w:cs="Open Sans"/>
                <w:sz w:val="20"/>
                <w:szCs w:val="20"/>
              </w:rPr>
            </w:pPr>
          </w:p>
        </w:tc>
      </w:tr>
      <w:tr w:rsidR="00F203D1" w:rsidRPr="00214F1D" w:rsidTr="00223D39">
        <w:trPr>
          <w:trHeight w:val="620"/>
        </w:trPr>
        <w:tc>
          <w:tcPr>
            <w:tcW w:w="13860" w:type="dxa"/>
            <w:gridSpan w:val="4"/>
            <w:shd w:val="clear" w:color="auto" w:fill="CCC0D9" w:themeFill="accent4" w:themeFillTint="66"/>
          </w:tcPr>
          <w:p w:rsidR="00F203D1" w:rsidRDefault="00F203D1"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F203D1" w:rsidRDefault="00F203D1" w:rsidP="00223D39">
            <w:pPr>
              <w:keepNext/>
              <w:outlineLvl w:val="4"/>
              <w:rPr>
                <w:rFonts w:ascii="Open Sans" w:hAnsi="Open Sans" w:cs="Open Sans"/>
                <w:b/>
                <w:sz w:val="20"/>
                <w:szCs w:val="20"/>
              </w:rPr>
            </w:pPr>
          </w:p>
          <w:p w:rsidR="00F203D1" w:rsidRDefault="00F203D1" w:rsidP="00223D39">
            <w:pPr>
              <w:keepNext/>
              <w:outlineLvl w:val="4"/>
              <w:rPr>
                <w:rFonts w:ascii="Open Sans" w:hAnsi="Open Sans" w:cs="Open Sans"/>
                <w:b/>
                <w:sz w:val="20"/>
                <w:szCs w:val="20"/>
              </w:rPr>
            </w:pPr>
          </w:p>
          <w:p w:rsidR="00F203D1" w:rsidRPr="00214F1D" w:rsidRDefault="00F203D1" w:rsidP="00223D39">
            <w:pPr>
              <w:keepNext/>
              <w:outlineLvl w:val="4"/>
              <w:rPr>
                <w:rFonts w:ascii="Open Sans" w:hAnsi="Open Sans" w:cs="Open Sans"/>
                <w:b/>
                <w:sz w:val="20"/>
                <w:szCs w:val="20"/>
              </w:rPr>
            </w:pPr>
          </w:p>
        </w:tc>
      </w:tr>
      <w:tr w:rsidR="00F203D1" w:rsidRPr="00214F1D" w:rsidTr="00223D39">
        <w:trPr>
          <w:trHeight w:val="332"/>
        </w:trPr>
        <w:tc>
          <w:tcPr>
            <w:tcW w:w="6907" w:type="dxa"/>
            <w:vMerge w:val="restart"/>
            <w:shd w:val="clear" w:color="auto" w:fill="CCC0D9" w:themeFill="accent4" w:themeFillTint="66"/>
          </w:tcPr>
          <w:p w:rsidR="00F203D1" w:rsidRDefault="00F203D1"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F203D1" w:rsidRDefault="00F203D1" w:rsidP="00223D39">
            <w:pPr>
              <w:keepNext/>
              <w:outlineLvl w:val="4"/>
              <w:rPr>
                <w:rFonts w:ascii="Open Sans" w:hAnsi="Open Sans" w:cs="Open Sans"/>
                <w:b/>
                <w:sz w:val="20"/>
                <w:szCs w:val="20"/>
              </w:rPr>
            </w:pPr>
          </w:p>
          <w:p w:rsidR="00F203D1" w:rsidRPr="00214F1D" w:rsidRDefault="00F203D1"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F203D1" w:rsidRPr="00214F1D" w:rsidRDefault="00F203D1"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F203D1" w:rsidRPr="00214F1D" w:rsidRDefault="00F203D1"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F203D1" w:rsidRPr="00214F1D" w:rsidRDefault="00F203D1" w:rsidP="00223D39">
            <w:pPr>
              <w:keepNext/>
              <w:outlineLvl w:val="4"/>
              <w:rPr>
                <w:rFonts w:ascii="Open Sans" w:hAnsi="Open Sans" w:cs="Open Sans"/>
                <w:b/>
                <w:sz w:val="20"/>
                <w:szCs w:val="20"/>
              </w:rPr>
            </w:pPr>
          </w:p>
        </w:tc>
      </w:tr>
      <w:tr w:rsidR="00F203D1" w:rsidRPr="00214F1D" w:rsidTr="00223D39">
        <w:trPr>
          <w:trHeight w:val="405"/>
        </w:trPr>
        <w:tc>
          <w:tcPr>
            <w:tcW w:w="6907" w:type="dxa"/>
            <w:vMerge/>
            <w:shd w:val="clear" w:color="auto" w:fill="CCC0D9" w:themeFill="accent4" w:themeFillTint="66"/>
          </w:tcPr>
          <w:p w:rsidR="00F203D1" w:rsidRDefault="00F203D1" w:rsidP="00223D39">
            <w:pPr>
              <w:keepNext/>
              <w:outlineLvl w:val="4"/>
              <w:rPr>
                <w:rFonts w:ascii="Open Sans" w:hAnsi="Open Sans" w:cs="Open Sans"/>
                <w:b/>
                <w:sz w:val="20"/>
                <w:szCs w:val="20"/>
              </w:rPr>
            </w:pPr>
          </w:p>
        </w:tc>
        <w:tc>
          <w:tcPr>
            <w:tcW w:w="1080" w:type="dxa"/>
            <w:shd w:val="clear" w:color="auto" w:fill="92D050"/>
          </w:tcPr>
          <w:p w:rsidR="00F203D1" w:rsidRPr="00214F1D" w:rsidRDefault="00F203D1" w:rsidP="00223D39">
            <w:pPr>
              <w:keepNext/>
              <w:outlineLvl w:val="4"/>
              <w:rPr>
                <w:rFonts w:ascii="Open Sans" w:hAnsi="Open Sans" w:cs="Open Sans"/>
                <w:b/>
                <w:sz w:val="20"/>
                <w:szCs w:val="20"/>
              </w:rPr>
            </w:pPr>
          </w:p>
        </w:tc>
        <w:tc>
          <w:tcPr>
            <w:tcW w:w="900" w:type="dxa"/>
            <w:shd w:val="clear" w:color="auto" w:fill="FF0000"/>
          </w:tcPr>
          <w:p w:rsidR="00F203D1" w:rsidRPr="00214F1D" w:rsidRDefault="00F203D1"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F203D1" w:rsidRPr="00214F1D" w:rsidRDefault="00F203D1" w:rsidP="00223D39">
            <w:pPr>
              <w:keepNext/>
              <w:outlineLvl w:val="4"/>
              <w:rPr>
                <w:rFonts w:ascii="Open Sans" w:hAnsi="Open Sans" w:cs="Open Sans"/>
                <w:b/>
                <w:sz w:val="20"/>
                <w:szCs w:val="20"/>
              </w:rPr>
            </w:pPr>
          </w:p>
        </w:tc>
      </w:tr>
    </w:tbl>
    <w:p w:rsidR="00F203D1" w:rsidRPr="00214F1D" w:rsidRDefault="00F203D1" w:rsidP="00F203D1">
      <w:pPr>
        <w:spacing w:after="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Default="00F203D1" w:rsidP="00F203D1">
      <w:pPr>
        <w:spacing w:after="0"/>
        <w:ind w:left="720"/>
        <w:contextualSpacing/>
        <w:rPr>
          <w:rFonts w:ascii="Open Sans" w:hAnsi="Open Sans" w:cs="Open Sans"/>
          <w:sz w:val="20"/>
          <w:szCs w:val="20"/>
        </w:rPr>
      </w:pPr>
    </w:p>
    <w:p w:rsidR="00F203D1" w:rsidRPr="00214F1D" w:rsidRDefault="00F203D1" w:rsidP="00F203D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F203D1" w:rsidRPr="00214F1D" w:rsidTr="00223D39">
        <w:trPr>
          <w:trHeight w:val="890"/>
        </w:trPr>
        <w:tc>
          <w:tcPr>
            <w:tcW w:w="13860" w:type="dxa"/>
            <w:shd w:val="clear" w:color="auto" w:fill="F2F2F2" w:themeFill="background1" w:themeFillShade="F2"/>
            <w:vAlign w:val="center"/>
          </w:tcPr>
          <w:p w:rsidR="00F203D1" w:rsidRDefault="00F203D1" w:rsidP="00223D39">
            <w:pPr>
              <w:rPr>
                <w:rFonts w:ascii="Open Sans" w:eastAsia="Times New Roman" w:hAnsi="Open Sans" w:cs="Open Sans"/>
                <w:b/>
                <w:sz w:val="20"/>
                <w:szCs w:val="20"/>
              </w:rPr>
            </w:pPr>
          </w:p>
          <w:p w:rsidR="00F203D1" w:rsidRPr="00AF7A17" w:rsidRDefault="00F203D1"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F203D1" w:rsidRPr="00214F1D" w:rsidRDefault="00F203D1"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F203D1" w:rsidRPr="00214F1D" w:rsidTr="00223D39">
        <w:trPr>
          <w:trHeight w:val="1457"/>
        </w:trPr>
        <w:tc>
          <w:tcPr>
            <w:tcW w:w="13860" w:type="dxa"/>
          </w:tcPr>
          <w:p w:rsidR="00F203D1" w:rsidRPr="00214F1D" w:rsidRDefault="00F203D1" w:rsidP="00223D39">
            <w:pPr>
              <w:contextualSpacing/>
              <w:rPr>
                <w:rFonts w:ascii="Open Sans" w:hAnsi="Open Sans" w:cs="Open Sans"/>
                <w:sz w:val="20"/>
                <w:szCs w:val="20"/>
              </w:rPr>
            </w:pPr>
          </w:p>
          <w:p w:rsidR="00F203D1" w:rsidRPr="00214F1D" w:rsidRDefault="00F203D1"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F203D1" w:rsidRPr="00AF7A17" w:rsidRDefault="00F203D1"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F203D1" w:rsidRPr="00214F1D" w:rsidRDefault="00F203D1" w:rsidP="00223D39">
            <w:pPr>
              <w:contextualSpacing/>
              <w:rPr>
                <w:rFonts w:ascii="Open Sans" w:hAnsi="Open Sans" w:cs="Open Sans"/>
                <w:sz w:val="20"/>
                <w:szCs w:val="20"/>
              </w:rPr>
            </w:pPr>
          </w:p>
        </w:tc>
      </w:tr>
    </w:tbl>
    <w:p w:rsidR="00F203D1" w:rsidRPr="00214F1D" w:rsidRDefault="00F203D1" w:rsidP="00F203D1">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203D1" w:rsidRPr="00214F1D" w:rsidTr="00223D39">
        <w:tc>
          <w:tcPr>
            <w:tcW w:w="7290" w:type="dxa"/>
            <w:shd w:val="clear" w:color="auto" w:fill="F2F2F2" w:themeFill="background1" w:themeFillShade="F2"/>
            <w:vAlign w:val="center"/>
          </w:tcPr>
          <w:p w:rsidR="00F203D1" w:rsidRPr="00214F1D" w:rsidRDefault="00F203D1"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203D1" w:rsidRPr="00214F1D" w:rsidTr="00223D39">
        <w:trPr>
          <w:trHeight w:val="1403"/>
        </w:trPr>
        <w:tc>
          <w:tcPr>
            <w:tcW w:w="7290" w:type="dxa"/>
            <w:vAlign w:val="center"/>
          </w:tcPr>
          <w:p w:rsidR="00F203D1" w:rsidRPr="00214F1D" w:rsidRDefault="00F203D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700"/>
        </w:trPr>
        <w:tc>
          <w:tcPr>
            <w:tcW w:w="7290" w:type="dxa"/>
            <w:vAlign w:val="center"/>
          </w:tcPr>
          <w:p w:rsidR="00F203D1" w:rsidRPr="00214F1D" w:rsidRDefault="00F203D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203D1" w:rsidRPr="00214F1D" w:rsidRDefault="00F203D1" w:rsidP="00223D39">
            <w:pPr>
              <w:contextualSpacing/>
              <w:rPr>
                <w:rFonts w:ascii="Open Sans" w:hAnsi="Open Sans" w:cs="Open Sans"/>
                <w:sz w:val="20"/>
                <w:szCs w:val="20"/>
              </w:rPr>
            </w:pPr>
          </w:p>
        </w:tc>
      </w:tr>
      <w:tr w:rsidR="00F203D1" w:rsidRPr="00214F1D" w:rsidTr="00223D39">
        <w:trPr>
          <w:trHeight w:val="1520"/>
        </w:trPr>
        <w:tc>
          <w:tcPr>
            <w:tcW w:w="7290" w:type="dxa"/>
            <w:vAlign w:val="center"/>
          </w:tcPr>
          <w:p w:rsidR="00F203D1" w:rsidRPr="00214F1D" w:rsidRDefault="00F203D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203D1" w:rsidRPr="00214F1D" w:rsidRDefault="00F203D1" w:rsidP="00223D39">
            <w:pPr>
              <w:contextualSpacing/>
              <w:rPr>
                <w:rFonts w:ascii="Open Sans" w:hAnsi="Open Sans" w:cs="Open Sans"/>
                <w:sz w:val="20"/>
                <w:szCs w:val="20"/>
              </w:rPr>
            </w:pPr>
          </w:p>
        </w:tc>
      </w:tr>
    </w:tbl>
    <w:p w:rsidR="00F203D1" w:rsidRDefault="00F203D1" w:rsidP="00F203D1">
      <w:pPr>
        <w:spacing w:after="0" w:line="240" w:lineRule="auto"/>
        <w:rPr>
          <w:rFonts w:ascii="Open Sans" w:hAnsi="Open Sans" w:cs="Open Sans"/>
          <w:sz w:val="20"/>
          <w:szCs w:val="20"/>
        </w:rPr>
      </w:pPr>
    </w:p>
    <w:p w:rsidR="00F203D1" w:rsidRDefault="00F203D1" w:rsidP="00F203D1">
      <w:pPr>
        <w:spacing w:after="0" w:line="240" w:lineRule="auto"/>
        <w:rPr>
          <w:rFonts w:ascii="Open Sans" w:hAnsi="Open Sans" w:cs="Open Sans"/>
          <w:sz w:val="20"/>
          <w:szCs w:val="20"/>
        </w:rPr>
      </w:pPr>
    </w:p>
    <w:p w:rsidR="00F203D1" w:rsidRPr="00214F1D" w:rsidRDefault="00F203D1" w:rsidP="00F203D1">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203D1" w:rsidRPr="00214F1D" w:rsidTr="00223D39">
        <w:trPr>
          <w:trHeight w:val="350"/>
        </w:trPr>
        <w:tc>
          <w:tcPr>
            <w:tcW w:w="7290" w:type="dxa"/>
            <w:shd w:val="clear" w:color="auto" w:fill="F2F2F2" w:themeFill="background1" w:themeFillShade="F2"/>
            <w:vAlign w:val="center"/>
          </w:tcPr>
          <w:p w:rsidR="00F203D1" w:rsidRPr="00214F1D" w:rsidRDefault="00F203D1"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203D1" w:rsidRPr="00214F1D" w:rsidTr="00223D39">
        <w:trPr>
          <w:trHeight w:val="1187"/>
        </w:trPr>
        <w:tc>
          <w:tcPr>
            <w:tcW w:w="7290" w:type="dxa"/>
            <w:vAlign w:val="center"/>
          </w:tcPr>
          <w:p w:rsidR="00F203D1" w:rsidRPr="00214F1D" w:rsidRDefault="00F203D1"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250"/>
        </w:trPr>
        <w:tc>
          <w:tcPr>
            <w:tcW w:w="7290" w:type="dxa"/>
            <w:vAlign w:val="center"/>
          </w:tcPr>
          <w:p w:rsidR="00F203D1" w:rsidRPr="00214F1D" w:rsidRDefault="00F203D1"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203D1" w:rsidRPr="00214F1D" w:rsidRDefault="00F203D1" w:rsidP="00223D39">
            <w:pPr>
              <w:contextualSpacing/>
              <w:rPr>
                <w:rFonts w:ascii="Open Sans" w:hAnsi="Open Sans" w:cs="Open Sans"/>
                <w:sz w:val="20"/>
                <w:szCs w:val="20"/>
              </w:rPr>
            </w:pPr>
          </w:p>
        </w:tc>
      </w:tr>
      <w:tr w:rsidR="00F203D1" w:rsidRPr="00214F1D" w:rsidTr="00223D39">
        <w:trPr>
          <w:trHeight w:val="1781"/>
        </w:trPr>
        <w:tc>
          <w:tcPr>
            <w:tcW w:w="7290" w:type="dxa"/>
            <w:vAlign w:val="center"/>
          </w:tcPr>
          <w:p w:rsidR="00F203D1" w:rsidRPr="00214F1D" w:rsidRDefault="00F203D1"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203D1" w:rsidRPr="00214F1D" w:rsidRDefault="00F203D1" w:rsidP="00223D39">
            <w:pPr>
              <w:contextualSpacing/>
              <w:rPr>
                <w:rFonts w:ascii="Open Sans" w:hAnsi="Open Sans" w:cs="Open Sans"/>
                <w:sz w:val="20"/>
                <w:szCs w:val="20"/>
              </w:rPr>
            </w:pPr>
          </w:p>
        </w:tc>
      </w:tr>
    </w:tbl>
    <w:p w:rsidR="00F203D1" w:rsidRPr="00214F1D" w:rsidRDefault="00F203D1" w:rsidP="00F203D1">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203D1" w:rsidRPr="00214F1D" w:rsidTr="00223D39">
        <w:trPr>
          <w:trHeight w:val="395"/>
        </w:trPr>
        <w:tc>
          <w:tcPr>
            <w:tcW w:w="7290" w:type="dxa"/>
            <w:shd w:val="clear" w:color="auto" w:fill="F2F2F2" w:themeFill="background1" w:themeFillShade="F2"/>
            <w:vAlign w:val="center"/>
          </w:tcPr>
          <w:p w:rsidR="00F203D1" w:rsidRPr="00214F1D" w:rsidRDefault="00F203D1"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203D1" w:rsidRPr="00214F1D" w:rsidTr="00223D39">
        <w:trPr>
          <w:trHeight w:val="1160"/>
        </w:trPr>
        <w:tc>
          <w:tcPr>
            <w:tcW w:w="7290" w:type="dxa"/>
            <w:vAlign w:val="center"/>
          </w:tcPr>
          <w:p w:rsidR="00F203D1" w:rsidRPr="00214F1D" w:rsidRDefault="00F203D1"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376"/>
        </w:trPr>
        <w:tc>
          <w:tcPr>
            <w:tcW w:w="7290" w:type="dxa"/>
            <w:vAlign w:val="center"/>
          </w:tcPr>
          <w:p w:rsidR="00F203D1" w:rsidRPr="00214F1D" w:rsidRDefault="00F203D1"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376"/>
        </w:trPr>
        <w:tc>
          <w:tcPr>
            <w:tcW w:w="7290" w:type="dxa"/>
            <w:vAlign w:val="center"/>
          </w:tcPr>
          <w:p w:rsidR="00F203D1" w:rsidRPr="00214F1D" w:rsidRDefault="00F203D1"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680" w:type="dxa"/>
          </w:tcPr>
          <w:p w:rsidR="00F203D1" w:rsidRPr="00214F1D" w:rsidRDefault="00F203D1" w:rsidP="00223D39">
            <w:pPr>
              <w:contextualSpacing/>
              <w:rPr>
                <w:rFonts w:ascii="Open Sans" w:hAnsi="Open Sans" w:cs="Open Sans"/>
                <w:sz w:val="20"/>
                <w:szCs w:val="20"/>
              </w:rPr>
            </w:pPr>
          </w:p>
        </w:tc>
      </w:tr>
    </w:tbl>
    <w:p w:rsidR="00F203D1" w:rsidRPr="00214F1D" w:rsidRDefault="00F203D1" w:rsidP="00F203D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F203D1" w:rsidRPr="00214F1D" w:rsidTr="00223D39">
        <w:trPr>
          <w:trHeight w:val="395"/>
        </w:trPr>
        <w:tc>
          <w:tcPr>
            <w:tcW w:w="7290" w:type="dxa"/>
            <w:shd w:val="clear" w:color="auto" w:fill="F2F2F2" w:themeFill="background1" w:themeFillShade="F2"/>
            <w:vAlign w:val="center"/>
          </w:tcPr>
          <w:p w:rsidR="00F203D1" w:rsidRPr="00214F1D" w:rsidRDefault="00F203D1"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203D1" w:rsidRPr="00214F1D" w:rsidTr="00223D39">
        <w:trPr>
          <w:trHeight w:val="1367"/>
        </w:trPr>
        <w:tc>
          <w:tcPr>
            <w:tcW w:w="7290" w:type="dxa"/>
            <w:vAlign w:val="center"/>
          </w:tcPr>
          <w:p w:rsidR="00F203D1" w:rsidRPr="00214F1D" w:rsidRDefault="00F203D1"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115"/>
        </w:trPr>
        <w:tc>
          <w:tcPr>
            <w:tcW w:w="7290" w:type="dxa"/>
            <w:vAlign w:val="center"/>
          </w:tcPr>
          <w:p w:rsidR="00F203D1" w:rsidRPr="00214F1D" w:rsidRDefault="00F203D1"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376"/>
        </w:trPr>
        <w:tc>
          <w:tcPr>
            <w:tcW w:w="7290" w:type="dxa"/>
            <w:vAlign w:val="center"/>
          </w:tcPr>
          <w:p w:rsidR="00F203D1" w:rsidRPr="00214F1D" w:rsidRDefault="00F203D1"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376"/>
        </w:trPr>
        <w:tc>
          <w:tcPr>
            <w:tcW w:w="7290" w:type="dxa"/>
            <w:vAlign w:val="center"/>
          </w:tcPr>
          <w:p w:rsidR="00F203D1" w:rsidRPr="00214F1D" w:rsidRDefault="00F203D1"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bl>
    <w:p w:rsidR="00F203D1" w:rsidRDefault="00F203D1" w:rsidP="00F203D1">
      <w:pPr>
        <w:spacing w:after="0"/>
        <w:rPr>
          <w:rFonts w:ascii="Open Sans" w:hAnsi="Open Sans" w:cs="Open Sans"/>
          <w:sz w:val="20"/>
          <w:szCs w:val="20"/>
        </w:rPr>
      </w:pPr>
    </w:p>
    <w:p w:rsidR="00F203D1" w:rsidRDefault="00F203D1" w:rsidP="00F203D1">
      <w:pPr>
        <w:spacing w:after="0"/>
        <w:rPr>
          <w:rFonts w:ascii="Open Sans" w:hAnsi="Open Sans" w:cs="Open Sans"/>
          <w:sz w:val="20"/>
          <w:szCs w:val="20"/>
        </w:rPr>
      </w:pPr>
    </w:p>
    <w:p w:rsidR="00F203D1" w:rsidRDefault="00F203D1" w:rsidP="00F203D1">
      <w:pPr>
        <w:spacing w:after="0"/>
        <w:rPr>
          <w:rFonts w:ascii="Open Sans" w:hAnsi="Open Sans" w:cs="Open Sans"/>
          <w:sz w:val="20"/>
          <w:szCs w:val="20"/>
        </w:rPr>
      </w:pPr>
    </w:p>
    <w:p w:rsidR="00F203D1" w:rsidRDefault="00F203D1" w:rsidP="00F203D1">
      <w:pPr>
        <w:spacing w:after="0"/>
        <w:rPr>
          <w:rFonts w:ascii="Open Sans" w:hAnsi="Open Sans" w:cs="Open Sans"/>
          <w:sz w:val="20"/>
          <w:szCs w:val="20"/>
        </w:rPr>
      </w:pPr>
    </w:p>
    <w:p w:rsidR="00F203D1" w:rsidRPr="00214F1D" w:rsidRDefault="00F203D1" w:rsidP="00F203D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F203D1" w:rsidRPr="00214F1D" w:rsidTr="00223D39">
        <w:trPr>
          <w:trHeight w:val="395"/>
        </w:trPr>
        <w:tc>
          <w:tcPr>
            <w:tcW w:w="7290" w:type="dxa"/>
            <w:shd w:val="clear" w:color="auto" w:fill="F2F2F2" w:themeFill="background1" w:themeFillShade="F2"/>
            <w:vAlign w:val="center"/>
          </w:tcPr>
          <w:p w:rsidR="00F203D1" w:rsidRPr="00214F1D" w:rsidRDefault="00F203D1"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203D1" w:rsidRPr="00214F1D" w:rsidTr="00223D39">
        <w:trPr>
          <w:trHeight w:val="1502"/>
        </w:trPr>
        <w:tc>
          <w:tcPr>
            <w:tcW w:w="7290" w:type="dxa"/>
            <w:vAlign w:val="center"/>
          </w:tcPr>
          <w:p w:rsidR="00F203D1" w:rsidRPr="00214F1D" w:rsidRDefault="00F203D1"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115"/>
        </w:trPr>
        <w:tc>
          <w:tcPr>
            <w:tcW w:w="7290" w:type="dxa"/>
            <w:vAlign w:val="center"/>
          </w:tcPr>
          <w:p w:rsidR="00F203D1" w:rsidRPr="00214F1D" w:rsidRDefault="00F203D1"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B472F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r w:rsidR="00F203D1" w:rsidRPr="00214F1D" w:rsidTr="00223D39">
        <w:trPr>
          <w:trHeight w:val="1376"/>
        </w:trPr>
        <w:tc>
          <w:tcPr>
            <w:tcW w:w="7290" w:type="dxa"/>
            <w:vAlign w:val="center"/>
          </w:tcPr>
          <w:p w:rsidR="00F203D1" w:rsidRPr="00214F1D" w:rsidRDefault="00F203D1"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203D1" w:rsidRPr="00214F1D" w:rsidRDefault="00F203D1" w:rsidP="00223D39">
            <w:pPr>
              <w:contextualSpacing/>
              <w:jc w:val="center"/>
              <w:rPr>
                <w:rFonts w:ascii="Open Sans" w:hAnsi="Open Sans" w:cs="Open Sans"/>
                <w:sz w:val="20"/>
                <w:szCs w:val="20"/>
              </w:rPr>
            </w:pPr>
          </w:p>
        </w:tc>
        <w:tc>
          <w:tcPr>
            <w:tcW w:w="4361" w:type="dxa"/>
          </w:tcPr>
          <w:p w:rsidR="00F203D1" w:rsidRPr="00214F1D" w:rsidRDefault="00F203D1" w:rsidP="00223D39">
            <w:pPr>
              <w:contextualSpacing/>
              <w:rPr>
                <w:rFonts w:ascii="Open Sans" w:hAnsi="Open Sans" w:cs="Open Sans"/>
                <w:sz w:val="20"/>
                <w:szCs w:val="20"/>
              </w:rPr>
            </w:pPr>
          </w:p>
        </w:tc>
      </w:tr>
    </w:tbl>
    <w:p w:rsidR="00F203D1" w:rsidRPr="00214F1D" w:rsidRDefault="00F203D1" w:rsidP="00F203D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F203D1" w:rsidRPr="00214F1D" w:rsidTr="00223D39">
        <w:trPr>
          <w:trHeight w:val="395"/>
        </w:trPr>
        <w:tc>
          <w:tcPr>
            <w:tcW w:w="13631" w:type="dxa"/>
            <w:shd w:val="clear" w:color="auto" w:fill="F2F2F2" w:themeFill="background1" w:themeFillShade="F2"/>
          </w:tcPr>
          <w:p w:rsidR="00F203D1" w:rsidRPr="00807E9D" w:rsidRDefault="00F203D1"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F203D1" w:rsidRPr="00214F1D" w:rsidRDefault="00F203D1" w:rsidP="00223D39">
            <w:pPr>
              <w:rPr>
                <w:rFonts w:ascii="Open Sans" w:hAnsi="Open Sans" w:cs="Open Sans"/>
                <w:b/>
                <w:sz w:val="20"/>
                <w:szCs w:val="20"/>
              </w:rPr>
            </w:pPr>
          </w:p>
          <w:p w:rsidR="00F203D1" w:rsidRPr="00807E9D" w:rsidRDefault="00F203D1"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F203D1" w:rsidRPr="00214F1D" w:rsidTr="00223D39">
        <w:trPr>
          <w:trHeight w:val="395"/>
        </w:trPr>
        <w:tc>
          <w:tcPr>
            <w:tcW w:w="7015" w:type="dxa"/>
            <w:shd w:val="thinReverseDiagStripe" w:color="D9D9D9" w:themeColor="background1" w:themeShade="D9" w:fill="auto"/>
            <w:vAlign w:val="center"/>
          </w:tcPr>
          <w:p w:rsidR="00F203D1" w:rsidRPr="00214F1D" w:rsidRDefault="00F203D1"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F203D1" w:rsidRPr="00214F1D" w:rsidRDefault="00F203D1"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F203D1" w:rsidRPr="00214F1D" w:rsidTr="00223D39">
        <w:trPr>
          <w:trHeight w:val="1259"/>
        </w:trPr>
        <w:tc>
          <w:tcPr>
            <w:tcW w:w="7015" w:type="dxa"/>
            <w:shd w:val="thinReverseDiagStripe" w:color="D9D9D9" w:themeColor="background1" w:themeShade="D9" w:fill="auto"/>
            <w:vAlign w:val="center"/>
          </w:tcPr>
          <w:p w:rsidR="00F203D1" w:rsidRPr="00214F1D" w:rsidRDefault="00F203D1"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F203D1" w:rsidRPr="00214F1D" w:rsidRDefault="00F203D1" w:rsidP="00223D39">
            <w:pPr>
              <w:contextualSpacing/>
              <w:jc w:val="center"/>
              <w:rPr>
                <w:rFonts w:ascii="Open Sans" w:hAnsi="Open Sans" w:cs="Open Sans"/>
                <w:i/>
                <w:sz w:val="20"/>
                <w:szCs w:val="20"/>
              </w:rPr>
            </w:pPr>
          </w:p>
        </w:tc>
      </w:tr>
      <w:tr w:rsidR="00F203D1" w:rsidRPr="00214F1D" w:rsidTr="00223D39">
        <w:trPr>
          <w:trHeight w:val="1115"/>
        </w:trPr>
        <w:tc>
          <w:tcPr>
            <w:tcW w:w="7015" w:type="dxa"/>
            <w:shd w:val="thinReverseDiagStripe" w:color="D9D9D9" w:themeColor="background1" w:themeShade="D9" w:fill="auto"/>
            <w:vAlign w:val="center"/>
          </w:tcPr>
          <w:p w:rsidR="00F203D1" w:rsidRPr="00214F1D" w:rsidRDefault="00F203D1"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F203D1" w:rsidRPr="00214F1D" w:rsidRDefault="00F203D1" w:rsidP="00223D39">
            <w:pPr>
              <w:contextualSpacing/>
              <w:jc w:val="center"/>
              <w:rPr>
                <w:rFonts w:ascii="Open Sans" w:hAnsi="Open Sans" w:cs="Open Sans"/>
                <w:sz w:val="20"/>
                <w:szCs w:val="20"/>
              </w:rPr>
            </w:pPr>
          </w:p>
        </w:tc>
      </w:tr>
    </w:tbl>
    <w:p w:rsidR="00F203D1" w:rsidRDefault="00F203D1" w:rsidP="00D53761">
      <w:pPr>
        <w:spacing w:after="0" w:line="240" w:lineRule="auto"/>
        <w:rPr>
          <w:rFonts w:ascii="Open Sans" w:eastAsia="Times New Roman" w:hAnsi="Open Sans" w:cs="Open Sans"/>
          <w:sz w:val="20"/>
          <w:szCs w:val="20"/>
        </w:rPr>
      </w:pPr>
      <w:bookmarkStart w:id="0" w:name="_GoBack"/>
      <w:bookmarkEnd w:id="0"/>
    </w:p>
    <w:sectPr w:rsidR="00F203D1"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4FC" w:rsidRDefault="00E024FC" w:rsidP="00F203D1">
      <w:pPr>
        <w:spacing w:after="0" w:line="240" w:lineRule="auto"/>
      </w:pPr>
      <w:r>
        <w:separator/>
      </w:r>
    </w:p>
  </w:endnote>
  <w:endnote w:type="continuationSeparator" w:id="0">
    <w:p w:rsidR="00E024FC" w:rsidRDefault="00E024FC" w:rsidP="00F20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4FC" w:rsidRDefault="00E024FC" w:rsidP="00F203D1">
      <w:pPr>
        <w:spacing w:after="0" w:line="240" w:lineRule="auto"/>
      </w:pPr>
      <w:r>
        <w:separator/>
      </w:r>
    </w:p>
  </w:footnote>
  <w:footnote w:type="continuationSeparator" w:id="0">
    <w:p w:rsidR="00E024FC" w:rsidRDefault="00E024FC" w:rsidP="00F203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3D1" w:rsidRPr="00D53761" w:rsidRDefault="00F203D1" w:rsidP="00F203D1">
    <w:pPr>
      <w:spacing w:after="0" w:line="240" w:lineRule="auto"/>
      <w:jc w:val="center"/>
      <w:rPr>
        <w:b/>
        <w:i/>
        <w:sz w:val="28"/>
      </w:rPr>
    </w:pPr>
    <w:r>
      <w:rPr>
        <w:noProof/>
      </w:rPr>
      <w:drawing>
        <wp:anchor distT="0" distB="0" distL="114300" distR="114300" simplePos="0" relativeHeight="251659264" behindDoc="0" locked="0" layoutInCell="1" allowOverlap="1" wp14:anchorId="72D7065A" wp14:editId="3E1B9E29">
          <wp:simplePos x="0" y="0"/>
          <wp:positionH relativeFrom="column">
            <wp:posOffset>-518160</wp:posOffset>
          </wp:positionH>
          <wp:positionV relativeFrom="paragraph">
            <wp:posOffset>-148590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F203D1" w:rsidRPr="00ED0353" w:rsidRDefault="00F203D1" w:rsidP="00F203D1">
    <w:pPr>
      <w:spacing w:after="0" w:line="240" w:lineRule="auto"/>
      <w:jc w:val="center"/>
      <w:rPr>
        <w:b/>
        <w:sz w:val="28"/>
      </w:rPr>
    </w:pPr>
    <w:r w:rsidRPr="00ED0353">
      <w:rPr>
        <w:b/>
        <w:sz w:val="28"/>
      </w:rPr>
      <w:t>PRE-LAW 1</w:t>
    </w:r>
    <w:r>
      <w:rPr>
        <w:b/>
        <w:sz w:val="28"/>
      </w:rPr>
      <w:t>, 6195</w:t>
    </w:r>
  </w:p>
  <w:p w:rsidR="00F203D1" w:rsidRDefault="00F203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E1922"/>
    <w:multiLevelType w:val="hybridMultilevel"/>
    <w:tmpl w:val="CBA29132"/>
    <w:lvl w:ilvl="0" w:tplc="A01257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7706"/>
    <w:multiLevelType w:val="hybridMultilevel"/>
    <w:tmpl w:val="61F67D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F3393"/>
    <w:multiLevelType w:val="hybridMultilevel"/>
    <w:tmpl w:val="6484BA1C"/>
    <w:lvl w:ilvl="0" w:tplc="DC449724">
      <w:start w:val="1"/>
      <w:numFmt w:val="decimal"/>
      <w:lvlText w:val="%1)"/>
      <w:lvlJc w:val="left"/>
      <w:pPr>
        <w:ind w:left="720" w:hanging="360"/>
      </w:pPr>
      <w:rPr>
        <w:rFonts w:hint="default"/>
        <w:b w:val="0"/>
      </w:rPr>
    </w:lvl>
    <w:lvl w:ilvl="1" w:tplc="7F9851B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7"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8" w15:restartNumberingAfterBreak="0">
    <w:nsid w:val="225C65A8"/>
    <w:multiLevelType w:val="hybridMultilevel"/>
    <w:tmpl w:val="69C66418"/>
    <w:lvl w:ilvl="0" w:tplc="CE82E232">
      <w:start w:val="20"/>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12D15"/>
    <w:multiLevelType w:val="hybridMultilevel"/>
    <w:tmpl w:val="2B3627EA"/>
    <w:lvl w:ilvl="0" w:tplc="AA32C1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15C74"/>
    <w:multiLevelType w:val="hybridMultilevel"/>
    <w:tmpl w:val="22D009CE"/>
    <w:lvl w:ilvl="0" w:tplc="5AC0DF32">
      <w:start w:val="1"/>
      <w:numFmt w:val="decimal"/>
      <w:lvlText w:val="%1)"/>
      <w:lvlJc w:val="left"/>
      <w:pPr>
        <w:ind w:left="810"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2AD4347A"/>
    <w:multiLevelType w:val="hybridMultilevel"/>
    <w:tmpl w:val="67C0BBF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4433D"/>
    <w:multiLevelType w:val="hybridMultilevel"/>
    <w:tmpl w:val="39E69E5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042BF"/>
    <w:multiLevelType w:val="hybridMultilevel"/>
    <w:tmpl w:val="C00C245E"/>
    <w:lvl w:ilvl="0" w:tplc="9B7093C4">
      <w:start w:val="13"/>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5E2792"/>
    <w:multiLevelType w:val="hybridMultilevel"/>
    <w:tmpl w:val="62ACFFB0"/>
    <w:lvl w:ilvl="0" w:tplc="F1CE03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14841"/>
    <w:multiLevelType w:val="hybridMultilevel"/>
    <w:tmpl w:val="6FA0ABD2"/>
    <w:lvl w:ilvl="0" w:tplc="531E2A62">
      <w:start w:val="2"/>
      <w:numFmt w:val="lowerLetter"/>
      <w:lvlText w:val="%1."/>
      <w:lvlJc w:val="left"/>
      <w:pPr>
        <w:ind w:left="234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EF566E"/>
    <w:multiLevelType w:val="hybridMultilevel"/>
    <w:tmpl w:val="28000FB6"/>
    <w:lvl w:ilvl="0" w:tplc="1BA28736">
      <w:start w:val="9"/>
      <w:numFmt w:val="decimal"/>
      <w:lvlText w:val="%1)"/>
      <w:lvlJc w:val="left"/>
      <w:pPr>
        <w:ind w:left="81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7C227BFC"/>
    <w:multiLevelType w:val="hybridMultilevel"/>
    <w:tmpl w:val="257A373A"/>
    <w:lvl w:ilvl="0" w:tplc="0E08C7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6"/>
  </w:num>
  <w:num w:numId="3">
    <w:abstractNumId w:val="21"/>
  </w:num>
  <w:num w:numId="4">
    <w:abstractNumId w:val="7"/>
  </w:num>
  <w:num w:numId="5">
    <w:abstractNumId w:val="3"/>
  </w:num>
  <w:num w:numId="6">
    <w:abstractNumId w:val="23"/>
  </w:num>
  <w:num w:numId="7">
    <w:abstractNumId w:val="19"/>
  </w:num>
  <w:num w:numId="8">
    <w:abstractNumId w:val="24"/>
  </w:num>
  <w:num w:numId="9">
    <w:abstractNumId w:val="25"/>
  </w:num>
  <w:num w:numId="10">
    <w:abstractNumId w:val="10"/>
  </w:num>
  <w:num w:numId="11">
    <w:abstractNumId w:val="14"/>
  </w:num>
  <w:num w:numId="12">
    <w:abstractNumId w:val="4"/>
  </w:num>
  <w:num w:numId="13">
    <w:abstractNumId w:val="9"/>
  </w:num>
  <w:num w:numId="14">
    <w:abstractNumId w:val="2"/>
  </w:num>
  <w:num w:numId="15">
    <w:abstractNumId w:val="11"/>
  </w:num>
  <w:num w:numId="16">
    <w:abstractNumId w:val="13"/>
  </w:num>
  <w:num w:numId="17">
    <w:abstractNumId w:val="26"/>
  </w:num>
  <w:num w:numId="18">
    <w:abstractNumId w:val="15"/>
  </w:num>
  <w:num w:numId="19">
    <w:abstractNumId w:val="5"/>
  </w:num>
  <w:num w:numId="20">
    <w:abstractNumId w:val="1"/>
  </w:num>
  <w:num w:numId="21">
    <w:abstractNumId w:val="18"/>
  </w:num>
  <w:num w:numId="22">
    <w:abstractNumId w:val="17"/>
  </w:num>
  <w:num w:numId="23">
    <w:abstractNumId w:val="0"/>
  </w:num>
  <w:num w:numId="24">
    <w:abstractNumId w:val="12"/>
  </w:num>
  <w:num w:numId="25">
    <w:abstractNumId w:val="20"/>
  </w:num>
  <w:num w:numId="26">
    <w:abstractNumId w:val="1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19D"/>
    <w:rsid w:val="00072127"/>
    <w:rsid w:val="00075263"/>
    <w:rsid w:val="00081B71"/>
    <w:rsid w:val="000845EB"/>
    <w:rsid w:val="000E3170"/>
    <w:rsid w:val="00115038"/>
    <w:rsid w:val="0011573F"/>
    <w:rsid w:val="00124855"/>
    <w:rsid w:val="001602D8"/>
    <w:rsid w:val="001A0833"/>
    <w:rsid w:val="001B02DE"/>
    <w:rsid w:val="001B5E52"/>
    <w:rsid w:val="002D0902"/>
    <w:rsid w:val="00316AA4"/>
    <w:rsid w:val="003965B7"/>
    <w:rsid w:val="004079F5"/>
    <w:rsid w:val="00415672"/>
    <w:rsid w:val="004156E2"/>
    <w:rsid w:val="00421523"/>
    <w:rsid w:val="0043492C"/>
    <w:rsid w:val="00465233"/>
    <w:rsid w:val="00473800"/>
    <w:rsid w:val="005B1541"/>
    <w:rsid w:val="005C6289"/>
    <w:rsid w:val="005D7F02"/>
    <w:rsid w:val="00610137"/>
    <w:rsid w:val="006240A2"/>
    <w:rsid w:val="00642569"/>
    <w:rsid w:val="00677286"/>
    <w:rsid w:val="006A1A1A"/>
    <w:rsid w:val="006B1BCA"/>
    <w:rsid w:val="006B2D51"/>
    <w:rsid w:val="006D23A5"/>
    <w:rsid w:val="006F3C74"/>
    <w:rsid w:val="007125FD"/>
    <w:rsid w:val="00730420"/>
    <w:rsid w:val="00745453"/>
    <w:rsid w:val="007728F3"/>
    <w:rsid w:val="0078544F"/>
    <w:rsid w:val="007C21F4"/>
    <w:rsid w:val="00871B0B"/>
    <w:rsid w:val="008B526F"/>
    <w:rsid w:val="008C4C6B"/>
    <w:rsid w:val="008C71E0"/>
    <w:rsid w:val="008C7DB3"/>
    <w:rsid w:val="008F0203"/>
    <w:rsid w:val="00911CDD"/>
    <w:rsid w:val="00981326"/>
    <w:rsid w:val="00993D58"/>
    <w:rsid w:val="009B1574"/>
    <w:rsid w:val="009E68E4"/>
    <w:rsid w:val="00A21B04"/>
    <w:rsid w:val="00A24BE7"/>
    <w:rsid w:val="00AB444A"/>
    <w:rsid w:val="00B31E0B"/>
    <w:rsid w:val="00B440CE"/>
    <w:rsid w:val="00B564D1"/>
    <w:rsid w:val="00B9770E"/>
    <w:rsid w:val="00C033C2"/>
    <w:rsid w:val="00C25F66"/>
    <w:rsid w:val="00C3750F"/>
    <w:rsid w:val="00C406CE"/>
    <w:rsid w:val="00C4526C"/>
    <w:rsid w:val="00CE0E9C"/>
    <w:rsid w:val="00CF1BC0"/>
    <w:rsid w:val="00D11A14"/>
    <w:rsid w:val="00D53761"/>
    <w:rsid w:val="00D73280"/>
    <w:rsid w:val="00D80682"/>
    <w:rsid w:val="00DE024E"/>
    <w:rsid w:val="00DF7998"/>
    <w:rsid w:val="00E024FC"/>
    <w:rsid w:val="00E2342D"/>
    <w:rsid w:val="00E33ABB"/>
    <w:rsid w:val="00E45E61"/>
    <w:rsid w:val="00E70F53"/>
    <w:rsid w:val="00EB1010"/>
    <w:rsid w:val="00ED0353"/>
    <w:rsid w:val="00ED08CA"/>
    <w:rsid w:val="00ED3FD4"/>
    <w:rsid w:val="00EF5194"/>
    <w:rsid w:val="00F13C67"/>
    <w:rsid w:val="00F203D1"/>
    <w:rsid w:val="00F30CEA"/>
    <w:rsid w:val="00F54597"/>
    <w:rsid w:val="00FD4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F203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3D1"/>
  </w:style>
  <w:style w:type="paragraph" w:styleId="Footer">
    <w:name w:val="footer"/>
    <w:basedOn w:val="Normal"/>
    <w:link w:val="FooterChar"/>
    <w:uiPriority w:val="99"/>
    <w:unhideWhenUsed/>
    <w:rsid w:val="00F203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6E9FA-C3B4-45EB-A23A-94F9BCE6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2519</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8</cp:revision>
  <cp:lastPrinted>2016-06-14T21:25:00Z</cp:lastPrinted>
  <dcterms:created xsi:type="dcterms:W3CDTF">2018-07-23T15:44:00Z</dcterms:created>
  <dcterms:modified xsi:type="dcterms:W3CDTF">2018-09-19T13:46:00Z</dcterms:modified>
</cp:coreProperties>
</file>