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4212C5" w:rsidRDefault="00D53761" w:rsidP="00D53761">
      <w:pPr>
        <w:spacing w:after="0" w:line="240" w:lineRule="auto"/>
        <w:jc w:val="center"/>
        <w:rPr>
          <w:b/>
          <w:sz w:val="28"/>
        </w:rPr>
      </w:pPr>
    </w:p>
    <w:p w:rsidR="00D53761" w:rsidRPr="004212C5" w:rsidRDefault="00D53761" w:rsidP="00D53761">
      <w:pPr>
        <w:spacing w:after="0" w:line="240" w:lineRule="auto"/>
        <w:rPr>
          <w:rFonts w:ascii="Open Sans" w:eastAsia="Times New Roman" w:hAnsi="Open Sans" w:cs="Open Sans"/>
          <w:sz w:val="16"/>
          <w:szCs w:val="16"/>
        </w:rPr>
      </w:pPr>
      <w:r w:rsidRPr="004212C5">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4212C5">
        <w:rPr>
          <w:rFonts w:ascii="Open Sans" w:eastAsia="Times New Roman" w:hAnsi="Open Sans" w:cs="Open Sans"/>
          <w:i/>
          <w:sz w:val="16"/>
          <w:szCs w:val="16"/>
        </w:rPr>
        <w:t xml:space="preserve">grade </w:t>
      </w:r>
      <w:r w:rsidRPr="004212C5">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4212C5">
        <w:rPr>
          <w:rFonts w:ascii="Open Sans" w:eastAsia="Times New Roman" w:hAnsi="Open Sans" w:cs="Open Sans"/>
          <w:i/>
          <w:sz w:val="16"/>
          <w:szCs w:val="16"/>
        </w:rPr>
        <w:t>course levels</w:t>
      </w:r>
      <w:r w:rsidRPr="004212C5">
        <w:rPr>
          <w:rFonts w:ascii="Open Sans" w:eastAsia="Times New Roman" w:hAnsi="Open Sans" w:cs="Open Sans"/>
          <w:sz w:val="16"/>
          <w:szCs w:val="16"/>
        </w:rPr>
        <w:t xml:space="preserve">, not </w:t>
      </w:r>
      <w:r w:rsidRPr="004212C5">
        <w:rPr>
          <w:rFonts w:ascii="Open Sans" w:eastAsia="Times New Roman" w:hAnsi="Open Sans" w:cs="Open Sans"/>
          <w:i/>
          <w:sz w:val="16"/>
          <w:szCs w:val="16"/>
        </w:rPr>
        <w:t>grade</w:t>
      </w:r>
      <w:r w:rsidRPr="004212C5">
        <w:rPr>
          <w:rFonts w:ascii="Open Sans" w:eastAsia="Times New Roman" w:hAnsi="Open Sans" w:cs="Open Sans"/>
          <w:sz w:val="16"/>
          <w:szCs w:val="16"/>
        </w:rPr>
        <w:t xml:space="preserve"> </w:t>
      </w:r>
      <w:r w:rsidRPr="004212C5">
        <w:rPr>
          <w:rFonts w:ascii="Open Sans" w:eastAsia="Times New Roman" w:hAnsi="Open Sans" w:cs="Open Sans"/>
          <w:i/>
          <w:sz w:val="16"/>
          <w:szCs w:val="16"/>
        </w:rPr>
        <w:t>levels</w:t>
      </w:r>
      <w:r w:rsidRPr="004212C5">
        <w:rPr>
          <w:rFonts w:ascii="Open Sans" w:eastAsia="Times New Roman" w:hAnsi="Open Sans" w:cs="Open Sans"/>
          <w:sz w:val="16"/>
          <w:szCs w:val="16"/>
        </w:rPr>
        <w:t xml:space="preserve"> or </w:t>
      </w:r>
      <w:r w:rsidRPr="004212C5">
        <w:rPr>
          <w:rFonts w:ascii="Open Sans" w:eastAsia="Times New Roman" w:hAnsi="Open Sans" w:cs="Open Sans"/>
          <w:i/>
          <w:sz w:val="16"/>
          <w:szCs w:val="16"/>
        </w:rPr>
        <w:t>grade bands</w:t>
      </w:r>
      <w:r w:rsidRPr="004212C5">
        <w:rPr>
          <w:rFonts w:ascii="Open Sans" w:eastAsia="Times New Roman" w:hAnsi="Open Sans" w:cs="Open Sans"/>
          <w:sz w:val="16"/>
          <w:szCs w:val="16"/>
        </w:rPr>
        <w:t>.</w:t>
      </w:r>
    </w:p>
    <w:p w:rsidR="005D7F02" w:rsidRPr="004212C5"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Pr="004212C5"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4637B1" w:rsidRPr="00214F1D" w:rsidTr="00223D39">
        <w:tc>
          <w:tcPr>
            <w:tcW w:w="12950" w:type="dxa"/>
            <w:gridSpan w:val="4"/>
            <w:shd w:val="clear" w:color="auto" w:fill="8DB3E2" w:themeFill="text2" w:themeFillTint="66"/>
          </w:tcPr>
          <w:p w:rsidR="004637B1" w:rsidRPr="00807E9D" w:rsidRDefault="004637B1" w:rsidP="00223D39">
            <w:pPr>
              <w:jc w:val="center"/>
              <w:rPr>
                <w:rFonts w:ascii="Open Sans" w:hAnsi="Open Sans" w:cs="Open Sans"/>
                <w:b/>
                <w:sz w:val="28"/>
                <w:szCs w:val="28"/>
              </w:rPr>
            </w:pPr>
            <w:r w:rsidRPr="00807E9D">
              <w:rPr>
                <w:rFonts w:ascii="Open Sans" w:hAnsi="Open Sans" w:cs="Open Sans"/>
                <w:b/>
                <w:sz w:val="28"/>
                <w:szCs w:val="28"/>
              </w:rPr>
              <w:t>SECTION I</w:t>
            </w:r>
          </w:p>
          <w:p w:rsidR="004637B1" w:rsidRDefault="004637B1"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4637B1" w:rsidRPr="00807E9D" w:rsidRDefault="004637B1"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4637B1" w:rsidRPr="00214F1D" w:rsidRDefault="004637B1"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4637B1" w:rsidRPr="00003A5D" w:rsidTr="00223D39">
        <w:tc>
          <w:tcPr>
            <w:tcW w:w="12950" w:type="dxa"/>
            <w:gridSpan w:val="4"/>
            <w:shd w:val="clear" w:color="auto" w:fill="8DB3E2" w:themeFill="text2" w:themeFillTint="66"/>
          </w:tcPr>
          <w:p w:rsidR="004637B1" w:rsidRPr="00003A5D" w:rsidRDefault="004637B1" w:rsidP="00223D39">
            <w:pPr>
              <w:rPr>
                <w:rFonts w:ascii="Open Sans" w:eastAsia="Times New Roman" w:hAnsi="Open Sans" w:cs="Open Sans"/>
                <w:b/>
                <w:sz w:val="20"/>
                <w:szCs w:val="20"/>
              </w:rPr>
            </w:pPr>
            <w:r>
              <w:rPr>
                <w:rFonts w:ascii="Open Sans" w:hAnsi="Open Sans" w:cs="Open Sans"/>
                <w:i/>
                <w:sz w:val="20"/>
                <w:szCs w:val="20"/>
              </w:rPr>
              <w:t>Of the 25 standards listed below, 20</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4637B1" w:rsidRPr="00214F1D" w:rsidTr="00223D39">
        <w:tc>
          <w:tcPr>
            <w:tcW w:w="12950" w:type="dxa"/>
            <w:gridSpan w:val="4"/>
            <w:shd w:val="clear" w:color="auto" w:fill="8DB3E2" w:themeFill="text2" w:themeFillTint="66"/>
          </w:tcPr>
          <w:p w:rsidR="004637B1" w:rsidRPr="00214F1D" w:rsidRDefault="004637B1"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Tr="004637B1">
        <w:tc>
          <w:tcPr>
            <w:tcW w:w="7555" w:type="dxa"/>
            <w:shd w:val="clear" w:color="auto" w:fill="C6D9F1" w:themeFill="text2" w:themeFillTint="33"/>
          </w:tcPr>
          <w:p w:rsidR="005D7F02" w:rsidRPr="004212C5" w:rsidRDefault="005D7F02" w:rsidP="00D53761">
            <w:pPr>
              <w:rPr>
                <w:rFonts w:ascii="Open Sans" w:eastAsia="Times New Roman" w:hAnsi="Open Sans" w:cs="Open Sans"/>
                <w:b/>
                <w:sz w:val="20"/>
                <w:szCs w:val="20"/>
              </w:rPr>
            </w:pPr>
            <w:r w:rsidRPr="004212C5">
              <w:rPr>
                <w:rFonts w:ascii="Open Sans" w:eastAsia="Times New Roman" w:hAnsi="Open Sans" w:cs="Open Sans"/>
                <w:b/>
                <w:sz w:val="20"/>
                <w:szCs w:val="20"/>
              </w:rPr>
              <w:t>Standard</w:t>
            </w:r>
          </w:p>
        </w:tc>
        <w:tc>
          <w:tcPr>
            <w:tcW w:w="630" w:type="dxa"/>
            <w:shd w:val="clear" w:color="auto" w:fill="C6D9F1" w:themeFill="text2" w:themeFillTint="33"/>
          </w:tcPr>
          <w:p w:rsidR="005D7F02" w:rsidRPr="004212C5" w:rsidRDefault="00F30CEA" w:rsidP="00D53761">
            <w:pPr>
              <w:rPr>
                <w:rFonts w:ascii="Open Sans" w:eastAsia="Times New Roman" w:hAnsi="Open Sans" w:cs="Open Sans"/>
                <w:b/>
                <w:sz w:val="20"/>
                <w:szCs w:val="20"/>
              </w:rPr>
            </w:pPr>
            <w:r w:rsidRPr="004212C5">
              <w:rPr>
                <w:rFonts w:ascii="Open Sans" w:eastAsia="Times New Roman" w:hAnsi="Open Sans" w:cs="Open Sans"/>
                <w:b/>
                <w:sz w:val="20"/>
                <w:szCs w:val="20"/>
              </w:rPr>
              <w:t>Yes</w:t>
            </w:r>
          </w:p>
        </w:tc>
        <w:tc>
          <w:tcPr>
            <w:tcW w:w="630" w:type="dxa"/>
            <w:shd w:val="clear" w:color="auto" w:fill="C6D9F1" w:themeFill="text2" w:themeFillTint="33"/>
          </w:tcPr>
          <w:p w:rsidR="005D7F02" w:rsidRPr="004212C5" w:rsidRDefault="00F30CEA" w:rsidP="00D53761">
            <w:pPr>
              <w:rPr>
                <w:rFonts w:ascii="Open Sans" w:eastAsia="Times New Roman" w:hAnsi="Open Sans" w:cs="Open Sans"/>
                <w:b/>
                <w:sz w:val="20"/>
                <w:szCs w:val="20"/>
              </w:rPr>
            </w:pPr>
            <w:r w:rsidRPr="004212C5">
              <w:rPr>
                <w:rFonts w:ascii="Open Sans" w:eastAsia="Times New Roman" w:hAnsi="Open Sans" w:cs="Open Sans"/>
                <w:b/>
                <w:sz w:val="20"/>
                <w:szCs w:val="20"/>
              </w:rPr>
              <w:t>No</w:t>
            </w:r>
          </w:p>
        </w:tc>
        <w:tc>
          <w:tcPr>
            <w:tcW w:w="4135" w:type="dxa"/>
            <w:shd w:val="clear" w:color="auto" w:fill="C6D9F1" w:themeFill="text2" w:themeFillTint="33"/>
          </w:tcPr>
          <w:p w:rsidR="005D7F02" w:rsidRDefault="00F30CEA" w:rsidP="00D53761">
            <w:pPr>
              <w:rPr>
                <w:rFonts w:ascii="Open Sans" w:eastAsia="Times New Roman" w:hAnsi="Open Sans" w:cs="Open Sans"/>
                <w:sz w:val="20"/>
                <w:szCs w:val="20"/>
              </w:rPr>
            </w:pPr>
            <w:r w:rsidRPr="004212C5">
              <w:rPr>
                <w:rFonts w:ascii="Open Sans" w:eastAsia="Times New Roman" w:hAnsi="Open Sans" w:cs="Open Sans"/>
                <w:b/>
                <w:sz w:val="20"/>
                <w:szCs w:val="20"/>
                <w:shd w:val="clear" w:color="auto" w:fill="F2F2F2" w:themeFill="background1" w:themeFillShade="F2"/>
              </w:rPr>
              <w:t>Evi</w:t>
            </w:r>
            <w:r w:rsidR="004637B1">
              <w:rPr>
                <w:rFonts w:ascii="Open Sans" w:eastAsia="Times New Roman" w:hAnsi="Open Sans" w:cs="Open Sans"/>
                <w:b/>
                <w:sz w:val="20"/>
                <w:szCs w:val="20"/>
                <w:shd w:val="clear" w:color="auto" w:fill="F2F2F2" w:themeFill="background1" w:themeFillShade="F2"/>
              </w:rPr>
              <w:t>dence/Notes</w:t>
            </w:r>
          </w:p>
        </w:tc>
      </w:tr>
      <w:tr w:rsidR="005D7F02" w:rsidTr="004637B1">
        <w:tc>
          <w:tcPr>
            <w:tcW w:w="7555" w:type="dxa"/>
            <w:shd w:val="clear" w:color="auto" w:fill="DBE5F1" w:themeFill="accent1" w:themeFillTint="33"/>
          </w:tcPr>
          <w:p w:rsidR="005D7F02" w:rsidRPr="00F730A9" w:rsidRDefault="009B1574" w:rsidP="00F730A9">
            <w:pPr>
              <w:pStyle w:val="ListParagraph"/>
              <w:numPr>
                <w:ilvl w:val="0"/>
                <w:numId w:val="13"/>
              </w:numPr>
              <w:contextualSpacing w:val="0"/>
              <w:rPr>
                <w:rFonts w:ascii="Open Sans" w:hAnsi="Open Sans" w:cs="Open Sans"/>
                <w:sz w:val="20"/>
                <w:szCs w:val="20"/>
              </w:rPr>
            </w:pPr>
            <w:r w:rsidRPr="00BA6729">
              <w:rPr>
                <w:rFonts w:ascii="Open Sans" w:hAnsi="Open Sans" w:cs="Open Sans"/>
                <w:sz w:val="20"/>
                <w:szCs w:val="20"/>
              </w:rPr>
              <w:t xml:space="preserve">Articulate important historical events and contributors impacting the evolution of forensic science and crime scene investigation in the United States. </w:t>
            </w:r>
            <w:r>
              <w:rPr>
                <w:rFonts w:ascii="Open Sans" w:hAnsi="Open Sans" w:cs="Open Sans"/>
                <w:sz w:val="20"/>
                <w:szCs w:val="20"/>
              </w:rPr>
              <w:t xml:space="preserve">Contributors should include, but are not limited to </w:t>
            </w:r>
            <w:proofErr w:type="spellStart"/>
            <w:r>
              <w:rPr>
                <w:rFonts w:ascii="Open Sans" w:hAnsi="Open Sans" w:cs="Open Sans"/>
                <w:sz w:val="20"/>
                <w:szCs w:val="20"/>
              </w:rPr>
              <w:t>Locard</w:t>
            </w:r>
            <w:proofErr w:type="spellEnd"/>
            <w:r>
              <w:rPr>
                <w:rFonts w:ascii="Open Sans" w:hAnsi="Open Sans" w:cs="Open Sans"/>
                <w:sz w:val="20"/>
                <w:szCs w:val="20"/>
              </w:rPr>
              <w:t xml:space="preserve">, </w:t>
            </w:r>
            <w:proofErr w:type="spellStart"/>
            <w:r>
              <w:rPr>
                <w:rFonts w:ascii="Open Sans" w:hAnsi="Open Sans" w:cs="Open Sans"/>
                <w:sz w:val="20"/>
                <w:szCs w:val="20"/>
              </w:rPr>
              <w:t>Orfila</w:t>
            </w:r>
            <w:proofErr w:type="spellEnd"/>
            <w:r>
              <w:rPr>
                <w:rFonts w:ascii="Open Sans" w:hAnsi="Open Sans" w:cs="Open Sans"/>
                <w:sz w:val="20"/>
                <w:szCs w:val="20"/>
              </w:rPr>
              <w:t xml:space="preserve">, Bertillon, Galton, Goddard, and Bass. </w:t>
            </w:r>
            <w:r w:rsidRPr="00BA6729">
              <w:rPr>
                <w:rFonts w:ascii="Open Sans" w:hAnsi="Open Sans" w:cs="Open Sans"/>
                <w:sz w:val="20"/>
                <w:szCs w:val="20"/>
              </w:rPr>
              <w:t xml:space="preserve">Use a timeline or other graphic to illustrate the major developments from the 16th century to today, citing specific textual evidence from textbooks, online and print journals, and other websites. Include any legislation that mandates the practice of forensic science.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4637B1">
        <w:tc>
          <w:tcPr>
            <w:tcW w:w="7555" w:type="dxa"/>
            <w:shd w:val="clear" w:color="auto" w:fill="DBE5F1" w:themeFill="accent1" w:themeFillTint="33"/>
          </w:tcPr>
          <w:p w:rsidR="005D7F02" w:rsidRPr="00F730A9" w:rsidRDefault="009B1574" w:rsidP="00F730A9">
            <w:pPr>
              <w:numPr>
                <w:ilvl w:val="0"/>
                <w:numId w:val="13"/>
              </w:numPr>
              <w:tabs>
                <w:tab w:val="left" w:pos="720"/>
                <w:tab w:val="left" w:pos="5580"/>
              </w:tabs>
              <w:rPr>
                <w:rFonts w:ascii="Open Sans" w:hAnsi="Open Sans" w:cs="Open Sans"/>
                <w:b/>
                <w:sz w:val="20"/>
                <w:szCs w:val="20"/>
              </w:rPr>
            </w:pPr>
            <w:r w:rsidRPr="00BA6729">
              <w:rPr>
                <w:rFonts w:ascii="Open Sans" w:hAnsi="Open Sans" w:cs="Open Sans"/>
                <w:sz w:val="20"/>
                <w:szCs w:val="20"/>
              </w:rPr>
              <w:t xml:space="preserve">Define the term Criminalistics. Research a case study that involved a criminalist and report on how his/her involvement in the case made a difference in the outcome. Cite evidence from textbooks, online and digital professional journals, and case studies to support claims. Include not only physical evidence analysis but also the application of physical and natural sciences.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4637B1">
        <w:tc>
          <w:tcPr>
            <w:tcW w:w="7555" w:type="dxa"/>
            <w:shd w:val="clear" w:color="auto" w:fill="DBE5F1" w:themeFill="accent1" w:themeFillTint="33"/>
          </w:tcPr>
          <w:p w:rsidR="005D7F02" w:rsidRPr="00F730A9" w:rsidRDefault="009B1574" w:rsidP="00F730A9">
            <w:pPr>
              <w:pStyle w:val="ListParagraph"/>
              <w:numPr>
                <w:ilvl w:val="0"/>
                <w:numId w:val="13"/>
              </w:numPr>
              <w:contextualSpacing w:val="0"/>
              <w:rPr>
                <w:rFonts w:ascii="Open Sans" w:hAnsi="Open Sans" w:cs="Open Sans"/>
                <w:sz w:val="20"/>
                <w:szCs w:val="20"/>
              </w:rPr>
            </w:pPr>
            <w:r w:rsidRPr="00BA6729">
              <w:rPr>
                <w:rFonts w:ascii="Open Sans" w:hAnsi="Open Sans" w:cs="Open Sans"/>
                <w:sz w:val="20"/>
                <w:szCs w:val="20"/>
              </w:rPr>
              <w:t xml:space="preserve">Describe the eleven sections of forensic science as defined by the American Academy of Forensic Science, and discuss associated laws that guide scientific work in forensics. Develop a visual or graphic </w:t>
            </w:r>
            <w:r w:rsidRPr="00BA6729">
              <w:rPr>
                <w:rFonts w:ascii="Open Sans" w:hAnsi="Open Sans" w:cs="Open Sans"/>
                <w:sz w:val="20"/>
                <w:szCs w:val="20"/>
              </w:rPr>
              <w:lastRenderedPageBreak/>
              <w:t xml:space="preserve">presentation to explain the roles and functions of each and relate to law and public safety careers studied in previous courses.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4637B1">
        <w:tc>
          <w:tcPr>
            <w:tcW w:w="7555" w:type="dxa"/>
            <w:shd w:val="clear" w:color="auto" w:fill="DBE5F1" w:themeFill="accent1" w:themeFillTint="33"/>
          </w:tcPr>
          <w:p w:rsidR="005D7F02" w:rsidRPr="00F730A9" w:rsidRDefault="009B1574" w:rsidP="00F730A9">
            <w:pPr>
              <w:pStyle w:val="ListParagraph"/>
              <w:numPr>
                <w:ilvl w:val="0"/>
                <w:numId w:val="13"/>
              </w:numPr>
            </w:pPr>
            <w:r w:rsidRPr="009B1574">
              <w:t xml:space="preserve">Develop an argumentative essay that makes a claim about the influence of media on the practices of crime investigations, citing a specific trial and the investigation leading up to it. Discuss the differences between the gathering and presenting of crime scene evidence and the depiction of that system in movies and television. Develop claim(s) and counterclaim(s) without prejudice, supplying data and text-based evidence from sources consulted.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4637B1">
        <w:tc>
          <w:tcPr>
            <w:tcW w:w="7555" w:type="dxa"/>
            <w:shd w:val="clear" w:color="auto" w:fill="DBE5F1" w:themeFill="accent1" w:themeFillTint="33"/>
          </w:tcPr>
          <w:p w:rsidR="005D7F02" w:rsidRPr="00F730A9" w:rsidRDefault="009B1574" w:rsidP="00F730A9">
            <w:pPr>
              <w:pStyle w:val="ListParagraph"/>
              <w:numPr>
                <w:ilvl w:val="0"/>
                <w:numId w:val="13"/>
              </w:numPr>
            </w:pPr>
            <w:r w:rsidRPr="009B1574">
              <w:t xml:space="preserve">Citing information found on websites in the forensic links section of the American Academy of Forensic Science, news media, and legislation, describe the evolution of the modern crime laboratory. Discuss the features of present-day crime labs, including the differences between public and private. Explore how they have changed law enforcement and the conviction of criminals, their services and capabilities, and the new or emerging technologies they use.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4637B1">
        <w:tc>
          <w:tcPr>
            <w:tcW w:w="7555" w:type="dxa"/>
            <w:shd w:val="clear" w:color="auto" w:fill="DBE5F1" w:themeFill="accent1" w:themeFillTint="33"/>
          </w:tcPr>
          <w:p w:rsidR="00E2342D" w:rsidRDefault="00E2342D" w:rsidP="00E2342D">
            <w:pPr>
              <w:pStyle w:val="ListParagraph"/>
              <w:numPr>
                <w:ilvl w:val="0"/>
                <w:numId w:val="13"/>
              </w:numPr>
            </w:pPr>
            <w:r>
              <w:t>Using the American Academy of Forensic Science and Young Forensic Scientist Forum, investigate occupations within forensic science. Demonstrate an understanding of each occupation by accurately articulating the following:</w:t>
            </w:r>
          </w:p>
          <w:p w:rsidR="00E2342D" w:rsidRDefault="00E2342D" w:rsidP="00A24BE7">
            <w:pPr>
              <w:pStyle w:val="ListParagraph"/>
              <w:numPr>
                <w:ilvl w:val="0"/>
                <w:numId w:val="17"/>
              </w:numPr>
              <w:ind w:left="1507" w:hanging="450"/>
            </w:pPr>
            <w:r>
              <w:t>Roles and responsibilities of the position</w:t>
            </w:r>
          </w:p>
          <w:p w:rsidR="00E2342D" w:rsidRDefault="00E2342D" w:rsidP="00A24BE7">
            <w:pPr>
              <w:pStyle w:val="ListParagraph"/>
              <w:numPr>
                <w:ilvl w:val="0"/>
                <w:numId w:val="17"/>
              </w:numPr>
              <w:ind w:left="1507" w:hanging="450"/>
            </w:pPr>
            <w:r>
              <w:t>Comparison of similar careers available in local, state, federal, and military systems</w:t>
            </w:r>
          </w:p>
          <w:p w:rsidR="005D7F02" w:rsidRPr="00F730A9" w:rsidRDefault="00E2342D" w:rsidP="00F730A9">
            <w:pPr>
              <w:pStyle w:val="ListParagraph"/>
              <w:numPr>
                <w:ilvl w:val="0"/>
                <w:numId w:val="17"/>
              </w:numPr>
              <w:ind w:left="1507" w:hanging="450"/>
            </w:pPr>
            <w:r>
              <w:t>Educational, training,</w:t>
            </w:r>
            <w:r w:rsidR="00F730A9">
              <w:t xml:space="preserve"> and certification requirements</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1B02DE" w:rsidTr="004637B1">
        <w:tc>
          <w:tcPr>
            <w:tcW w:w="7555" w:type="dxa"/>
            <w:shd w:val="clear" w:color="auto" w:fill="DBE5F1" w:themeFill="accent1" w:themeFillTint="33"/>
          </w:tcPr>
          <w:p w:rsidR="00E2342D" w:rsidRPr="00BA6729" w:rsidRDefault="00E2342D" w:rsidP="00E2342D">
            <w:pPr>
              <w:pStyle w:val="ListParagraph"/>
              <w:numPr>
                <w:ilvl w:val="0"/>
                <w:numId w:val="13"/>
              </w:numPr>
              <w:contextualSpacing w:val="0"/>
              <w:rPr>
                <w:rFonts w:ascii="Open Sans" w:hAnsi="Open Sans" w:cs="Open Sans"/>
                <w:sz w:val="20"/>
                <w:szCs w:val="20"/>
              </w:rPr>
            </w:pPr>
            <w:r w:rsidRPr="00BA6729">
              <w:rPr>
                <w:rFonts w:ascii="Open Sans" w:hAnsi="Open Sans" w:cs="Open Sans"/>
                <w:sz w:val="20"/>
                <w:szCs w:val="20"/>
              </w:rPr>
              <w:t xml:space="preserve">Develop a career profile for at least three occupations related to forensic science and criminal investigations, using print, online, and/or personal interview sources to capture at minimum the following: </w:t>
            </w:r>
          </w:p>
          <w:p w:rsidR="00E2342D" w:rsidRPr="00BA6729" w:rsidRDefault="00E2342D" w:rsidP="00E2342D">
            <w:pPr>
              <w:pStyle w:val="ListParagraph"/>
              <w:numPr>
                <w:ilvl w:val="1"/>
                <w:numId w:val="13"/>
              </w:numPr>
              <w:contextualSpacing w:val="0"/>
              <w:rPr>
                <w:rFonts w:ascii="Open Sans" w:hAnsi="Open Sans" w:cs="Open Sans"/>
                <w:sz w:val="20"/>
                <w:szCs w:val="20"/>
              </w:rPr>
            </w:pPr>
            <w:r w:rsidRPr="00BA6729">
              <w:rPr>
                <w:rFonts w:ascii="Open Sans" w:hAnsi="Open Sans" w:cs="Open Sans"/>
                <w:sz w:val="20"/>
                <w:szCs w:val="20"/>
              </w:rPr>
              <w:t>Job description</w:t>
            </w:r>
          </w:p>
          <w:p w:rsidR="00E2342D" w:rsidRPr="00BA6729" w:rsidRDefault="00E2342D" w:rsidP="00E2342D">
            <w:pPr>
              <w:pStyle w:val="ListParagraph"/>
              <w:numPr>
                <w:ilvl w:val="1"/>
                <w:numId w:val="13"/>
              </w:numPr>
              <w:contextualSpacing w:val="0"/>
              <w:rPr>
                <w:rFonts w:ascii="Open Sans" w:hAnsi="Open Sans" w:cs="Open Sans"/>
                <w:sz w:val="20"/>
                <w:szCs w:val="20"/>
              </w:rPr>
            </w:pPr>
            <w:r w:rsidRPr="00BA6729">
              <w:rPr>
                <w:rFonts w:ascii="Open Sans" w:hAnsi="Open Sans" w:cs="Open Sans"/>
                <w:sz w:val="20"/>
                <w:szCs w:val="20"/>
              </w:rPr>
              <w:t>Essential knowledge and skills needed for the career</w:t>
            </w:r>
          </w:p>
          <w:p w:rsidR="00E2342D" w:rsidRPr="00BA6729" w:rsidRDefault="00E2342D" w:rsidP="00E2342D">
            <w:pPr>
              <w:pStyle w:val="ListParagraph"/>
              <w:numPr>
                <w:ilvl w:val="1"/>
                <w:numId w:val="13"/>
              </w:numPr>
              <w:contextualSpacing w:val="0"/>
              <w:rPr>
                <w:rFonts w:ascii="Open Sans" w:hAnsi="Open Sans" w:cs="Open Sans"/>
                <w:sz w:val="20"/>
                <w:szCs w:val="20"/>
              </w:rPr>
            </w:pPr>
            <w:r w:rsidRPr="00BA6729">
              <w:rPr>
                <w:rFonts w:ascii="Open Sans" w:hAnsi="Open Sans" w:cs="Open Sans"/>
                <w:sz w:val="20"/>
                <w:szCs w:val="20"/>
              </w:rPr>
              <w:t>Program or path of study to reach occupational goals, beginning with high school and proceeding through postsecondary</w:t>
            </w:r>
          </w:p>
          <w:p w:rsidR="00E2342D" w:rsidRPr="00BA6729" w:rsidRDefault="00E2342D" w:rsidP="00E2342D">
            <w:pPr>
              <w:pStyle w:val="ListParagraph"/>
              <w:numPr>
                <w:ilvl w:val="1"/>
                <w:numId w:val="13"/>
              </w:numPr>
              <w:contextualSpacing w:val="0"/>
              <w:rPr>
                <w:rFonts w:ascii="Open Sans" w:hAnsi="Open Sans" w:cs="Open Sans"/>
                <w:sz w:val="20"/>
                <w:szCs w:val="20"/>
              </w:rPr>
            </w:pPr>
            <w:r w:rsidRPr="00BA6729">
              <w:rPr>
                <w:rFonts w:ascii="Open Sans" w:hAnsi="Open Sans" w:cs="Open Sans"/>
                <w:sz w:val="20"/>
                <w:szCs w:val="20"/>
              </w:rPr>
              <w:t>Licensure and credentialing requirements</w:t>
            </w:r>
          </w:p>
          <w:p w:rsidR="001B02DE" w:rsidRPr="00F730A9" w:rsidRDefault="00E2342D" w:rsidP="00F730A9">
            <w:pPr>
              <w:numPr>
                <w:ilvl w:val="1"/>
                <w:numId w:val="13"/>
              </w:numPr>
              <w:tabs>
                <w:tab w:val="left" w:pos="1440"/>
              </w:tabs>
              <w:rPr>
                <w:rFonts w:ascii="Open Sans" w:hAnsi="Open Sans" w:cs="Open Sans"/>
                <w:sz w:val="20"/>
                <w:szCs w:val="20"/>
              </w:rPr>
            </w:pPr>
            <w:r w:rsidRPr="00BA6729">
              <w:rPr>
                <w:rFonts w:ascii="Open Sans" w:hAnsi="Open Sans" w:cs="Open Sans"/>
                <w:sz w:val="20"/>
                <w:szCs w:val="20"/>
              </w:rPr>
              <w:lastRenderedPageBreak/>
              <w:t xml:space="preserve">Non-educational job requirements such as physical fitness tests, minimum age, and </w:t>
            </w:r>
            <w:r>
              <w:rPr>
                <w:rFonts w:ascii="Open Sans" w:hAnsi="Open Sans" w:cs="Open Sans"/>
                <w:sz w:val="20"/>
                <w:szCs w:val="20"/>
              </w:rPr>
              <w:t xml:space="preserve">  </w:t>
            </w:r>
            <w:r w:rsidRPr="00BA6729">
              <w:rPr>
                <w:rFonts w:ascii="Open Sans" w:hAnsi="Open Sans" w:cs="Open Sans"/>
                <w:sz w:val="20"/>
                <w:szCs w:val="20"/>
              </w:rPr>
              <w:t>psychological evaluations</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4637B1">
        <w:tc>
          <w:tcPr>
            <w:tcW w:w="7555" w:type="dxa"/>
            <w:shd w:val="clear" w:color="auto" w:fill="DBE5F1" w:themeFill="accent1" w:themeFillTint="33"/>
          </w:tcPr>
          <w:p w:rsidR="001B02DE" w:rsidRPr="00F730A9" w:rsidRDefault="00E2342D" w:rsidP="00F730A9">
            <w:pPr>
              <w:pStyle w:val="ListParagraph"/>
              <w:numPr>
                <w:ilvl w:val="0"/>
                <w:numId w:val="13"/>
              </w:numPr>
              <w:rPr>
                <w:rFonts w:ascii="Open Sans" w:hAnsi="Open Sans" w:cs="Open Sans"/>
                <w:sz w:val="20"/>
                <w:szCs w:val="20"/>
              </w:rPr>
            </w:pPr>
            <w:r w:rsidRPr="001A51D9">
              <w:rPr>
                <w:rFonts w:ascii="Open Sans" w:hAnsi="Open Sans" w:cs="Open Sans"/>
                <w:sz w:val="20"/>
                <w:szCs w:val="20"/>
              </w:rPr>
              <w:t xml:space="preserve">Compare and contrast the roles and responsibilities of parole and probation officers with that of law enforcement officers in relation to search and seizure. Explain how evidence collected by the parole/probation officer might be used in court. Research cases such as </w:t>
            </w:r>
            <w:proofErr w:type="spellStart"/>
            <w:r w:rsidRPr="001A51D9">
              <w:rPr>
                <w:rFonts w:ascii="Open Sans" w:hAnsi="Open Sans" w:cs="Open Sans"/>
                <w:sz w:val="20"/>
                <w:szCs w:val="20"/>
              </w:rPr>
              <w:t>Dulin</w:t>
            </w:r>
            <w:proofErr w:type="spellEnd"/>
            <w:r w:rsidRPr="001A51D9">
              <w:rPr>
                <w:rFonts w:ascii="Open Sans" w:hAnsi="Open Sans" w:cs="Open Sans"/>
                <w:sz w:val="20"/>
                <w:szCs w:val="20"/>
              </w:rPr>
              <w:t xml:space="preserve"> v. State of Indiana and determine how the exclusionary rule was applied in each case.</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4637B1">
        <w:tc>
          <w:tcPr>
            <w:tcW w:w="7555" w:type="dxa"/>
            <w:shd w:val="clear" w:color="auto" w:fill="DBE5F1" w:themeFill="accent1" w:themeFillTint="33"/>
          </w:tcPr>
          <w:p w:rsidR="00E2342D" w:rsidRDefault="00E2342D" w:rsidP="00E2342D">
            <w:pPr>
              <w:pStyle w:val="ListParagraph"/>
              <w:numPr>
                <w:ilvl w:val="0"/>
                <w:numId w:val="13"/>
              </w:numPr>
            </w:pPr>
            <w:r>
              <w:t>Design a tutorial for a new law enforcement officer that outlines the steps in crime scene documentation. Include the following information:</w:t>
            </w:r>
          </w:p>
          <w:p w:rsidR="00E2342D" w:rsidRDefault="00E2342D" w:rsidP="00E2342D">
            <w:pPr>
              <w:pStyle w:val="ListParagraph"/>
              <w:numPr>
                <w:ilvl w:val="1"/>
                <w:numId w:val="13"/>
              </w:numPr>
            </w:pPr>
            <w:r>
              <w:t xml:space="preserve">First responder responsibilities </w:t>
            </w:r>
          </w:p>
          <w:p w:rsidR="00E2342D" w:rsidRDefault="00E2342D" w:rsidP="00E2342D">
            <w:pPr>
              <w:pStyle w:val="ListParagraph"/>
              <w:numPr>
                <w:ilvl w:val="1"/>
                <w:numId w:val="13"/>
              </w:numPr>
            </w:pPr>
            <w:r>
              <w:t>Preliminary survey</w:t>
            </w:r>
          </w:p>
          <w:p w:rsidR="00E2342D" w:rsidRDefault="00E2342D" w:rsidP="00E2342D">
            <w:pPr>
              <w:pStyle w:val="ListParagraph"/>
              <w:numPr>
                <w:ilvl w:val="1"/>
                <w:numId w:val="13"/>
              </w:numPr>
            </w:pPr>
            <w:r>
              <w:t>Crime scene search methods including triangulation, rectangular coordinates, straight-line methods, and transecting baseline coordinates</w:t>
            </w:r>
          </w:p>
          <w:p w:rsidR="00E2342D" w:rsidRDefault="00E2342D" w:rsidP="00E2342D">
            <w:pPr>
              <w:pStyle w:val="ListParagraph"/>
              <w:numPr>
                <w:ilvl w:val="1"/>
                <w:numId w:val="13"/>
              </w:numPr>
            </w:pPr>
            <w:r>
              <w:t>Identification and marking of evidence</w:t>
            </w:r>
          </w:p>
          <w:p w:rsidR="00E2342D" w:rsidRDefault="00E2342D" w:rsidP="00E2342D">
            <w:pPr>
              <w:pStyle w:val="ListParagraph"/>
              <w:numPr>
                <w:ilvl w:val="1"/>
                <w:numId w:val="13"/>
              </w:numPr>
            </w:pPr>
            <w:r>
              <w:t>Narrative description</w:t>
            </w:r>
          </w:p>
          <w:p w:rsidR="00E2342D" w:rsidRDefault="00E2342D" w:rsidP="00E2342D">
            <w:pPr>
              <w:pStyle w:val="ListParagraph"/>
              <w:numPr>
                <w:ilvl w:val="1"/>
                <w:numId w:val="13"/>
              </w:numPr>
            </w:pPr>
            <w:r>
              <w:t>Administrative notes</w:t>
            </w:r>
          </w:p>
          <w:p w:rsidR="00E2342D" w:rsidRDefault="00E2342D" w:rsidP="00E2342D">
            <w:pPr>
              <w:pStyle w:val="ListParagraph"/>
              <w:numPr>
                <w:ilvl w:val="1"/>
                <w:numId w:val="13"/>
              </w:numPr>
            </w:pPr>
            <w:r>
              <w:t>Photography</w:t>
            </w:r>
          </w:p>
          <w:p w:rsidR="00E2342D" w:rsidRDefault="00E2342D" w:rsidP="00E2342D">
            <w:pPr>
              <w:pStyle w:val="ListParagraph"/>
              <w:numPr>
                <w:ilvl w:val="1"/>
                <w:numId w:val="13"/>
              </w:numPr>
            </w:pPr>
            <w:r>
              <w:t>Sketching/Diagramming</w:t>
            </w:r>
          </w:p>
          <w:p w:rsidR="001B02DE" w:rsidRDefault="00E2342D" w:rsidP="00F730A9">
            <w:pPr>
              <w:pStyle w:val="ListParagraph"/>
              <w:numPr>
                <w:ilvl w:val="1"/>
                <w:numId w:val="13"/>
              </w:numPr>
            </w:pPr>
            <w:r>
              <w:t>Evidence recovery log</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4637B1">
        <w:tc>
          <w:tcPr>
            <w:tcW w:w="7555" w:type="dxa"/>
            <w:shd w:val="clear" w:color="auto" w:fill="DBE5F1" w:themeFill="accent1" w:themeFillTint="33"/>
          </w:tcPr>
          <w:p w:rsidR="00E2342D" w:rsidRDefault="00E2342D" w:rsidP="00E2342D">
            <w:pPr>
              <w:pStyle w:val="ListParagraph"/>
              <w:numPr>
                <w:ilvl w:val="0"/>
                <w:numId w:val="13"/>
              </w:numPr>
            </w:pPr>
            <w:r>
              <w:t>Review the legal and acceptable methods for collecting, packaging, and preserving physical evidence and the initiation and maintenance of the chain of custody. Using a mock crime scene:</w:t>
            </w:r>
          </w:p>
          <w:p w:rsidR="00E2342D" w:rsidRDefault="00E2342D" w:rsidP="00E2342D">
            <w:pPr>
              <w:pStyle w:val="ListParagraph"/>
              <w:numPr>
                <w:ilvl w:val="1"/>
                <w:numId w:val="13"/>
              </w:numPr>
            </w:pPr>
            <w:r>
              <w:t>Document the crime scene using the steps identified in standard 10</w:t>
            </w:r>
          </w:p>
          <w:p w:rsidR="00E2342D" w:rsidRDefault="00E2342D" w:rsidP="00E2342D">
            <w:pPr>
              <w:pStyle w:val="ListParagraph"/>
              <w:numPr>
                <w:ilvl w:val="1"/>
                <w:numId w:val="13"/>
              </w:numPr>
            </w:pPr>
            <w:r>
              <w:t>Demonstrate proper methods of evidence collection and packaging</w:t>
            </w:r>
          </w:p>
          <w:p w:rsidR="001B02DE" w:rsidRDefault="00E2342D" w:rsidP="00F730A9">
            <w:pPr>
              <w:pStyle w:val="ListParagraph"/>
              <w:numPr>
                <w:ilvl w:val="1"/>
                <w:numId w:val="13"/>
              </w:numPr>
            </w:pPr>
            <w:r>
              <w:t>Initiate the chain of custody for each piece of evidence collected</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4637B1">
        <w:tc>
          <w:tcPr>
            <w:tcW w:w="7555" w:type="dxa"/>
            <w:shd w:val="clear" w:color="auto" w:fill="DBE5F1" w:themeFill="accent1" w:themeFillTint="33"/>
          </w:tcPr>
          <w:p w:rsidR="001B02DE" w:rsidRDefault="00E2342D" w:rsidP="00F730A9">
            <w:pPr>
              <w:pStyle w:val="ListParagraph"/>
              <w:numPr>
                <w:ilvl w:val="0"/>
                <w:numId w:val="13"/>
              </w:numPr>
            </w:pPr>
            <w:r>
              <w:t xml:space="preserve">Identify emerging technologies and techniques being utilized by law enforcement while gathering and processing evidence at a crime scene and in the laboratory. Review a current or recent court case that utilized one of these technologies or techniques. Write an argumentative essay </w:t>
            </w:r>
            <w:r>
              <w:lastRenderedPageBreak/>
              <w:t xml:space="preserve">debating if the technology could be an infringement on the defendant’s rights. An example would be maintaining a database of DNA from birth.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4637B1">
        <w:tc>
          <w:tcPr>
            <w:tcW w:w="7555" w:type="dxa"/>
            <w:shd w:val="clear" w:color="auto" w:fill="DBE5F1" w:themeFill="accent1" w:themeFillTint="33"/>
          </w:tcPr>
          <w:p w:rsidR="001B02DE" w:rsidRPr="00F730A9" w:rsidRDefault="00677286" w:rsidP="00F730A9">
            <w:pPr>
              <w:numPr>
                <w:ilvl w:val="0"/>
                <w:numId w:val="13"/>
              </w:numPr>
              <w:rPr>
                <w:rFonts w:ascii="Open Sans" w:hAnsi="Open Sans" w:cs="Open Sans"/>
                <w:sz w:val="20"/>
                <w:szCs w:val="20"/>
              </w:rPr>
            </w:pPr>
            <w:r w:rsidRPr="00BA6729">
              <w:rPr>
                <w:rFonts w:ascii="Open Sans" w:hAnsi="Open Sans" w:cs="Open Sans"/>
                <w:sz w:val="20"/>
                <w:szCs w:val="20"/>
              </w:rPr>
              <w:t xml:space="preserve">Investigate the science surrounding the physical properties of matter, and explain how they are related to the role of the law enforcement officer when collecting evidence. Apply the principles of temperature, weight and mass, density, and refractive index in the context of forensic science.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Explain the physical composition of glass and relate the characteristics of various types such as tempered and laminated. Demonstrate the skill of identifying the classifications of glass fragments, and calculate the projectile path by examining glass fractures at a simulated scene.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Examine the forensic tools used in a field sobriety test and a blood alcohol test, and describe legal guidelines that must be followed when performing each of these tests as they relate to the constitutional rights of suspects. Evaluate concepts of toxicology and metabolism of alcohol, and determine the effects of alcohol on persons of different weights, ages, and genders.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Evaluate a death related to chemicals that can be harmful or poisonous to the human body, such as drugs or carbon monoxide. Describe the process for collecting and preserving toxicology evidence and the techniques used for detecting the type of substance.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Analyze the scientific basis of tests performed on various body fluids and/or stains at a crime scene to determine their origins. Demonstrate collection of simulated body fluids from a staged crime scene to preserve and prevent contamination of the sample. Include in the demonstration compliance with OSHA standards of practice when dealing with blood and body fluids.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Describe the techniques used to excavate bones from a crime scene and the methods for distinguishing human bones from animal bones. Identify the parameters for determining the age, sex, and possible ethnicity of a human skull.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Review an autopsy report to determine the time and cause of death through evaluation of body temperature, rigor mortis, post mortem </w:t>
            </w:r>
            <w:r w:rsidRPr="00BA6729">
              <w:rPr>
                <w:rFonts w:ascii="Open Sans" w:hAnsi="Open Sans" w:cs="Open Sans"/>
                <w:sz w:val="20"/>
                <w:szCs w:val="20"/>
              </w:rPr>
              <w:lastRenderedPageBreak/>
              <w:t xml:space="preserve">lividity, appearance of eyes, skin color, and presence of entomology. Document findings in an informative essay or other report.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Debate in a written or oral presentation how DNA testing and the Combined DNA Index System (CODIS) have changed the criminal justice system, citing evidence from professional print or digital journals, case studies, court cases, or interviews with law enforcement or forensic scientists to develop claim(s) and counterclaim(s).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A24BE7" w:rsidRPr="00A24BE7" w:rsidRDefault="00A24BE7" w:rsidP="00A24BE7">
            <w:pPr>
              <w:pStyle w:val="ListParagraph"/>
              <w:numPr>
                <w:ilvl w:val="0"/>
                <w:numId w:val="13"/>
              </w:numPr>
              <w:rPr>
                <w:rFonts w:ascii="Open Sans" w:hAnsi="Open Sans" w:cs="Open Sans"/>
                <w:sz w:val="20"/>
                <w:szCs w:val="20"/>
              </w:rPr>
            </w:pPr>
            <w:r w:rsidRPr="00A24BE7">
              <w:rPr>
                <w:rFonts w:ascii="Open Sans" w:hAnsi="Open Sans" w:cs="Open Sans"/>
                <w:sz w:val="20"/>
                <w:szCs w:val="20"/>
              </w:rPr>
              <w:t>Document the interpretation of a simulated bloodstain pattern, including the following information:</w:t>
            </w:r>
          </w:p>
          <w:p w:rsidR="00A24BE7" w:rsidRPr="00BA6729" w:rsidRDefault="00A24BE7" w:rsidP="00A24BE7">
            <w:pPr>
              <w:numPr>
                <w:ilvl w:val="1"/>
                <w:numId w:val="18"/>
              </w:numPr>
              <w:ind w:left="1417" w:hanging="270"/>
              <w:rPr>
                <w:rFonts w:ascii="Open Sans" w:hAnsi="Open Sans" w:cs="Open Sans"/>
                <w:sz w:val="20"/>
                <w:szCs w:val="20"/>
              </w:rPr>
            </w:pPr>
            <w:r w:rsidRPr="00BA6729">
              <w:rPr>
                <w:rFonts w:ascii="Open Sans" w:hAnsi="Open Sans" w:cs="Open Sans"/>
                <w:sz w:val="20"/>
                <w:szCs w:val="20"/>
              </w:rPr>
              <w:t>Data gathered from pattern analysis concerning the violent event</w:t>
            </w:r>
          </w:p>
          <w:p w:rsidR="00A24BE7" w:rsidRPr="00BA6729" w:rsidRDefault="00A24BE7" w:rsidP="00A24BE7">
            <w:pPr>
              <w:numPr>
                <w:ilvl w:val="1"/>
                <w:numId w:val="18"/>
              </w:numPr>
              <w:ind w:left="990" w:firstLine="90"/>
              <w:rPr>
                <w:rFonts w:ascii="Open Sans" w:hAnsi="Open Sans" w:cs="Open Sans"/>
                <w:sz w:val="20"/>
                <w:szCs w:val="20"/>
              </w:rPr>
            </w:pPr>
            <w:r w:rsidRPr="00BA6729">
              <w:rPr>
                <w:rFonts w:ascii="Open Sans" w:hAnsi="Open Sans" w:cs="Open Sans"/>
                <w:sz w:val="20"/>
                <w:szCs w:val="20"/>
              </w:rPr>
              <w:t>Impact of surface texture, directionality, and angle on pattern</w:t>
            </w:r>
          </w:p>
          <w:p w:rsidR="00A24BE7" w:rsidRPr="00BA6729" w:rsidRDefault="00A24BE7" w:rsidP="00A24BE7">
            <w:pPr>
              <w:numPr>
                <w:ilvl w:val="1"/>
                <w:numId w:val="18"/>
              </w:numPr>
              <w:ind w:left="990" w:firstLine="90"/>
              <w:rPr>
                <w:rFonts w:ascii="Open Sans" w:hAnsi="Open Sans" w:cs="Open Sans"/>
                <w:sz w:val="20"/>
                <w:szCs w:val="20"/>
              </w:rPr>
            </w:pPr>
            <w:r w:rsidRPr="00BA6729">
              <w:rPr>
                <w:rFonts w:ascii="Open Sans" w:hAnsi="Open Sans" w:cs="Open Sans"/>
                <w:sz w:val="20"/>
                <w:szCs w:val="20"/>
              </w:rPr>
              <w:t>Calculation of angle of impact</w:t>
            </w:r>
          </w:p>
          <w:p w:rsidR="00A24BE7" w:rsidRPr="00BA6729" w:rsidRDefault="00A24BE7" w:rsidP="00A24BE7">
            <w:pPr>
              <w:numPr>
                <w:ilvl w:val="1"/>
                <w:numId w:val="18"/>
              </w:numPr>
              <w:rPr>
                <w:rFonts w:ascii="Open Sans" w:hAnsi="Open Sans" w:cs="Open Sans"/>
                <w:sz w:val="20"/>
                <w:szCs w:val="20"/>
              </w:rPr>
            </w:pPr>
            <w:r w:rsidRPr="00BA6729">
              <w:rPr>
                <w:rFonts w:ascii="Open Sans" w:hAnsi="Open Sans" w:cs="Open Sans"/>
                <w:sz w:val="20"/>
                <w:szCs w:val="20"/>
              </w:rPr>
              <w:t>Methods to determine the area of convergence and area of origin for impact spatter patterns</w:t>
            </w:r>
          </w:p>
          <w:p w:rsidR="00A24BE7" w:rsidRPr="00BA6729" w:rsidRDefault="00A24BE7" w:rsidP="00A24BE7">
            <w:pPr>
              <w:numPr>
                <w:ilvl w:val="1"/>
                <w:numId w:val="18"/>
              </w:numPr>
              <w:ind w:left="1417" w:hanging="337"/>
              <w:rPr>
                <w:rFonts w:ascii="Open Sans" w:hAnsi="Open Sans" w:cs="Open Sans"/>
                <w:sz w:val="20"/>
                <w:szCs w:val="20"/>
              </w:rPr>
            </w:pPr>
            <w:r w:rsidRPr="00BA6729">
              <w:rPr>
                <w:rFonts w:ascii="Open Sans" w:hAnsi="Open Sans" w:cs="Open Sans"/>
                <w:sz w:val="20"/>
                <w:szCs w:val="20"/>
              </w:rPr>
              <w:t>Whether the spatter is classified as a low-, medium-, or high-velocity impact spatter</w:t>
            </w:r>
          </w:p>
          <w:p w:rsidR="00A24BE7" w:rsidRPr="00BA6729" w:rsidRDefault="00A24BE7" w:rsidP="00A24BE7">
            <w:pPr>
              <w:numPr>
                <w:ilvl w:val="1"/>
                <w:numId w:val="18"/>
              </w:numPr>
              <w:ind w:left="990" w:firstLine="90"/>
              <w:rPr>
                <w:rFonts w:ascii="Open Sans" w:hAnsi="Open Sans" w:cs="Open Sans"/>
                <w:sz w:val="20"/>
                <w:szCs w:val="20"/>
              </w:rPr>
            </w:pPr>
            <w:r w:rsidRPr="00BA6729">
              <w:rPr>
                <w:rFonts w:ascii="Open Sans" w:hAnsi="Open Sans" w:cs="Open Sans"/>
                <w:sz w:val="20"/>
                <w:szCs w:val="20"/>
              </w:rPr>
              <w:t>How the pattern was created and distinguishing features</w:t>
            </w:r>
          </w:p>
          <w:p w:rsidR="00DE024E" w:rsidRPr="00F730A9" w:rsidRDefault="00A24BE7" w:rsidP="00F730A9">
            <w:pPr>
              <w:numPr>
                <w:ilvl w:val="1"/>
                <w:numId w:val="18"/>
              </w:numPr>
              <w:ind w:left="990" w:firstLine="90"/>
              <w:rPr>
                <w:rFonts w:ascii="Open Sans" w:hAnsi="Open Sans" w:cs="Open Sans"/>
                <w:sz w:val="20"/>
                <w:szCs w:val="20"/>
              </w:rPr>
            </w:pPr>
            <w:r w:rsidRPr="00BA6729">
              <w:rPr>
                <w:rFonts w:ascii="Open Sans" w:hAnsi="Open Sans" w:cs="Open Sans"/>
                <w:sz w:val="20"/>
                <w:szCs w:val="20"/>
              </w:rPr>
              <w:t>Type of spatter</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Compare and contrast the physical and microscopic properties of human hair vs. animal hair. Demonstrate the skills of collecting and preserving hair evidence at a simulated crime scene.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Explain the automated fingerprint identification system (AFIS), why it was developed, and how it is currently being utilized in law enforcement. Demonstrate the procedure for detecting fingerprints, developing latent prints, and preserving developed prints.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4637B1">
        <w:tc>
          <w:tcPr>
            <w:tcW w:w="7555" w:type="dxa"/>
            <w:shd w:val="clear" w:color="auto" w:fill="DBE5F1" w:themeFill="accent1" w:themeFillTint="33"/>
          </w:tcPr>
          <w:p w:rsidR="00DE024E"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Identify the recognizable characteristics, from bullets and cartridge casings, at a staged crime scene or from a case study. Explain in a graphic presentation how these characteristics are placed in the National Integrated Ballistics Information Network and the uses of the network by local, state, and federal law enforcement.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A24BE7" w:rsidTr="004637B1">
        <w:tc>
          <w:tcPr>
            <w:tcW w:w="7555" w:type="dxa"/>
            <w:shd w:val="clear" w:color="auto" w:fill="DBE5F1" w:themeFill="accent1" w:themeFillTint="33"/>
          </w:tcPr>
          <w:p w:rsidR="00A24BE7" w:rsidRPr="00F730A9" w:rsidRDefault="00A24BE7" w:rsidP="00F730A9">
            <w:pPr>
              <w:numPr>
                <w:ilvl w:val="0"/>
                <w:numId w:val="13"/>
              </w:numPr>
              <w:rPr>
                <w:rFonts w:ascii="Open Sans" w:hAnsi="Open Sans" w:cs="Open Sans"/>
                <w:sz w:val="20"/>
                <w:szCs w:val="20"/>
              </w:rPr>
            </w:pPr>
            <w:r w:rsidRPr="00BA6729">
              <w:rPr>
                <w:rFonts w:ascii="Open Sans" w:hAnsi="Open Sans" w:cs="Open Sans"/>
                <w:sz w:val="20"/>
                <w:szCs w:val="20"/>
              </w:rPr>
              <w:t xml:space="preserve">Research the concepts surrounding bullet trajectory and its uses in criminal investigations for determining victim and suspect locations </w:t>
            </w:r>
            <w:r w:rsidRPr="00BA6729">
              <w:rPr>
                <w:rFonts w:ascii="Open Sans" w:hAnsi="Open Sans" w:cs="Open Sans"/>
                <w:sz w:val="20"/>
                <w:szCs w:val="20"/>
              </w:rPr>
              <w:lastRenderedPageBreak/>
              <w:t xml:space="preserve">and movements at a crime scene. Prepare a professional written report summarizing this information. </w:t>
            </w:r>
          </w:p>
        </w:tc>
        <w:tc>
          <w:tcPr>
            <w:tcW w:w="630" w:type="dxa"/>
            <w:shd w:val="clear" w:color="auto" w:fill="DBE5F1" w:themeFill="accent1" w:themeFillTint="33"/>
          </w:tcPr>
          <w:p w:rsidR="00A24BE7" w:rsidRDefault="00A24BE7" w:rsidP="00D53761">
            <w:pPr>
              <w:rPr>
                <w:rFonts w:ascii="Open Sans" w:eastAsia="Times New Roman" w:hAnsi="Open Sans" w:cs="Open Sans"/>
                <w:sz w:val="20"/>
                <w:szCs w:val="20"/>
              </w:rPr>
            </w:pPr>
          </w:p>
        </w:tc>
        <w:tc>
          <w:tcPr>
            <w:tcW w:w="630" w:type="dxa"/>
            <w:shd w:val="clear" w:color="auto" w:fill="DBE5F1" w:themeFill="accent1" w:themeFillTint="33"/>
          </w:tcPr>
          <w:p w:rsidR="00A24BE7" w:rsidRDefault="00A24BE7" w:rsidP="00D53761">
            <w:pPr>
              <w:rPr>
                <w:rFonts w:ascii="Open Sans" w:eastAsia="Times New Roman" w:hAnsi="Open Sans" w:cs="Open Sans"/>
                <w:sz w:val="20"/>
                <w:szCs w:val="20"/>
              </w:rPr>
            </w:pPr>
          </w:p>
        </w:tc>
        <w:tc>
          <w:tcPr>
            <w:tcW w:w="4135" w:type="dxa"/>
            <w:shd w:val="clear" w:color="auto" w:fill="DBE5F1" w:themeFill="accent1" w:themeFillTint="33"/>
          </w:tcPr>
          <w:p w:rsidR="00A24BE7" w:rsidRDefault="00A24BE7" w:rsidP="00D53761">
            <w:pPr>
              <w:rPr>
                <w:rFonts w:ascii="Open Sans" w:eastAsia="Times New Roman" w:hAnsi="Open Sans" w:cs="Open Sans"/>
                <w:sz w:val="20"/>
                <w:szCs w:val="20"/>
              </w:rPr>
            </w:pPr>
          </w:p>
        </w:tc>
      </w:tr>
      <w:tr w:rsidR="0006519D" w:rsidTr="004637B1">
        <w:tc>
          <w:tcPr>
            <w:tcW w:w="7555" w:type="dxa"/>
            <w:shd w:val="clear" w:color="auto" w:fill="DBE5F1" w:themeFill="accent1" w:themeFillTint="33"/>
          </w:tcPr>
          <w:p w:rsidR="0006519D" w:rsidRPr="00F730A9" w:rsidRDefault="0006519D" w:rsidP="00F730A9">
            <w:pPr>
              <w:numPr>
                <w:ilvl w:val="0"/>
                <w:numId w:val="13"/>
              </w:numPr>
              <w:rPr>
                <w:rFonts w:ascii="Open Sans" w:hAnsi="Open Sans" w:cs="Open Sans"/>
                <w:sz w:val="20"/>
                <w:szCs w:val="20"/>
              </w:rPr>
            </w:pPr>
            <w:r w:rsidRPr="00BA6729">
              <w:rPr>
                <w:rFonts w:ascii="Open Sans" w:hAnsi="Open Sans" w:cs="Open Sans"/>
                <w:sz w:val="20"/>
                <w:szCs w:val="20"/>
              </w:rPr>
              <w:t xml:space="preserve">Compare and contrast the various forensic techniques used at a crime scene and in the laboratory to determine gunpowder residue, shoe prints, tool marks, tire marks and bite marks. Provide a full explanation of each test. </w:t>
            </w:r>
          </w:p>
        </w:tc>
        <w:tc>
          <w:tcPr>
            <w:tcW w:w="630" w:type="dxa"/>
            <w:shd w:val="clear" w:color="auto" w:fill="DBE5F1" w:themeFill="accent1" w:themeFillTint="33"/>
          </w:tcPr>
          <w:p w:rsidR="0006519D" w:rsidRDefault="0006519D" w:rsidP="00D53761">
            <w:pPr>
              <w:rPr>
                <w:rFonts w:ascii="Open Sans" w:eastAsia="Times New Roman" w:hAnsi="Open Sans" w:cs="Open Sans"/>
                <w:sz w:val="20"/>
                <w:szCs w:val="20"/>
              </w:rPr>
            </w:pPr>
          </w:p>
        </w:tc>
        <w:tc>
          <w:tcPr>
            <w:tcW w:w="630" w:type="dxa"/>
            <w:shd w:val="clear" w:color="auto" w:fill="DBE5F1" w:themeFill="accent1" w:themeFillTint="33"/>
          </w:tcPr>
          <w:p w:rsidR="0006519D" w:rsidRDefault="0006519D" w:rsidP="00D53761">
            <w:pPr>
              <w:rPr>
                <w:rFonts w:ascii="Open Sans" w:eastAsia="Times New Roman" w:hAnsi="Open Sans" w:cs="Open Sans"/>
                <w:sz w:val="20"/>
                <w:szCs w:val="20"/>
              </w:rPr>
            </w:pPr>
          </w:p>
        </w:tc>
        <w:tc>
          <w:tcPr>
            <w:tcW w:w="4135" w:type="dxa"/>
            <w:shd w:val="clear" w:color="auto" w:fill="DBE5F1" w:themeFill="accent1" w:themeFillTint="33"/>
          </w:tcPr>
          <w:p w:rsidR="0006519D" w:rsidRDefault="0006519D" w:rsidP="00D53761">
            <w:pPr>
              <w:rPr>
                <w:rFonts w:ascii="Open Sans" w:eastAsia="Times New Roman" w:hAnsi="Open Sans" w:cs="Open Sans"/>
                <w:sz w:val="20"/>
                <w:szCs w:val="20"/>
              </w:rPr>
            </w:pPr>
          </w:p>
        </w:tc>
      </w:tr>
      <w:tr w:rsidR="004637B1" w:rsidRPr="00214F1D" w:rsidTr="00223D39">
        <w:tc>
          <w:tcPr>
            <w:tcW w:w="12950" w:type="dxa"/>
            <w:gridSpan w:val="4"/>
            <w:shd w:val="clear" w:color="auto" w:fill="DBE5F1" w:themeFill="accent1" w:themeFillTint="33"/>
          </w:tcPr>
          <w:p w:rsidR="004637B1" w:rsidRPr="00125329" w:rsidRDefault="004637B1"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4637B1" w:rsidRDefault="004637B1" w:rsidP="00223D39">
            <w:pPr>
              <w:rPr>
                <w:rFonts w:ascii="Open Sans" w:eastAsia="Times New Roman" w:hAnsi="Open Sans" w:cs="Open Sans"/>
                <w:sz w:val="20"/>
                <w:szCs w:val="20"/>
              </w:rPr>
            </w:pPr>
          </w:p>
          <w:p w:rsidR="004637B1" w:rsidRDefault="004637B1" w:rsidP="00223D39">
            <w:pPr>
              <w:rPr>
                <w:rFonts w:ascii="Open Sans" w:eastAsia="Times New Roman" w:hAnsi="Open Sans" w:cs="Open Sans"/>
                <w:sz w:val="20"/>
                <w:szCs w:val="20"/>
              </w:rPr>
            </w:pPr>
          </w:p>
          <w:p w:rsidR="004637B1" w:rsidRDefault="004637B1" w:rsidP="00223D39">
            <w:pPr>
              <w:rPr>
                <w:rFonts w:ascii="Open Sans" w:eastAsia="Times New Roman" w:hAnsi="Open Sans" w:cs="Open Sans"/>
                <w:sz w:val="20"/>
                <w:szCs w:val="20"/>
              </w:rPr>
            </w:pPr>
          </w:p>
          <w:p w:rsidR="004637B1" w:rsidRDefault="004637B1" w:rsidP="00223D39">
            <w:pPr>
              <w:rPr>
                <w:rFonts w:ascii="Open Sans" w:eastAsia="Times New Roman" w:hAnsi="Open Sans" w:cs="Open Sans"/>
                <w:sz w:val="20"/>
                <w:szCs w:val="20"/>
              </w:rPr>
            </w:pPr>
          </w:p>
          <w:p w:rsidR="004637B1" w:rsidRPr="00214F1D" w:rsidRDefault="004637B1" w:rsidP="00223D39">
            <w:pPr>
              <w:rPr>
                <w:rFonts w:ascii="Open Sans" w:eastAsia="Times New Roman" w:hAnsi="Open Sans" w:cs="Open Sans"/>
                <w:sz w:val="20"/>
                <w:szCs w:val="20"/>
              </w:rPr>
            </w:pPr>
          </w:p>
        </w:tc>
      </w:tr>
      <w:tr w:rsidR="004637B1" w:rsidTr="004637B1">
        <w:trPr>
          <w:trHeight w:val="435"/>
        </w:trPr>
        <w:tc>
          <w:tcPr>
            <w:tcW w:w="7555" w:type="dxa"/>
            <w:vMerge w:val="restart"/>
            <w:shd w:val="clear" w:color="auto" w:fill="DBE5F1" w:themeFill="accent1" w:themeFillTint="33"/>
          </w:tcPr>
          <w:p w:rsidR="004637B1" w:rsidRDefault="004637B1"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4637B1" w:rsidRPr="00125329" w:rsidRDefault="004637B1" w:rsidP="00223D39">
            <w:pPr>
              <w:rPr>
                <w:rFonts w:ascii="Open Sans" w:eastAsia="Times New Roman" w:hAnsi="Open Sans" w:cs="Open Sans"/>
                <w:b/>
                <w:sz w:val="20"/>
                <w:szCs w:val="20"/>
              </w:rPr>
            </w:pPr>
          </w:p>
          <w:p w:rsidR="004637B1" w:rsidRDefault="004637B1"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20</w:t>
            </w:r>
            <w:r>
              <w:rPr>
                <w:rFonts w:ascii="Open Sans" w:eastAsia="Times New Roman" w:hAnsi="Open Sans" w:cs="Open Sans"/>
                <w:sz w:val="20"/>
                <w:szCs w:val="20"/>
              </w:rPr>
              <w:t xml:space="preserve"> boxes in thi</w:t>
            </w:r>
            <w:r>
              <w:rPr>
                <w:rFonts w:ascii="Open Sans" w:eastAsia="Times New Roman" w:hAnsi="Open Sans" w:cs="Open Sans"/>
                <w:sz w:val="20"/>
                <w:szCs w:val="20"/>
              </w:rPr>
              <w:t>s section were marked “YES.” If 6</w:t>
            </w:r>
            <w:r>
              <w:rPr>
                <w:rFonts w:ascii="Open Sans" w:eastAsia="Times New Roman" w:hAnsi="Open Sans" w:cs="Open Sans"/>
                <w:sz w:val="20"/>
                <w:szCs w:val="20"/>
              </w:rPr>
              <w:t xml:space="preserve">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4637B1" w:rsidRDefault="004637B1"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4637B1" w:rsidRDefault="004637B1"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4637B1" w:rsidRDefault="004637B1" w:rsidP="00223D39">
            <w:pPr>
              <w:rPr>
                <w:rFonts w:ascii="Open Sans" w:eastAsia="Times New Roman" w:hAnsi="Open Sans" w:cs="Open Sans"/>
                <w:sz w:val="20"/>
                <w:szCs w:val="20"/>
              </w:rPr>
            </w:pPr>
          </w:p>
        </w:tc>
      </w:tr>
      <w:tr w:rsidR="004637B1" w:rsidTr="004637B1">
        <w:trPr>
          <w:trHeight w:val="645"/>
        </w:trPr>
        <w:tc>
          <w:tcPr>
            <w:tcW w:w="7555" w:type="dxa"/>
            <w:vMerge/>
            <w:shd w:val="clear" w:color="auto" w:fill="DBE5F1" w:themeFill="accent1" w:themeFillTint="33"/>
          </w:tcPr>
          <w:p w:rsidR="004637B1" w:rsidRPr="00125329" w:rsidRDefault="004637B1" w:rsidP="00223D39">
            <w:pPr>
              <w:rPr>
                <w:rFonts w:ascii="Open Sans" w:eastAsia="Times New Roman" w:hAnsi="Open Sans" w:cs="Open Sans"/>
                <w:b/>
                <w:sz w:val="20"/>
                <w:szCs w:val="20"/>
              </w:rPr>
            </w:pPr>
          </w:p>
        </w:tc>
        <w:tc>
          <w:tcPr>
            <w:tcW w:w="630" w:type="dxa"/>
            <w:shd w:val="clear" w:color="auto" w:fill="92D050"/>
          </w:tcPr>
          <w:p w:rsidR="004637B1" w:rsidRDefault="004637B1" w:rsidP="00223D39">
            <w:pPr>
              <w:rPr>
                <w:rFonts w:ascii="Open Sans" w:eastAsia="Times New Roman" w:hAnsi="Open Sans" w:cs="Open Sans"/>
                <w:sz w:val="20"/>
                <w:szCs w:val="20"/>
              </w:rPr>
            </w:pPr>
          </w:p>
        </w:tc>
        <w:tc>
          <w:tcPr>
            <w:tcW w:w="630" w:type="dxa"/>
            <w:shd w:val="clear" w:color="auto" w:fill="FF0000"/>
          </w:tcPr>
          <w:p w:rsidR="004637B1" w:rsidRDefault="004637B1" w:rsidP="00223D39">
            <w:pPr>
              <w:rPr>
                <w:rFonts w:ascii="Open Sans" w:eastAsia="Times New Roman" w:hAnsi="Open Sans" w:cs="Open Sans"/>
                <w:sz w:val="20"/>
                <w:szCs w:val="20"/>
              </w:rPr>
            </w:pPr>
          </w:p>
        </w:tc>
        <w:tc>
          <w:tcPr>
            <w:tcW w:w="4135" w:type="dxa"/>
            <w:vMerge/>
            <w:shd w:val="clear" w:color="auto" w:fill="DBE5F1" w:themeFill="accent1" w:themeFillTint="33"/>
          </w:tcPr>
          <w:p w:rsidR="004637B1" w:rsidRDefault="004637B1" w:rsidP="00223D39">
            <w:pPr>
              <w:rPr>
                <w:rFonts w:ascii="Open Sans" w:eastAsia="Times New Roman" w:hAnsi="Open Sans" w:cs="Open Sans"/>
                <w:sz w:val="20"/>
                <w:szCs w:val="20"/>
              </w:rPr>
            </w:pPr>
          </w:p>
        </w:tc>
      </w:tr>
    </w:tbl>
    <w:p w:rsidR="004637B1" w:rsidRDefault="008C7DB3" w:rsidP="008C7DB3">
      <w:pPr>
        <w:rPr>
          <w:rFonts w:ascii="Open Sans" w:eastAsia="Times New Roman" w:hAnsi="Open Sans" w:cs="Open Sans"/>
          <w:sz w:val="20"/>
          <w:szCs w:val="20"/>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p>
    <w:p w:rsidR="004637B1" w:rsidRDefault="004637B1" w:rsidP="008C7DB3">
      <w:pPr>
        <w:rPr>
          <w:rFonts w:ascii="Open Sans" w:eastAsia="Times New Roman" w:hAnsi="Open Sans" w:cs="Open Sans"/>
          <w:sz w:val="20"/>
          <w:szCs w:val="20"/>
        </w:rPr>
      </w:pPr>
    </w:p>
    <w:p w:rsidR="004637B1" w:rsidRDefault="004637B1" w:rsidP="008C7DB3">
      <w:pPr>
        <w:rPr>
          <w:rFonts w:ascii="Open Sans" w:eastAsia="Times New Roman" w:hAnsi="Open Sans" w:cs="Open Sans"/>
          <w:sz w:val="20"/>
          <w:szCs w:val="20"/>
        </w:rPr>
      </w:pPr>
    </w:p>
    <w:p w:rsidR="004637B1" w:rsidRDefault="004637B1" w:rsidP="008C7DB3">
      <w:pPr>
        <w:rPr>
          <w:rFonts w:ascii="Open Sans" w:eastAsia="Times New Roman" w:hAnsi="Open Sans" w:cs="Open Sans"/>
          <w:sz w:val="20"/>
          <w:szCs w:val="20"/>
        </w:rPr>
      </w:pPr>
    </w:p>
    <w:p w:rsidR="004637B1" w:rsidRDefault="004637B1" w:rsidP="008C7DB3">
      <w:pPr>
        <w:rPr>
          <w:rFonts w:ascii="Open Sans" w:eastAsia="Times New Roman" w:hAnsi="Open Sans" w:cs="Open Sans"/>
          <w:sz w:val="20"/>
          <w:szCs w:val="20"/>
        </w:rPr>
      </w:pPr>
    </w:p>
    <w:p w:rsidR="004637B1" w:rsidRDefault="004637B1" w:rsidP="008C7DB3">
      <w:pPr>
        <w:rPr>
          <w:rFonts w:ascii="Open Sans" w:eastAsia="Times New Roman" w:hAnsi="Open Sans" w:cs="Open Sans"/>
          <w:sz w:val="20"/>
          <w:szCs w:val="20"/>
        </w:rPr>
      </w:pPr>
    </w:p>
    <w:p w:rsidR="004637B1" w:rsidRDefault="004637B1" w:rsidP="008C7DB3">
      <w:pPr>
        <w:rPr>
          <w:rFonts w:ascii="Open Sans" w:eastAsia="Times New Roman" w:hAnsi="Open Sans" w:cs="Open Sans"/>
          <w:sz w:val="20"/>
          <w:szCs w:val="20"/>
        </w:rPr>
      </w:pPr>
    </w:p>
    <w:p w:rsidR="004637B1" w:rsidRDefault="004637B1" w:rsidP="008C7DB3">
      <w:pPr>
        <w:rPr>
          <w:rFonts w:ascii="Open Sans" w:eastAsia="Times New Roman" w:hAnsi="Open Sans" w:cs="Open Sans"/>
          <w:sz w:val="20"/>
          <w:szCs w:val="20"/>
        </w:rPr>
      </w:pPr>
    </w:p>
    <w:p w:rsidR="004637B1" w:rsidRDefault="004637B1" w:rsidP="008C7DB3">
      <w:pPr>
        <w:rPr>
          <w:rFonts w:ascii="Open Sans" w:eastAsia="Times New Roman" w:hAnsi="Open Sans" w:cs="Open Sans"/>
          <w:sz w:val="20"/>
          <w:szCs w:val="20"/>
        </w:rPr>
      </w:pPr>
    </w:p>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lastRenderedPageBreak/>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4637B1" w:rsidRPr="00214F1D" w:rsidTr="00223D39">
        <w:trPr>
          <w:trHeight w:val="267"/>
        </w:trPr>
        <w:tc>
          <w:tcPr>
            <w:tcW w:w="13902" w:type="dxa"/>
            <w:gridSpan w:val="4"/>
            <w:shd w:val="clear" w:color="auto" w:fill="FFCC66"/>
          </w:tcPr>
          <w:p w:rsidR="004637B1" w:rsidRPr="00BE1730" w:rsidRDefault="004637B1" w:rsidP="00223D39">
            <w:pPr>
              <w:jc w:val="center"/>
              <w:rPr>
                <w:rFonts w:ascii="Open Sans" w:hAnsi="Open Sans" w:cs="Open Sans"/>
                <w:b/>
                <w:sz w:val="28"/>
                <w:szCs w:val="28"/>
              </w:rPr>
            </w:pPr>
            <w:r w:rsidRPr="00BE1730">
              <w:rPr>
                <w:rFonts w:ascii="Open Sans" w:hAnsi="Open Sans" w:cs="Open Sans"/>
                <w:b/>
                <w:sz w:val="28"/>
                <w:szCs w:val="28"/>
              </w:rPr>
              <w:t>SECTION II</w:t>
            </w:r>
          </w:p>
          <w:p w:rsidR="004637B1" w:rsidRDefault="004637B1"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4637B1" w:rsidRPr="00003A5D" w:rsidRDefault="004637B1"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4637B1" w:rsidRPr="00214F1D" w:rsidTr="00223D39">
        <w:trPr>
          <w:trHeight w:val="267"/>
        </w:trPr>
        <w:tc>
          <w:tcPr>
            <w:tcW w:w="13902" w:type="dxa"/>
            <w:gridSpan w:val="4"/>
            <w:shd w:val="clear" w:color="auto" w:fill="FFCC66"/>
          </w:tcPr>
          <w:p w:rsidR="004637B1" w:rsidRPr="00214F1D" w:rsidRDefault="004637B1" w:rsidP="00223D39">
            <w:pPr>
              <w:rPr>
                <w:rFonts w:ascii="Open Sans" w:hAnsi="Open Sans" w:cs="Open Sans"/>
                <w:b/>
                <w:sz w:val="20"/>
                <w:szCs w:val="20"/>
              </w:rPr>
            </w:pPr>
            <w:r w:rsidRPr="00214F1D">
              <w:rPr>
                <w:rFonts w:ascii="Open Sans" w:hAnsi="Open Sans" w:cs="Open Sans"/>
                <w:b/>
                <w:sz w:val="20"/>
                <w:szCs w:val="20"/>
              </w:rPr>
              <w:t>METRICS:</w:t>
            </w:r>
          </w:p>
        </w:tc>
      </w:tr>
      <w:tr w:rsidR="004637B1" w:rsidRPr="00214F1D" w:rsidTr="00223D39">
        <w:trPr>
          <w:trHeight w:val="6406"/>
        </w:trPr>
        <w:tc>
          <w:tcPr>
            <w:tcW w:w="13902" w:type="dxa"/>
            <w:gridSpan w:val="4"/>
            <w:shd w:val="clear" w:color="auto" w:fill="FFFFCC"/>
          </w:tcPr>
          <w:p w:rsidR="004637B1" w:rsidRPr="00214F1D" w:rsidRDefault="004637B1"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4637B1" w:rsidRPr="00214F1D" w:rsidTr="00223D39">
              <w:trPr>
                <w:trHeight w:val="485"/>
              </w:trPr>
              <w:tc>
                <w:tcPr>
                  <w:tcW w:w="6718" w:type="dxa"/>
                  <w:shd w:val="clear" w:color="auto" w:fill="FFFFCC"/>
                  <w:vAlign w:val="center"/>
                </w:tcPr>
                <w:p w:rsidR="004637B1" w:rsidRPr="00214F1D" w:rsidRDefault="004637B1"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4637B1" w:rsidRDefault="004637B1"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4637B1" w:rsidRPr="00214F1D" w:rsidTr="00223D39">
              <w:trPr>
                <w:trHeight w:val="710"/>
              </w:trPr>
              <w:tc>
                <w:tcPr>
                  <w:tcW w:w="6718" w:type="dxa"/>
                  <w:shd w:val="clear" w:color="auto" w:fill="FFFFCC"/>
                  <w:vAlign w:val="center"/>
                </w:tcPr>
                <w:p w:rsidR="004637B1" w:rsidRPr="00214F1D" w:rsidRDefault="004637B1"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637B1" w:rsidRPr="00214F1D" w:rsidRDefault="004637B1" w:rsidP="00223D39">
                  <w:pPr>
                    <w:framePr w:hSpace="180" w:wrap="around" w:vAnchor="text" w:hAnchor="page" w:x="976" w:y="19"/>
                    <w:jc w:val="center"/>
                    <w:rPr>
                      <w:rFonts w:ascii="Open Sans" w:hAnsi="Open Sans" w:cs="Open Sans"/>
                      <w:b/>
                      <w:sz w:val="20"/>
                      <w:szCs w:val="20"/>
                    </w:rPr>
                  </w:pPr>
                </w:p>
              </w:tc>
            </w:tr>
            <w:tr w:rsidR="004637B1" w:rsidRPr="00214F1D" w:rsidTr="00223D39">
              <w:trPr>
                <w:trHeight w:val="1070"/>
              </w:trPr>
              <w:tc>
                <w:tcPr>
                  <w:tcW w:w="6718" w:type="dxa"/>
                  <w:shd w:val="clear" w:color="auto" w:fill="FFFFCC"/>
                  <w:vAlign w:val="center"/>
                </w:tcPr>
                <w:p w:rsidR="004637B1" w:rsidRPr="00214F1D" w:rsidRDefault="004637B1"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637B1" w:rsidRPr="00214F1D" w:rsidRDefault="004637B1" w:rsidP="00223D39">
                  <w:pPr>
                    <w:framePr w:hSpace="180" w:wrap="around" w:vAnchor="text" w:hAnchor="page" w:x="976" w:y="19"/>
                    <w:jc w:val="center"/>
                    <w:rPr>
                      <w:rFonts w:ascii="Open Sans" w:hAnsi="Open Sans" w:cs="Open Sans"/>
                      <w:b/>
                      <w:sz w:val="20"/>
                      <w:szCs w:val="20"/>
                    </w:rPr>
                  </w:pPr>
                </w:p>
              </w:tc>
            </w:tr>
            <w:tr w:rsidR="004637B1" w:rsidRPr="00214F1D" w:rsidTr="00223D39">
              <w:trPr>
                <w:trHeight w:val="1070"/>
              </w:trPr>
              <w:tc>
                <w:tcPr>
                  <w:tcW w:w="6718" w:type="dxa"/>
                  <w:shd w:val="clear" w:color="auto" w:fill="FFFFCC"/>
                  <w:vAlign w:val="center"/>
                </w:tcPr>
                <w:p w:rsidR="004637B1" w:rsidRPr="00214F1D" w:rsidRDefault="004637B1"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637B1" w:rsidRPr="00214F1D" w:rsidRDefault="004637B1" w:rsidP="00223D39">
                  <w:pPr>
                    <w:framePr w:hSpace="180" w:wrap="around" w:vAnchor="text" w:hAnchor="page" w:x="976" w:y="19"/>
                    <w:jc w:val="center"/>
                    <w:rPr>
                      <w:rFonts w:ascii="Open Sans" w:hAnsi="Open Sans" w:cs="Open Sans"/>
                      <w:b/>
                      <w:sz w:val="20"/>
                      <w:szCs w:val="20"/>
                    </w:rPr>
                  </w:pPr>
                </w:p>
              </w:tc>
            </w:tr>
            <w:tr w:rsidR="004637B1" w:rsidRPr="00214F1D" w:rsidTr="00223D39">
              <w:trPr>
                <w:trHeight w:val="890"/>
              </w:trPr>
              <w:tc>
                <w:tcPr>
                  <w:tcW w:w="6718" w:type="dxa"/>
                  <w:shd w:val="clear" w:color="auto" w:fill="FFFFCC"/>
                  <w:vAlign w:val="center"/>
                </w:tcPr>
                <w:p w:rsidR="004637B1" w:rsidRPr="00214F1D" w:rsidRDefault="004637B1"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637B1" w:rsidRPr="00214F1D" w:rsidRDefault="004637B1" w:rsidP="00223D39">
                  <w:pPr>
                    <w:framePr w:hSpace="180" w:wrap="around" w:vAnchor="text" w:hAnchor="page" w:x="976" w:y="19"/>
                    <w:jc w:val="center"/>
                    <w:rPr>
                      <w:rFonts w:ascii="Open Sans" w:hAnsi="Open Sans" w:cs="Open Sans"/>
                      <w:b/>
                      <w:sz w:val="20"/>
                      <w:szCs w:val="20"/>
                    </w:rPr>
                  </w:pPr>
                </w:p>
              </w:tc>
            </w:tr>
            <w:tr w:rsidR="004637B1" w:rsidRPr="00214F1D" w:rsidTr="00223D39">
              <w:trPr>
                <w:trHeight w:val="1070"/>
              </w:trPr>
              <w:tc>
                <w:tcPr>
                  <w:tcW w:w="6718" w:type="dxa"/>
                  <w:shd w:val="clear" w:color="auto" w:fill="FFFFCC"/>
                  <w:vAlign w:val="center"/>
                </w:tcPr>
                <w:p w:rsidR="004637B1" w:rsidRPr="00214F1D" w:rsidRDefault="004637B1"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4637B1" w:rsidRPr="00214F1D" w:rsidRDefault="004637B1"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4637B1" w:rsidRPr="00214F1D" w:rsidRDefault="004637B1" w:rsidP="00223D39">
                  <w:pPr>
                    <w:framePr w:hSpace="180" w:wrap="around" w:vAnchor="text" w:hAnchor="page" w:x="976" w:y="19"/>
                    <w:jc w:val="center"/>
                    <w:rPr>
                      <w:rFonts w:ascii="Open Sans" w:hAnsi="Open Sans" w:cs="Open Sans"/>
                      <w:b/>
                      <w:sz w:val="20"/>
                      <w:szCs w:val="20"/>
                    </w:rPr>
                  </w:pPr>
                </w:p>
              </w:tc>
            </w:tr>
          </w:tbl>
          <w:p w:rsidR="004637B1" w:rsidRPr="00214F1D" w:rsidRDefault="004637B1" w:rsidP="00223D39">
            <w:pPr>
              <w:tabs>
                <w:tab w:val="left" w:pos="1065"/>
              </w:tabs>
              <w:rPr>
                <w:rFonts w:ascii="Open Sans" w:hAnsi="Open Sans" w:cs="Open Sans"/>
                <w:sz w:val="20"/>
                <w:szCs w:val="20"/>
              </w:rPr>
            </w:pPr>
          </w:p>
        </w:tc>
      </w:tr>
      <w:tr w:rsidR="004637B1" w:rsidRPr="00214F1D" w:rsidTr="00223D39">
        <w:trPr>
          <w:trHeight w:val="1358"/>
        </w:trPr>
        <w:tc>
          <w:tcPr>
            <w:tcW w:w="13902" w:type="dxa"/>
            <w:gridSpan w:val="4"/>
            <w:shd w:val="clear" w:color="auto" w:fill="FFFFCC"/>
          </w:tcPr>
          <w:p w:rsidR="004637B1" w:rsidRPr="00214F1D" w:rsidRDefault="004637B1"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4637B1" w:rsidRPr="00214F1D" w:rsidTr="00223D39">
        <w:trPr>
          <w:trHeight w:val="425"/>
        </w:trPr>
        <w:tc>
          <w:tcPr>
            <w:tcW w:w="6835" w:type="dxa"/>
            <w:vMerge w:val="restart"/>
            <w:shd w:val="clear" w:color="auto" w:fill="FFFFCC"/>
          </w:tcPr>
          <w:p w:rsidR="004637B1" w:rsidRDefault="004637B1" w:rsidP="00223D39">
            <w:pPr>
              <w:rPr>
                <w:rFonts w:ascii="Open Sans" w:hAnsi="Open Sans" w:cs="Open Sans"/>
                <w:b/>
                <w:sz w:val="20"/>
                <w:szCs w:val="20"/>
              </w:rPr>
            </w:pPr>
            <w:r>
              <w:rPr>
                <w:rFonts w:ascii="Open Sans" w:hAnsi="Open Sans" w:cs="Open Sans"/>
                <w:b/>
                <w:sz w:val="20"/>
                <w:szCs w:val="20"/>
              </w:rPr>
              <w:t>Materials meet all 5 metrics in section II: Rigor</w:t>
            </w:r>
          </w:p>
          <w:p w:rsidR="004637B1" w:rsidRDefault="004637B1" w:rsidP="00223D39">
            <w:pPr>
              <w:rPr>
                <w:rFonts w:ascii="Open Sans" w:hAnsi="Open Sans" w:cs="Open Sans"/>
                <w:b/>
                <w:sz w:val="20"/>
                <w:szCs w:val="20"/>
              </w:rPr>
            </w:pPr>
          </w:p>
          <w:p w:rsidR="004637B1" w:rsidRPr="00003A5D" w:rsidRDefault="004637B1"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4637B1" w:rsidRDefault="004637B1"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4637B1" w:rsidRDefault="004637B1"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4637B1" w:rsidRDefault="004637B1" w:rsidP="00223D39">
            <w:pPr>
              <w:jc w:val="center"/>
              <w:rPr>
                <w:rFonts w:ascii="Open Sans" w:hAnsi="Open Sans" w:cs="Open Sans"/>
                <w:b/>
                <w:sz w:val="20"/>
                <w:szCs w:val="20"/>
              </w:rPr>
            </w:pPr>
          </w:p>
        </w:tc>
      </w:tr>
      <w:tr w:rsidR="004637B1" w:rsidRPr="00214F1D" w:rsidTr="00223D39">
        <w:trPr>
          <w:trHeight w:val="682"/>
        </w:trPr>
        <w:tc>
          <w:tcPr>
            <w:tcW w:w="6835" w:type="dxa"/>
            <w:vMerge/>
            <w:shd w:val="clear" w:color="auto" w:fill="FFFFCC"/>
          </w:tcPr>
          <w:p w:rsidR="004637B1" w:rsidRDefault="004637B1" w:rsidP="00223D39">
            <w:pPr>
              <w:rPr>
                <w:rFonts w:ascii="Open Sans" w:hAnsi="Open Sans" w:cs="Open Sans"/>
                <w:b/>
                <w:sz w:val="20"/>
                <w:szCs w:val="20"/>
              </w:rPr>
            </w:pPr>
          </w:p>
        </w:tc>
        <w:tc>
          <w:tcPr>
            <w:tcW w:w="1170" w:type="dxa"/>
            <w:shd w:val="clear" w:color="auto" w:fill="92D050"/>
          </w:tcPr>
          <w:p w:rsidR="004637B1" w:rsidRDefault="004637B1" w:rsidP="00223D39">
            <w:pPr>
              <w:rPr>
                <w:rFonts w:ascii="Open Sans" w:hAnsi="Open Sans" w:cs="Open Sans"/>
                <w:b/>
                <w:sz w:val="20"/>
                <w:szCs w:val="20"/>
              </w:rPr>
            </w:pPr>
          </w:p>
        </w:tc>
        <w:tc>
          <w:tcPr>
            <w:tcW w:w="1260" w:type="dxa"/>
            <w:shd w:val="clear" w:color="auto" w:fill="FF0000"/>
          </w:tcPr>
          <w:p w:rsidR="004637B1" w:rsidRDefault="004637B1" w:rsidP="00223D39">
            <w:pPr>
              <w:rPr>
                <w:rFonts w:ascii="Open Sans" w:hAnsi="Open Sans" w:cs="Open Sans"/>
                <w:b/>
                <w:sz w:val="20"/>
                <w:szCs w:val="20"/>
              </w:rPr>
            </w:pPr>
          </w:p>
        </w:tc>
        <w:tc>
          <w:tcPr>
            <w:tcW w:w="4637" w:type="dxa"/>
            <w:vMerge/>
            <w:shd w:val="clear" w:color="auto" w:fill="FFFFCC"/>
          </w:tcPr>
          <w:p w:rsidR="004637B1" w:rsidRDefault="004637B1" w:rsidP="00223D39">
            <w:pPr>
              <w:rPr>
                <w:rFonts w:ascii="Open Sans" w:hAnsi="Open Sans" w:cs="Open Sans"/>
                <w:b/>
                <w:sz w:val="20"/>
                <w:szCs w:val="20"/>
              </w:rPr>
            </w:pPr>
          </w:p>
        </w:tc>
      </w:tr>
    </w:tbl>
    <w:p w:rsidR="004637B1" w:rsidRPr="00214F1D" w:rsidRDefault="004637B1" w:rsidP="004637B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4637B1" w:rsidRPr="00214F1D" w:rsidTr="00223D39">
        <w:trPr>
          <w:trHeight w:val="267"/>
        </w:trPr>
        <w:tc>
          <w:tcPr>
            <w:tcW w:w="13860" w:type="dxa"/>
            <w:gridSpan w:val="4"/>
            <w:shd w:val="clear" w:color="auto" w:fill="CC66FF"/>
          </w:tcPr>
          <w:p w:rsidR="004637B1" w:rsidRPr="00AF7A17" w:rsidRDefault="004637B1" w:rsidP="00223D39">
            <w:pPr>
              <w:jc w:val="center"/>
              <w:rPr>
                <w:rFonts w:ascii="Open Sans" w:hAnsi="Open Sans" w:cs="Open Sans"/>
                <w:b/>
                <w:sz w:val="28"/>
                <w:szCs w:val="28"/>
              </w:rPr>
            </w:pPr>
            <w:r w:rsidRPr="00AF7A17">
              <w:rPr>
                <w:rFonts w:ascii="Open Sans" w:hAnsi="Open Sans" w:cs="Open Sans"/>
                <w:b/>
                <w:sz w:val="28"/>
                <w:szCs w:val="28"/>
              </w:rPr>
              <w:t>SECTION III</w:t>
            </w:r>
          </w:p>
          <w:p w:rsidR="004637B1" w:rsidRPr="00AF7A17" w:rsidRDefault="004637B1"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4637B1" w:rsidRPr="0073274E" w:rsidRDefault="004637B1"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4637B1" w:rsidRPr="00214F1D" w:rsidTr="00223D39">
        <w:trPr>
          <w:trHeight w:val="323"/>
        </w:trPr>
        <w:tc>
          <w:tcPr>
            <w:tcW w:w="13860" w:type="dxa"/>
            <w:gridSpan w:val="4"/>
            <w:shd w:val="clear" w:color="auto" w:fill="CC66FF"/>
          </w:tcPr>
          <w:p w:rsidR="004637B1" w:rsidRPr="00214F1D" w:rsidRDefault="004637B1" w:rsidP="00223D39">
            <w:pPr>
              <w:rPr>
                <w:rFonts w:ascii="Open Sans" w:hAnsi="Open Sans" w:cs="Open Sans"/>
                <w:b/>
                <w:sz w:val="20"/>
                <w:szCs w:val="20"/>
              </w:rPr>
            </w:pPr>
            <w:r w:rsidRPr="00214F1D">
              <w:rPr>
                <w:rFonts w:ascii="Open Sans" w:hAnsi="Open Sans" w:cs="Open Sans"/>
                <w:b/>
                <w:sz w:val="20"/>
                <w:szCs w:val="20"/>
              </w:rPr>
              <w:t>METRICS:</w:t>
            </w:r>
          </w:p>
        </w:tc>
      </w:tr>
      <w:tr w:rsidR="004637B1"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4637B1" w:rsidRPr="00214F1D" w:rsidTr="00223D39">
              <w:trPr>
                <w:trHeight w:val="800"/>
              </w:trPr>
              <w:tc>
                <w:tcPr>
                  <w:tcW w:w="2507" w:type="pct"/>
                  <w:shd w:val="clear" w:color="auto" w:fill="CCC0D9" w:themeFill="accent4" w:themeFillTint="66"/>
                  <w:vAlign w:val="center"/>
                </w:tcPr>
                <w:p w:rsidR="004637B1" w:rsidRPr="00214F1D" w:rsidRDefault="004637B1"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4637B1" w:rsidRPr="00214F1D" w:rsidRDefault="004637B1"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4637B1" w:rsidRDefault="004637B1"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4637B1" w:rsidRPr="00214F1D" w:rsidRDefault="004637B1" w:rsidP="00223D39">
                  <w:pPr>
                    <w:jc w:val="center"/>
                    <w:rPr>
                      <w:rFonts w:ascii="Open Sans" w:hAnsi="Open Sans" w:cs="Open Sans"/>
                      <w:b/>
                      <w:sz w:val="20"/>
                      <w:szCs w:val="20"/>
                    </w:rPr>
                  </w:pPr>
                  <w:r>
                    <w:rPr>
                      <w:rFonts w:ascii="Open Sans" w:hAnsi="Open Sans" w:cs="Open Sans"/>
                      <w:b/>
                      <w:sz w:val="20"/>
                      <w:szCs w:val="20"/>
                    </w:rPr>
                    <w:t>Evidence/Notes</w:t>
                  </w:r>
                </w:p>
              </w:tc>
            </w:tr>
            <w:tr w:rsidR="004637B1" w:rsidRPr="00214F1D" w:rsidTr="00223D39">
              <w:trPr>
                <w:trHeight w:val="800"/>
              </w:trPr>
              <w:tc>
                <w:tcPr>
                  <w:tcW w:w="2507" w:type="pct"/>
                  <w:shd w:val="clear" w:color="auto" w:fill="CCC0D9" w:themeFill="accent4" w:themeFillTint="66"/>
                  <w:vAlign w:val="center"/>
                </w:tcPr>
                <w:p w:rsidR="004637B1" w:rsidRPr="00214F1D" w:rsidRDefault="004637B1"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4637B1" w:rsidRPr="00214F1D" w:rsidRDefault="004637B1" w:rsidP="00223D39">
                  <w:pPr>
                    <w:jc w:val="center"/>
                    <w:rPr>
                      <w:rFonts w:ascii="Open Sans" w:hAnsi="Open Sans" w:cs="Open Sans"/>
                      <w:b/>
                      <w:sz w:val="20"/>
                      <w:szCs w:val="20"/>
                    </w:rPr>
                  </w:pPr>
                </w:p>
              </w:tc>
              <w:tc>
                <w:tcPr>
                  <w:tcW w:w="363" w:type="pct"/>
                  <w:shd w:val="clear" w:color="auto" w:fill="CCC0D9" w:themeFill="accent4" w:themeFillTint="66"/>
                </w:tcPr>
                <w:p w:rsidR="004637B1" w:rsidRPr="00214F1D" w:rsidRDefault="004637B1" w:rsidP="00223D39">
                  <w:pPr>
                    <w:jc w:val="center"/>
                    <w:rPr>
                      <w:rFonts w:ascii="Open Sans" w:hAnsi="Open Sans" w:cs="Open Sans"/>
                      <w:b/>
                      <w:sz w:val="20"/>
                      <w:szCs w:val="20"/>
                    </w:rPr>
                  </w:pPr>
                </w:p>
              </w:tc>
              <w:tc>
                <w:tcPr>
                  <w:tcW w:w="1767" w:type="pct"/>
                  <w:shd w:val="clear" w:color="auto" w:fill="CCC0D9" w:themeFill="accent4" w:themeFillTint="66"/>
                </w:tcPr>
                <w:p w:rsidR="004637B1" w:rsidRPr="00214F1D" w:rsidRDefault="004637B1" w:rsidP="00223D39">
                  <w:pPr>
                    <w:jc w:val="center"/>
                    <w:rPr>
                      <w:rFonts w:ascii="Open Sans" w:hAnsi="Open Sans" w:cs="Open Sans"/>
                      <w:b/>
                      <w:sz w:val="20"/>
                      <w:szCs w:val="20"/>
                    </w:rPr>
                  </w:pPr>
                </w:p>
              </w:tc>
            </w:tr>
            <w:tr w:rsidR="004637B1" w:rsidRPr="00214F1D" w:rsidTr="00223D39">
              <w:trPr>
                <w:trHeight w:val="962"/>
              </w:trPr>
              <w:tc>
                <w:tcPr>
                  <w:tcW w:w="2507" w:type="pct"/>
                  <w:shd w:val="clear" w:color="auto" w:fill="CCC0D9" w:themeFill="accent4" w:themeFillTint="66"/>
                  <w:vAlign w:val="center"/>
                </w:tcPr>
                <w:p w:rsidR="004637B1" w:rsidRPr="00214F1D" w:rsidRDefault="004637B1"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4637B1" w:rsidRPr="00214F1D" w:rsidRDefault="004637B1"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4637B1" w:rsidRPr="00214F1D" w:rsidRDefault="004637B1" w:rsidP="00223D39">
                  <w:pPr>
                    <w:jc w:val="center"/>
                    <w:rPr>
                      <w:rFonts w:ascii="Open Sans" w:hAnsi="Open Sans" w:cs="Open Sans"/>
                      <w:b/>
                      <w:sz w:val="20"/>
                      <w:szCs w:val="20"/>
                    </w:rPr>
                  </w:pPr>
                </w:p>
              </w:tc>
              <w:tc>
                <w:tcPr>
                  <w:tcW w:w="1767" w:type="pct"/>
                  <w:shd w:val="clear" w:color="auto" w:fill="CCC0D9" w:themeFill="accent4" w:themeFillTint="66"/>
                </w:tcPr>
                <w:p w:rsidR="004637B1" w:rsidRPr="00214F1D" w:rsidRDefault="004637B1" w:rsidP="00223D39">
                  <w:pPr>
                    <w:jc w:val="center"/>
                    <w:rPr>
                      <w:rFonts w:ascii="Open Sans" w:hAnsi="Open Sans" w:cs="Open Sans"/>
                      <w:b/>
                      <w:sz w:val="20"/>
                      <w:szCs w:val="20"/>
                    </w:rPr>
                  </w:pPr>
                </w:p>
              </w:tc>
            </w:tr>
            <w:tr w:rsidR="004637B1" w:rsidRPr="00214F1D" w:rsidTr="00223D39">
              <w:trPr>
                <w:trHeight w:val="962"/>
              </w:trPr>
              <w:tc>
                <w:tcPr>
                  <w:tcW w:w="2507" w:type="pct"/>
                  <w:shd w:val="clear" w:color="auto" w:fill="CCC0D9" w:themeFill="accent4" w:themeFillTint="66"/>
                  <w:vAlign w:val="center"/>
                </w:tcPr>
                <w:p w:rsidR="004637B1" w:rsidRPr="00214F1D" w:rsidRDefault="004637B1"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4637B1" w:rsidRPr="00214F1D" w:rsidRDefault="004637B1"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4637B1" w:rsidRPr="00214F1D" w:rsidRDefault="004637B1" w:rsidP="00223D39">
                  <w:pPr>
                    <w:jc w:val="center"/>
                    <w:rPr>
                      <w:rFonts w:ascii="Open Sans" w:hAnsi="Open Sans" w:cs="Open Sans"/>
                      <w:b/>
                      <w:sz w:val="20"/>
                      <w:szCs w:val="20"/>
                    </w:rPr>
                  </w:pPr>
                </w:p>
              </w:tc>
              <w:tc>
                <w:tcPr>
                  <w:tcW w:w="1767" w:type="pct"/>
                  <w:shd w:val="clear" w:color="auto" w:fill="CCC0D9" w:themeFill="accent4" w:themeFillTint="66"/>
                </w:tcPr>
                <w:p w:rsidR="004637B1" w:rsidRPr="00214F1D" w:rsidRDefault="004637B1" w:rsidP="00223D39">
                  <w:pPr>
                    <w:jc w:val="center"/>
                    <w:rPr>
                      <w:rFonts w:ascii="Open Sans" w:hAnsi="Open Sans" w:cs="Open Sans"/>
                      <w:b/>
                      <w:sz w:val="20"/>
                      <w:szCs w:val="20"/>
                    </w:rPr>
                  </w:pPr>
                </w:p>
              </w:tc>
            </w:tr>
            <w:tr w:rsidR="004637B1" w:rsidRPr="00214F1D" w:rsidTr="00223D39">
              <w:trPr>
                <w:trHeight w:val="962"/>
              </w:trPr>
              <w:tc>
                <w:tcPr>
                  <w:tcW w:w="2507" w:type="pct"/>
                  <w:shd w:val="clear" w:color="auto" w:fill="CCC0D9" w:themeFill="accent4" w:themeFillTint="66"/>
                  <w:vAlign w:val="center"/>
                </w:tcPr>
                <w:p w:rsidR="004637B1" w:rsidRPr="00214F1D" w:rsidRDefault="004637B1"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4637B1" w:rsidRPr="00214F1D" w:rsidRDefault="004637B1"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4637B1" w:rsidRPr="00214F1D" w:rsidRDefault="004637B1" w:rsidP="00223D39">
                  <w:pPr>
                    <w:jc w:val="center"/>
                    <w:rPr>
                      <w:rFonts w:ascii="Open Sans" w:hAnsi="Open Sans" w:cs="Open Sans"/>
                      <w:b/>
                      <w:sz w:val="20"/>
                      <w:szCs w:val="20"/>
                    </w:rPr>
                  </w:pPr>
                </w:p>
              </w:tc>
              <w:tc>
                <w:tcPr>
                  <w:tcW w:w="1767" w:type="pct"/>
                  <w:shd w:val="clear" w:color="auto" w:fill="CCC0D9" w:themeFill="accent4" w:themeFillTint="66"/>
                </w:tcPr>
                <w:p w:rsidR="004637B1" w:rsidRPr="00214F1D" w:rsidRDefault="004637B1" w:rsidP="00223D39">
                  <w:pPr>
                    <w:jc w:val="center"/>
                    <w:rPr>
                      <w:rFonts w:ascii="Open Sans" w:hAnsi="Open Sans" w:cs="Open Sans"/>
                      <w:b/>
                      <w:sz w:val="20"/>
                      <w:szCs w:val="20"/>
                    </w:rPr>
                  </w:pPr>
                </w:p>
              </w:tc>
            </w:tr>
          </w:tbl>
          <w:p w:rsidR="004637B1" w:rsidRPr="00214F1D" w:rsidRDefault="004637B1" w:rsidP="00223D39">
            <w:pPr>
              <w:rPr>
                <w:rFonts w:ascii="Open Sans" w:hAnsi="Open Sans" w:cs="Open Sans"/>
                <w:sz w:val="20"/>
                <w:szCs w:val="20"/>
              </w:rPr>
            </w:pPr>
          </w:p>
        </w:tc>
      </w:tr>
      <w:tr w:rsidR="004637B1" w:rsidRPr="00214F1D" w:rsidTr="00223D39">
        <w:trPr>
          <w:trHeight w:val="620"/>
        </w:trPr>
        <w:tc>
          <w:tcPr>
            <w:tcW w:w="13860" w:type="dxa"/>
            <w:gridSpan w:val="4"/>
            <w:shd w:val="clear" w:color="auto" w:fill="CCC0D9" w:themeFill="accent4" w:themeFillTint="66"/>
          </w:tcPr>
          <w:p w:rsidR="004637B1" w:rsidRDefault="004637B1"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4637B1" w:rsidRDefault="004637B1" w:rsidP="00223D39">
            <w:pPr>
              <w:keepNext/>
              <w:outlineLvl w:val="4"/>
              <w:rPr>
                <w:rFonts w:ascii="Open Sans" w:hAnsi="Open Sans" w:cs="Open Sans"/>
                <w:b/>
                <w:sz w:val="20"/>
                <w:szCs w:val="20"/>
              </w:rPr>
            </w:pPr>
          </w:p>
          <w:p w:rsidR="004637B1" w:rsidRDefault="004637B1" w:rsidP="00223D39">
            <w:pPr>
              <w:keepNext/>
              <w:outlineLvl w:val="4"/>
              <w:rPr>
                <w:rFonts w:ascii="Open Sans" w:hAnsi="Open Sans" w:cs="Open Sans"/>
                <w:b/>
                <w:sz w:val="20"/>
                <w:szCs w:val="20"/>
              </w:rPr>
            </w:pPr>
          </w:p>
          <w:p w:rsidR="004637B1" w:rsidRPr="00214F1D" w:rsidRDefault="004637B1" w:rsidP="00223D39">
            <w:pPr>
              <w:keepNext/>
              <w:outlineLvl w:val="4"/>
              <w:rPr>
                <w:rFonts w:ascii="Open Sans" w:hAnsi="Open Sans" w:cs="Open Sans"/>
                <w:b/>
                <w:sz w:val="20"/>
                <w:szCs w:val="20"/>
              </w:rPr>
            </w:pPr>
          </w:p>
        </w:tc>
      </w:tr>
      <w:tr w:rsidR="004637B1" w:rsidRPr="00214F1D" w:rsidTr="00223D39">
        <w:trPr>
          <w:trHeight w:val="332"/>
        </w:trPr>
        <w:tc>
          <w:tcPr>
            <w:tcW w:w="6907" w:type="dxa"/>
            <w:vMerge w:val="restart"/>
            <w:shd w:val="clear" w:color="auto" w:fill="CCC0D9" w:themeFill="accent4" w:themeFillTint="66"/>
          </w:tcPr>
          <w:p w:rsidR="004637B1" w:rsidRDefault="004637B1"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4637B1" w:rsidRDefault="004637B1" w:rsidP="00223D39">
            <w:pPr>
              <w:keepNext/>
              <w:outlineLvl w:val="4"/>
              <w:rPr>
                <w:rFonts w:ascii="Open Sans" w:hAnsi="Open Sans" w:cs="Open Sans"/>
                <w:b/>
                <w:sz w:val="20"/>
                <w:szCs w:val="20"/>
              </w:rPr>
            </w:pPr>
          </w:p>
          <w:p w:rsidR="004637B1" w:rsidRPr="00214F1D" w:rsidRDefault="004637B1"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4637B1" w:rsidRPr="00214F1D" w:rsidRDefault="004637B1"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4637B1" w:rsidRPr="00214F1D" w:rsidRDefault="004637B1"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4637B1" w:rsidRPr="00214F1D" w:rsidRDefault="004637B1" w:rsidP="00223D39">
            <w:pPr>
              <w:keepNext/>
              <w:outlineLvl w:val="4"/>
              <w:rPr>
                <w:rFonts w:ascii="Open Sans" w:hAnsi="Open Sans" w:cs="Open Sans"/>
                <w:b/>
                <w:sz w:val="20"/>
                <w:szCs w:val="20"/>
              </w:rPr>
            </w:pPr>
          </w:p>
        </w:tc>
      </w:tr>
      <w:tr w:rsidR="004637B1" w:rsidRPr="00214F1D" w:rsidTr="00223D39">
        <w:trPr>
          <w:trHeight w:val="405"/>
        </w:trPr>
        <w:tc>
          <w:tcPr>
            <w:tcW w:w="6907" w:type="dxa"/>
            <w:vMerge/>
            <w:shd w:val="clear" w:color="auto" w:fill="CCC0D9" w:themeFill="accent4" w:themeFillTint="66"/>
          </w:tcPr>
          <w:p w:rsidR="004637B1" w:rsidRDefault="004637B1" w:rsidP="00223D39">
            <w:pPr>
              <w:keepNext/>
              <w:outlineLvl w:val="4"/>
              <w:rPr>
                <w:rFonts w:ascii="Open Sans" w:hAnsi="Open Sans" w:cs="Open Sans"/>
                <w:b/>
                <w:sz w:val="20"/>
                <w:szCs w:val="20"/>
              </w:rPr>
            </w:pPr>
          </w:p>
        </w:tc>
        <w:tc>
          <w:tcPr>
            <w:tcW w:w="1080" w:type="dxa"/>
            <w:shd w:val="clear" w:color="auto" w:fill="92D050"/>
          </w:tcPr>
          <w:p w:rsidR="004637B1" w:rsidRPr="00214F1D" w:rsidRDefault="004637B1" w:rsidP="00223D39">
            <w:pPr>
              <w:keepNext/>
              <w:outlineLvl w:val="4"/>
              <w:rPr>
                <w:rFonts w:ascii="Open Sans" w:hAnsi="Open Sans" w:cs="Open Sans"/>
                <w:b/>
                <w:sz w:val="20"/>
                <w:szCs w:val="20"/>
              </w:rPr>
            </w:pPr>
          </w:p>
        </w:tc>
        <w:tc>
          <w:tcPr>
            <w:tcW w:w="900" w:type="dxa"/>
            <w:shd w:val="clear" w:color="auto" w:fill="FF0000"/>
          </w:tcPr>
          <w:p w:rsidR="004637B1" w:rsidRPr="00214F1D" w:rsidRDefault="004637B1"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4637B1" w:rsidRPr="00214F1D" w:rsidRDefault="004637B1" w:rsidP="00223D39">
            <w:pPr>
              <w:keepNext/>
              <w:outlineLvl w:val="4"/>
              <w:rPr>
                <w:rFonts w:ascii="Open Sans" w:hAnsi="Open Sans" w:cs="Open Sans"/>
                <w:b/>
                <w:sz w:val="20"/>
                <w:szCs w:val="20"/>
              </w:rPr>
            </w:pPr>
          </w:p>
        </w:tc>
      </w:tr>
    </w:tbl>
    <w:p w:rsidR="004637B1" w:rsidRPr="00214F1D" w:rsidRDefault="004637B1" w:rsidP="004637B1">
      <w:pPr>
        <w:spacing w:after="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r>
        <w:rPr>
          <w:rFonts w:ascii="Open Sans" w:hAnsi="Open Sans" w:cs="Open Sans"/>
          <w:sz w:val="20"/>
          <w:szCs w:val="20"/>
        </w:rPr>
        <w:br/>
      </w: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Default="004637B1" w:rsidP="004637B1">
      <w:pPr>
        <w:spacing w:after="0"/>
        <w:ind w:left="720"/>
        <w:contextualSpacing/>
        <w:rPr>
          <w:rFonts w:ascii="Open Sans" w:hAnsi="Open Sans" w:cs="Open Sans"/>
          <w:sz w:val="20"/>
          <w:szCs w:val="20"/>
        </w:rPr>
      </w:pPr>
    </w:p>
    <w:p w:rsidR="004637B1" w:rsidRPr="00214F1D" w:rsidRDefault="004637B1" w:rsidP="004637B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4637B1" w:rsidRPr="00214F1D" w:rsidTr="00223D39">
        <w:trPr>
          <w:trHeight w:val="890"/>
        </w:trPr>
        <w:tc>
          <w:tcPr>
            <w:tcW w:w="13860" w:type="dxa"/>
            <w:shd w:val="clear" w:color="auto" w:fill="F2F2F2" w:themeFill="background1" w:themeFillShade="F2"/>
            <w:vAlign w:val="center"/>
          </w:tcPr>
          <w:p w:rsidR="004637B1" w:rsidRDefault="004637B1" w:rsidP="00223D39">
            <w:pPr>
              <w:rPr>
                <w:rFonts w:ascii="Open Sans" w:eastAsia="Times New Roman" w:hAnsi="Open Sans" w:cs="Open Sans"/>
                <w:b/>
                <w:sz w:val="20"/>
                <w:szCs w:val="20"/>
              </w:rPr>
            </w:pPr>
          </w:p>
          <w:p w:rsidR="004637B1" w:rsidRPr="00AF7A17" w:rsidRDefault="004637B1"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4637B1" w:rsidRPr="00214F1D" w:rsidRDefault="004637B1"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4637B1" w:rsidRPr="00214F1D" w:rsidTr="00223D39">
        <w:trPr>
          <w:trHeight w:val="1457"/>
        </w:trPr>
        <w:tc>
          <w:tcPr>
            <w:tcW w:w="13860" w:type="dxa"/>
          </w:tcPr>
          <w:p w:rsidR="004637B1" w:rsidRPr="00214F1D" w:rsidRDefault="004637B1" w:rsidP="00223D39">
            <w:pPr>
              <w:contextualSpacing/>
              <w:rPr>
                <w:rFonts w:ascii="Open Sans" w:hAnsi="Open Sans" w:cs="Open Sans"/>
                <w:sz w:val="20"/>
                <w:szCs w:val="20"/>
              </w:rPr>
            </w:pPr>
          </w:p>
          <w:p w:rsidR="004637B1" w:rsidRPr="00214F1D" w:rsidRDefault="004637B1"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4637B1" w:rsidRPr="00AF7A17" w:rsidRDefault="004637B1"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4637B1" w:rsidRPr="00214F1D" w:rsidRDefault="004637B1" w:rsidP="00223D39">
            <w:pPr>
              <w:contextualSpacing/>
              <w:rPr>
                <w:rFonts w:ascii="Open Sans" w:hAnsi="Open Sans" w:cs="Open Sans"/>
                <w:sz w:val="20"/>
                <w:szCs w:val="20"/>
              </w:rPr>
            </w:pPr>
          </w:p>
        </w:tc>
      </w:tr>
    </w:tbl>
    <w:p w:rsidR="004637B1" w:rsidRPr="00214F1D" w:rsidRDefault="004637B1" w:rsidP="004637B1">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4637B1" w:rsidRPr="00214F1D" w:rsidTr="00223D39">
        <w:tc>
          <w:tcPr>
            <w:tcW w:w="7290" w:type="dxa"/>
            <w:shd w:val="clear" w:color="auto" w:fill="F2F2F2" w:themeFill="background1" w:themeFillShade="F2"/>
            <w:vAlign w:val="center"/>
          </w:tcPr>
          <w:p w:rsidR="004637B1" w:rsidRPr="00214F1D" w:rsidRDefault="004637B1"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637B1" w:rsidRPr="00214F1D" w:rsidTr="00223D39">
        <w:trPr>
          <w:trHeight w:val="1403"/>
        </w:trPr>
        <w:tc>
          <w:tcPr>
            <w:tcW w:w="7290" w:type="dxa"/>
            <w:vAlign w:val="center"/>
          </w:tcPr>
          <w:p w:rsidR="004637B1" w:rsidRPr="00214F1D" w:rsidRDefault="004637B1"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700"/>
        </w:trPr>
        <w:tc>
          <w:tcPr>
            <w:tcW w:w="7290" w:type="dxa"/>
            <w:vAlign w:val="center"/>
          </w:tcPr>
          <w:p w:rsidR="004637B1" w:rsidRPr="00214F1D" w:rsidRDefault="004637B1"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4637B1" w:rsidRPr="00214F1D" w:rsidRDefault="004637B1" w:rsidP="00223D39">
            <w:pPr>
              <w:contextualSpacing/>
              <w:rPr>
                <w:rFonts w:ascii="Open Sans" w:hAnsi="Open Sans" w:cs="Open Sans"/>
                <w:sz w:val="20"/>
                <w:szCs w:val="20"/>
              </w:rPr>
            </w:pPr>
          </w:p>
        </w:tc>
      </w:tr>
      <w:tr w:rsidR="004637B1" w:rsidRPr="00214F1D" w:rsidTr="00223D39">
        <w:trPr>
          <w:trHeight w:val="1520"/>
        </w:trPr>
        <w:tc>
          <w:tcPr>
            <w:tcW w:w="7290" w:type="dxa"/>
            <w:vAlign w:val="center"/>
          </w:tcPr>
          <w:p w:rsidR="004637B1" w:rsidRPr="00214F1D" w:rsidRDefault="004637B1"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4637B1" w:rsidRPr="00214F1D" w:rsidRDefault="004637B1" w:rsidP="00223D39">
            <w:pPr>
              <w:contextualSpacing/>
              <w:rPr>
                <w:rFonts w:ascii="Open Sans" w:hAnsi="Open Sans" w:cs="Open Sans"/>
                <w:sz w:val="20"/>
                <w:szCs w:val="20"/>
              </w:rPr>
            </w:pPr>
          </w:p>
        </w:tc>
      </w:tr>
    </w:tbl>
    <w:p w:rsidR="004637B1" w:rsidRDefault="004637B1" w:rsidP="004637B1">
      <w:pPr>
        <w:spacing w:after="0" w:line="240" w:lineRule="auto"/>
        <w:rPr>
          <w:rFonts w:ascii="Open Sans" w:hAnsi="Open Sans" w:cs="Open Sans"/>
          <w:sz w:val="20"/>
          <w:szCs w:val="20"/>
        </w:rPr>
      </w:pPr>
    </w:p>
    <w:p w:rsidR="004637B1" w:rsidRDefault="004637B1" w:rsidP="004637B1">
      <w:pPr>
        <w:spacing w:after="0" w:line="240" w:lineRule="auto"/>
        <w:rPr>
          <w:rFonts w:ascii="Open Sans" w:hAnsi="Open Sans" w:cs="Open Sans"/>
          <w:sz w:val="20"/>
          <w:szCs w:val="20"/>
        </w:rPr>
      </w:pPr>
    </w:p>
    <w:p w:rsidR="004637B1" w:rsidRPr="00214F1D" w:rsidRDefault="004637B1" w:rsidP="004637B1">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4637B1" w:rsidRPr="00214F1D" w:rsidTr="00223D39">
        <w:trPr>
          <w:trHeight w:val="350"/>
        </w:trPr>
        <w:tc>
          <w:tcPr>
            <w:tcW w:w="7290" w:type="dxa"/>
            <w:shd w:val="clear" w:color="auto" w:fill="F2F2F2" w:themeFill="background1" w:themeFillShade="F2"/>
            <w:vAlign w:val="center"/>
          </w:tcPr>
          <w:p w:rsidR="004637B1" w:rsidRPr="00214F1D" w:rsidRDefault="004637B1"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637B1" w:rsidRPr="00214F1D" w:rsidTr="00223D39">
        <w:trPr>
          <w:trHeight w:val="1187"/>
        </w:trPr>
        <w:tc>
          <w:tcPr>
            <w:tcW w:w="7290" w:type="dxa"/>
            <w:vAlign w:val="center"/>
          </w:tcPr>
          <w:p w:rsidR="004637B1" w:rsidRPr="00214F1D" w:rsidRDefault="004637B1"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250"/>
        </w:trPr>
        <w:tc>
          <w:tcPr>
            <w:tcW w:w="7290" w:type="dxa"/>
            <w:vAlign w:val="center"/>
          </w:tcPr>
          <w:p w:rsidR="004637B1" w:rsidRPr="00214F1D" w:rsidRDefault="004637B1"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4637B1" w:rsidRPr="00214F1D" w:rsidRDefault="004637B1" w:rsidP="00223D39">
            <w:pPr>
              <w:contextualSpacing/>
              <w:rPr>
                <w:rFonts w:ascii="Open Sans" w:hAnsi="Open Sans" w:cs="Open Sans"/>
                <w:sz w:val="20"/>
                <w:szCs w:val="20"/>
              </w:rPr>
            </w:pPr>
          </w:p>
        </w:tc>
      </w:tr>
      <w:tr w:rsidR="004637B1" w:rsidRPr="00214F1D" w:rsidTr="00223D39">
        <w:trPr>
          <w:trHeight w:val="1781"/>
        </w:trPr>
        <w:tc>
          <w:tcPr>
            <w:tcW w:w="7290" w:type="dxa"/>
            <w:vAlign w:val="center"/>
          </w:tcPr>
          <w:p w:rsidR="004637B1" w:rsidRPr="00214F1D" w:rsidRDefault="004637B1"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4637B1" w:rsidRPr="00214F1D" w:rsidRDefault="004637B1" w:rsidP="00223D39">
            <w:pPr>
              <w:contextualSpacing/>
              <w:rPr>
                <w:rFonts w:ascii="Open Sans" w:hAnsi="Open Sans" w:cs="Open Sans"/>
                <w:sz w:val="20"/>
                <w:szCs w:val="20"/>
              </w:rPr>
            </w:pPr>
          </w:p>
        </w:tc>
      </w:tr>
    </w:tbl>
    <w:p w:rsidR="004637B1" w:rsidRPr="00214F1D" w:rsidRDefault="004637B1" w:rsidP="004637B1">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4637B1" w:rsidRPr="00214F1D" w:rsidTr="00223D39">
        <w:trPr>
          <w:trHeight w:val="395"/>
        </w:trPr>
        <w:tc>
          <w:tcPr>
            <w:tcW w:w="7290" w:type="dxa"/>
            <w:shd w:val="clear" w:color="auto" w:fill="F2F2F2" w:themeFill="background1" w:themeFillShade="F2"/>
            <w:vAlign w:val="center"/>
          </w:tcPr>
          <w:p w:rsidR="004637B1" w:rsidRPr="00214F1D" w:rsidRDefault="004637B1"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637B1" w:rsidRPr="00214F1D" w:rsidTr="00223D39">
        <w:trPr>
          <w:trHeight w:val="1160"/>
        </w:trPr>
        <w:tc>
          <w:tcPr>
            <w:tcW w:w="7290" w:type="dxa"/>
            <w:vAlign w:val="center"/>
          </w:tcPr>
          <w:p w:rsidR="004637B1" w:rsidRPr="00214F1D" w:rsidRDefault="004637B1"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376"/>
        </w:trPr>
        <w:tc>
          <w:tcPr>
            <w:tcW w:w="7290" w:type="dxa"/>
            <w:vAlign w:val="center"/>
          </w:tcPr>
          <w:p w:rsidR="004637B1" w:rsidRPr="00214F1D" w:rsidRDefault="004637B1"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376"/>
        </w:trPr>
        <w:tc>
          <w:tcPr>
            <w:tcW w:w="7290" w:type="dxa"/>
            <w:vAlign w:val="center"/>
          </w:tcPr>
          <w:p w:rsidR="004637B1" w:rsidRPr="00214F1D" w:rsidRDefault="004637B1"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680" w:type="dxa"/>
          </w:tcPr>
          <w:p w:rsidR="004637B1" w:rsidRPr="00214F1D" w:rsidRDefault="004637B1" w:rsidP="00223D39">
            <w:pPr>
              <w:contextualSpacing/>
              <w:rPr>
                <w:rFonts w:ascii="Open Sans" w:hAnsi="Open Sans" w:cs="Open Sans"/>
                <w:sz w:val="20"/>
                <w:szCs w:val="20"/>
              </w:rPr>
            </w:pPr>
          </w:p>
        </w:tc>
      </w:tr>
    </w:tbl>
    <w:p w:rsidR="004637B1" w:rsidRPr="00214F1D" w:rsidRDefault="004637B1" w:rsidP="004637B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4637B1" w:rsidRPr="00214F1D" w:rsidTr="00223D39">
        <w:trPr>
          <w:trHeight w:val="395"/>
        </w:trPr>
        <w:tc>
          <w:tcPr>
            <w:tcW w:w="7290" w:type="dxa"/>
            <w:shd w:val="clear" w:color="auto" w:fill="F2F2F2" w:themeFill="background1" w:themeFillShade="F2"/>
            <w:vAlign w:val="center"/>
          </w:tcPr>
          <w:p w:rsidR="004637B1" w:rsidRPr="00214F1D" w:rsidRDefault="004637B1"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637B1" w:rsidRPr="00214F1D" w:rsidTr="00223D39">
        <w:trPr>
          <w:trHeight w:val="1367"/>
        </w:trPr>
        <w:tc>
          <w:tcPr>
            <w:tcW w:w="7290" w:type="dxa"/>
            <w:vAlign w:val="center"/>
          </w:tcPr>
          <w:p w:rsidR="004637B1" w:rsidRPr="00214F1D" w:rsidRDefault="004637B1"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361"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115"/>
        </w:trPr>
        <w:tc>
          <w:tcPr>
            <w:tcW w:w="7290" w:type="dxa"/>
            <w:vAlign w:val="center"/>
          </w:tcPr>
          <w:p w:rsidR="004637B1" w:rsidRPr="00214F1D" w:rsidRDefault="004637B1"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361"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376"/>
        </w:trPr>
        <w:tc>
          <w:tcPr>
            <w:tcW w:w="7290" w:type="dxa"/>
            <w:vAlign w:val="center"/>
          </w:tcPr>
          <w:p w:rsidR="004637B1" w:rsidRPr="00214F1D" w:rsidRDefault="004637B1"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361"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376"/>
        </w:trPr>
        <w:tc>
          <w:tcPr>
            <w:tcW w:w="7290" w:type="dxa"/>
            <w:vAlign w:val="center"/>
          </w:tcPr>
          <w:p w:rsidR="004637B1" w:rsidRPr="00214F1D" w:rsidRDefault="004637B1"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361" w:type="dxa"/>
          </w:tcPr>
          <w:p w:rsidR="004637B1" w:rsidRPr="00214F1D" w:rsidRDefault="004637B1" w:rsidP="00223D39">
            <w:pPr>
              <w:contextualSpacing/>
              <w:rPr>
                <w:rFonts w:ascii="Open Sans" w:hAnsi="Open Sans" w:cs="Open Sans"/>
                <w:sz w:val="20"/>
                <w:szCs w:val="20"/>
              </w:rPr>
            </w:pPr>
          </w:p>
        </w:tc>
      </w:tr>
    </w:tbl>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Pr="00214F1D" w:rsidRDefault="004637B1" w:rsidP="004637B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4637B1" w:rsidRPr="00214F1D" w:rsidTr="00223D39">
        <w:trPr>
          <w:trHeight w:val="395"/>
        </w:trPr>
        <w:tc>
          <w:tcPr>
            <w:tcW w:w="7290" w:type="dxa"/>
            <w:shd w:val="clear" w:color="auto" w:fill="F2F2F2" w:themeFill="background1" w:themeFillShade="F2"/>
            <w:vAlign w:val="center"/>
          </w:tcPr>
          <w:p w:rsidR="004637B1" w:rsidRPr="00214F1D" w:rsidRDefault="004637B1" w:rsidP="00223D39">
            <w:pPr>
              <w:rPr>
                <w:rFonts w:ascii="Open Sans" w:eastAsia="Times New Roman" w:hAnsi="Open Sans" w:cs="Open Sans"/>
                <w:b/>
                <w:sz w:val="20"/>
                <w:szCs w:val="20"/>
              </w:rPr>
            </w:pPr>
            <w:r w:rsidRPr="00214F1D">
              <w:rPr>
                <w:rFonts w:ascii="Open Sans" w:eastAsia="Times New Roman" w:hAnsi="Open Sans" w:cs="Open Sans"/>
                <w:b/>
                <w:sz w:val="20"/>
                <w:szCs w:val="20"/>
              </w:rPr>
              <w:t>ASSESSMENTS</w:t>
            </w:r>
          </w:p>
        </w:tc>
        <w:tc>
          <w:tcPr>
            <w:tcW w:w="990" w:type="dxa"/>
            <w:shd w:val="clear" w:color="auto" w:fill="F2F2F2" w:themeFill="background1" w:themeFillShade="F2"/>
            <w:vAlign w:val="center"/>
          </w:tcPr>
          <w:p w:rsidR="004637B1" w:rsidRPr="00B472FD" w:rsidRDefault="004637B1"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4637B1" w:rsidRPr="00B472FD" w:rsidRDefault="004637B1"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4637B1" w:rsidRPr="00214F1D" w:rsidTr="00223D39">
        <w:trPr>
          <w:trHeight w:val="1502"/>
        </w:trPr>
        <w:tc>
          <w:tcPr>
            <w:tcW w:w="7290" w:type="dxa"/>
            <w:vAlign w:val="center"/>
          </w:tcPr>
          <w:p w:rsidR="004637B1" w:rsidRPr="00214F1D" w:rsidRDefault="004637B1"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4637B1" w:rsidRPr="00B472F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B472FD" w:rsidRDefault="004637B1" w:rsidP="00223D39">
            <w:pPr>
              <w:contextualSpacing/>
              <w:jc w:val="center"/>
              <w:rPr>
                <w:rFonts w:ascii="Open Sans" w:hAnsi="Open Sans" w:cs="Open Sans"/>
                <w:sz w:val="20"/>
                <w:szCs w:val="20"/>
              </w:rPr>
            </w:pPr>
          </w:p>
        </w:tc>
        <w:tc>
          <w:tcPr>
            <w:tcW w:w="4361"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115"/>
        </w:trPr>
        <w:tc>
          <w:tcPr>
            <w:tcW w:w="7290" w:type="dxa"/>
            <w:vAlign w:val="center"/>
          </w:tcPr>
          <w:p w:rsidR="004637B1" w:rsidRPr="00214F1D" w:rsidRDefault="004637B1"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4637B1" w:rsidRPr="00B472F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B472FD" w:rsidRDefault="004637B1" w:rsidP="00223D39">
            <w:pPr>
              <w:contextualSpacing/>
              <w:jc w:val="center"/>
              <w:rPr>
                <w:rFonts w:ascii="Open Sans" w:hAnsi="Open Sans" w:cs="Open Sans"/>
                <w:sz w:val="20"/>
                <w:szCs w:val="20"/>
              </w:rPr>
            </w:pPr>
          </w:p>
        </w:tc>
        <w:tc>
          <w:tcPr>
            <w:tcW w:w="4361" w:type="dxa"/>
          </w:tcPr>
          <w:p w:rsidR="004637B1" w:rsidRPr="00214F1D" w:rsidRDefault="004637B1" w:rsidP="00223D39">
            <w:pPr>
              <w:contextualSpacing/>
              <w:rPr>
                <w:rFonts w:ascii="Open Sans" w:hAnsi="Open Sans" w:cs="Open Sans"/>
                <w:sz w:val="20"/>
                <w:szCs w:val="20"/>
              </w:rPr>
            </w:pPr>
          </w:p>
        </w:tc>
      </w:tr>
      <w:tr w:rsidR="004637B1" w:rsidRPr="00214F1D" w:rsidTr="00223D39">
        <w:trPr>
          <w:trHeight w:val="1376"/>
        </w:trPr>
        <w:tc>
          <w:tcPr>
            <w:tcW w:w="7290" w:type="dxa"/>
            <w:vAlign w:val="center"/>
          </w:tcPr>
          <w:p w:rsidR="004637B1" w:rsidRPr="00214F1D" w:rsidRDefault="004637B1"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4637B1" w:rsidRPr="00214F1D" w:rsidRDefault="004637B1" w:rsidP="00223D39">
            <w:pPr>
              <w:contextualSpacing/>
              <w:jc w:val="center"/>
              <w:rPr>
                <w:rFonts w:ascii="Open Sans" w:hAnsi="Open Sans" w:cs="Open Sans"/>
                <w:sz w:val="20"/>
                <w:szCs w:val="20"/>
              </w:rPr>
            </w:pPr>
          </w:p>
        </w:tc>
        <w:tc>
          <w:tcPr>
            <w:tcW w:w="4361" w:type="dxa"/>
          </w:tcPr>
          <w:p w:rsidR="004637B1" w:rsidRPr="00214F1D" w:rsidRDefault="004637B1" w:rsidP="00223D39">
            <w:pPr>
              <w:contextualSpacing/>
              <w:rPr>
                <w:rFonts w:ascii="Open Sans" w:hAnsi="Open Sans" w:cs="Open Sans"/>
                <w:sz w:val="20"/>
                <w:szCs w:val="20"/>
              </w:rPr>
            </w:pPr>
          </w:p>
        </w:tc>
      </w:tr>
    </w:tbl>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Default="004637B1" w:rsidP="004637B1">
      <w:pPr>
        <w:spacing w:after="0"/>
        <w:rPr>
          <w:rFonts w:ascii="Open Sans" w:hAnsi="Open Sans" w:cs="Open Sans"/>
          <w:sz w:val="20"/>
          <w:szCs w:val="20"/>
        </w:rPr>
      </w:pPr>
    </w:p>
    <w:p w:rsidR="004637B1" w:rsidRPr="00214F1D" w:rsidRDefault="004637B1" w:rsidP="004637B1">
      <w:pPr>
        <w:spacing w:after="0"/>
        <w:rPr>
          <w:rFonts w:ascii="Open Sans" w:hAnsi="Open Sans" w:cs="Open Sans"/>
          <w:sz w:val="20"/>
          <w:szCs w:val="20"/>
        </w:rPr>
      </w:pPr>
      <w:bookmarkStart w:id="0" w:name="_GoBack"/>
      <w:bookmarkEnd w:id="0"/>
    </w:p>
    <w:tbl>
      <w:tblPr>
        <w:tblStyle w:val="TableGrid"/>
        <w:tblW w:w="13631" w:type="dxa"/>
        <w:tblInd w:w="-455" w:type="dxa"/>
        <w:tblLayout w:type="fixed"/>
        <w:tblLook w:val="04A0" w:firstRow="1" w:lastRow="0" w:firstColumn="1" w:lastColumn="0" w:noHBand="0" w:noVBand="1"/>
      </w:tblPr>
      <w:tblGrid>
        <w:gridCol w:w="13631"/>
      </w:tblGrid>
      <w:tr w:rsidR="004637B1" w:rsidRPr="00214F1D" w:rsidTr="00223D39">
        <w:trPr>
          <w:trHeight w:val="395"/>
        </w:trPr>
        <w:tc>
          <w:tcPr>
            <w:tcW w:w="13631" w:type="dxa"/>
            <w:shd w:val="clear" w:color="auto" w:fill="F2F2F2" w:themeFill="background1" w:themeFillShade="F2"/>
          </w:tcPr>
          <w:p w:rsidR="004637B1" w:rsidRPr="00807E9D" w:rsidRDefault="004637B1"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4637B1" w:rsidRPr="00214F1D" w:rsidRDefault="004637B1" w:rsidP="00223D39">
            <w:pPr>
              <w:rPr>
                <w:rFonts w:ascii="Open Sans" w:hAnsi="Open Sans" w:cs="Open Sans"/>
                <w:b/>
                <w:sz w:val="20"/>
                <w:szCs w:val="20"/>
              </w:rPr>
            </w:pPr>
          </w:p>
          <w:p w:rsidR="004637B1" w:rsidRPr="00807E9D" w:rsidRDefault="004637B1"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4637B1" w:rsidRPr="00214F1D" w:rsidTr="00223D39">
        <w:trPr>
          <w:trHeight w:val="395"/>
        </w:trPr>
        <w:tc>
          <w:tcPr>
            <w:tcW w:w="7015" w:type="dxa"/>
            <w:shd w:val="thinReverseDiagStripe" w:color="D9D9D9" w:themeColor="background1" w:themeShade="D9" w:fill="auto"/>
            <w:vAlign w:val="center"/>
          </w:tcPr>
          <w:p w:rsidR="004637B1" w:rsidRPr="00214F1D" w:rsidRDefault="004637B1"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4637B1" w:rsidRPr="00214F1D" w:rsidRDefault="004637B1"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4637B1" w:rsidRPr="00214F1D" w:rsidTr="00223D39">
        <w:trPr>
          <w:trHeight w:val="1259"/>
        </w:trPr>
        <w:tc>
          <w:tcPr>
            <w:tcW w:w="7015" w:type="dxa"/>
            <w:shd w:val="thinReverseDiagStripe" w:color="D9D9D9" w:themeColor="background1" w:themeShade="D9" w:fill="auto"/>
            <w:vAlign w:val="center"/>
          </w:tcPr>
          <w:p w:rsidR="004637B1" w:rsidRPr="00214F1D" w:rsidRDefault="004637B1"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4637B1" w:rsidRPr="00214F1D" w:rsidRDefault="004637B1" w:rsidP="00223D39">
            <w:pPr>
              <w:contextualSpacing/>
              <w:jc w:val="center"/>
              <w:rPr>
                <w:rFonts w:ascii="Open Sans" w:hAnsi="Open Sans" w:cs="Open Sans"/>
                <w:i/>
                <w:sz w:val="20"/>
                <w:szCs w:val="20"/>
              </w:rPr>
            </w:pPr>
          </w:p>
        </w:tc>
      </w:tr>
      <w:tr w:rsidR="004637B1" w:rsidRPr="00214F1D" w:rsidTr="00223D39">
        <w:trPr>
          <w:trHeight w:val="1115"/>
        </w:trPr>
        <w:tc>
          <w:tcPr>
            <w:tcW w:w="7015" w:type="dxa"/>
            <w:shd w:val="thinReverseDiagStripe" w:color="D9D9D9" w:themeColor="background1" w:themeShade="D9" w:fill="auto"/>
            <w:vAlign w:val="center"/>
          </w:tcPr>
          <w:p w:rsidR="004637B1" w:rsidRPr="00214F1D" w:rsidRDefault="004637B1"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4637B1" w:rsidRPr="00214F1D" w:rsidRDefault="004637B1" w:rsidP="00223D39">
            <w:pPr>
              <w:contextualSpacing/>
              <w:jc w:val="center"/>
              <w:rPr>
                <w:rFonts w:ascii="Open Sans" w:hAnsi="Open Sans" w:cs="Open Sans"/>
                <w:sz w:val="20"/>
                <w:szCs w:val="20"/>
              </w:rPr>
            </w:pPr>
          </w:p>
        </w:tc>
      </w:tr>
    </w:tbl>
    <w:p w:rsidR="004637B1" w:rsidRPr="00214F1D" w:rsidRDefault="004637B1" w:rsidP="004637B1">
      <w:pPr>
        <w:rPr>
          <w:rFonts w:ascii="Open Sans"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sectPr w:rsidR="00F30CEA"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53B" w:rsidRDefault="0041553B" w:rsidP="004637B1">
      <w:pPr>
        <w:spacing w:after="0" w:line="240" w:lineRule="auto"/>
      </w:pPr>
      <w:r>
        <w:separator/>
      </w:r>
    </w:p>
  </w:endnote>
  <w:endnote w:type="continuationSeparator" w:id="0">
    <w:p w:rsidR="0041553B" w:rsidRDefault="0041553B" w:rsidP="00463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53B" w:rsidRDefault="0041553B" w:rsidP="004637B1">
      <w:pPr>
        <w:spacing w:after="0" w:line="240" w:lineRule="auto"/>
      </w:pPr>
      <w:r>
        <w:separator/>
      </w:r>
    </w:p>
  </w:footnote>
  <w:footnote w:type="continuationSeparator" w:id="0">
    <w:p w:rsidR="0041553B" w:rsidRDefault="0041553B" w:rsidP="004637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7B1" w:rsidRPr="004212C5" w:rsidRDefault="004637B1" w:rsidP="004637B1">
    <w:pPr>
      <w:spacing w:after="0" w:line="240" w:lineRule="auto"/>
      <w:jc w:val="center"/>
      <w:rPr>
        <w:b/>
        <w:i/>
        <w:sz w:val="28"/>
      </w:rPr>
    </w:pPr>
    <w:r w:rsidRPr="004212C5">
      <w:rPr>
        <w:noProof/>
      </w:rPr>
      <w:drawing>
        <wp:anchor distT="0" distB="0" distL="114300" distR="114300" simplePos="0" relativeHeight="251659264" behindDoc="0" locked="0" layoutInCell="1" allowOverlap="1" wp14:anchorId="5B25717F" wp14:editId="467FEFCD">
          <wp:simplePos x="0" y="0"/>
          <wp:positionH relativeFrom="column">
            <wp:posOffset>-541655</wp:posOffset>
          </wp:positionH>
          <wp:positionV relativeFrom="paragraph">
            <wp:posOffset>-208915</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4212C5">
      <w:rPr>
        <w:b/>
        <w:sz w:val="28"/>
      </w:rPr>
      <w:t>TENNESSEE CAREER AND TECHNICAL EDUCATION TEXTBOOK SCREENING INSTRUMENT,</w:t>
    </w:r>
  </w:p>
  <w:p w:rsidR="004637B1" w:rsidRPr="004212C5" w:rsidRDefault="004637B1" w:rsidP="004637B1">
    <w:pPr>
      <w:spacing w:after="0" w:line="240" w:lineRule="auto"/>
      <w:jc w:val="center"/>
      <w:rPr>
        <w:b/>
        <w:sz w:val="28"/>
      </w:rPr>
    </w:pPr>
    <w:r w:rsidRPr="004212C5">
      <w:rPr>
        <w:b/>
        <w:sz w:val="28"/>
      </w:rPr>
      <w:t>CRIMINAL JUSTICE 3</w:t>
    </w:r>
    <w:r>
      <w:rPr>
        <w:b/>
        <w:sz w:val="28"/>
      </w:rPr>
      <w:t>, 5989</w:t>
    </w:r>
  </w:p>
  <w:p w:rsidR="004637B1" w:rsidRDefault="004637B1" w:rsidP="004637B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17D6B0BC"/>
    <w:lvl w:ilvl="0" w:tplc="97E00A7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D4347A"/>
    <w:multiLevelType w:val="hybridMultilevel"/>
    <w:tmpl w:val="67C0BBF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14433D"/>
    <w:multiLevelType w:val="hybridMultilevel"/>
    <w:tmpl w:val="39E69E5E"/>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7C227BFC"/>
    <w:multiLevelType w:val="hybridMultilevel"/>
    <w:tmpl w:val="257A373A"/>
    <w:lvl w:ilvl="0" w:tplc="0E08C7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12"/>
  </w:num>
  <w:num w:numId="4">
    <w:abstractNumId w:val="4"/>
  </w:num>
  <w:num w:numId="5">
    <w:abstractNumId w:val="1"/>
  </w:num>
  <w:num w:numId="6">
    <w:abstractNumId w:val="14"/>
  </w:num>
  <w:num w:numId="7">
    <w:abstractNumId w:val="11"/>
  </w:num>
  <w:num w:numId="8">
    <w:abstractNumId w:val="15"/>
  </w:num>
  <w:num w:numId="9">
    <w:abstractNumId w:val="16"/>
  </w:num>
  <w:num w:numId="10">
    <w:abstractNumId w:val="6"/>
  </w:num>
  <w:num w:numId="11">
    <w:abstractNumId w:val="9"/>
  </w:num>
  <w:num w:numId="12">
    <w:abstractNumId w:val="2"/>
  </w:num>
  <w:num w:numId="13">
    <w:abstractNumId w:val="5"/>
  </w:num>
  <w:num w:numId="14">
    <w:abstractNumId w:val="0"/>
  </w:num>
  <w:num w:numId="15">
    <w:abstractNumId w:val="7"/>
  </w:num>
  <w:num w:numId="16">
    <w:abstractNumId w:val="8"/>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19D"/>
    <w:rsid w:val="00072127"/>
    <w:rsid w:val="00075263"/>
    <w:rsid w:val="000845EB"/>
    <w:rsid w:val="000E3170"/>
    <w:rsid w:val="00115038"/>
    <w:rsid w:val="0011573F"/>
    <w:rsid w:val="00124855"/>
    <w:rsid w:val="001602D8"/>
    <w:rsid w:val="001A0833"/>
    <w:rsid w:val="001B02DE"/>
    <w:rsid w:val="001B5E52"/>
    <w:rsid w:val="002D0902"/>
    <w:rsid w:val="00316AA4"/>
    <w:rsid w:val="003965B7"/>
    <w:rsid w:val="004079F5"/>
    <w:rsid w:val="0041553B"/>
    <w:rsid w:val="00415672"/>
    <w:rsid w:val="004212C5"/>
    <w:rsid w:val="00421523"/>
    <w:rsid w:val="0043492C"/>
    <w:rsid w:val="004540F9"/>
    <w:rsid w:val="004637B1"/>
    <w:rsid w:val="00465233"/>
    <w:rsid w:val="00473800"/>
    <w:rsid w:val="005C6289"/>
    <w:rsid w:val="005D7F02"/>
    <w:rsid w:val="006240A2"/>
    <w:rsid w:val="00642569"/>
    <w:rsid w:val="00677286"/>
    <w:rsid w:val="006A1A1A"/>
    <w:rsid w:val="006B1BCA"/>
    <w:rsid w:val="006B2D51"/>
    <w:rsid w:val="006D23A5"/>
    <w:rsid w:val="006F3C74"/>
    <w:rsid w:val="007125FD"/>
    <w:rsid w:val="00730420"/>
    <w:rsid w:val="00745453"/>
    <w:rsid w:val="007728F3"/>
    <w:rsid w:val="00773943"/>
    <w:rsid w:val="0078544F"/>
    <w:rsid w:val="007C21F4"/>
    <w:rsid w:val="00871B0B"/>
    <w:rsid w:val="008B526F"/>
    <w:rsid w:val="008C4C6B"/>
    <w:rsid w:val="008C71E0"/>
    <w:rsid w:val="008C7DB3"/>
    <w:rsid w:val="008F0203"/>
    <w:rsid w:val="00911CDD"/>
    <w:rsid w:val="00926629"/>
    <w:rsid w:val="00981326"/>
    <w:rsid w:val="009B1574"/>
    <w:rsid w:val="009E68E4"/>
    <w:rsid w:val="00A24BE7"/>
    <w:rsid w:val="00AB444A"/>
    <w:rsid w:val="00B31E0B"/>
    <w:rsid w:val="00B440CE"/>
    <w:rsid w:val="00B564D1"/>
    <w:rsid w:val="00B9770E"/>
    <w:rsid w:val="00C033C2"/>
    <w:rsid w:val="00C25F66"/>
    <w:rsid w:val="00C3750F"/>
    <w:rsid w:val="00C4526C"/>
    <w:rsid w:val="00CE0E9C"/>
    <w:rsid w:val="00CF1BC0"/>
    <w:rsid w:val="00D11A14"/>
    <w:rsid w:val="00D53761"/>
    <w:rsid w:val="00D73280"/>
    <w:rsid w:val="00DE024E"/>
    <w:rsid w:val="00DF7998"/>
    <w:rsid w:val="00E2342D"/>
    <w:rsid w:val="00E33ABB"/>
    <w:rsid w:val="00E45E61"/>
    <w:rsid w:val="00E70F53"/>
    <w:rsid w:val="00EB1010"/>
    <w:rsid w:val="00ED3FD4"/>
    <w:rsid w:val="00EF5194"/>
    <w:rsid w:val="00F13C67"/>
    <w:rsid w:val="00F30CEA"/>
    <w:rsid w:val="00F54597"/>
    <w:rsid w:val="00F73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4637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7B1"/>
  </w:style>
  <w:style w:type="paragraph" w:styleId="Footer">
    <w:name w:val="footer"/>
    <w:basedOn w:val="Normal"/>
    <w:link w:val="FooterChar"/>
    <w:uiPriority w:val="99"/>
    <w:unhideWhenUsed/>
    <w:rsid w:val="004637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71D5C-DB90-49AC-B842-67EB97E77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2764</Words>
  <Characters>15755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11</cp:revision>
  <cp:lastPrinted>2016-06-14T21:25:00Z</cp:lastPrinted>
  <dcterms:created xsi:type="dcterms:W3CDTF">2018-07-23T12:02:00Z</dcterms:created>
  <dcterms:modified xsi:type="dcterms:W3CDTF">2018-09-19T13:26:00Z</dcterms:modified>
</cp:coreProperties>
</file>