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720652" w:rsidRDefault="00D53761" w:rsidP="00D53761">
      <w:pPr>
        <w:spacing w:after="0" w:line="240" w:lineRule="auto"/>
        <w:rPr>
          <w:rFonts w:ascii="Open Sans" w:eastAsia="Times New Roman" w:hAnsi="Open Sans" w:cs="Open Sans"/>
          <w:sz w:val="16"/>
          <w:szCs w:val="16"/>
        </w:rPr>
      </w:pPr>
      <w:r w:rsidRPr="00720652">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720652">
        <w:rPr>
          <w:rFonts w:ascii="Open Sans" w:eastAsia="Times New Roman" w:hAnsi="Open Sans" w:cs="Open Sans"/>
          <w:i/>
          <w:sz w:val="16"/>
          <w:szCs w:val="16"/>
        </w:rPr>
        <w:t xml:space="preserve">grade </w:t>
      </w:r>
      <w:r w:rsidRPr="00720652">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720652">
        <w:rPr>
          <w:rFonts w:ascii="Open Sans" w:eastAsia="Times New Roman" w:hAnsi="Open Sans" w:cs="Open Sans"/>
          <w:i/>
          <w:sz w:val="16"/>
          <w:szCs w:val="16"/>
        </w:rPr>
        <w:t>course levels</w:t>
      </w:r>
      <w:r w:rsidRPr="00720652">
        <w:rPr>
          <w:rFonts w:ascii="Open Sans" w:eastAsia="Times New Roman" w:hAnsi="Open Sans" w:cs="Open Sans"/>
          <w:sz w:val="16"/>
          <w:szCs w:val="16"/>
        </w:rPr>
        <w:t xml:space="preserve">, not </w:t>
      </w:r>
      <w:r w:rsidRPr="00720652">
        <w:rPr>
          <w:rFonts w:ascii="Open Sans" w:eastAsia="Times New Roman" w:hAnsi="Open Sans" w:cs="Open Sans"/>
          <w:i/>
          <w:sz w:val="16"/>
          <w:szCs w:val="16"/>
        </w:rPr>
        <w:t>grade</w:t>
      </w:r>
      <w:r w:rsidRPr="00720652">
        <w:rPr>
          <w:rFonts w:ascii="Open Sans" w:eastAsia="Times New Roman" w:hAnsi="Open Sans" w:cs="Open Sans"/>
          <w:sz w:val="16"/>
          <w:szCs w:val="16"/>
        </w:rPr>
        <w:t xml:space="preserve"> </w:t>
      </w:r>
      <w:r w:rsidRPr="00720652">
        <w:rPr>
          <w:rFonts w:ascii="Open Sans" w:eastAsia="Times New Roman" w:hAnsi="Open Sans" w:cs="Open Sans"/>
          <w:i/>
          <w:sz w:val="16"/>
          <w:szCs w:val="16"/>
        </w:rPr>
        <w:t>levels</w:t>
      </w:r>
      <w:r w:rsidRPr="00720652">
        <w:rPr>
          <w:rFonts w:ascii="Open Sans" w:eastAsia="Times New Roman" w:hAnsi="Open Sans" w:cs="Open Sans"/>
          <w:sz w:val="16"/>
          <w:szCs w:val="16"/>
        </w:rPr>
        <w:t xml:space="preserve"> or </w:t>
      </w:r>
      <w:r w:rsidRPr="00720652">
        <w:rPr>
          <w:rFonts w:ascii="Open Sans" w:eastAsia="Times New Roman" w:hAnsi="Open Sans" w:cs="Open Sans"/>
          <w:i/>
          <w:sz w:val="16"/>
          <w:szCs w:val="16"/>
        </w:rPr>
        <w:t>grade bands</w:t>
      </w:r>
      <w:r w:rsidRPr="00720652">
        <w:rPr>
          <w:rFonts w:ascii="Open Sans" w:eastAsia="Times New Roman" w:hAnsi="Open Sans" w:cs="Open Sans"/>
          <w:sz w:val="16"/>
          <w:szCs w:val="16"/>
        </w:rPr>
        <w:t>.</w:t>
      </w:r>
    </w:p>
    <w:p w:rsidR="005D7F02" w:rsidRPr="00720652" w:rsidRDefault="005D7F02" w:rsidP="00D53761">
      <w:pPr>
        <w:spacing w:after="0" w:line="240" w:lineRule="auto"/>
        <w:rPr>
          <w:rFonts w:ascii="Open Sans" w:eastAsia="Times New Roman" w:hAnsi="Open Sans" w:cs="Open Sans"/>
          <w:sz w:val="20"/>
          <w:szCs w:val="20"/>
        </w:rPr>
      </w:pPr>
    </w:p>
    <w:p w:rsidR="00F30CEA" w:rsidRPr="00720652" w:rsidRDefault="00F30CEA" w:rsidP="00D53761">
      <w:pPr>
        <w:spacing w:after="0" w:line="240" w:lineRule="auto"/>
        <w:rPr>
          <w:rFonts w:ascii="Open Sans" w:eastAsia="Times New Roman" w:hAnsi="Open Sans" w:cs="Open Sans"/>
          <w:sz w:val="20"/>
          <w:szCs w:val="20"/>
        </w:rPr>
      </w:pPr>
    </w:p>
    <w:tbl>
      <w:tblPr>
        <w:tblStyle w:val="TableGrid"/>
        <w:tblW w:w="0" w:type="auto"/>
        <w:tblLook w:val="04A0" w:firstRow="1" w:lastRow="0" w:firstColumn="1" w:lastColumn="0" w:noHBand="0" w:noVBand="1"/>
      </w:tblPr>
      <w:tblGrid>
        <w:gridCol w:w="7555"/>
        <w:gridCol w:w="630"/>
        <w:gridCol w:w="630"/>
        <w:gridCol w:w="45"/>
        <w:gridCol w:w="4090"/>
      </w:tblGrid>
      <w:tr w:rsidR="0043484B" w:rsidRPr="00214F1D" w:rsidTr="00223D39">
        <w:tc>
          <w:tcPr>
            <w:tcW w:w="12950" w:type="dxa"/>
            <w:gridSpan w:val="5"/>
            <w:shd w:val="clear" w:color="auto" w:fill="8DB3E2" w:themeFill="text2" w:themeFillTint="66"/>
          </w:tcPr>
          <w:p w:rsidR="0043484B" w:rsidRPr="00807E9D" w:rsidRDefault="0043484B" w:rsidP="00223D39">
            <w:pPr>
              <w:jc w:val="center"/>
              <w:rPr>
                <w:rFonts w:ascii="Open Sans" w:hAnsi="Open Sans" w:cs="Open Sans"/>
                <w:b/>
                <w:sz w:val="28"/>
                <w:szCs w:val="28"/>
              </w:rPr>
            </w:pPr>
            <w:r w:rsidRPr="00807E9D">
              <w:rPr>
                <w:rFonts w:ascii="Open Sans" w:hAnsi="Open Sans" w:cs="Open Sans"/>
                <w:b/>
                <w:sz w:val="28"/>
                <w:szCs w:val="28"/>
              </w:rPr>
              <w:t>SECTION I</w:t>
            </w:r>
          </w:p>
          <w:p w:rsidR="0043484B" w:rsidRDefault="0043484B" w:rsidP="00223D39">
            <w:pPr>
              <w:jc w:val="center"/>
              <w:rPr>
                <w:rFonts w:ascii="Open Sans" w:eastAsia="Times New Roman" w:hAnsi="Open Sans" w:cs="Open Sans"/>
                <w:b/>
                <w:sz w:val="28"/>
                <w:szCs w:val="28"/>
              </w:rPr>
            </w:pPr>
            <w:r w:rsidRPr="00807E9D">
              <w:rPr>
                <w:rFonts w:ascii="Open Sans" w:eastAsia="Times New Roman" w:hAnsi="Open Sans" w:cs="Open Sans"/>
                <w:b/>
                <w:sz w:val="28"/>
                <w:szCs w:val="28"/>
              </w:rPr>
              <w:t>Alignment to Standards</w:t>
            </w:r>
          </w:p>
          <w:p w:rsidR="0043484B" w:rsidRPr="00807E9D" w:rsidRDefault="0043484B" w:rsidP="00223D39">
            <w:pPr>
              <w:jc w:val="center"/>
              <w:rPr>
                <w:rFonts w:ascii="Open Sans" w:eastAsia="Times New Roman" w:hAnsi="Open Sans" w:cs="Open Sans"/>
                <w:i/>
                <w:sz w:val="28"/>
                <w:szCs w:val="28"/>
              </w:rPr>
            </w:pPr>
            <w:r w:rsidRPr="00807E9D">
              <w:rPr>
                <w:rFonts w:ascii="Open Sans" w:eastAsia="Times New Roman" w:hAnsi="Open Sans" w:cs="Open Sans"/>
                <w:i/>
                <w:sz w:val="28"/>
                <w:szCs w:val="28"/>
              </w:rPr>
              <w:t xml:space="preserve">Materials must meet 80% of indicators in Section I </w:t>
            </w:r>
          </w:p>
          <w:p w:rsidR="0043484B" w:rsidRPr="00214F1D" w:rsidRDefault="0043484B" w:rsidP="00223D39">
            <w:pPr>
              <w:jc w:val="center"/>
              <w:rPr>
                <w:rFonts w:ascii="Open Sans" w:eastAsia="Times New Roman" w:hAnsi="Open Sans" w:cs="Open Sans"/>
                <w:b/>
                <w:sz w:val="20"/>
                <w:szCs w:val="20"/>
              </w:rPr>
            </w:pPr>
            <w:r w:rsidRPr="00C44A80">
              <w:rPr>
                <w:rFonts w:ascii="Open Sans" w:eastAsia="Times New Roman" w:hAnsi="Open Sans" w:cs="Open Sans"/>
                <w:b/>
                <w:sz w:val="20"/>
                <w:szCs w:val="20"/>
              </w:rPr>
              <w:t>Students and teachers using the materials as designed devote the majority of time in each level to the course standards.*</w:t>
            </w:r>
          </w:p>
        </w:tc>
      </w:tr>
      <w:tr w:rsidR="0043484B" w:rsidRPr="00003A5D" w:rsidTr="00223D39">
        <w:tc>
          <w:tcPr>
            <w:tcW w:w="12950" w:type="dxa"/>
            <w:gridSpan w:val="5"/>
            <w:shd w:val="clear" w:color="auto" w:fill="8DB3E2" w:themeFill="text2" w:themeFillTint="66"/>
          </w:tcPr>
          <w:p w:rsidR="0043484B" w:rsidRPr="00003A5D" w:rsidRDefault="0043484B" w:rsidP="00223D39">
            <w:pPr>
              <w:rPr>
                <w:rFonts w:ascii="Open Sans" w:eastAsia="Times New Roman" w:hAnsi="Open Sans" w:cs="Open Sans"/>
                <w:b/>
                <w:sz w:val="20"/>
                <w:szCs w:val="20"/>
              </w:rPr>
            </w:pPr>
            <w:r>
              <w:rPr>
                <w:rFonts w:ascii="Open Sans" w:hAnsi="Open Sans" w:cs="Open Sans"/>
                <w:i/>
                <w:sz w:val="20"/>
                <w:szCs w:val="20"/>
              </w:rPr>
              <w:t>Of the 13 standards listed below, 11</w:t>
            </w:r>
            <w:r>
              <w:rPr>
                <w:rFonts w:ascii="Open Sans" w:hAnsi="Open Sans" w:cs="Open Sans"/>
                <w:i/>
                <w:sz w:val="20"/>
                <w:szCs w:val="20"/>
              </w:rPr>
              <w:t xml:space="preserve"> indicators must be marked “yes” as having aligned to mastery the standard in order for the textbook to pass section I. </w:t>
            </w:r>
            <w:r w:rsidRPr="00003A5D">
              <w:rPr>
                <w:rFonts w:ascii="Open Sans" w:eastAsia="Times New Roman" w:hAnsi="Open Sans" w:cs="Open Sans"/>
                <w:b/>
                <w:sz w:val="20"/>
                <w:szCs w:val="20"/>
              </w:rPr>
              <w:t xml:space="preserve">Use an “x” in the selected “yes” or “no” column.  Avoid using the </w:t>
            </w:r>
            <w:r>
              <w:rPr>
                <w:rFonts w:ascii="Open Sans" w:eastAsia="Times New Roman" w:hAnsi="Open Sans" w:cs="Open Sans"/>
                <w:b/>
                <w:sz w:val="20"/>
                <w:szCs w:val="20"/>
              </w:rPr>
              <w:t xml:space="preserve">actual </w:t>
            </w:r>
            <w:r w:rsidRPr="00003A5D">
              <w:rPr>
                <w:rFonts w:ascii="Open Sans" w:eastAsia="Times New Roman" w:hAnsi="Open Sans" w:cs="Open Sans"/>
                <w:b/>
                <w:sz w:val="20"/>
                <w:szCs w:val="20"/>
              </w:rPr>
              <w:t>word “yes” or “no”</w:t>
            </w:r>
          </w:p>
        </w:tc>
      </w:tr>
      <w:tr w:rsidR="0043484B" w:rsidRPr="00214F1D" w:rsidTr="00223D39">
        <w:tc>
          <w:tcPr>
            <w:tcW w:w="12950" w:type="dxa"/>
            <w:gridSpan w:val="5"/>
            <w:shd w:val="clear" w:color="auto" w:fill="8DB3E2" w:themeFill="text2" w:themeFillTint="66"/>
          </w:tcPr>
          <w:p w:rsidR="0043484B" w:rsidRPr="00214F1D" w:rsidRDefault="0043484B" w:rsidP="00223D39">
            <w:pPr>
              <w:jc w:val="center"/>
              <w:rPr>
                <w:rFonts w:ascii="Open Sans" w:eastAsia="Times New Roman" w:hAnsi="Open Sans" w:cs="Open Sans"/>
                <w:b/>
                <w:sz w:val="20"/>
                <w:szCs w:val="20"/>
              </w:rPr>
            </w:pPr>
            <w:r>
              <w:rPr>
                <w:rFonts w:ascii="Open Sans" w:eastAsia="Times New Roman" w:hAnsi="Open Sans" w:cs="Open Sans"/>
                <w:b/>
                <w:sz w:val="20"/>
                <w:szCs w:val="20"/>
              </w:rPr>
              <w:t>Evidence of 80% Alignment to S</w:t>
            </w:r>
            <w:r w:rsidRPr="00214F1D">
              <w:rPr>
                <w:rFonts w:ascii="Open Sans" w:eastAsia="Times New Roman" w:hAnsi="Open Sans" w:cs="Open Sans"/>
                <w:b/>
                <w:sz w:val="20"/>
                <w:szCs w:val="20"/>
              </w:rPr>
              <w:t>tandards</w:t>
            </w:r>
          </w:p>
        </w:tc>
      </w:tr>
      <w:tr w:rsidR="005D7F02" w:rsidRPr="00720652" w:rsidTr="0043484B">
        <w:tc>
          <w:tcPr>
            <w:tcW w:w="7555" w:type="dxa"/>
            <w:shd w:val="clear" w:color="auto" w:fill="C6D9F1" w:themeFill="text2" w:themeFillTint="33"/>
          </w:tcPr>
          <w:p w:rsidR="005D7F02" w:rsidRPr="00720652" w:rsidRDefault="005D7F02" w:rsidP="00D53761">
            <w:pPr>
              <w:rPr>
                <w:rFonts w:ascii="Open Sans" w:eastAsia="Times New Roman" w:hAnsi="Open Sans" w:cs="Open Sans"/>
                <w:b/>
                <w:sz w:val="20"/>
                <w:szCs w:val="20"/>
              </w:rPr>
            </w:pPr>
            <w:r w:rsidRPr="00720652">
              <w:rPr>
                <w:rFonts w:ascii="Open Sans" w:eastAsia="Times New Roman" w:hAnsi="Open Sans" w:cs="Open Sans"/>
                <w:b/>
                <w:sz w:val="20"/>
                <w:szCs w:val="20"/>
              </w:rPr>
              <w:t>Standard</w:t>
            </w:r>
          </w:p>
        </w:tc>
        <w:tc>
          <w:tcPr>
            <w:tcW w:w="630" w:type="dxa"/>
            <w:shd w:val="clear" w:color="auto" w:fill="C6D9F1" w:themeFill="text2" w:themeFillTint="33"/>
          </w:tcPr>
          <w:p w:rsidR="005D7F02" w:rsidRPr="00720652" w:rsidRDefault="00F30CEA" w:rsidP="00D53761">
            <w:pPr>
              <w:rPr>
                <w:rFonts w:ascii="Open Sans" w:eastAsia="Times New Roman" w:hAnsi="Open Sans" w:cs="Open Sans"/>
                <w:b/>
                <w:sz w:val="20"/>
                <w:szCs w:val="20"/>
              </w:rPr>
            </w:pPr>
            <w:r w:rsidRPr="00720652">
              <w:rPr>
                <w:rFonts w:ascii="Open Sans" w:eastAsia="Times New Roman" w:hAnsi="Open Sans" w:cs="Open Sans"/>
                <w:b/>
                <w:sz w:val="20"/>
                <w:szCs w:val="20"/>
              </w:rPr>
              <w:t>Yes</w:t>
            </w:r>
          </w:p>
        </w:tc>
        <w:tc>
          <w:tcPr>
            <w:tcW w:w="630" w:type="dxa"/>
            <w:shd w:val="clear" w:color="auto" w:fill="C6D9F1" w:themeFill="text2" w:themeFillTint="33"/>
          </w:tcPr>
          <w:p w:rsidR="005D7F02" w:rsidRPr="00720652" w:rsidRDefault="00F30CEA" w:rsidP="00D53761">
            <w:pPr>
              <w:rPr>
                <w:rFonts w:ascii="Open Sans" w:eastAsia="Times New Roman" w:hAnsi="Open Sans" w:cs="Open Sans"/>
                <w:b/>
                <w:sz w:val="20"/>
                <w:szCs w:val="20"/>
              </w:rPr>
            </w:pPr>
            <w:r w:rsidRPr="00720652">
              <w:rPr>
                <w:rFonts w:ascii="Open Sans" w:eastAsia="Times New Roman" w:hAnsi="Open Sans" w:cs="Open Sans"/>
                <w:b/>
                <w:sz w:val="20"/>
                <w:szCs w:val="20"/>
              </w:rPr>
              <w:t>No</w:t>
            </w:r>
          </w:p>
        </w:tc>
        <w:tc>
          <w:tcPr>
            <w:tcW w:w="4135" w:type="dxa"/>
            <w:gridSpan w:val="2"/>
            <w:shd w:val="clear" w:color="auto" w:fill="C6D9F1" w:themeFill="text2" w:themeFillTint="33"/>
          </w:tcPr>
          <w:p w:rsidR="005D7F02" w:rsidRPr="00720652" w:rsidRDefault="0043484B" w:rsidP="00D53761">
            <w:pPr>
              <w:rPr>
                <w:rFonts w:ascii="Open Sans" w:eastAsia="Times New Roman" w:hAnsi="Open Sans" w:cs="Open Sans"/>
                <w:sz w:val="20"/>
                <w:szCs w:val="20"/>
              </w:rPr>
            </w:pPr>
            <w:r>
              <w:rPr>
                <w:rFonts w:ascii="Open Sans" w:eastAsia="Times New Roman" w:hAnsi="Open Sans" w:cs="Open Sans"/>
                <w:b/>
                <w:sz w:val="20"/>
                <w:szCs w:val="20"/>
                <w:shd w:val="clear" w:color="auto" w:fill="F2F2F2" w:themeFill="background1" w:themeFillShade="F2"/>
              </w:rPr>
              <w:t>Evidence/Notes</w:t>
            </w:r>
          </w:p>
        </w:tc>
      </w:tr>
      <w:tr w:rsidR="005D7F02" w:rsidRPr="00720652" w:rsidTr="0043484B">
        <w:tc>
          <w:tcPr>
            <w:tcW w:w="7555" w:type="dxa"/>
            <w:shd w:val="clear" w:color="auto" w:fill="DBE5F1" w:themeFill="accent1" w:themeFillTint="33"/>
          </w:tcPr>
          <w:p w:rsidR="00610137" w:rsidRPr="00720652" w:rsidRDefault="00610137" w:rsidP="00610137">
            <w:pPr>
              <w:pStyle w:val="ListParagraph"/>
              <w:numPr>
                <w:ilvl w:val="0"/>
                <w:numId w:val="13"/>
              </w:numPr>
              <w:contextualSpacing w:val="0"/>
              <w:rPr>
                <w:rFonts w:ascii="Open Sans" w:hAnsi="Open Sans" w:cs="Open Sans"/>
                <w:sz w:val="20"/>
                <w:szCs w:val="20"/>
              </w:rPr>
            </w:pPr>
            <w:r w:rsidRPr="00720652">
              <w:rPr>
                <w:rFonts w:ascii="Open Sans" w:hAnsi="Open Sans" w:cs="Open Sans"/>
                <w:sz w:val="20"/>
                <w:szCs w:val="20"/>
              </w:rPr>
              <w:t xml:space="preserve">A student will have a Personalized Learning Plan that identifies their long-term goals, demonstrates how the Work-Based Learning (WBL) experience aligns with their elective focus and/or high school plan of study, addresses how the student plans to meet and demonstrate the course standards, and addresses employability skill attainment in the following areas: </w:t>
            </w:r>
          </w:p>
          <w:p w:rsidR="00610137" w:rsidRPr="00720652" w:rsidRDefault="00610137" w:rsidP="00610137">
            <w:pPr>
              <w:pStyle w:val="ListParagraph"/>
              <w:numPr>
                <w:ilvl w:val="1"/>
                <w:numId w:val="13"/>
              </w:numPr>
              <w:rPr>
                <w:rFonts w:ascii="Open Sans" w:hAnsi="Open Sans" w:cs="Open Sans"/>
                <w:sz w:val="20"/>
                <w:szCs w:val="20"/>
              </w:rPr>
            </w:pPr>
            <w:r w:rsidRPr="00720652">
              <w:rPr>
                <w:rFonts w:ascii="Open Sans" w:hAnsi="Open Sans" w:cs="Open Sans"/>
                <w:sz w:val="20"/>
                <w:szCs w:val="20"/>
              </w:rPr>
              <w:t xml:space="preserve">Application of academic and technical knowledge and skills (embedded in course standards) </w:t>
            </w:r>
          </w:p>
          <w:p w:rsidR="00610137" w:rsidRPr="00720652" w:rsidRDefault="00610137" w:rsidP="00610137">
            <w:pPr>
              <w:pStyle w:val="ListParagraph"/>
              <w:numPr>
                <w:ilvl w:val="1"/>
                <w:numId w:val="13"/>
              </w:numPr>
              <w:rPr>
                <w:rFonts w:ascii="Open Sans" w:hAnsi="Open Sans" w:cs="Open Sans"/>
                <w:sz w:val="20"/>
                <w:szCs w:val="20"/>
              </w:rPr>
            </w:pPr>
            <w:r w:rsidRPr="00720652">
              <w:rPr>
                <w:rFonts w:ascii="Open Sans" w:hAnsi="Open Sans" w:cs="Open Sans"/>
                <w:sz w:val="20"/>
                <w:szCs w:val="20"/>
              </w:rPr>
              <w:t xml:space="preserve">Career knowledge and navigation skills </w:t>
            </w:r>
          </w:p>
          <w:p w:rsidR="00610137" w:rsidRPr="00720652" w:rsidRDefault="00610137" w:rsidP="00610137">
            <w:pPr>
              <w:pStyle w:val="ListParagraph"/>
              <w:numPr>
                <w:ilvl w:val="1"/>
                <w:numId w:val="13"/>
              </w:numPr>
              <w:rPr>
                <w:rFonts w:ascii="Open Sans" w:hAnsi="Open Sans" w:cs="Open Sans"/>
                <w:sz w:val="20"/>
                <w:szCs w:val="20"/>
              </w:rPr>
            </w:pPr>
            <w:r w:rsidRPr="00720652">
              <w:rPr>
                <w:rFonts w:ascii="Open Sans" w:hAnsi="Open Sans" w:cs="Open Sans"/>
                <w:sz w:val="20"/>
                <w:szCs w:val="20"/>
              </w:rPr>
              <w:t xml:space="preserve">21st Century learning and innovation skills </w:t>
            </w:r>
          </w:p>
          <w:p w:rsidR="005D7F02" w:rsidRPr="00720652" w:rsidRDefault="00610137" w:rsidP="00720652">
            <w:pPr>
              <w:pStyle w:val="ListParagraph"/>
              <w:numPr>
                <w:ilvl w:val="1"/>
                <w:numId w:val="13"/>
              </w:numPr>
              <w:rPr>
                <w:rFonts w:ascii="Open Sans" w:hAnsi="Open Sans" w:cs="Open Sans"/>
                <w:sz w:val="20"/>
                <w:szCs w:val="20"/>
              </w:rPr>
            </w:pPr>
            <w:r w:rsidRPr="00720652">
              <w:rPr>
                <w:rFonts w:ascii="Open Sans" w:hAnsi="Open Sans" w:cs="Open Sans"/>
                <w:sz w:val="20"/>
                <w:szCs w:val="20"/>
              </w:rPr>
              <w:t>Personal and social skills</w:t>
            </w:r>
          </w:p>
        </w:tc>
        <w:tc>
          <w:tcPr>
            <w:tcW w:w="630" w:type="dxa"/>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c>
          <w:tcPr>
            <w:tcW w:w="4135" w:type="dxa"/>
            <w:gridSpan w:val="2"/>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r>
      <w:tr w:rsidR="005D7F02" w:rsidRPr="00720652" w:rsidTr="0043484B">
        <w:tc>
          <w:tcPr>
            <w:tcW w:w="7555" w:type="dxa"/>
            <w:shd w:val="clear" w:color="auto" w:fill="DBE5F1" w:themeFill="accent1" w:themeFillTint="33"/>
          </w:tcPr>
          <w:p w:rsidR="005D7F02" w:rsidRPr="00720652" w:rsidRDefault="00610137" w:rsidP="00720652">
            <w:pPr>
              <w:numPr>
                <w:ilvl w:val="0"/>
                <w:numId w:val="13"/>
              </w:numPr>
              <w:tabs>
                <w:tab w:val="left" w:pos="720"/>
                <w:tab w:val="left" w:pos="5580"/>
              </w:tabs>
              <w:rPr>
                <w:rFonts w:ascii="Open Sans" w:hAnsi="Open Sans" w:cs="Open Sans"/>
                <w:sz w:val="20"/>
                <w:szCs w:val="20"/>
              </w:rPr>
            </w:pPr>
            <w:r w:rsidRPr="00720652">
              <w:rPr>
                <w:rFonts w:ascii="Open Sans" w:hAnsi="Open Sans" w:cs="Open Sans"/>
                <w:sz w:val="20"/>
                <w:szCs w:val="20"/>
              </w:rPr>
              <w:t>Create a career development timeline outlining activities that will increase employment opportunities for a criminal justice candidate; include educational opportunities, entry-level job experiences, and volunteer plans for the time between high school graduation and the law enforcement job application at twenty-one years of age.</w:t>
            </w:r>
          </w:p>
        </w:tc>
        <w:tc>
          <w:tcPr>
            <w:tcW w:w="630" w:type="dxa"/>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c>
          <w:tcPr>
            <w:tcW w:w="4135" w:type="dxa"/>
            <w:gridSpan w:val="2"/>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r>
      <w:tr w:rsidR="005D7F02" w:rsidRPr="00720652" w:rsidTr="0043484B">
        <w:tc>
          <w:tcPr>
            <w:tcW w:w="7555" w:type="dxa"/>
            <w:shd w:val="clear" w:color="auto" w:fill="DBE5F1" w:themeFill="accent1" w:themeFillTint="33"/>
          </w:tcPr>
          <w:p w:rsidR="005D7F02" w:rsidRPr="00720652" w:rsidRDefault="00610137" w:rsidP="00720652">
            <w:pPr>
              <w:pStyle w:val="ListParagraph"/>
              <w:numPr>
                <w:ilvl w:val="0"/>
                <w:numId w:val="13"/>
              </w:numPr>
              <w:contextualSpacing w:val="0"/>
              <w:rPr>
                <w:rFonts w:ascii="Open Sans" w:hAnsi="Open Sans" w:cs="Open Sans"/>
                <w:sz w:val="20"/>
                <w:szCs w:val="20"/>
              </w:rPr>
            </w:pPr>
            <w:r w:rsidRPr="00720652">
              <w:rPr>
                <w:rFonts w:ascii="Open Sans" w:hAnsi="Open Sans" w:cs="Open Sans"/>
                <w:sz w:val="20"/>
                <w:szCs w:val="20"/>
              </w:rPr>
              <w:t xml:space="preserve">Research the range of credentials one can earn within the Criminal Justice (CJ) system. Investigate both in-state and out-of-state postsecondary programs in a variety of CJ fields. Synthesize research </w:t>
            </w:r>
            <w:r w:rsidRPr="00720652">
              <w:rPr>
                <w:rFonts w:ascii="Open Sans" w:hAnsi="Open Sans" w:cs="Open Sans"/>
                <w:sz w:val="20"/>
                <w:szCs w:val="20"/>
              </w:rPr>
              <w:lastRenderedPageBreak/>
              <w:t xml:space="preserve">conducted in previous Law Enforcement and Corrections Services program of study courses to update the portfolio career plan to achieve post-high school goals. </w:t>
            </w:r>
          </w:p>
        </w:tc>
        <w:tc>
          <w:tcPr>
            <w:tcW w:w="630" w:type="dxa"/>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c>
          <w:tcPr>
            <w:tcW w:w="4135" w:type="dxa"/>
            <w:gridSpan w:val="2"/>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r>
      <w:tr w:rsidR="005D7F02" w:rsidRPr="00720652" w:rsidTr="0043484B">
        <w:tc>
          <w:tcPr>
            <w:tcW w:w="7555" w:type="dxa"/>
            <w:shd w:val="clear" w:color="auto" w:fill="DBE5F1" w:themeFill="accent1" w:themeFillTint="33"/>
          </w:tcPr>
          <w:p w:rsidR="005D7F02" w:rsidRPr="00720652" w:rsidRDefault="00610137" w:rsidP="00720652">
            <w:pPr>
              <w:pStyle w:val="ListParagraph"/>
              <w:numPr>
                <w:ilvl w:val="0"/>
                <w:numId w:val="13"/>
              </w:numPr>
            </w:pPr>
            <w:r w:rsidRPr="00720652">
              <w:t xml:space="preserve">Search for the resumes of CJ professionals retrieved from the websites of systems, companies, organizations, or professional networks. Discuss what is typically included in the resumes of these professionals, compare and contrast several examples, and create a personal resume modeled after elements identified in the search. </w:t>
            </w:r>
          </w:p>
        </w:tc>
        <w:tc>
          <w:tcPr>
            <w:tcW w:w="630" w:type="dxa"/>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c>
          <w:tcPr>
            <w:tcW w:w="4135" w:type="dxa"/>
            <w:gridSpan w:val="2"/>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r>
      <w:tr w:rsidR="005D7F02" w:rsidRPr="00720652" w:rsidTr="0043484B">
        <w:tc>
          <w:tcPr>
            <w:tcW w:w="7555" w:type="dxa"/>
            <w:shd w:val="clear" w:color="auto" w:fill="DBE5F1" w:themeFill="accent1" w:themeFillTint="33"/>
          </w:tcPr>
          <w:p w:rsidR="004156E2" w:rsidRPr="00720652" w:rsidRDefault="004156E2" w:rsidP="004156E2">
            <w:pPr>
              <w:pStyle w:val="ListParagraph"/>
              <w:numPr>
                <w:ilvl w:val="0"/>
                <w:numId w:val="13"/>
              </w:numPr>
              <w:rPr>
                <w:bCs/>
              </w:rPr>
            </w:pPr>
            <w:r w:rsidRPr="00720652">
              <w:rPr>
                <w:bCs/>
              </w:rPr>
              <w:t>Research and select a CJ system for a project in the CJ field. Cite specific textual evidence from the organization’s literature, as well as independent news articles, to summarize:</w:t>
            </w:r>
          </w:p>
          <w:p w:rsidR="004156E2" w:rsidRPr="00720652" w:rsidRDefault="004156E2" w:rsidP="004156E2">
            <w:pPr>
              <w:pStyle w:val="ListParagraph"/>
              <w:numPr>
                <w:ilvl w:val="1"/>
                <w:numId w:val="13"/>
              </w:numPr>
              <w:rPr>
                <w:bCs/>
              </w:rPr>
            </w:pPr>
            <w:r w:rsidRPr="00720652">
              <w:rPr>
                <w:bCs/>
              </w:rPr>
              <w:t>The mission and history of the organization</w:t>
            </w:r>
          </w:p>
          <w:p w:rsidR="004156E2" w:rsidRPr="00720652" w:rsidRDefault="004156E2" w:rsidP="004156E2">
            <w:pPr>
              <w:pStyle w:val="ListParagraph"/>
              <w:numPr>
                <w:ilvl w:val="1"/>
                <w:numId w:val="13"/>
              </w:numPr>
              <w:rPr>
                <w:bCs/>
              </w:rPr>
            </w:pPr>
            <w:r w:rsidRPr="00720652">
              <w:rPr>
                <w:bCs/>
              </w:rPr>
              <w:t>Headquarters and organizational structure</w:t>
            </w:r>
          </w:p>
          <w:p w:rsidR="004156E2" w:rsidRPr="00720652" w:rsidRDefault="004156E2" w:rsidP="004156E2">
            <w:pPr>
              <w:pStyle w:val="ListParagraph"/>
              <w:numPr>
                <w:ilvl w:val="1"/>
                <w:numId w:val="13"/>
              </w:numPr>
              <w:rPr>
                <w:bCs/>
              </w:rPr>
            </w:pPr>
            <w:r w:rsidRPr="00720652">
              <w:rPr>
                <w:bCs/>
              </w:rPr>
              <w:t>Services provided</w:t>
            </w:r>
          </w:p>
          <w:p w:rsidR="004156E2" w:rsidRPr="00720652" w:rsidRDefault="004156E2" w:rsidP="004156E2">
            <w:pPr>
              <w:pStyle w:val="ListParagraph"/>
              <w:numPr>
                <w:ilvl w:val="1"/>
                <w:numId w:val="13"/>
              </w:numPr>
              <w:rPr>
                <w:bCs/>
              </w:rPr>
            </w:pPr>
            <w:r w:rsidRPr="00720652">
              <w:rPr>
                <w:bCs/>
              </w:rPr>
              <w:t>Credentials required for employment and how they are obtained and maintained</w:t>
            </w:r>
          </w:p>
          <w:p w:rsidR="004156E2" w:rsidRPr="00720652" w:rsidRDefault="004156E2" w:rsidP="004156E2">
            <w:pPr>
              <w:pStyle w:val="ListParagraph"/>
              <w:numPr>
                <w:ilvl w:val="1"/>
                <w:numId w:val="13"/>
              </w:numPr>
              <w:rPr>
                <w:bCs/>
              </w:rPr>
            </w:pPr>
            <w:r w:rsidRPr="00720652">
              <w:rPr>
                <w:bCs/>
              </w:rPr>
              <w:t>Policies and procedures</w:t>
            </w:r>
          </w:p>
          <w:p w:rsidR="004156E2" w:rsidRPr="00720652" w:rsidRDefault="004156E2" w:rsidP="004156E2">
            <w:pPr>
              <w:pStyle w:val="ListParagraph"/>
              <w:numPr>
                <w:ilvl w:val="1"/>
                <w:numId w:val="13"/>
              </w:numPr>
              <w:rPr>
                <w:bCs/>
              </w:rPr>
            </w:pPr>
            <w:r w:rsidRPr="00720652">
              <w:rPr>
                <w:bCs/>
              </w:rPr>
              <w:t>Reports, newsletters, and other documents published by the organization</w:t>
            </w:r>
          </w:p>
          <w:p w:rsidR="005D7F02" w:rsidRPr="00720652" w:rsidRDefault="004156E2" w:rsidP="00720652">
            <w:pPr>
              <w:pStyle w:val="ListParagraph"/>
              <w:numPr>
                <w:ilvl w:val="1"/>
                <w:numId w:val="13"/>
              </w:numPr>
              <w:rPr>
                <w:bCs/>
              </w:rPr>
            </w:pPr>
            <w:r w:rsidRPr="00720652">
              <w:rPr>
                <w:bCs/>
              </w:rPr>
              <w:t>Website and contact information</w:t>
            </w:r>
          </w:p>
        </w:tc>
        <w:tc>
          <w:tcPr>
            <w:tcW w:w="630" w:type="dxa"/>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c>
          <w:tcPr>
            <w:tcW w:w="4135" w:type="dxa"/>
            <w:gridSpan w:val="2"/>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r>
      <w:tr w:rsidR="005D7F02" w:rsidRPr="00720652" w:rsidTr="0043484B">
        <w:tc>
          <w:tcPr>
            <w:tcW w:w="7555" w:type="dxa"/>
            <w:shd w:val="clear" w:color="auto" w:fill="DBE5F1" w:themeFill="accent1" w:themeFillTint="33"/>
          </w:tcPr>
          <w:p w:rsidR="005D7F02" w:rsidRPr="00720652" w:rsidRDefault="004156E2" w:rsidP="00720652">
            <w:pPr>
              <w:pStyle w:val="ListParagraph"/>
              <w:numPr>
                <w:ilvl w:val="0"/>
                <w:numId w:val="13"/>
              </w:numPr>
            </w:pPr>
            <w:r w:rsidRPr="00720652">
              <w:t xml:space="preserve">Simulate the experience of conducting a job search by researching local employment options. In preparation for a future career in CJ, complete an authentic job application form and compose a cover letter following guidelines specified in the vacancy announcement. </w:t>
            </w:r>
          </w:p>
        </w:tc>
        <w:tc>
          <w:tcPr>
            <w:tcW w:w="630" w:type="dxa"/>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c>
          <w:tcPr>
            <w:tcW w:w="4135" w:type="dxa"/>
            <w:gridSpan w:val="2"/>
            <w:shd w:val="clear" w:color="auto" w:fill="DBE5F1" w:themeFill="accent1" w:themeFillTint="33"/>
          </w:tcPr>
          <w:p w:rsidR="005D7F02" w:rsidRPr="00720652" w:rsidRDefault="005D7F02" w:rsidP="00D53761">
            <w:pPr>
              <w:rPr>
                <w:rFonts w:ascii="Open Sans" w:eastAsia="Times New Roman" w:hAnsi="Open Sans" w:cs="Open Sans"/>
                <w:sz w:val="20"/>
                <w:szCs w:val="20"/>
              </w:rPr>
            </w:pPr>
          </w:p>
        </w:tc>
      </w:tr>
      <w:tr w:rsidR="001B02DE" w:rsidRPr="00720652" w:rsidTr="0043484B">
        <w:tc>
          <w:tcPr>
            <w:tcW w:w="7555" w:type="dxa"/>
            <w:shd w:val="clear" w:color="auto" w:fill="DBE5F1" w:themeFill="accent1" w:themeFillTint="33"/>
          </w:tcPr>
          <w:p w:rsidR="001B02DE" w:rsidRPr="00720652" w:rsidRDefault="004156E2" w:rsidP="00720652">
            <w:pPr>
              <w:pStyle w:val="ListParagraph"/>
              <w:numPr>
                <w:ilvl w:val="0"/>
                <w:numId w:val="13"/>
              </w:numPr>
              <w:rPr>
                <w:rFonts w:ascii="Open Sans" w:hAnsi="Open Sans" w:cs="Open Sans"/>
                <w:sz w:val="20"/>
                <w:szCs w:val="20"/>
              </w:rPr>
            </w:pPr>
            <w:r w:rsidRPr="00720652">
              <w:rPr>
                <w:rFonts w:ascii="Open Sans" w:hAnsi="Open Sans" w:cs="Open Sans"/>
                <w:sz w:val="20"/>
                <w:szCs w:val="20"/>
              </w:rPr>
              <w:t xml:space="preserve">Participate in a mock interview. Prior to the interview, research tips on dress and grooming, most commonly asked interview questions, appropriate conduct during an interview, and recommended follow-up procedures. Highlight sample work compiled in the portfolio that illustrates mastery of specific skills attained in the program of study. Upon completion of the interview, write a thank you letter to the interviewer in a written or email format. </w:t>
            </w:r>
          </w:p>
        </w:tc>
        <w:tc>
          <w:tcPr>
            <w:tcW w:w="630" w:type="dxa"/>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c>
          <w:tcPr>
            <w:tcW w:w="4135" w:type="dxa"/>
            <w:gridSpan w:val="2"/>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r>
      <w:tr w:rsidR="001B02DE" w:rsidRPr="00720652" w:rsidTr="0043484B">
        <w:tc>
          <w:tcPr>
            <w:tcW w:w="7555" w:type="dxa"/>
            <w:shd w:val="clear" w:color="auto" w:fill="DBE5F1" w:themeFill="accent1" w:themeFillTint="33"/>
          </w:tcPr>
          <w:p w:rsidR="001B02DE" w:rsidRPr="00720652" w:rsidRDefault="004156E2" w:rsidP="00720652">
            <w:pPr>
              <w:pStyle w:val="ListParagraph"/>
              <w:numPr>
                <w:ilvl w:val="0"/>
                <w:numId w:val="13"/>
              </w:numPr>
              <w:rPr>
                <w:rFonts w:ascii="Open Sans" w:hAnsi="Open Sans" w:cs="Open Sans"/>
                <w:b/>
                <w:bCs/>
                <w:sz w:val="20"/>
                <w:szCs w:val="20"/>
              </w:rPr>
            </w:pPr>
            <w:r w:rsidRPr="00720652">
              <w:rPr>
                <w:rFonts w:ascii="Open Sans" w:hAnsi="Open Sans" w:cs="Open Sans"/>
                <w:sz w:val="20"/>
                <w:szCs w:val="20"/>
              </w:rPr>
              <w:t xml:space="preserve">Research a case study involving an ethical issue related to criminal justice. Examine a variety of perspectives surrounding the issue, then </w:t>
            </w:r>
            <w:r w:rsidRPr="00720652">
              <w:rPr>
                <w:rFonts w:ascii="Open Sans" w:hAnsi="Open Sans" w:cs="Open Sans"/>
                <w:sz w:val="20"/>
                <w:szCs w:val="20"/>
              </w:rPr>
              <w:lastRenderedPageBreak/>
              <w:t xml:space="preserve">develop an original analysis explaining the impact of the issue on those involved, using persuasive language and citing evidence from the research. </w:t>
            </w:r>
          </w:p>
        </w:tc>
        <w:tc>
          <w:tcPr>
            <w:tcW w:w="630" w:type="dxa"/>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c>
          <w:tcPr>
            <w:tcW w:w="4135" w:type="dxa"/>
            <w:gridSpan w:val="2"/>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r>
      <w:tr w:rsidR="001B02DE" w:rsidRPr="00720652" w:rsidTr="0043484B">
        <w:tc>
          <w:tcPr>
            <w:tcW w:w="7555" w:type="dxa"/>
            <w:shd w:val="clear" w:color="auto" w:fill="DBE5F1" w:themeFill="accent1" w:themeFillTint="33"/>
          </w:tcPr>
          <w:p w:rsidR="001B02DE" w:rsidRPr="00720652" w:rsidRDefault="004156E2" w:rsidP="00720652">
            <w:pPr>
              <w:pStyle w:val="ListParagraph"/>
              <w:numPr>
                <w:ilvl w:val="0"/>
                <w:numId w:val="13"/>
              </w:numPr>
              <w:spacing w:line="276" w:lineRule="auto"/>
              <w:rPr>
                <w:rFonts w:ascii="Open Sans" w:hAnsi="Open Sans" w:cs="Open Sans"/>
                <w:b/>
                <w:bCs/>
                <w:sz w:val="20"/>
                <w:szCs w:val="20"/>
              </w:rPr>
            </w:pPr>
            <w:r w:rsidRPr="00720652">
              <w:rPr>
                <w:rFonts w:ascii="Open Sans" w:hAnsi="Open Sans" w:cs="Open Sans"/>
                <w:sz w:val="20"/>
                <w:szCs w:val="20"/>
              </w:rPr>
              <w:t xml:space="preserve">Investigate current issues surrounding professionalism in criminal justice. </w:t>
            </w:r>
            <w:r w:rsidRPr="00720652">
              <w:rPr>
                <w:rFonts w:ascii="Open Sans" w:eastAsia="Calibri" w:hAnsi="Open Sans" w:cs="Open Sans"/>
                <w:sz w:val="20"/>
                <w:szCs w:val="20"/>
              </w:rPr>
              <w:t>Examine a variety of pers</w:t>
            </w:r>
            <w:r w:rsidRPr="00720652">
              <w:rPr>
                <w:rFonts w:ascii="Open Sans" w:eastAsia="Calibri" w:hAnsi="Open Sans" w:cs="Open Sans"/>
                <w:spacing w:val="-3"/>
                <w:sz w:val="20"/>
                <w:szCs w:val="20"/>
              </w:rPr>
              <w:t>p</w:t>
            </w:r>
            <w:r w:rsidRPr="00720652">
              <w:rPr>
                <w:rFonts w:ascii="Open Sans" w:eastAsia="Calibri" w:hAnsi="Open Sans" w:cs="Open Sans"/>
                <w:sz w:val="20"/>
                <w:szCs w:val="20"/>
              </w:rPr>
              <w:t>ec</w:t>
            </w:r>
            <w:r w:rsidRPr="00720652">
              <w:rPr>
                <w:rFonts w:ascii="Open Sans" w:eastAsia="Calibri" w:hAnsi="Open Sans" w:cs="Open Sans"/>
                <w:spacing w:val="1"/>
                <w:sz w:val="20"/>
                <w:szCs w:val="20"/>
              </w:rPr>
              <w:t>t</w:t>
            </w:r>
            <w:r w:rsidRPr="00720652">
              <w:rPr>
                <w:rFonts w:ascii="Open Sans" w:eastAsia="Calibri" w:hAnsi="Open Sans" w:cs="Open Sans"/>
                <w:spacing w:val="-3"/>
                <w:sz w:val="20"/>
                <w:szCs w:val="20"/>
              </w:rPr>
              <w:t>i</w:t>
            </w:r>
            <w:r w:rsidRPr="00720652">
              <w:rPr>
                <w:rFonts w:ascii="Open Sans" w:eastAsia="Calibri" w:hAnsi="Open Sans" w:cs="Open Sans"/>
                <w:spacing w:val="1"/>
                <w:sz w:val="20"/>
                <w:szCs w:val="20"/>
              </w:rPr>
              <w:t>v</w:t>
            </w:r>
            <w:r w:rsidRPr="00720652">
              <w:rPr>
                <w:rFonts w:ascii="Open Sans" w:eastAsia="Calibri" w:hAnsi="Open Sans" w:cs="Open Sans"/>
                <w:sz w:val="20"/>
                <w:szCs w:val="20"/>
              </w:rPr>
              <w:t>es surrounding the professionalism of officers,</w:t>
            </w:r>
            <w:r w:rsidRPr="00720652">
              <w:rPr>
                <w:rFonts w:ascii="Open Sans" w:eastAsia="Calibri" w:hAnsi="Open Sans" w:cs="Open Sans"/>
                <w:spacing w:val="-1"/>
                <w:sz w:val="20"/>
                <w:szCs w:val="20"/>
              </w:rPr>
              <w:t xml:space="preserve"> </w:t>
            </w:r>
            <w:r w:rsidRPr="00720652">
              <w:rPr>
                <w:rFonts w:ascii="Open Sans" w:eastAsia="Calibri" w:hAnsi="Open Sans" w:cs="Open Sans"/>
                <w:sz w:val="20"/>
                <w:szCs w:val="20"/>
              </w:rPr>
              <w:t>then develop an original analysis explaining the impact of the issue on those involved, using persuasive language and citing evidence from the research.</w:t>
            </w:r>
          </w:p>
        </w:tc>
        <w:tc>
          <w:tcPr>
            <w:tcW w:w="630" w:type="dxa"/>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c>
          <w:tcPr>
            <w:tcW w:w="4135" w:type="dxa"/>
            <w:gridSpan w:val="2"/>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r>
      <w:tr w:rsidR="001B02DE" w:rsidRPr="00720652" w:rsidTr="0043484B">
        <w:tc>
          <w:tcPr>
            <w:tcW w:w="7555" w:type="dxa"/>
            <w:shd w:val="clear" w:color="auto" w:fill="DBE5F1" w:themeFill="accent1" w:themeFillTint="33"/>
          </w:tcPr>
          <w:p w:rsidR="001B02DE" w:rsidRPr="00720652" w:rsidRDefault="004156E2" w:rsidP="00720652">
            <w:pPr>
              <w:pStyle w:val="ListParagraph"/>
              <w:numPr>
                <w:ilvl w:val="0"/>
                <w:numId w:val="13"/>
              </w:numPr>
              <w:rPr>
                <w:bCs/>
              </w:rPr>
            </w:pPr>
            <w:r w:rsidRPr="00720652">
              <w:rPr>
                <w:bCs/>
              </w:rPr>
              <w:t xml:space="preserve">Apply skills and knowledge from previous courses in an authentic work-based learning internship, job shadow, or classroom-based project. Develop a plan to demonstrate skills outlined in previous courses. </w:t>
            </w:r>
          </w:p>
        </w:tc>
        <w:tc>
          <w:tcPr>
            <w:tcW w:w="630" w:type="dxa"/>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c>
          <w:tcPr>
            <w:tcW w:w="4135" w:type="dxa"/>
            <w:gridSpan w:val="2"/>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r>
      <w:tr w:rsidR="001B02DE" w:rsidRPr="00720652" w:rsidTr="0043484B">
        <w:tc>
          <w:tcPr>
            <w:tcW w:w="7555" w:type="dxa"/>
            <w:shd w:val="clear" w:color="auto" w:fill="DBE5F1" w:themeFill="accent1" w:themeFillTint="33"/>
          </w:tcPr>
          <w:p w:rsidR="005B1541" w:rsidRPr="00720652" w:rsidRDefault="005B1541" w:rsidP="005B1541">
            <w:pPr>
              <w:pStyle w:val="ListParagraph"/>
              <w:numPr>
                <w:ilvl w:val="0"/>
                <w:numId w:val="13"/>
              </w:numPr>
              <w:rPr>
                <w:rFonts w:ascii="Open Sans" w:hAnsi="Open Sans" w:cs="Open Sans"/>
                <w:bCs/>
                <w:sz w:val="20"/>
                <w:szCs w:val="20"/>
              </w:rPr>
            </w:pPr>
            <w:r w:rsidRPr="00720652">
              <w:rPr>
                <w:rFonts w:ascii="Open Sans" w:hAnsi="Open Sans" w:cs="Open Sans"/>
                <w:bCs/>
                <w:sz w:val="20"/>
                <w:szCs w:val="20"/>
              </w:rPr>
              <w:t>Create and continually update a personal journal to document skills learned during the practicum and draw connections between the experience and previous course content by reflecting on:</w:t>
            </w:r>
          </w:p>
          <w:p w:rsidR="005B1541" w:rsidRPr="00720652" w:rsidRDefault="005B1541" w:rsidP="005B1541">
            <w:pPr>
              <w:pStyle w:val="ListParagraph"/>
              <w:numPr>
                <w:ilvl w:val="1"/>
                <w:numId w:val="22"/>
              </w:numPr>
              <w:spacing w:line="276" w:lineRule="auto"/>
              <w:rPr>
                <w:rFonts w:ascii="Open Sans" w:hAnsi="Open Sans" w:cs="Open Sans"/>
                <w:bCs/>
                <w:sz w:val="20"/>
                <w:szCs w:val="20"/>
              </w:rPr>
            </w:pPr>
            <w:r w:rsidRPr="00720652">
              <w:rPr>
                <w:rFonts w:ascii="Open Sans" w:hAnsi="Open Sans" w:cs="Open Sans"/>
                <w:bCs/>
                <w:sz w:val="20"/>
                <w:szCs w:val="20"/>
              </w:rPr>
              <w:t>Tasks accomplished and activities implemented</w:t>
            </w:r>
          </w:p>
          <w:p w:rsidR="005B1541" w:rsidRPr="00720652" w:rsidRDefault="005B1541" w:rsidP="005B1541">
            <w:pPr>
              <w:pStyle w:val="ListParagraph"/>
              <w:numPr>
                <w:ilvl w:val="0"/>
                <w:numId w:val="21"/>
              </w:numPr>
              <w:spacing w:line="276" w:lineRule="auto"/>
              <w:ind w:left="990" w:firstLine="90"/>
              <w:contextualSpacing w:val="0"/>
              <w:rPr>
                <w:rFonts w:ascii="Open Sans" w:hAnsi="Open Sans" w:cs="Open Sans"/>
                <w:bCs/>
                <w:sz w:val="20"/>
                <w:szCs w:val="20"/>
              </w:rPr>
            </w:pPr>
            <w:r w:rsidRPr="00720652">
              <w:rPr>
                <w:rFonts w:ascii="Open Sans" w:hAnsi="Open Sans" w:cs="Open Sans"/>
                <w:bCs/>
                <w:sz w:val="20"/>
                <w:szCs w:val="20"/>
              </w:rPr>
              <w:t>Positive and negative aspects of the experience</w:t>
            </w:r>
          </w:p>
          <w:p w:rsidR="005B1541" w:rsidRPr="00720652" w:rsidRDefault="005B1541" w:rsidP="005B1541">
            <w:pPr>
              <w:pStyle w:val="ListParagraph"/>
              <w:numPr>
                <w:ilvl w:val="0"/>
                <w:numId w:val="21"/>
              </w:numPr>
              <w:spacing w:line="276" w:lineRule="auto"/>
              <w:ind w:left="990" w:firstLine="90"/>
              <w:contextualSpacing w:val="0"/>
              <w:rPr>
                <w:rFonts w:ascii="Open Sans" w:hAnsi="Open Sans" w:cs="Open Sans"/>
                <w:bCs/>
                <w:sz w:val="20"/>
                <w:szCs w:val="20"/>
              </w:rPr>
            </w:pPr>
            <w:r w:rsidRPr="00720652">
              <w:rPr>
                <w:rFonts w:ascii="Open Sans" w:hAnsi="Open Sans" w:cs="Open Sans"/>
                <w:bCs/>
                <w:sz w:val="20"/>
                <w:szCs w:val="20"/>
              </w:rPr>
              <w:t>How challenges were addressed</w:t>
            </w:r>
          </w:p>
          <w:p w:rsidR="005B1541" w:rsidRPr="00720652" w:rsidRDefault="005B1541" w:rsidP="005B1541">
            <w:pPr>
              <w:pStyle w:val="ListParagraph"/>
              <w:numPr>
                <w:ilvl w:val="0"/>
                <w:numId w:val="21"/>
              </w:numPr>
              <w:spacing w:line="276" w:lineRule="auto"/>
              <w:ind w:left="990" w:firstLine="90"/>
              <w:contextualSpacing w:val="0"/>
              <w:rPr>
                <w:rFonts w:ascii="Open Sans" w:hAnsi="Open Sans" w:cs="Open Sans"/>
                <w:bCs/>
                <w:sz w:val="20"/>
                <w:szCs w:val="20"/>
              </w:rPr>
            </w:pPr>
            <w:r w:rsidRPr="00720652">
              <w:rPr>
                <w:rFonts w:ascii="Open Sans" w:hAnsi="Open Sans" w:cs="Open Sans"/>
                <w:bCs/>
                <w:sz w:val="20"/>
                <w:szCs w:val="20"/>
              </w:rPr>
              <w:t>Team participation in a learning environment</w:t>
            </w:r>
          </w:p>
          <w:p w:rsidR="005B1541" w:rsidRPr="00720652" w:rsidRDefault="005B1541" w:rsidP="005B1541">
            <w:pPr>
              <w:pStyle w:val="ListParagraph"/>
              <w:numPr>
                <w:ilvl w:val="0"/>
                <w:numId w:val="21"/>
              </w:numPr>
              <w:spacing w:line="276" w:lineRule="auto"/>
              <w:ind w:left="1417" w:hanging="337"/>
              <w:contextualSpacing w:val="0"/>
              <w:rPr>
                <w:rFonts w:ascii="Open Sans" w:hAnsi="Open Sans" w:cs="Open Sans"/>
                <w:bCs/>
                <w:sz w:val="20"/>
                <w:szCs w:val="20"/>
              </w:rPr>
            </w:pPr>
            <w:r w:rsidRPr="00720652">
              <w:rPr>
                <w:rFonts w:ascii="Open Sans" w:hAnsi="Open Sans" w:cs="Open Sans"/>
                <w:bCs/>
                <w:sz w:val="20"/>
                <w:szCs w:val="20"/>
              </w:rPr>
              <w:t>Comparisons and contrasts between classroom and work environments</w:t>
            </w:r>
          </w:p>
          <w:p w:rsidR="005B1541" w:rsidRPr="00720652" w:rsidRDefault="005B1541" w:rsidP="005B1541">
            <w:pPr>
              <w:pStyle w:val="ListParagraph"/>
              <w:numPr>
                <w:ilvl w:val="0"/>
                <w:numId w:val="21"/>
              </w:numPr>
              <w:spacing w:line="276" w:lineRule="auto"/>
              <w:ind w:left="990" w:firstLine="90"/>
              <w:contextualSpacing w:val="0"/>
              <w:rPr>
                <w:rFonts w:ascii="Open Sans" w:hAnsi="Open Sans" w:cs="Open Sans"/>
                <w:bCs/>
                <w:sz w:val="20"/>
                <w:szCs w:val="20"/>
              </w:rPr>
            </w:pPr>
            <w:r w:rsidRPr="00720652">
              <w:rPr>
                <w:rFonts w:ascii="Open Sans" w:hAnsi="Open Sans" w:cs="Open Sans"/>
                <w:bCs/>
                <w:sz w:val="20"/>
                <w:szCs w:val="20"/>
              </w:rPr>
              <w:t>Interactions with colleagues and supervisors</w:t>
            </w:r>
          </w:p>
          <w:p w:rsidR="005B1541" w:rsidRPr="00720652" w:rsidRDefault="005B1541" w:rsidP="005B1541">
            <w:pPr>
              <w:pStyle w:val="ListParagraph"/>
              <w:numPr>
                <w:ilvl w:val="0"/>
                <w:numId w:val="21"/>
              </w:numPr>
              <w:spacing w:line="276" w:lineRule="auto"/>
              <w:ind w:left="990" w:firstLine="90"/>
              <w:contextualSpacing w:val="0"/>
              <w:rPr>
                <w:rFonts w:ascii="Open Sans" w:hAnsi="Open Sans" w:cs="Open Sans"/>
                <w:bCs/>
                <w:sz w:val="20"/>
                <w:szCs w:val="20"/>
              </w:rPr>
            </w:pPr>
            <w:r w:rsidRPr="00720652">
              <w:rPr>
                <w:rFonts w:ascii="Open Sans" w:hAnsi="Open Sans" w:cs="Open Sans"/>
                <w:bCs/>
                <w:sz w:val="20"/>
                <w:szCs w:val="20"/>
              </w:rPr>
              <w:t>Personal career development</w:t>
            </w:r>
          </w:p>
          <w:p w:rsidR="001B02DE" w:rsidRPr="00720652" w:rsidRDefault="005B1541" w:rsidP="00720652">
            <w:pPr>
              <w:pStyle w:val="ListParagraph"/>
              <w:numPr>
                <w:ilvl w:val="0"/>
                <w:numId w:val="21"/>
              </w:numPr>
              <w:spacing w:line="276" w:lineRule="auto"/>
              <w:ind w:left="990" w:firstLine="90"/>
              <w:contextualSpacing w:val="0"/>
              <w:rPr>
                <w:rFonts w:ascii="Open Sans" w:hAnsi="Open Sans" w:cs="Open Sans"/>
                <w:bCs/>
                <w:sz w:val="20"/>
                <w:szCs w:val="20"/>
              </w:rPr>
            </w:pPr>
            <w:r w:rsidRPr="00720652">
              <w:rPr>
                <w:rFonts w:ascii="Open Sans" w:hAnsi="Open Sans" w:cs="Open Sans"/>
                <w:bCs/>
                <w:sz w:val="20"/>
                <w:szCs w:val="20"/>
              </w:rPr>
              <w:t>Personal satisfaction</w:t>
            </w:r>
          </w:p>
        </w:tc>
        <w:tc>
          <w:tcPr>
            <w:tcW w:w="630" w:type="dxa"/>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c>
          <w:tcPr>
            <w:tcW w:w="4135" w:type="dxa"/>
            <w:gridSpan w:val="2"/>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r>
      <w:tr w:rsidR="001B02DE" w:rsidRPr="00720652" w:rsidTr="0043484B">
        <w:tc>
          <w:tcPr>
            <w:tcW w:w="7555" w:type="dxa"/>
            <w:shd w:val="clear" w:color="auto" w:fill="DBE5F1" w:themeFill="accent1" w:themeFillTint="33"/>
          </w:tcPr>
          <w:p w:rsidR="005B1541" w:rsidRPr="00720652" w:rsidRDefault="005B1541" w:rsidP="005B1541">
            <w:pPr>
              <w:pStyle w:val="ListParagraph"/>
              <w:numPr>
                <w:ilvl w:val="0"/>
                <w:numId w:val="13"/>
              </w:numPr>
              <w:rPr>
                <w:rFonts w:ascii="Open Sans" w:eastAsia="Calibri" w:hAnsi="Open Sans" w:cs="Open Sans"/>
                <w:bCs/>
                <w:sz w:val="20"/>
                <w:szCs w:val="20"/>
              </w:rPr>
            </w:pPr>
            <w:r w:rsidRPr="00720652">
              <w:rPr>
                <w:rFonts w:ascii="Open Sans" w:eastAsia="Calibri" w:hAnsi="Open Sans" w:cs="Open Sans"/>
                <w:bCs/>
                <w:sz w:val="20"/>
                <w:szCs w:val="20"/>
              </w:rPr>
              <w:t xml:space="preserve">Update materials from coursework to add to the portfolio started in </w:t>
            </w:r>
            <w:r w:rsidRPr="00720652">
              <w:rPr>
                <w:rFonts w:ascii="Open Sans" w:eastAsia="Calibri" w:hAnsi="Open Sans" w:cs="Open Sans"/>
                <w:bCs/>
                <w:i/>
                <w:sz w:val="20"/>
                <w:szCs w:val="20"/>
              </w:rPr>
              <w:t>Criminal Justice I</w:t>
            </w:r>
            <w:r w:rsidRPr="00720652">
              <w:rPr>
                <w:rFonts w:ascii="Open Sans" w:eastAsia="Calibri" w:hAnsi="Open Sans" w:cs="Open Sans"/>
                <w:bCs/>
                <w:sz w:val="20"/>
                <w:szCs w:val="20"/>
              </w:rPr>
              <w:t xml:space="preserve"> to illustrate mastery of skills and knowledge outlined in the previous courses and applied in the practicum. The portfolio should reflect thoughtful assessment and evaluation of the progression of work involving the application of criminal justice and corrections skills. The following documents will reside in the career portfolio:</w:t>
            </w:r>
          </w:p>
          <w:p w:rsidR="005B1541" w:rsidRPr="00720652" w:rsidRDefault="005B1541" w:rsidP="005B1541">
            <w:pPr>
              <w:numPr>
                <w:ilvl w:val="0"/>
                <w:numId w:val="23"/>
              </w:numPr>
              <w:ind w:left="990" w:firstLine="90"/>
              <w:rPr>
                <w:rFonts w:ascii="Open Sans" w:eastAsia="Calibri" w:hAnsi="Open Sans" w:cs="Open Sans"/>
                <w:bCs/>
                <w:sz w:val="20"/>
                <w:szCs w:val="20"/>
              </w:rPr>
            </w:pPr>
            <w:r w:rsidRPr="00720652">
              <w:rPr>
                <w:rFonts w:ascii="Open Sans" w:eastAsia="Calibri" w:hAnsi="Open Sans" w:cs="Open Sans"/>
                <w:bCs/>
                <w:sz w:val="20"/>
                <w:szCs w:val="20"/>
              </w:rPr>
              <w:t>The career plan developed and revised in prior courses</w:t>
            </w:r>
          </w:p>
          <w:p w:rsidR="005B1541" w:rsidRPr="00720652" w:rsidRDefault="005B1541" w:rsidP="005B1541">
            <w:pPr>
              <w:numPr>
                <w:ilvl w:val="0"/>
                <w:numId w:val="23"/>
              </w:numPr>
              <w:tabs>
                <w:tab w:val="left" w:pos="990"/>
              </w:tabs>
              <w:ind w:left="990" w:firstLine="90"/>
              <w:rPr>
                <w:rFonts w:ascii="Open Sans" w:eastAsia="Calibri" w:hAnsi="Open Sans" w:cs="Open Sans"/>
                <w:bCs/>
                <w:sz w:val="20"/>
                <w:szCs w:val="20"/>
              </w:rPr>
            </w:pPr>
            <w:r w:rsidRPr="00720652">
              <w:rPr>
                <w:rFonts w:ascii="Open Sans" w:eastAsia="Calibri" w:hAnsi="Open Sans" w:cs="Open Sans"/>
                <w:bCs/>
                <w:sz w:val="20"/>
                <w:szCs w:val="20"/>
              </w:rPr>
              <w:lastRenderedPageBreak/>
              <w:t xml:space="preserve">Resume </w:t>
            </w:r>
          </w:p>
          <w:p w:rsidR="005B1541" w:rsidRPr="00720652" w:rsidRDefault="005B1541" w:rsidP="005B1541">
            <w:pPr>
              <w:numPr>
                <w:ilvl w:val="0"/>
                <w:numId w:val="23"/>
              </w:numPr>
              <w:ind w:left="990" w:firstLine="90"/>
              <w:rPr>
                <w:rFonts w:ascii="Open Sans" w:eastAsia="Calibri" w:hAnsi="Open Sans" w:cs="Open Sans"/>
                <w:bCs/>
                <w:sz w:val="20"/>
                <w:szCs w:val="20"/>
              </w:rPr>
            </w:pPr>
            <w:r w:rsidRPr="00720652">
              <w:rPr>
                <w:rFonts w:ascii="Open Sans" w:eastAsia="Calibri" w:hAnsi="Open Sans" w:cs="Open Sans"/>
                <w:bCs/>
                <w:sz w:val="20"/>
                <w:szCs w:val="20"/>
              </w:rPr>
              <w:t>List of responsibilities undertaken through the course</w:t>
            </w:r>
          </w:p>
          <w:p w:rsidR="005B1541" w:rsidRPr="00720652" w:rsidRDefault="005B1541" w:rsidP="005B1541">
            <w:pPr>
              <w:numPr>
                <w:ilvl w:val="0"/>
                <w:numId w:val="23"/>
              </w:numPr>
              <w:ind w:left="990" w:firstLine="90"/>
              <w:rPr>
                <w:rFonts w:ascii="Open Sans" w:eastAsia="Calibri" w:hAnsi="Open Sans" w:cs="Open Sans"/>
                <w:sz w:val="20"/>
                <w:szCs w:val="20"/>
              </w:rPr>
            </w:pPr>
            <w:r w:rsidRPr="00720652">
              <w:rPr>
                <w:rFonts w:ascii="Open Sans" w:eastAsia="Calibri" w:hAnsi="Open Sans" w:cs="Open Sans"/>
                <w:sz w:val="20"/>
                <w:szCs w:val="20"/>
              </w:rPr>
              <w:t>Artifacts of project outcomes</w:t>
            </w:r>
          </w:p>
          <w:p w:rsidR="005B1541" w:rsidRPr="00720652" w:rsidRDefault="005B1541" w:rsidP="005B1541">
            <w:pPr>
              <w:numPr>
                <w:ilvl w:val="0"/>
                <w:numId w:val="23"/>
              </w:numPr>
              <w:ind w:left="990" w:firstLine="90"/>
              <w:rPr>
                <w:rFonts w:ascii="Open Sans" w:eastAsia="Calibri" w:hAnsi="Open Sans" w:cs="Open Sans"/>
                <w:sz w:val="20"/>
                <w:szCs w:val="20"/>
              </w:rPr>
            </w:pPr>
            <w:r w:rsidRPr="00720652">
              <w:rPr>
                <w:rFonts w:ascii="Open Sans" w:eastAsia="Calibri" w:hAnsi="Open Sans" w:cs="Open Sans"/>
                <w:sz w:val="20"/>
                <w:szCs w:val="20"/>
              </w:rPr>
              <w:t>Periodic journal entries reflecting on tasks and activities</w:t>
            </w:r>
          </w:p>
          <w:p w:rsidR="005B1541" w:rsidRPr="00720652" w:rsidRDefault="005B1541" w:rsidP="005B1541">
            <w:pPr>
              <w:numPr>
                <w:ilvl w:val="0"/>
                <w:numId w:val="23"/>
              </w:numPr>
              <w:ind w:left="1417" w:hanging="337"/>
              <w:rPr>
                <w:rFonts w:ascii="Open Sans" w:eastAsia="Calibri" w:hAnsi="Open Sans" w:cs="Open Sans"/>
                <w:sz w:val="20"/>
                <w:szCs w:val="20"/>
              </w:rPr>
            </w:pPr>
            <w:r w:rsidRPr="00720652">
              <w:rPr>
                <w:rFonts w:ascii="Open Sans" w:eastAsia="Calibri" w:hAnsi="Open Sans" w:cs="Open Sans"/>
                <w:sz w:val="20"/>
                <w:szCs w:val="20"/>
              </w:rPr>
              <w:t>Feedback from instructor and/or supervisor based on observations</w:t>
            </w:r>
          </w:p>
          <w:p w:rsidR="001B02DE" w:rsidRPr="00720652" w:rsidRDefault="005B1541" w:rsidP="00720652">
            <w:pPr>
              <w:numPr>
                <w:ilvl w:val="0"/>
                <w:numId w:val="23"/>
              </w:numPr>
              <w:rPr>
                <w:rFonts w:ascii="Open Sans" w:eastAsia="Calibri" w:hAnsi="Open Sans" w:cs="Open Sans"/>
                <w:sz w:val="20"/>
                <w:szCs w:val="20"/>
              </w:rPr>
            </w:pPr>
            <w:r w:rsidRPr="00720652">
              <w:rPr>
                <w:rFonts w:ascii="Open Sans" w:eastAsia="Calibri" w:hAnsi="Open Sans" w:cs="Open Sans"/>
                <w:sz w:val="20"/>
                <w:szCs w:val="20"/>
              </w:rPr>
              <w:t>Transcripts or other evidence of certifications obtained throughout the program of study</w:t>
            </w:r>
          </w:p>
        </w:tc>
        <w:tc>
          <w:tcPr>
            <w:tcW w:w="630" w:type="dxa"/>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c>
          <w:tcPr>
            <w:tcW w:w="4135" w:type="dxa"/>
            <w:gridSpan w:val="2"/>
            <w:shd w:val="clear" w:color="auto" w:fill="DBE5F1" w:themeFill="accent1" w:themeFillTint="33"/>
          </w:tcPr>
          <w:p w:rsidR="001B02DE" w:rsidRPr="00720652" w:rsidRDefault="001B02DE" w:rsidP="00D53761">
            <w:pPr>
              <w:rPr>
                <w:rFonts w:ascii="Open Sans" w:eastAsia="Times New Roman" w:hAnsi="Open Sans" w:cs="Open Sans"/>
                <w:sz w:val="20"/>
                <w:szCs w:val="20"/>
              </w:rPr>
            </w:pPr>
          </w:p>
        </w:tc>
      </w:tr>
      <w:tr w:rsidR="00DE024E" w:rsidTr="0043484B">
        <w:tc>
          <w:tcPr>
            <w:tcW w:w="7555" w:type="dxa"/>
            <w:shd w:val="clear" w:color="auto" w:fill="DBE5F1" w:themeFill="accent1" w:themeFillTint="33"/>
          </w:tcPr>
          <w:p w:rsidR="00DE024E" w:rsidRPr="00720652" w:rsidRDefault="005B1541" w:rsidP="00720652">
            <w:pPr>
              <w:numPr>
                <w:ilvl w:val="0"/>
                <w:numId w:val="13"/>
              </w:numPr>
              <w:rPr>
                <w:rFonts w:ascii="Open Sans" w:hAnsi="Open Sans" w:cs="Open Sans"/>
                <w:sz w:val="20"/>
                <w:szCs w:val="20"/>
              </w:rPr>
            </w:pPr>
            <w:r w:rsidRPr="00720652">
              <w:rPr>
                <w:rFonts w:ascii="Open Sans" w:hAnsi="Open Sans" w:cs="Open Sans"/>
                <w:bCs/>
                <w:sz w:val="20"/>
                <w:szCs w:val="20"/>
              </w:rPr>
              <w:t xml:space="preserve">Upon completion of the practicum, develop a technology-enhanced presentation showcasing highlights, challenges, and lessons learned from the experience. The presentation should be delivered orally, but supported by relevant graphic illustrations, such as diagrams, drawings, videos, and photographs. Prepare the presentation in a format that could be presented to both a health care professional and non-health care professional audience, as well as for a career and technical student organization (CTSO) competition.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gridSpan w:val="2"/>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43484B" w:rsidRPr="00214F1D" w:rsidTr="00223D39">
        <w:tc>
          <w:tcPr>
            <w:tcW w:w="12950" w:type="dxa"/>
            <w:gridSpan w:val="5"/>
            <w:shd w:val="clear" w:color="auto" w:fill="DBE5F1" w:themeFill="accent1" w:themeFillTint="33"/>
          </w:tcPr>
          <w:p w:rsidR="0043484B" w:rsidRPr="00125329" w:rsidRDefault="0043484B" w:rsidP="00223D39">
            <w:pPr>
              <w:rPr>
                <w:rFonts w:ascii="Open Sans" w:eastAsia="Times New Roman" w:hAnsi="Open Sans" w:cs="Open Sans"/>
                <w:b/>
                <w:sz w:val="20"/>
                <w:szCs w:val="20"/>
              </w:rPr>
            </w:pPr>
            <w:r w:rsidRPr="00125329">
              <w:rPr>
                <w:rFonts w:ascii="Open Sans" w:eastAsia="Times New Roman" w:hAnsi="Open Sans" w:cs="Open Sans"/>
                <w:b/>
                <w:sz w:val="20"/>
                <w:szCs w:val="20"/>
              </w:rPr>
              <w:t>Additional comments on the standards alignment with the materials:</w:t>
            </w:r>
          </w:p>
          <w:p w:rsidR="0043484B" w:rsidRDefault="0043484B" w:rsidP="00223D39">
            <w:pPr>
              <w:rPr>
                <w:rFonts w:ascii="Open Sans" w:eastAsia="Times New Roman" w:hAnsi="Open Sans" w:cs="Open Sans"/>
                <w:sz w:val="20"/>
                <w:szCs w:val="20"/>
              </w:rPr>
            </w:pPr>
          </w:p>
          <w:p w:rsidR="0043484B" w:rsidRDefault="0043484B" w:rsidP="00223D39">
            <w:pPr>
              <w:rPr>
                <w:rFonts w:ascii="Open Sans" w:eastAsia="Times New Roman" w:hAnsi="Open Sans" w:cs="Open Sans"/>
                <w:sz w:val="20"/>
                <w:szCs w:val="20"/>
              </w:rPr>
            </w:pPr>
          </w:p>
          <w:p w:rsidR="0043484B" w:rsidRDefault="0043484B" w:rsidP="00223D39">
            <w:pPr>
              <w:rPr>
                <w:rFonts w:ascii="Open Sans" w:eastAsia="Times New Roman" w:hAnsi="Open Sans" w:cs="Open Sans"/>
                <w:sz w:val="20"/>
                <w:szCs w:val="20"/>
              </w:rPr>
            </w:pPr>
          </w:p>
          <w:p w:rsidR="0043484B" w:rsidRDefault="0043484B" w:rsidP="00223D39">
            <w:pPr>
              <w:rPr>
                <w:rFonts w:ascii="Open Sans" w:eastAsia="Times New Roman" w:hAnsi="Open Sans" w:cs="Open Sans"/>
                <w:sz w:val="20"/>
                <w:szCs w:val="20"/>
              </w:rPr>
            </w:pPr>
          </w:p>
          <w:p w:rsidR="0043484B" w:rsidRPr="00214F1D" w:rsidRDefault="0043484B" w:rsidP="00223D39">
            <w:pPr>
              <w:rPr>
                <w:rFonts w:ascii="Open Sans" w:eastAsia="Times New Roman" w:hAnsi="Open Sans" w:cs="Open Sans"/>
                <w:sz w:val="20"/>
                <w:szCs w:val="20"/>
              </w:rPr>
            </w:pPr>
          </w:p>
        </w:tc>
      </w:tr>
      <w:tr w:rsidR="0043484B" w:rsidTr="0043484B">
        <w:trPr>
          <w:trHeight w:val="390"/>
        </w:trPr>
        <w:tc>
          <w:tcPr>
            <w:tcW w:w="7555" w:type="dxa"/>
            <w:vMerge w:val="restart"/>
            <w:shd w:val="clear" w:color="auto" w:fill="DBE5F1" w:themeFill="accent1" w:themeFillTint="33"/>
          </w:tcPr>
          <w:p w:rsidR="0043484B" w:rsidRDefault="0043484B" w:rsidP="00223D39">
            <w:pPr>
              <w:rPr>
                <w:rFonts w:ascii="Open Sans" w:eastAsia="Times New Roman" w:hAnsi="Open Sans" w:cs="Open Sans"/>
                <w:b/>
                <w:sz w:val="20"/>
                <w:szCs w:val="20"/>
              </w:rPr>
            </w:pPr>
            <w:r w:rsidRPr="00125329">
              <w:rPr>
                <w:rFonts w:ascii="Open Sans" w:eastAsia="Times New Roman" w:hAnsi="Open Sans" w:cs="Open Sans"/>
                <w:b/>
                <w:sz w:val="20"/>
                <w:szCs w:val="20"/>
              </w:rPr>
              <w:t xml:space="preserve">Materials meet 80% Alignment with section 1: Standards? </w:t>
            </w:r>
          </w:p>
          <w:p w:rsidR="0043484B" w:rsidRPr="00125329" w:rsidRDefault="0043484B" w:rsidP="00223D39">
            <w:pPr>
              <w:rPr>
                <w:rFonts w:ascii="Open Sans" w:eastAsia="Times New Roman" w:hAnsi="Open Sans" w:cs="Open Sans"/>
                <w:b/>
                <w:sz w:val="20"/>
                <w:szCs w:val="20"/>
              </w:rPr>
            </w:pPr>
          </w:p>
          <w:p w:rsidR="0043484B" w:rsidRDefault="0043484B" w:rsidP="00223D39">
            <w:pPr>
              <w:rPr>
                <w:rFonts w:ascii="Open Sans" w:eastAsia="Times New Roman" w:hAnsi="Open Sans" w:cs="Open Sans"/>
                <w:sz w:val="20"/>
                <w:szCs w:val="20"/>
              </w:rPr>
            </w:pPr>
            <w:r>
              <w:rPr>
                <w:rFonts w:ascii="Open Sans" w:eastAsia="Times New Roman" w:hAnsi="Open Sans" w:cs="Open Sans"/>
                <w:sz w:val="20"/>
                <w:szCs w:val="20"/>
              </w:rPr>
              <w:t>This means that at least 11</w:t>
            </w:r>
            <w:r>
              <w:rPr>
                <w:rFonts w:ascii="Open Sans" w:eastAsia="Times New Roman" w:hAnsi="Open Sans" w:cs="Open Sans"/>
                <w:sz w:val="20"/>
                <w:szCs w:val="20"/>
              </w:rPr>
              <w:t xml:space="preserve"> boxes in this</w:t>
            </w:r>
            <w:r>
              <w:rPr>
                <w:rFonts w:ascii="Open Sans" w:eastAsia="Times New Roman" w:hAnsi="Open Sans" w:cs="Open Sans"/>
                <w:sz w:val="20"/>
                <w:szCs w:val="20"/>
              </w:rPr>
              <w:t xml:space="preserve"> section were marked “YES.” If 3</w:t>
            </w:r>
            <w:r>
              <w:rPr>
                <w:rFonts w:ascii="Open Sans" w:eastAsia="Times New Roman" w:hAnsi="Open Sans" w:cs="Open Sans"/>
                <w:sz w:val="20"/>
                <w:szCs w:val="20"/>
              </w:rPr>
              <w:t xml:space="preserve"> or more “No” boxes are marked, then this program does </w:t>
            </w:r>
            <w:r w:rsidRPr="00125329">
              <w:rPr>
                <w:rFonts w:ascii="Open Sans" w:eastAsia="Times New Roman" w:hAnsi="Open Sans" w:cs="Open Sans"/>
                <w:sz w:val="20"/>
                <w:szCs w:val="20"/>
                <w:u w:val="single"/>
              </w:rPr>
              <w:t>not</w:t>
            </w:r>
            <w:r>
              <w:rPr>
                <w:rFonts w:ascii="Open Sans" w:eastAsia="Times New Roman" w:hAnsi="Open Sans" w:cs="Open Sans"/>
                <w:sz w:val="20"/>
                <w:szCs w:val="20"/>
              </w:rPr>
              <w:t xml:space="preserve"> pass. </w:t>
            </w:r>
          </w:p>
        </w:tc>
        <w:tc>
          <w:tcPr>
            <w:tcW w:w="630" w:type="dxa"/>
            <w:shd w:val="clear" w:color="auto" w:fill="DBE5F1" w:themeFill="accent1" w:themeFillTint="33"/>
          </w:tcPr>
          <w:p w:rsidR="0043484B" w:rsidRDefault="0043484B" w:rsidP="00223D39">
            <w:pPr>
              <w:rPr>
                <w:rFonts w:ascii="Open Sans" w:eastAsia="Times New Roman" w:hAnsi="Open Sans" w:cs="Open Sans"/>
                <w:sz w:val="20"/>
                <w:szCs w:val="20"/>
              </w:rPr>
            </w:pPr>
            <w:r>
              <w:rPr>
                <w:rFonts w:ascii="Open Sans" w:eastAsia="Times New Roman" w:hAnsi="Open Sans" w:cs="Open Sans"/>
                <w:sz w:val="20"/>
                <w:szCs w:val="20"/>
              </w:rPr>
              <w:t xml:space="preserve">Yes </w:t>
            </w:r>
          </w:p>
        </w:tc>
        <w:tc>
          <w:tcPr>
            <w:tcW w:w="675" w:type="dxa"/>
            <w:gridSpan w:val="2"/>
            <w:shd w:val="clear" w:color="auto" w:fill="DBE5F1" w:themeFill="accent1" w:themeFillTint="33"/>
          </w:tcPr>
          <w:p w:rsidR="0043484B" w:rsidRDefault="0043484B" w:rsidP="00223D39">
            <w:pPr>
              <w:rPr>
                <w:rFonts w:ascii="Open Sans" w:eastAsia="Times New Roman" w:hAnsi="Open Sans" w:cs="Open Sans"/>
                <w:sz w:val="20"/>
                <w:szCs w:val="20"/>
              </w:rPr>
            </w:pPr>
            <w:r>
              <w:rPr>
                <w:rFonts w:ascii="Open Sans" w:eastAsia="Times New Roman" w:hAnsi="Open Sans" w:cs="Open Sans"/>
                <w:sz w:val="20"/>
                <w:szCs w:val="20"/>
              </w:rPr>
              <w:t>No</w:t>
            </w:r>
          </w:p>
        </w:tc>
        <w:tc>
          <w:tcPr>
            <w:tcW w:w="4090" w:type="dxa"/>
            <w:vMerge w:val="restart"/>
            <w:shd w:val="clear" w:color="auto" w:fill="DBE5F1" w:themeFill="accent1" w:themeFillTint="33"/>
          </w:tcPr>
          <w:p w:rsidR="0043484B" w:rsidRDefault="0043484B" w:rsidP="0043484B">
            <w:pPr>
              <w:rPr>
                <w:rFonts w:ascii="Open Sans" w:eastAsia="Times New Roman" w:hAnsi="Open Sans" w:cs="Open Sans"/>
                <w:sz w:val="20"/>
                <w:szCs w:val="20"/>
              </w:rPr>
            </w:pPr>
          </w:p>
        </w:tc>
      </w:tr>
      <w:tr w:rsidR="0043484B" w:rsidTr="0043484B">
        <w:trPr>
          <w:trHeight w:val="690"/>
        </w:trPr>
        <w:tc>
          <w:tcPr>
            <w:tcW w:w="7555" w:type="dxa"/>
            <w:vMerge/>
            <w:shd w:val="clear" w:color="auto" w:fill="DBE5F1" w:themeFill="accent1" w:themeFillTint="33"/>
          </w:tcPr>
          <w:p w:rsidR="0043484B" w:rsidRPr="00125329" w:rsidRDefault="0043484B" w:rsidP="00223D39">
            <w:pPr>
              <w:rPr>
                <w:rFonts w:ascii="Open Sans" w:eastAsia="Times New Roman" w:hAnsi="Open Sans" w:cs="Open Sans"/>
                <w:b/>
                <w:sz w:val="20"/>
                <w:szCs w:val="20"/>
              </w:rPr>
            </w:pPr>
          </w:p>
        </w:tc>
        <w:tc>
          <w:tcPr>
            <w:tcW w:w="630" w:type="dxa"/>
            <w:shd w:val="clear" w:color="auto" w:fill="92D050"/>
          </w:tcPr>
          <w:p w:rsidR="0043484B" w:rsidRDefault="0043484B" w:rsidP="00223D39">
            <w:pPr>
              <w:rPr>
                <w:rFonts w:ascii="Open Sans" w:eastAsia="Times New Roman" w:hAnsi="Open Sans" w:cs="Open Sans"/>
                <w:sz w:val="20"/>
                <w:szCs w:val="20"/>
              </w:rPr>
            </w:pPr>
          </w:p>
        </w:tc>
        <w:tc>
          <w:tcPr>
            <w:tcW w:w="675" w:type="dxa"/>
            <w:gridSpan w:val="2"/>
            <w:shd w:val="clear" w:color="auto" w:fill="FF0000"/>
          </w:tcPr>
          <w:p w:rsidR="0043484B" w:rsidRDefault="0043484B" w:rsidP="00223D39">
            <w:pPr>
              <w:rPr>
                <w:rFonts w:ascii="Open Sans" w:eastAsia="Times New Roman" w:hAnsi="Open Sans" w:cs="Open Sans"/>
                <w:sz w:val="20"/>
                <w:szCs w:val="20"/>
              </w:rPr>
            </w:pPr>
          </w:p>
        </w:tc>
        <w:tc>
          <w:tcPr>
            <w:tcW w:w="4090" w:type="dxa"/>
            <w:vMerge/>
            <w:shd w:val="clear" w:color="auto" w:fill="DBE5F1" w:themeFill="accent1" w:themeFillTint="33"/>
          </w:tcPr>
          <w:p w:rsidR="0043484B" w:rsidRDefault="0043484B" w:rsidP="0043484B">
            <w:pPr>
              <w:rPr>
                <w:rFonts w:ascii="Open Sans" w:eastAsia="Times New Roman" w:hAnsi="Open Sans" w:cs="Open Sans"/>
                <w:sz w:val="20"/>
                <w:szCs w:val="20"/>
              </w:rPr>
            </w:pPr>
          </w:p>
        </w:tc>
      </w:tr>
    </w:tbl>
    <w:p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rsidR="005D7F02" w:rsidRDefault="005D7F02" w:rsidP="00D53761">
      <w:pPr>
        <w:spacing w:after="0" w:line="240" w:lineRule="auto"/>
        <w:rPr>
          <w:rFonts w:ascii="Open Sans" w:eastAsia="Times New Roman" w:hAnsi="Open Sans" w:cs="Open Sans"/>
          <w:sz w:val="20"/>
          <w:szCs w:val="20"/>
        </w:rPr>
      </w:pPr>
    </w:p>
    <w:p w:rsidR="0043484B" w:rsidRDefault="0043484B" w:rsidP="00D53761">
      <w:pPr>
        <w:spacing w:after="0" w:line="240" w:lineRule="auto"/>
        <w:rPr>
          <w:rFonts w:ascii="Open Sans" w:eastAsia="Times New Roman" w:hAnsi="Open Sans" w:cs="Open Sans"/>
          <w:sz w:val="20"/>
          <w:szCs w:val="20"/>
        </w:rPr>
      </w:pPr>
    </w:p>
    <w:p w:rsidR="00F30CEA" w:rsidRDefault="0043484B" w:rsidP="0043484B">
      <w:pPr>
        <w:tabs>
          <w:tab w:val="left" w:pos="2145"/>
        </w:tabs>
        <w:rPr>
          <w:rFonts w:ascii="Open Sans" w:eastAsia="Times New Roman" w:hAnsi="Open Sans" w:cs="Open Sans"/>
          <w:sz w:val="20"/>
          <w:szCs w:val="20"/>
        </w:rPr>
      </w:pPr>
      <w:r>
        <w:rPr>
          <w:rFonts w:ascii="Open Sans" w:eastAsia="Times New Roman" w:hAnsi="Open Sans" w:cs="Open Sans"/>
          <w:sz w:val="20"/>
          <w:szCs w:val="20"/>
        </w:rPr>
        <w:tab/>
      </w:r>
    </w:p>
    <w:p w:rsidR="0043484B" w:rsidRDefault="0043484B" w:rsidP="0043484B">
      <w:pPr>
        <w:tabs>
          <w:tab w:val="left" w:pos="2145"/>
        </w:tabs>
        <w:rPr>
          <w:rFonts w:ascii="Open Sans" w:eastAsia="Times New Roman" w:hAnsi="Open Sans" w:cs="Open Sans"/>
          <w:sz w:val="20"/>
          <w:szCs w:val="20"/>
        </w:rPr>
      </w:pPr>
    </w:p>
    <w:p w:rsidR="0043484B" w:rsidRDefault="0043484B" w:rsidP="0043484B">
      <w:pPr>
        <w:tabs>
          <w:tab w:val="left" w:pos="2145"/>
        </w:tabs>
        <w:rPr>
          <w:rFonts w:ascii="Open Sans" w:eastAsia="Times New Roman" w:hAnsi="Open Sans" w:cs="Open Sans"/>
          <w:sz w:val="20"/>
          <w:szCs w:val="20"/>
        </w:rPr>
      </w:pPr>
    </w:p>
    <w:tbl>
      <w:tblPr>
        <w:tblStyle w:val="TableGrid"/>
        <w:tblpPr w:leftFromText="180" w:rightFromText="180" w:vertAnchor="text" w:horzAnchor="page" w:tblpX="976" w:tblpY="19"/>
        <w:tblW w:w="13902" w:type="dxa"/>
        <w:tblLook w:val="04A0" w:firstRow="1" w:lastRow="0" w:firstColumn="1" w:lastColumn="0" w:noHBand="0" w:noVBand="1"/>
      </w:tblPr>
      <w:tblGrid>
        <w:gridCol w:w="6835"/>
        <w:gridCol w:w="1170"/>
        <w:gridCol w:w="1260"/>
        <w:gridCol w:w="4637"/>
      </w:tblGrid>
      <w:tr w:rsidR="0043484B" w:rsidRPr="00214F1D" w:rsidTr="00223D39">
        <w:trPr>
          <w:trHeight w:val="267"/>
        </w:trPr>
        <w:tc>
          <w:tcPr>
            <w:tcW w:w="13902" w:type="dxa"/>
            <w:gridSpan w:val="4"/>
            <w:shd w:val="clear" w:color="auto" w:fill="FFCC66"/>
          </w:tcPr>
          <w:p w:rsidR="0043484B" w:rsidRPr="00BE1730" w:rsidRDefault="0043484B" w:rsidP="00223D39">
            <w:pPr>
              <w:jc w:val="center"/>
              <w:rPr>
                <w:rFonts w:ascii="Open Sans" w:hAnsi="Open Sans" w:cs="Open Sans"/>
                <w:b/>
                <w:sz w:val="28"/>
                <w:szCs w:val="28"/>
              </w:rPr>
            </w:pPr>
            <w:r w:rsidRPr="00BE1730">
              <w:rPr>
                <w:rFonts w:ascii="Open Sans" w:hAnsi="Open Sans" w:cs="Open Sans"/>
                <w:b/>
                <w:sz w:val="28"/>
                <w:szCs w:val="28"/>
              </w:rPr>
              <w:t>SECTION II</w:t>
            </w:r>
          </w:p>
          <w:p w:rsidR="0043484B" w:rsidRDefault="0043484B" w:rsidP="00223D39">
            <w:pPr>
              <w:jc w:val="center"/>
              <w:rPr>
                <w:rFonts w:ascii="Open Sans" w:eastAsia="Times New Roman" w:hAnsi="Open Sans" w:cs="Open Sans"/>
                <w:b/>
                <w:sz w:val="20"/>
                <w:szCs w:val="20"/>
                <w:u w:val="single"/>
              </w:rPr>
            </w:pPr>
            <w:r w:rsidRPr="00214F1D">
              <w:rPr>
                <w:rFonts w:ascii="Open Sans" w:eastAsia="Times New Roman" w:hAnsi="Open Sans" w:cs="Open Sans"/>
                <w:b/>
                <w:sz w:val="20"/>
                <w:szCs w:val="20"/>
                <w:u w:val="single"/>
              </w:rPr>
              <w:t>RIGOR</w:t>
            </w:r>
          </w:p>
          <w:p w:rsidR="0043484B" w:rsidRPr="00003A5D" w:rsidRDefault="0043484B" w:rsidP="00223D39">
            <w:pPr>
              <w:rPr>
                <w:rFonts w:ascii="Open Sans" w:eastAsia="Times New Roman" w:hAnsi="Open Sans" w:cs="Open Sans"/>
                <w:b/>
                <w:sz w:val="20"/>
                <w:szCs w:val="20"/>
              </w:rPr>
            </w:pPr>
            <w:r w:rsidRPr="00003A5D">
              <w:rPr>
                <w:rFonts w:ascii="Open Sans" w:eastAsia="Times New Roman" w:hAnsi="Open Sans" w:cs="Open Sans"/>
                <w:i/>
                <w:sz w:val="20"/>
                <w:szCs w:val="20"/>
              </w:rPr>
              <w:t>Each level’s instructional materials reflect high expectations for all students. They follow faithfully the level of rigor intended in the standards and support student learning through high-quality presentation of content and challenging application. In order to pass section II each of the following metrics must be met with a “yes.”</w:t>
            </w:r>
            <w:r>
              <w:rPr>
                <w:rFonts w:ascii="Open Sans" w:eastAsia="Times New Roman" w:hAnsi="Open Sans" w:cs="Open Sans"/>
                <w:b/>
                <w:sz w:val="20"/>
                <w:szCs w:val="20"/>
              </w:rPr>
              <w:t xml:space="preserve"> </w:t>
            </w:r>
            <w:r w:rsidRPr="00125329">
              <w:rPr>
                <w:rFonts w:ascii="Open Sans" w:eastAsia="Times New Roman" w:hAnsi="Open Sans" w:cs="Open Sans"/>
                <w:b/>
                <w:sz w:val="20"/>
                <w:szCs w:val="20"/>
              </w:rPr>
              <w:t xml:space="preserve"> Use an “x” in the selected “yes” or “no” column.  Avoid using the word “yes” or “no”</w:t>
            </w:r>
          </w:p>
        </w:tc>
      </w:tr>
      <w:tr w:rsidR="0043484B" w:rsidRPr="00214F1D" w:rsidTr="00223D39">
        <w:trPr>
          <w:trHeight w:val="267"/>
        </w:trPr>
        <w:tc>
          <w:tcPr>
            <w:tcW w:w="13902" w:type="dxa"/>
            <w:gridSpan w:val="4"/>
            <w:shd w:val="clear" w:color="auto" w:fill="FFCC66"/>
          </w:tcPr>
          <w:p w:rsidR="0043484B" w:rsidRPr="00214F1D" w:rsidRDefault="0043484B" w:rsidP="00223D39">
            <w:pPr>
              <w:rPr>
                <w:rFonts w:ascii="Open Sans" w:hAnsi="Open Sans" w:cs="Open Sans"/>
                <w:b/>
                <w:sz w:val="20"/>
                <w:szCs w:val="20"/>
              </w:rPr>
            </w:pPr>
            <w:r w:rsidRPr="00214F1D">
              <w:rPr>
                <w:rFonts w:ascii="Open Sans" w:hAnsi="Open Sans" w:cs="Open Sans"/>
                <w:b/>
                <w:sz w:val="20"/>
                <w:szCs w:val="20"/>
              </w:rPr>
              <w:t>METRICS:</w:t>
            </w:r>
          </w:p>
        </w:tc>
      </w:tr>
      <w:tr w:rsidR="0043484B" w:rsidRPr="00214F1D" w:rsidTr="00223D39">
        <w:trPr>
          <w:trHeight w:val="6406"/>
        </w:trPr>
        <w:tc>
          <w:tcPr>
            <w:tcW w:w="13902" w:type="dxa"/>
            <w:gridSpan w:val="4"/>
            <w:shd w:val="clear" w:color="auto" w:fill="FFFFCC"/>
          </w:tcPr>
          <w:p w:rsidR="0043484B" w:rsidRPr="00214F1D" w:rsidRDefault="0043484B" w:rsidP="00223D39">
            <w:pPr>
              <w:rPr>
                <w:rFonts w:ascii="Open Sans" w:hAnsi="Open Sans" w:cs="Open Sans"/>
                <w:sz w:val="20"/>
                <w:szCs w:val="20"/>
              </w:rPr>
            </w:pPr>
          </w:p>
          <w:tbl>
            <w:tblPr>
              <w:tblStyle w:val="TableGrid"/>
              <w:tblW w:w="13648" w:type="dxa"/>
              <w:tblInd w:w="27" w:type="dxa"/>
              <w:tblLook w:val="04A0" w:firstRow="1" w:lastRow="0" w:firstColumn="1" w:lastColumn="0" w:noHBand="0" w:noVBand="1"/>
            </w:tblPr>
            <w:tblGrid>
              <w:gridCol w:w="6718"/>
              <w:gridCol w:w="1350"/>
              <w:gridCol w:w="1080"/>
              <w:gridCol w:w="4500"/>
            </w:tblGrid>
            <w:tr w:rsidR="0043484B" w:rsidRPr="00214F1D" w:rsidTr="00223D39">
              <w:trPr>
                <w:trHeight w:val="485"/>
              </w:trPr>
              <w:tc>
                <w:tcPr>
                  <w:tcW w:w="6718" w:type="dxa"/>
                  <w:shd w:val="clear" w:color="auto" w:fill="FFFFCC"/>
                  <w:vAlign w:val="center"/>
                </w:tcPr>
                <w:p w:rsidR="0043484B" w:rsidRPr="00214F1D" w:rsidRDefault="0043484B" w:rsidP="00223D39">
                  <w:pPr>
                    <w:framePr w:hSpace="180" w:wrap="around" w:vAnchor="text" w:hAnchor="page" w:x="976" w:y="19"/>
                    <w:contextualSpacing/>
                    <w:rPr>
                      <w:rFonts w:ascii="Open Sans" w:hAnsi="Open Sans" w:cs="Open Sans"/>
                      <w:sz w:val="20"/>
                      <w:szCs w:val="20"/>
                    </w:rPr>
                  </w:pPr>
                </w:p>
              </w:tc>
              <w:tc>
                <w:tcPr>
                  <w:tcW w:w="1350" w:type="dxa"/>
                  <w:shd w:val="clear" w:color="auto" w:fill="FFFFCC"/>
                  <w:vAlign w:val="center"/>
                </w:tcPr>
                <w:p w:rsidR="0043484B" w:rsidRPr="00214F1D" w:rsidRDefault="0043484B"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 xml:space="preserve">YES </w:t>
                  </w:r>
                </w:p>
              </w:tc>
              <w:tc>
                <w:tcPr>
                  <w:tcW w:w="1080" w:type="dxa"/>
                  <w:shd w:val="clear" w:color="auto" w:fill="FFFFCC"/>
                  <w:vAlign w:val="center"/>
                </w:tcPr>
                <w:p w:rsidR="0043484B" w:rsidRPr="00214F1D" w:rsidRDefault="0043484B"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No</w:t>
                  </w:r>
                </w:p>
              </w:tc>
              <w:tc>
                <w:tcPr>
                  <w:tcW w:w="4500" w:type="dxa"/>
                  <w:shd w:val="clear" w:color="auto" w:fill="FFFFCC"/>
                </w:tcPr>
                <w:p w:rsidR="0043484B" w:rsidRDefault="0043484B"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Evidence/Notes</w:t>
                  </w:r>
                </w:p>
              </w:tc>
            </w:tr>
            <w:tr w:rsidR="0043484B" w:rsidRPr="00214F1D" w:rsidTr="00223D39">
              <w:trPr>
                <w:trHeight w:val="710"/>
              </w:trPr>
              <w:tc>
                <w:tcPr>
                  <w:tcW w:w="6718" w:type="dxa"/>
                  <w:shd w:val="clear" w:color="auto" w:fill="FFFFCC"/>
                  <w:vAlign w:val="center"/>
                </w:tcPr>
                <w:p w:rsidR="0043484B" w:rsidRPr="00214F1D" w:rsidRDefault="0043484B" w:rsidP="00223D39">
                  <w:pPr>
                    <w:framePr w:hSpace="180" w:wrap="around" w:vAnchor="text" w:hAnchor="page" w:x="976" w:y="19"/>
                    <w:numPr>
                      <w:ilvl w:val="0"/>
                      <w:numId w:val="3"/>
                    </w:numPr>
                    <w:ind w:left="472"/>
                    <w:contextualSpacing/>
                    <w:rPr>
                      <w:rFonts w:ascii="Open Sans" w:hAnsi="Open Sans" w:cs="Open Sans"/>
                      <w:sz w:val="20"/>
                      <w:szCs w:val="20"/>
                    </w:rPr>
                  </w:pPr>
                  <w:r w:rsidRPr="00214F1D">
                    <w:rPr>
                      <w:rFonts w:ascii="Open Sans" w:hAnsi="Open Sans" w:cs="Open Sans"/>
                      <w:sz w:val="20"/>
                      <w:szCs w:val="20"/>
                    </w:rPr>
                    <w:t>Materials effectively meet the level of rigor intended in the standards.</w:t>
                  </w:r>
                </w:p>
              </w:tc>
              <w:tc>
                <w:tcPr>
                  <w:tcW w:w="1350" w:type="dxa"/>
                  <w:shd w:val="clear" w:color="auto" w:fill="FFFFCC"/>
                  <w:vAlign w:val="center"/>
                </w:tcPr>
                <w:p w:rsidR="0043484B" w:rsidRPr="00214F1D" w:rsidRDefault="0043484B"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43484B" w:rsidRPr="00214F1D" w:rsidRDefault="0043484B"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43484B" w:rsidRPr="00214F1D" w:rsidRDefault="0043484B" w:rsidP="00223D39">
                  <w:pPr>
                    <w:framePr w:hSpace="180" w:wrap="around" w:vAnchor="text" w:hAnchor="page" w:x="976" w:y="19"/>
                    <w:jc w:val="center"/>
                    <w:rPr>
                      <w:rFonts w:ascii="Open Sans" w:hAnsi="Open Sans" w:cs="Open Sans"/>
                      <w:b/>
                      <w:sz w:val="20"/>
                      <w:szCs w:val="20"/>
                    </w:rPr>
                  </w:pPr>
                </w:p>
              </w:tc>
            </w:tr>
            <w:tr w:rsidR="0043484B" w:rsidRPr="00214F1D" w:rsidTr="00223D39">
              <w:trPr>
                <w:trHeight w:val="1070"/>
              </w:trPr>
              <w:tc>
                <w:tcPr>
                  <w:tcW w:w="6718" w:type="dxa"/>
                  <w:shd w:val="clear" w:color="auto" w:fill="FFFFCC"/>
                  <w:vAlign w:val="center"/>
                </w:tcPr>
                <w:p w:rsidR="0043484B" w:rsidRPr="00214F1D" w:rsidRDefault="0043484B"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350" w:type="dxa"/>
                  <w:shd w:val="clear" w:color="auto" w:fill="FFFFCC"/>
                  <w:vAlign w:val="center"/>
                </w:tcPr>
                <w:p w:rsidR="0043484B" w:rsidRPr="00214F1D" w:rsidRDefault="0043484B"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43484B" w:rsidRPr="00214F1D" w:rsidRDefault="0043484B"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43484B" w:rsidRPr="00214F1D" w:rsidRDefault="0043484B" w:rsidP="00223D39">
                  <w:pPr>
                    <w:framePr w:hSpace="180" w:wrap="around" w:vAnchor="text" w:hAnchor="page" w:x="976" w:y="19"/>
                    <w:jc w:val="center"/>
                    <w:rPr>
                      <w:rFonts w:ascii="Open Sans" w:hAnsi="Open Sans" w:cs="Open Sans"/>
                      <w:b/>
                      <w:sz w:val="20"/>
                      <w:szCs w:val="20"/>
                    </w:rPr>
                  </w:pPr>
                </w:p>
              </w:tc>
            </w:tr>
            <w:tr w:rsidR="0043484B" w:rsidRPr="00214F1D" w:rsidTr="00223D39">
              <w:trPr>
                <w:trHeight w:val="1070"/>
              </w:trPr>
              <w:tc>
                <w:tcPr>
                  <w:tcW w:w="6718" w:type="dxa"/>
                  <w:shd w:val="clear" w:color="auto" w:fill="FFFFCC"/>
                  <w:vAlign w:val="center"/>
                </w:tcPr>
                <w:p w:rsidR="0043484B" w:rsidRPr="00214F1D" w:rsidRDefault="0043484B"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350" w:type="dxa"/>
                  <w:shd w:val="clear" w:color="auto" w:fill="FFFFCC"/>
                  <w:vAlign w:val="center"/>
                </w:tcPr>
                <w:p w:rsidR="0043484B" w:rsidRPr="00214F1D" w:rsidRDefault="0043484B"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43484B" w:rsidRPr="00214F1D" w:rsidRDefault="0043484B"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43484B" w:rsidRPr="00214F1D" w:rsidRDefault="0043484B" w:rsidP="00223D39">
                  <w:pPr>
                    <w:framePr w:hSpace="180" w:wrap="around" w:vAnchor="text" w:hAnchor="page" w:x="976" w:y="19"/>
                    <w:jc w:val="center"/>
                    <w:rPr>
                      <w:rFonts w:ascii="Open Sans" w:hAnsi="Open Sans" w:cs="Open Sans"/>
                      <w:b/>
                      <w:sz w:val="20"/>
                      <w:szCs w:val="20"/>
                    </w:rPr>
                  </w:pPr>
                </w:p>
              </w:tc>
            </w:tr>
            <w:tr w:rsidR="0043484B" w:rsidRPr="00214F1D" w:rsidTr="00223D39">
              <w:trPr>
                <w:trHeight w:val="890"/>
              </w:trPr>
              <w:tc>
                <w:tcPr>
                  <w:tcW w:w="6718" w:type="dxa"/>
                  <w:shd w:val="clear" w:color="auto" w:fill="FFFFCC"/>
                  <w:vAlign w:val="center"/>
                </w:tcPr>
                <w:p w:rsidR="0043484B" w:rsidRPr="00214F1D" w:rsidRDefault="0043484B"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Materials support the development of fluency, including regular opportunities to practice knowledge and skills, appropriately apply tools, and use technology.</w:t>
                  </w:r>
                </w:p>
              </w:tc>
              <w:tc>
                <w:tcPr>
                  <w:tcW w:w="1350" w:type="dxa"/>
                  <w:shd w:val="clear" w:color="auto" w:fill="FFFFCC"/>
                  <w:vAlign w:val="center"/>
                </w:tcPr>
                <w:p w:rsidR="0043484B" w:rsidRPr="00214F1D" w:rsidRDefault="0043484B"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43484B" w:rsidRPr="00214F1D" w:rsidRDefault="0043484B"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43484B" w:rsidRPr="00214F1D" w:rsidRDefault="0043484B" w:rsidP="00223D39">
                  <w:pPr>
                    <w:framePr w:hSpace="180" w:wrap="around" w:vAnchor="text" w:hAnchor="page" w:x="976" w:y="19"/>
                    <w:jc w:val="center"/>
                    <w:rPr>
                      <w:rFonts w:ascii="Open Sans" w:hAnsi="Open Sans" w:cs="Open Sans"/>
                      <w:b/>
                      <w:sz w:val="20"/>
                      <w:szCs w:val="20"/>
                    </w:rPr>
                  </w:pPr>
                </w:p>
              </w:tc>
            </w:tr>
            <w:tr w:rsidR="0043484B" w:rsidRPr="00214F1D" w:rsidTr="00223D39">
              <w:trPr>
                <w:trHeight w:val="1070"/>
              </w:trPr>
              <w:tc>
                <w:tcPr>
                  <w:tcW w:w="6718" w:type="dxa"/>
                  <w:shd w:val="clear" w:color="auto" w:fill="FFFFCC"/>
                  <w:vAlign w:val="center"/>
                </w:tcPr>
                <w:p w:rsidR="0043484B" w:rsidRPr="00214F1D" w:rsidRDefault="0043484B" w:rsidP="00223D39">
                  <w:pPr>
                    <w:framePr w:hSpace="180" w:wrap="around" w:vAnchor="text" w:hAnchor="page" w:x="976" w:y="19"/>
                    <w:numPr>
                      <w:ilvl w:val="0"/>
                      <w:numId w:val="3"/>
                    </w:numPr>
                    <w:autoSpaceDE w:val="0"/>
                    <w:autoSpaceDN w:val="0"/>
                    <w:adjustRightInd w:val="0"/>
                    <w:ind w:left="472"/>
                    <w:rPr>
                      <w:rFonts w:ascii="Open Sans" w:hAnsi="Open Sans" w:cs="Open Sans"/>
                      <w:color w:val="000000"/>
                      <w:sz w:val="20"/>
                      <w:szCs w:val="20"/>
                    </w:rPr>
                  </w:pPr>
                  <w:r w:rsidRPr="00214F1D">
                    <w:rPr>
                      <w:rFonts w:ascii="Open Sans" w:hAnsi="Open Sans" w:cs="Open Sans"/>
                      <w:color w:val="000000"/>
                      <w:sz w:val="20"/>
                      <w:szCs w:val="20"/>
                    </w:rPr>
                    <w:t>Domain-specific vocabulary and industry terminology are frequently used to explain topics, or to make connections to key workplace activities.</w:t>
                  </w:r>
                </w:p>
              </w:tc>
              <w:tc>
                <w:tcPr>
                  <w:tcW w:w="1350" w:type="dxa"/>
                  <w:shd w:val="clear" w:color="auto" w:fill="FFFFCC"/>
                  <w:vAlign w:val="center"/>
                </w:tcPr>
                <w:p w:rsidR="0043484B" w:rsidRPr="00214F1D" w:rsidRDefault="0043484B"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43484B" w:rsidRPr="00214F1D" w:rsidRDefault="0043484B"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43484B" w:rsidRPr="00214F1D" w:rsidRDefault="0043484B" w:rsidP="00223D39">
                  <w:pPr>
                    <w:framePr w:hSpace="180" w:wrap="around" w:vAnchor="text" w:hAnchor="page" w:x="976" w:y="19"/>
                    <w:jc w:val="center"/>
                    <w:rPr>
                      <w:rFonts w:ascii="Open Sans" w:hAnsi="Open Sans" w:cs="Open Sans"/>
                      <w:b/>
                      <w:sz w:val="20"/>
                      <w:szCs w:val="20"/>
                    </w:rPr>
                  </w:pPr>
                </w:p>
              </w:tc>
            </w:tr>
          </w:tbl>
          <w:p w:rsidR="0043484B" w:rsidRPr="00214F1D" w:rsidRDefault="0043484B" w:rsidP="00223D39">
            <w:pPr>
              <w:tabs>
                <w:tab w:val="left" w:pos="1065"/>
              </w:tabs>
              <w:rPr>
                <w:rFonts w:ascii="Open Sans" w:hAnsi="Open Sans" w:cs="Open Sans"/>
                <w:sz w:val="20"/>
                <w:szCs w:val="20"/>
              </w:rPr>
            </w:pPr>
          </w:p>
        </w:tc>
      </w:tr>
      <w:tr w:rsidR="0043484B" w:rsidRPr="00214F1D" w:rsidTr="00223D39">
        <w:trPr>
          <w:trHeight w:val="1358"/>
        </w:trPr>
        <w:tc>
          <w:tcPr>
            <w:tcW w:w="13902" w:type="dxa"/>
            <w:gridSpan w:val="4"/>
            <w:shd w:val="clear" w:color="auto" w:fill="FFFFCC"/>
          </w:tcPr>
          <w:p w:rsidR="0043484B" w:rsidRPr="00214F1D" w:rsidRDefault="0043484B" w:rsidP="00223D39">
            <w:pPr>
              <w:rPr>
                <w:rFonts w:ascii="Open Sans" w:hAnsi="Open Sans" w:cs="Open Sans"/>
                <w:b/>
                <w:sz w:val="20"/>
                <w:szCs w:val="20"/>
              </w:rPr>
            </w:pPr>
            <w:r>
              <w:rPr>
                <w:rFonts w:ascii="Open Sans" w:hAnsi="Open Sans" w:cs="Open Sans"/>
                <w:b/>
                <w:sz w:val="20"/>
                <w:szCs w:val="20"/>
              </w:rPr>
              <w:lastRenderedPageBreak/>
              <w:t>Additional comments on rigor of materials:</w:t>
            </w:r>
          </w:p>
        </w:tc>
      </w:tr>
      <w:tr w:rsidR="0043484B" w:rsidRPr="00214F1D" w:rsidTr="00223D39">
        <w:trPr>
          <w:trHeight w:val="425"/>
        </w:trPr>
        <w:tc>
          <w:tcPr>
            <w:tcW w:w="6835" w:type="dxa"/>
            <w:vMerge w:val="restart"/>
            <w:shd w:val="clear" w:color="auto" w:fill="FFFFCC"/>
          </w:tcPr>
          <w:p w:rsidR="0043484B" w:rsidRDefault="0043484B" w:rsidP="00223D39">
            <w:pPr>
              <w:rPr>
                <w:rFonts w:ascii="Open Sans" w:hAnsi="Open Sans" w:cs="Open Sans"/>
                <w:b/>
                <w:sz w:val="20"/>
                <w:szCs w:val="20"/>
              </w:rPr>
            </w:pPr>
            <w:r>
              <w:rPr>
                <w:rFonts w:ascii="Open Sans" w:hAnsi="Open Sans" w:cs="Open Sans"/>
                <w:b/>
                <w:sz w:val="20"/>
                <w:szCs w:val="20"/>
              </w:rPr>
              <w:t>Materials meet all 5 metrics in section II: Rigor</w:t>
            </w:r>
          </w:p>
          <w:p w:rsidR="0043484B" w:rsidRDefault="0043484B" w:rsidP="00223D39">
            <w:pPr>
              <w:rPr>
                <w:rFonts w:ascii="Open Sans" w:hAnsi="Open Sans" w:cs="Open Sans"/>
                <w:b/>
                <w:sz w:val="20"/>
                <w:szCs w:val="20"/>
              </w:rPr>
            </w:pPr>
          </w:p>
          <w:p w:rsidR="0043484B" w:rsidRPr="00003A5D" w:rsidRDefault="0043484B" w:rsidP="00223D39">
            <w:pPr>
              <w:rPr>
                <w:rFonts w:ascii="Open Sans" w:hAnsi="Open Sans" w:cs="Open Sans"/>
                <w:sz w:val="20"/>
                <w:szCs w:val="20"/>
              </w:rPr>
            </w:pPr>
            <w:r w:rsidRPr="00003A5D">
              <w:rPr>
                <w:rFonts w:ascii="Open Sans" w:hAnsi="Open Sans" w:cs="Open Sans"/>
                <w:sz w:val="20"/>
                <w:szCs w:val="20"/>
              </w:rPr>
              <w:t>This means that each of the 5 boxes were marked “yes”</w:t>
            </w:r>
            <w:r>
              <w:rPr>
                <w:rFonts w:ascii="Open Sans" w:hAnsi="Open Sans" w:cs="Open Sans"/>
                <w:sz w:val="20"/>
                <w:szCs w:val="20"/>
              </w:rPr>
              <w:t xml:space="preserve"> in section II.</w:t>
            </w:r>
            <w:r w:rsidRPr="00003A5D">
              <w:rPr>
                <w:rFonts w:ascii="Open Sans" w:hAnsi="Open Sans" w:cs="Open Sans"/>
                <w:sz w:val="20"/>
                <w:szCs w:val="20"/>
              </w:rPr>
              <w:t xml:space="preserve"> </w:t>
            </w:r>
          </w:p>
        </w:tc>
        <w:tc>
          <w:tcPr>
            <w:tcW w:w="1170" w:type="dxa"/>
            <w:shd w:val="clear" w:color="auto" w:fill="92D050"/>
          </w:tcPr>
          <w:p w:rsidR="0043484B" w:rsidRDefault="0043484B" w:rsidP="00223D39">
            <w:pPr>
              <w:jc w:val="center"/>
              <w:rPr>
                <w:rFonts w:ascii="Open Sans" w:hAnsi="Open Sans" w:cs="Open Sans"/>
                <w:b/>
                <w:sz w:val="20"/>
                <w:szCs w:val="20"/>
              </w:rPr>
            </w:pPr>
            <w:r>
              <w:rPr>
                <w:rFonts w:ascii="Open Sans" w:hAnsi="Open Sans" w:cs="Open Sans"/>
                <w:b/>
                <w:sz w:val="20"/>
                <w:szCs w:val="20"/>
              </w:rPr>
              <w:t>YES</w:t>
            </w:r>
          </w:p>
        </w:tc>
        <w:tc>
          <w:tcPr>
            <w:tcW w:w="1260" w:type="dxa"/>
            <w:shd w:val="clear" w:color="auto" w:fill="FF0000"/>
          </w:tcPr>
          <w:p w:rsidR="0043484B" w:rsidRDefault="0043484B" w:rsidP="00223D39">
            <w:pPr>
              <w:jc w:val="center"/>
              <w:rPr>
                <w:rFonts w:ascii="Open Sans" w:hAnsi="Open Sans" w:cs="Open Sans"/>
                <w:b/>
                <w:sz w:val="20"/>
                <w:szCs w:val="20"/>
              </w:rPr>
            </w:pPr>
            <w:r>
              <w:rPr>
                <w:rFonts w:ascii="Open Sans" w:hAnsi="Open Sans" w:cs="Open Sans"/>
                <w:b/>
                <w:sz w:val="20"/>
                <w:szCs w:val="20"/>
              </w:rPr>
              <w:t>NO</w:t>
            </w:r>
          </w:p>
        </w:tc>
        <w:tc>
          <w:tcPr>
            <w:tcW w:w="4637" w:type="dxa"/>
            <w:vMerge w:val="restart"/>
            <w:shd w:val="clear" w:color="auto" w:fill="FFFFCC"/>
          </w:tcPr>
          <w:p w:rsidR="0043484B" w:rsidRDefault="0043484B" w:rsidP="00223D39">
            <w:pPr>
              <w:jc w:val="center"/>
              <w:rPr>
                <w:rFonts w:ascii="Open Sans" w:hAnsi="Open Sans" w:cs="Open Sans"/>
                <w:b/>
                <w:sz w:val="20"/>
                <w:szCs w:val="20"/>
              </w:rPr>
            </w:pPr>
          </w:p>
        </w:tc>
      </w:tr>
      <w:tr w:rsidR="0043484B" w:rsidRPr="00214F1D" w:rsidTr="00223D39">
        <w:trPr>
          <w:trHeight w:val="682"/>
        </w:trPr>
        <w:tc>
          <w:tcPr>
            <w:tcW w:w="6835" w:type="dxa"/>
            <w:vMerge/>
            <w:shd w:val="clear" w:color="auto" w:fill="FFFFCC"/>
          </w:tcPr>
          <w:p w:rsidR="0043484B" w:rsidRDefault="0043484B" w:rsidP="00223D39">
            <w:pPr>
              <w:rPr>
                <w:rFonts w:ascii="Open Sans" w:hAnsi="Open Sans" w:cs="Open Sans"/>
                <w:b/>
                <w:sz w:val="20"/>
                <w:szCs w:val="20"/>
              </w:rPr>
            </w:pPr>
          </w:p>
        </w:tc>
        <w:tc>
          <w:tcPr>
            <w:tcW w:w="1170" w:type="dxa"/>
            <w:shd w:val="clear" w:color="auto" w:fill="92D050"/>
          </w:tcPr>
          <w:p w:rsidR="0043484B" w:rsidRDefault="0043484B" w:rsidP="00223D39">
            <w:pPr>
              <w:rPr>
                <w:rFonts w:ascii="Open Sans" w:hAnsi="Open Sans" w:cs="Open Sans"/>
                <w:b/>
                <w:sz w:val="20"/>
                <w:szCs w:val="20"/>
              </w:rPr>
            </w:pPr>
          </w:p>
        </w:tc>
        <w:tc>
          <w:tcPr>
            <w:tcW w:w="1260" w:type="dxa"/>
            <w:shd w:val="clear" w:color="auto" w:fill="FF0000"/>
          </w:tcPr>
          <w:p w:rsidR="0043484B" w:rsidRDefault="0043484B" w:rsidP="00223D39">
            <w:pPr>
              <w:rPr>
                <w:rFonts w:ascii="Open Sans" w:hAnsi="Open Sans" w:cs="Open Sans"/>
                <w:b/>
                <w:sz w:val="20"/>
                <w:szCs w:val="20"/>
              </w:rPr>
            </w:pPr>
          </w:p>
        </w:tc>
        <w:tc>
          <w:tcPr>
            <w:tcW w:w="4637" w:type="dxa"/>
            <w:vMerge/>
            <w:shd w:val="clear" w:color="auto" w:fill="FFFFCC"/>
          </w:tcPr>
          <w:p w:rsidR="0043484B" w:rsidRDefault="0043484B" w:rsidP="00223D39">
            <w:pPr>
              <w:rPr>
                <w:rFonts w:ascii="Open Sans" w:hAnsi="Open Sans" w:cs="Open Sans"/>
                <w:b/>
                <w:sz w:val="20"/>
                <w:szCs w:val="20"/>
              </w:rPr>
            </w:pPr>
          </w:p>
        </w:tc>
      </w:tr>
    </w:tbl>
    <w:p w:rsidR="0043484B" w:rsidRPr="00214F1D" w:rsidRDefault="0043484B" w:rsidP="0043484B">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6907"/>
        <w:gridCol w:w="1080"/>
        <w:gridCol w:w="900"/>
        <w:gridCol w:w="4973"/>
      </w:tblGrid>
      <w:tr w:rsidR="0043484B" w:rsidRPr="00214F1D" w:rsidTr="00223D39">
        <w:trPr>
          <w:trHeight w:val="267"/>
        </w:trPr>
        <w:tc>
          <w:tcPr>
            <w:tcW w:w="13860" w:type="dxa"/>
            <w:gridSpan w:val="4"/>
            <w:shd w:val="clear" w:color="auto" w:fill="CC66FF"/>
          </w:tcPr>
          <w:p w:rsidR="0043484B" w:rsidRPr="00AF7A17" w:rsidRDefault="0043484B" w:rsidP="00223D39">
            <w:pPr>
              <w:jc w:val="center"/>
              <w:rPr>
                <w:rFonts w:ascii="Open Sans" w:hAnsi="Open Sans" w:cs="Open Sans"/>
                <w:b/>
                <w:sz w:val="28"/>
                <w:szCs w:val="28"/>
              </w:rPr>
            </w:pPr>
            <w:r w:rsidRPr="00AF7A17">
              <w:rPr>
                <w:rFonts w:ascii="Open Sans" w:hAnsi="Open Sans" w:cs="Open Sans"/>
                <w:b/>
                <w:sz w:val="28"/>
                <w:szCs w:val="28"/>
              </w:rPr>
              <w:t>SECTION III</w:t>
            </w:r>
          </w:p>
          <w:p w:rsidR="0043484B" w:rsidRPr="00AF7A17" w:rsidRDefault="0043484B" w:rsidP="00223D39">
            <w:pPr>
              <w:jc w:val="center"/>
              <w:rPr>
                <w:rFonts w:ascii="Open Sans" w:hAnsi="Open Sans" w:cs="Open Sans"/>
                <w:b/>
                <w:sz w:val="28"/>
                <w:szCs w:val="28"/>
              </w:rPr>
            </w:pPr>
            <w:r w:rsidRPr="00AF7A17">
              <w:rPr>
                <w:rFonts w:ascii="Open Sans" w:hAnsi="Open Sans" w:cs="Open Sans"/>
                <w:b/>
                <w:sz w:val="28"/>
                <w:szCs w:val="28"/>
              </w:rPr>
              <w:t>POSTSECONDARY AND CAREER READINESS</w:t>
            </w:r>
          </w:p>
          <w:p w:rsidR="0043484B" w:rsidRPr="0073274E" w:rsidRDefault="0043484B" w:rsidP="00223D39">
            <w:pPr>
              <w:rPr>
                <w:rFonts w:ascii="Open Sans" w:hAnsi="Open Sans" w:cs="Open Sans"/>
                <w:b/>
                <w:sz w:val="20"/>
                <w:szCs w:val="20"/>
              </w:rPr>
            </w:pPr>
            <w:r w:rsidRPr="0073274E">
              <w:rPr>
                <w:rFonts w:ascii="Open Sans" w:hAnsi="Open Sans" w:cs="Open Sans"/>
                <w:i/>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r>
              <w:rPr>
                <w:rFonts w:ascii="Open Sans" w:hAnsi="Open Sans" w:cs="Open Sans"/>
                <w:i/>
                <w:sz w:val="20"/>
                <w:szCs w:val="20"/>
              </w:rPr>
              <w:t xml:space="preserve">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r>
              <w:rPr>
                <w:rFonts w:ascii="Open Sans" w:eastAsia="Times New Roman" w:hAnsi="Open Sans" w:cs="Open Sans"/>
                <w:b/>
                <w:sz w:val="20"/>
                <w:szCs w:val="20"/>
              </w:rPr>
              <w:t xml:space="preserve"> </w:t>
            </w:r>
          </w:p>
        </w:tc>
      </w:tr>
      <w:tr w:rsidR="0043484B" w:rsidRPr="00214F1D" w:rsidTr="00223D39">
        <w:trPr>
          <w:trHeight w:val="323"/>
        </w:trPr>
        <w:tc>
          <w:tcPr>
            <w:tcW w:w="13860" w:type="dxa"/>
            <w:gridSpan w:val="4"/>
            <w:shd w:val="clear" w:color="auto" w:fill="CC66FF"/>
          </w:tcPr>
          <w:p w:rsidR="0043484B" w:rsidRPr="00214F1D" w:rsidRDefault="0043484B" w:rsidP="00223D39">
            <w:pPr>
              <w:rPr>
                <w:rFonts w:ascii="Open Sans" w:hAnsi="Open Sans" w:cs="Open Sans"/>
                <w:b/>
                <w:sz w:val="20"/>
                <w:szCs w:val="20"/>
              </w:rPr>
            </w:pPr>
            <w:r w:rsidRPr="00214F1D">
              <w:rPr>
                <w:rFonts w:ascii="Open Sans" w:hAnsi="Open Sans" w:cs="Open Sans"/>
                <w:b/>
                <w:sz w:val="20"/>
                <w:szCs w:val="20"/>
              </w:rPr>
              <w:t>METRICS:</w:t>
            </w:r>
          </w:p>
        </w:tc>
      </w:tr>
      <w:tr w:rsidR="0043484B" w:rsidRPr="00214F1D" w:rsidTr="00223D39">
        <w:trPr>
          <w:trHeight w:val="1097"/>
        </w:trPr>
        <w:tc>
          <w:tcPr>
            <w:tcW w:w="13860" w:type="dxa"/>
            <w:gridSpan w:val="4"/>
            <w:shd w:val="clear" w:color="auto" w:fill="CCC0D9" w:themeFill="accent4" w:themeFillTint="66"/>
          </w:tcPr>
          <w:tbl>
            <w:tblPr>
              <w:tblStyle w:val="TableGrid"/>
              <w:tblpPr w:leftFromText="180" w:rightFromText="180" w:vertAnchor="text" w:tblpY="-147"/>
              <w:tblOverlap w:val="never"/>
              <w:tblW w:w="5000" w:type="pct"/>
              <w:tblLook w:val="04A0" w:firstRow="1" w:lastRow="0" w:firstColumn="1" w:lastColumn="0" w:noHBand="0" w:noVBand="1"/>
            </w:tblPr>
            <w:tblGrid>
              <w:gridCol w:w="6836"/>
              <w:gridCol w:w="990"/>
              <w:gridCol w:w="990"/>
              <w:gridCol w:w="4818"/>
            </w:tblGrid>
            <w:tr w:rsidR="0043484B" w:rsidRPr="00214F1D" w:rsidTr="00223D39">
              <w:trPr>
                <w:trHeight w:val="800"/>
              </w:trPr>
              <w:tc>
                <w:tcPr>
                  <w:tcW w:w="2507" w:type="pct"/>
                  <w:shd w:val="clear" w:color="auto" w:fill="CCC0D9" w:themeFill="accent4" w:themeFillTint="66"/>
                  <w:vAlign w:val="center"/>
                </w:tcPr>
                <w:p w:rsidR="0043484B" w:rsidRPr="00214F1D" w:rsidRDefault="0043484B" w:rsidP="00223D39">
                  <w:pPr>
                    <w:ind w:left="499"/>
                    <w:contextualSpacing/>
                    <w:rPr>
                      <w:rFonts w:ascii="Open Sans" w:hAnsi="Open Sans" w:cs="Open Sans"/>
                      <w:sz w:val="20"/>
                      <w:szCs w:val="20"/>
                    </w:rPr>
                  </w:pPr>
                </w:p>
              </w:tc>
              <w:tc>
                <w:tcPr>
                  <w:tcW w:w="363" w:type="pct"/>
                  <w:shd w:val="clear" w:color="auto" w:fill="CCC0D9" w:themeFill="accent4" w:themeFillTint="66"/>
                  <w:vAlign w:val="center"/>
                </w:tcPr>
                <w:p w:rsidR="0043484B" w:rsidRPr="00214F1D" w:rsidRDefault="0043484B" w:rsidP="00223D39">
                  <w:pPr>
                    <w:jc w:val="center"/>
                    <w:rPr>
                      <w:rFonts w:ascii="Open Sans" w:hAnsi="Open Sans" w:cs="Open Sans"/>
                      <w:b/>
                      <w:sz w:val="20"/>
                      <w:szCs w:val="20"/>
                    </w:rPr>
                  </w:pPr>
                  <w:r>
                    <w:rPr>
                      <w:rFonts w:ascii="Open Sans" w:hAnsi="Open Sans" w:cs="Open Sans"/>
                      <w:b/>
                      <w:sz w:val="20"/>
                      <w:szCs w:val="20"/>
                    </w:rPr>
                    <w:t xml:space="preserve">Yes </w:t>
                  </w:r>
                </w:p>
              </w:tc>
              <w:tc>
                <w:tcPr>
                  <w:tcW w:w="363" w:type="pct"/>
                  <w:shd w:val="clear" w:color="auto" w:fill="CCC0D9" w:themeFill="accent4" w:themeFillTint="66"/>
                  <w:vAlign w:val="center"/>
                </w:tcPr>
                <w:p w:rsidR="0043484B" w:rsidRDefault="0043484B" w:rsidP="00223D39">
                  <w:pPr>
                    <w:jc w:val="center"/>
                    <w:rPr>
                      <w:rFonts w:ascii="Open Sans" w:hAnsi="Open Sans" w:cs="Open Sans"/>
                      <w:b/>
                      <w:sz w:val="20"/>
                      <w:szCs w:val="20"/>
                    </w:rPr>
                  </w:pPr>
                  <w:r>
                    <w:rPr>
                      <w:rFonts w:ascii="Open Sans" w:hAnsi="Open Sans" w:cs="Open Sans"/>
                      <w:b/>
                      <w:sz w:val="20"/>
                      <w:szCs w:val="20"/>
                    </w:rPr>
                    <w:t>No</w:t>
                  </w:r>
                </w:p>
              </w:tc>
              <w:tc>
                <w:tcPr>
                  <w:tcW w:w="1767" w:type="pct"/>
                  <w:shd w:val="clear" w:color="auto" w:fill="CCC0D9" w:themeFill="accent4" w:themeFillTint="66"/>
                </w:tcPr>
                <w:p w:rsidR="0043484B" w:rsidRPr="00214F1D" w:rsidRDefault="0043484B" w:rsidP="00223D39">
                  <w:pPr>
                    <w:jc w:val="center"/>
                    <w:rPr>
                      <w:rFonts w:ascii="Open Sans" w:hAnsi="Open Sans" w:cs="Open Sans"/>
                      <w:b/>
                      <w:sz w:val="20"/>
                      <w:szCs w:val="20"/>
                    </w:rPr>
                  </w:pPr>
                  <w:r>
                    <w:rPr>
                      <w:rFonts w:ascii="Open Sans" w:hAnsi="Open Sans" w:cs="Open Sans"/>
                      <w:b/>
                      <w:sz w:val="20"/>
                      <w:szCs w:val="20"/>
                    </w:rPr>
                    <w:t>Evidence/Notes</w:t>
                  </w:r>
                </w:p>
              </w:tc>
            </w:tr>
            <w:tr w:rsidR="0043484B" w:rsidRPr="00214F1D" w:rsidTr="00223D39">
              <w:trPr>
                <w:trHeight w:val="800"/>
              </w:trPr>
              <w:tc>
                <w:tcPr>
                  <w:tcW w:w="2507" w:type="pct"/>
                  <w:shd w:val="clear" w:color="auto" w:fill="CCC0D9" w:themeFill="accent4" w:themeFillTint="66"/>
                  <w:vAlign w:val="center"/>
                </w:tcPr>
                <w:p w:rsidR="0043484B" w:rsidRPr="00214F1D" w:rsidRDefault="0043484B"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 xml:space="preserve">Technical skills are promoted within the context of applicable industries and work environments. They are </w:t>
                  </w:r>
                  <w:r w:rsidRPr="00214F1D">
                    <w:rPr>
                      <w:rFonts w:ascii="Open Sans" w:hAnsi="Open Sans" w:cs="Open Sans"/>
                      <w:i/>
                      <w:sz w:val="20"/>
                      <w:szCs w:val="20"/>
                    </w:rPr>
                    <w:t>not</w:t>
                  </w:r>
                  <w:r w:rsidRPr="00214F1D">
                    <w:rPr>
                      <w:rFonts w:ascii="Open Sans" w:hAnsi="Open Sans" w:cs="Open Sans"/>
                      <w:sz w:val="20"/>
                      <w:szCs w:val="20"/>
                    </w:rPr>
                    <w:t xml:space="preserve"> presented in isolation or without meaningful connections to aligned careers.</w:t>
                  </w:r>
                </w:p>
              </w:tc>
              <w:tc>
                <w:tcPr>
                  <w:tcW w:w="363" w:type="pct"/>
                  <w:shd w:val="clear" w:color="auto" w:fill="CCC0D9" w:themeFill="accent4" w:themeFillTint="66"/>
                  <w:vAlign w:val="center"/>
                </w:tcPr>
                <w:p w:rsidR="0043484B" w:rsidRPr="00214F1D" w:rsidRDefault="0043484B" w:rsidP="00223D39">
                  <w:pPr>
                    <w:jc w:val="center"/>
                    <w:rPr>
                      <w:rFonts w:ascii="Open Sans" w:hAnsi="Open Sans" w:cs="Open Sans"/>
                      <w:b/>
                      <w:sz w:val="20"/>
                      <w:szCs w:val="20"/>
                    </w:rPr>
                  </w:pPr>
                </w:p>
              </w:tc>
              <w:tc>
                <w:tcPr>
                  <w:tcW w:w="363" w:type="pct"/>
                  <w:shd w:val="clear" w:color="auto" w:fill="CCC0D9" w:themeFill="accent4" w:themeFillTint="66"/>
                </w:tcPr>
                <w:p w:rsidR="0043484B" w:rsidRPr="00214F1D" w:rsidRDefault="0043484B" w:rsidP="00223D39">
                  <w:pPr>
                    <w:jc w:val="center"/>
                    <w:rPr>
                      <w:rFonts w:ascii="Open Sans" w:hAnsi="Open Sans" w:cs="Open Sans"/>
                      <w:b/>
                      <w:sz w:val="20"/>
                      <w:szCs w:val="20"/>
                    </w:rPr>
                  </w:pPr>
                </w:p>
              </w:tc>
              <w:tc>
                <w:tcPr>
                  <w:tcW w:w="1767" w:type="pct"/>
                  <w:shd w:val="clear" w:color="auto" w:fill="CCC0D9" w:themeFill="accent4" w:themeFillTint="66"/>
                </w:tcPr>
                <w:p w:rsidR="0043484B" w:rsidRPr="00214F1D" w:rsidRDefault="0043484B" w:rsidP="00223D39">
                  <w:pPr>
                    <w:jc w:val="center"/>
                    <w:rPr>
                      <w:rFonts w:ascii="Open Sans" w:hAnsi="Open Sans" w:cs="Open Sans"/>
                      <w:b/>
                      <w:sz w:val="20"/>
                      <w:szCs w:val="20"/>
                    </w:rPr>
                  </w:pPr>
                </w:p>
              </w:tc>
            </w:tr>
            <w:tr w:rsidR="0043484B" w:rsidRPr="00214F1D" w:rsidTr="00223D39">
              <w:trPr>
                <w:trHeight w:val="962"/>
              </w:trPr>
              <w:tc>
                <w:tcPr>
                  <w:tcW w:w="2507" w:type="pct"/>
                  <w:shd w:val="clear" w:color="auto" w:fill="CCC0D9" w:themeFill="accent4" w:themeFillTint="66"/>
                  <w:vAlign w:val="center"/>
                </w:tcPr>
                <w:p w:rsidR="0043484B" w:rsidRPr="00214F1D" w:rsidRDefault="0043484B"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363" w:type="pct"/>
                  <w:shd w:val="clear" w:color="auto" w:fill="CCC0D9" w:themeFill="accent4" w:themeFillTint="66"/>
                  <w:vAlign w:val="center"/>
                </w:tcPr>
                <w:p w:rsidR="0043484B" w:rsidRPr="00214F1D" w:rsidRDefault="0043484B"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43484B" w:rsidRPr="00214F1D" w:rsidRDefault="0043484B" w:rsidP="00223D39">
                  <w:pPr>
                    <w:jc w:val="center"/>
                    <w:rPr>
                      <w:rFonts w:ascii="Open Sans" w:hAnsi="Open Sans" w:cs="Open Sans"/>
                      <w:b/>
                      <w:sz w:val="20"/>
                      <w:szCs w:val="20"/>
                    </w:rPr>
                  </w:pPr>
                </w:p>
              </w:tc>
              <w:tc>
                <w:tcPr>
                  <w:tcW w:w="1767" w:type="pct"/>
                  <w:shd w:val="clear" w:color="auto" w:fill="CCC0D9" w:themeFill="accent4" w:themeFillTint="66"/>
                </w:tcPr>
                <w:p w:rsidR="0043484B" w:rsidRPr="00214F1D" w:rsidRDefault="0043484B" w:rsidP="00223D39">
                  <w:pPr>
                    <w:jc w:val="center"/>
                    <w:rPr>
                      <w:rFonts w:ascii="Open Sans" w:hAnsi="Open Sans" w:cs="Open Sans"/>
                      <w:b/>
                      <w:sz w:val="20"/>
                      <w:szCs w:val="20"/>
                    </w:rPr>
                  </w:pPr>
                </w:p>
              </w:tc>
            </w:tr>
            <w:tr w:rsidR="0043484B" w:rsidRPr="00214F1D" w:rsidTr="00223D39">
              <w:trPr>
                <w:trHeight w:val="962"/>
              </w:trPr>
              <w:tc>
                <w:tcPr>
                  <w:tcW w:w="2507" w:type="pct"/>
                  <w:shd w:val="clear" w:color="auto" w:fill="CCC0D9" w:themeFill="accent4" w:themeFillTint="66"/>
                  <w:vAlign w:val="center"/>
                </w:tcPr>
                <w:p w:rsidR="0043484B" w:rsidRPr="00214F1D" w:rsidRDefault="0043484B"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Connections to relevant certifications and other credentials are clearly explained, and their value in industry is communicated where appropriate.</w:t>
                  </w:r>
                </w:p>
              </w:tc>
              <w:tc>
                <w:tcPr>
                  <w:tcW w:w="363" w:type="pct"/>
                  <w:shd w:val="clear" w:color="auto" w:fill="CCC0D9" w:themeFill="accent4" w:themeFillTint="66"/>
                  <w:vAlign w:val="center"/>
                </w:tcPr>
                <w:p w:rsidR="0043484B" w:rsidRPr="00214F1D" w:rsidRDefault="0043484B"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43484B" w:rsidRPr="00214F1D" w:rsidRDefault="0043484B" w:rsidP="00223D39">
                  <w:pPr>
                    <w:jc w:val="center"/>
                    <w:rPr>
                      <w:rFonts w:ascii="Open Sans" w:hAnsi="Open Sans" w:cs="Open Sans"/>
                      <w:b/>
                      <w:sz w:val="20"/>
                      <w:szCs w:val="20"/>
                    </w:rPr>
                  </w:pPr>
                </w:p>
              </w:tc>
              <w:tc>
                <w:tcPr>
                  <w:tcW w:w="1767" w:type="pct"/>
                  <w:shd w:val="clear" w:color="auto" w:fill="CCC0D9" w:themeFill="accent4" w:themeFillTint="66"/>
                </w:tcPr>
                <w:p w:rsidR="0043484B" w:rsidRPr="00214F1D" w:rsidRDefault="0043484B" w:rsidP="00223D39">
                  <w:pPr>
                    <w:jc w:val="center"/>
                    <w:rPr>
                      <w:rFonts w:ascii="Open Sans" w:hAnsi="Open Sans" w:cs="Open Sans"/>
                      <w:b/>
                      <w:sz w:val="20"/>
                      <w:szCs w:val="20"/>
                    </w:rPr>
                  </w:pPr>
                </w:p>
              </w:tc>
            </w:tr>
            <w:tr w:rsidR="0043484B" w:rsidRPr="00214F1D" w:rsidTr="00223D39">
              <w:trPr>
                <w:trHeight w:val="962"/>
              </w:trPr>
              <w:tc>
                <w:tcPr>
                  <w:tcW w:w="2507" w:type="pct"/>
                  <w:shd w:val="clear" w:color="auto" w:fill="CCC0D9" w:themeFill="accent4" w:themeFillTint="66"/>
                  <w:vAlign w:val="center"/>
                </w:tcPr>
                <w:p w:rsidR="0043484B" w:rsidRPr="00214F1D" w:rsidRDefault="0043484B"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lastRenderedPageBreak/>
                    <w:t>Materials provide opportunities for students to practice and reflect upon 21st century (or “soft”) skills.</w:t>
                  </w:r>
                </w:p>
              </w:tc>
              <w:tc>
                <w:tcPr>
                  <w:tcW w:w="363" w:type="pct"/>
                  <w:shd w:val="clear" w:color="auto" w:fill="CCC0D9" w:themeFill="accent4" w:themeFillTint="66"/>
                  <w:vAlign w:val="center"/>
                </w:tcPr>
                <w:p w:rsidR="0043484B" w:rsidRPr="00214F1D" w:rsidRDefault="0043484B"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43484B" w:rsidRPr="00214F1D" w:rsidRDefault="0043484B" w:rsidP="00223D39">
                  <w:pPr>
                    <w:jc w:val="center"/>
                    <w:rPr>
                      <w:rFonts w:ascii="Open Sans" w:hAnsi="Open Sans" w:cs="Open Sans"/>
                      <w:b/>
                      <w:sz w:val="20"/>
                      <w:szCs w:val="20"/>
                    </w:rPr>
                  </w:pPr>
                </w:p>
              </w:tc>
              <w:tc>
                <w:tcPr>
                  <w:tcW w:w="1767" w:type="pct"/>
                  <w:shd w:val="clear" w:color="auto" w:fill="CCC0D9" w:themeFill="accent4" w:themeFillTint="66"/>
                </w:tcPr>
                <w:p w:rsidR="0043484B" w:rsidRPr="00214F1D" w:rsidRDefault="0043484B" w:rsidP="00223D39">
                  <w:pPr>
                    <w:jc w:val="center"/>
                    <w:rPr>
                      <w:rFonts w:ascii="Open Sans" w:hAnsi="Open Sans" w:cs="Open Sans"/>
                      <w:b/>
                      <w:sz w:val="20"/>
                      <w:szCs w:val="20"/>
                    </w:rPr>
                  </w:pPr>
                </w:p>
              </w:tc>
            </w:tr>
          </w:tbl>
          <w:p w:rsidR="0043484B" w:rsidRPr="00214F1D" w:rsidRDefault="0043484B" w:rsidP="00223D39">
            <w:pPr>
              <w:rPr>
                <w:rFonts w:ascii="Open Sans" w:hAnsi="Open Sans" w:cs="Open Sans"/>
                <w:sz w:val="20"/>
                <w:szCs w:val="20"/>
              </w:rPr>
            </w:pPr>
          </w:p>
        </w:tc>
      </w:tr>
      <w:tr w:rsidR="0043484B" w:rsidRPr="00214F1D" w:rsidTr="00223D39">
        <w:trPr>
          <w:trHeight w:val="620"/>
        </w:trPr>
        <w:tc>
          <w:tcPr>
            <w:tcW w:w="13860" w:type="dxa"/>
            <w:gridSpan w:val="4"/>
            <w:shd w:val="clear" w:color="auto" w:fill="CCC0D9" w:themeFill="accent4" w:themeFillTint="66"/>
          </w:tcPr>
          <w:p w:rsidR="0043484B" w:rsidRDefault="0043484B" w:rsidP="00223D39">
            <w:pPr>
              <w:keepNext/>
              <w:outlineLvl w:val="4"/>
              <w:rPr>
                <w:rFonts w:ascii="Open Sans" w:hAnsi="Open Sans" w:cs="Open Sans"/>
                <w:b/>
                <w:sz w:val="20"/>
                <w:szCs w:val="20"/>
              </w:rPr>
            </w:pPr>
            <w:r w:rsidRPr="00214F1D">
              <w:rPr>
                <w:rFonts w:ascii="Open Sans" w:hAnsi="Open Sans" w:cs="Open Sans"/>
                <w:b/>
                <w:sz w:val="20"/>
                <w:szCs w:val="20"/>
              </w:rPr>
              <w:lastRenderedPageBreak/>
              <w:t>Justification/Notes</w:t>
            </w:r>
          </w:p>
          <w:p w:rsidR="0043484B" w:rsidRDefault="0043484B" w:rsidP="00223D39">
            <w:pPr>
              <w:keepNext/>
              <w:outlineLvl w:val="4"/>
              <w:rPr>
                <w:rFonts w:ascii="Open Sans" w:hAnsi="Open Sans" w:cs="Open Sans"/>
                <w:b/>
                <w:sz w:val="20"/>
                <w:szCs w:val="20"/>
              </w:rPr>
            </w:pPr>
          </w:p>
          <w:p w:rsidR="0043484B" w:rsidRDefault="0043484B" w:rsidP="00223D39">
            <w:pPr>
              <w:keepNext/>
              <w:outlineLvl w:val="4"/>
              <w:rPr>
                <w:rFonts w:ascii="Open Sans" w:hAnsi="Open Sans" w:cs="Open Sans"/>
                <w:b/>
                <w:sz w:val="20"/>
                <w:szCs w:val="20"/>
              </w:rPr>
            </w:pPr>
          </w:p>
          <w:p w:rsidR="0043484B" w:rsidRPr="00214F1D" w:rsidRDefault="0043484B" w:rsidP="00223D39">
            <w:pPr>
              <w:keepNext/>
              <w:outlineLvl w:val="4"/>
              <w:rPr>
                <w:rFonts w:ascii="Open Sans" w:hAnsi="Open Sans" w:cs="Open Sans"/>
                <w:b/>
                <w:sz w:val="20"/>
                <w:szCs w:val="20"/>
              </w:rPr>
            </w:pPr>
          </w:p>
        </w:tc>
      </w:tr>
      <w:tr w:rsidR="0043484B" w:rsidRPr="00214F1D" w:rsidTr="00223D39">
        <w:trPr>
          <w:trHeight w:val="332"/>
        </w:trPr>
        <w:tc>
          <w:tcPr>
            <w:tcW w:w="6907" w:type="dxa"/>
            <w:vMerge w:val="restart"/>
            <w:shd w:val="clear" w:color="auto" w:fill="CCC0D9" w:themeFill="accent4" w:themeFillTint="66"/>
          </w:tcPr>
          <w:p w:rsidR="0043484B" w:rsidRDefault="0043484B" w:rsidP="00223D39">
            <w:pPr>
              <w:keepNext/>
              <w:outlineLvl w:val="4"/>
              <w:rPr>
                <w:rFonts w:ascii="Open Sans" w:hAnsi="Open Sans" w:cs="Open Sans"/>
                <w:b/>
                <w:sz w:val="20"/>
                <w:szCs w:val="20"/>
              </w:rPr>
            </w:pPr>
            <w:r>
              <w:rPr>
                <w:rFonts w:ascii="Open Sans" w:hAnsi="Open Sans" w:cs="Open Sans"/>
                <w:b/>
                <w:sz w:val="20"/>
                <w:szCs w:val="20"/>
              </w:rPr>
              <w:t xml:space="preserve">Materials meet each of the 4 metrics for Postsecondary and Career Readiness. </w:t>
            </w:r>
          </w:p>
          <w:p w:rsidR="0043484B" w:rsidRDefault="0043484B" w:rsidP="00223D39">
            <w:pPr>
              <w:keepNext/>
              <w:outlineLvl w:val="4"/>
              <w:rPr>
                <w:rFonts w:ascii="Open Sans" w:hAnsi="Open Sans" w:cs="Open Sans"/>
                <w:b/>
                <w:sz w:val="20"/>
                <w:szCs w:val="20"/>
              </w:rPr>
            </w:pPr>
          </w:p>
          <w:p w:rsidR="0043484B" w:rsidRPr="00214F1D" w:rsidRDefault="0043484B" w:rsidP="00223D39">
            <w:pPr>
              <w:keepNext/>
              <w:outlineLvl w:val="4"/>
              <w:rPr>
                <w:rFonts w:ascii="Open Sans" w:hAnsi="Open Sans" w:cs="Open Sans"/>
                <w:b/>
                <w:sz w:val="20"/>
                <w:szCs w:val="20"/>
              </w:rPr>
            </w:pPr>
            <w:r>
              <w:rPr>
                <w:rFonts w:ascii="Open Sans" w:hAnsi="Open Sans" w:cs="Open Sans"/>
                <w:b/>
                <w:sz w:val="20"/>
                <w:szCs w:val="20"/>
              </w:rPr>
              <w:t>This means ALL 4 metrics are marked “yes” in section III.</w:t>
            </w:r>
          </w:p>
        </w:tc>
        <w:tc>
          <w:tcPr>
            <w:tcW w:w="1080" w:type="dxa"/>
            <w:shd w:val="clear" w:color="auto" w:fill="92D050"/>
          </w:tcPr>
          <w:p w:rsidR="0043484B" w:rsidRPr="00214F1D" w:rsidRDefault="0043484B" w:rsidP="00223D39">
            <w:pPr>
              <w:keepNext/>
              <w:jc w:val="center"/>
              <w:outlineLvl w:val="4"/>
              <w:rPr>
                <w:rFonts w:ascii="Open Sans" w:hAnsi="Open Sans" w:cs="Open Sans"/>
                <w:b/>
                <w:sz w:val="20"/>
                <w:szCs w:val="20"/>
              </w:rPr>
            </w:pPr>
            <w:r>
              <w:rPr>
                <w:rFonts w:ascii="Open Sans" w:hAnsi="Open Sans" w:cs="Open Sans"/>
                <w:b/>
                <w:sz w:val="20"/>
                <w:szCs w:val="20"/>
              </w:rPr>
              <w:t>Yes</w:t>
            </w:r>
          </w:p>
        </w:tc>
        <w:tc>
          <w:tcPr>
            <w:tcW w:w="900" w:type="dxa"/>
            <w:shd w:val="clear" w:color="auto" w:fill="FF0000"/>
          </w:tcPr>
          <w:p w:rsidR="0043484B" w:rsidRPr="00214F1D" w:rsidRDefault="0043484B" w:rsidP="00223D39">
            <w:pPr>
              <w:keepNext/>
              <w:jc w:val="center"/>
              <w:outlineLvl w:val="4"/>
              <w:rPr>
                <w:rFonts w:ascii="Open Sans" w:hAnsi="Open Sans" w:cs="Open Sans"/>
                <w:b/>
                <w:sz w:val="20"/>
                <w:szCs w:val="20"/>
              </w:rPr>
            </w:pPr>
            <w:r>
              <w:rPr>
                <w:rFonts w:ascii="Open Sans" w:hAnsi="Open Sans" w:cs="Open Sans"/>
                <w:b/>
                <w:sz w:val="20"/>
                <w:szCs w:val="20"/>
              </w:rPr>
              <w:t>No</w:t>
            </w:r>
          </w:p>
        </w:tc>
        <w:tc>
          <w:tcPr>
            <w:tcW w:w="4973" w:type="dxa"/>
            <w:vMerge w:val="restart"/>
            <w:shd w:val="clear" w:color="auto" w:fill="CCC0D9" w:themeFill="accent4" w:themeFillTint="66"/>
          </w:tcPr>
          <w:p w:rsidR="0043484B" w:rsidRPr="00214F1D" w:rsidRDefault="0043484B" w:rsidP="00223D39">
            <w:pPr>
              <w:keepNext/>
              <w:outlineLvl w:val="4"/>
              <w:rPr>
                <w:rFonts w:ascii="Open Sans" w:hAnsi="Open Sans" w:cs="Open Sans"/>
                <w:b/>
                <w:sz w:val="20"/>
                <w:szCs w:val="20"/>
              </w:rPr>
            </w:pPr>
          </w:p>
        </w:tc>
      </w:tr>
      <w:tr w:rsidR="0043484B" w:rsidRPr="00214F1D" w:rsidTr="00223D39">
        <w:trPr>
          <w:trHeight w:val="405"/>
        </w:trPr>
        <w:tc>
          <w:tcPr>
            <w:tcW w:w="6907" w:type="dxa"/>
            <w:vMerge/>
            <w:shd w:val="clear" w:color="auto" w:fill="CCC0D9" w:themeFill="accent4" w:themeFillTint="66"/>
          </w:tcPr>
          <w:p w:rsidR="0043484B" w:rsidRDefault="0043484B" w:rsidP="00223D39">
            <w:pPr>
              <w:keepNext/>
              <w:outlineLvl w:val="4"/>
              <w:rPr>
                <w:rFonts w:ascii="Open Sans" w:hAnsi="Open Sans" w:cs="Open Sans"/>
                <w:b/>
                <w:sz w:val="20"/>
                <w:szCs w:val="20"/>
              </w:rPr>
            </w:pPr>
          </w:p>
        </w:tc>
        <w:tc>
          <w:tcPr>
            <w:tcW w:w="1080" w:type="dxa"/>
            <w:shd w:val="clear" w:color="auto" w:fill="92D050"/>
          </w:tcPr>
          <w:p w:rsidR="0043484B" w:rsidRPr="00214F1D" w:rsidRDefault="0043484B" w:rsidP="00223D39">
            <w:pPr>
              <w:keepNext/>
              <w:outlineLvl w:val="4"/>
              <w:rPr>
                <w:rFonts w:ascii="Open Sans" w:hAnsi="Open Sans" w:cs="Open Sans"/>
                <w:b/>
                <w:sz w:val="20"/>
                <w:szCs w:val="20"/>
              </w:rPr>
            </w:pPr>
          </w:p>
        </w:tc>
        <w:tc>
          <w:tcPr>
            <w:tcW w:w="900" w:type="dxa"/>
            <w:shd w:val="clear" w:color="auto" w:fill="FF0000"/>
          </w:tcPr>
          <w:p w:rsidR="0043484B" w:rsidRPr="00214F1D" w:rsidRDefault="0043484B" w:rsidP="00223D39">
            <w:pPr>
              <w:keepNext/>
              <w:outlineLvl w:val="4"/>
              <w:rPr>
                <w:rFonts w:ascii="Open Sans" w:hAnsi="Open Sans" w:cs="Open Sans"/>
                <w:b/>
                <w:sz w:val="20"/>
                <w:szCs w:val="20"/>
              </w:rPr>
            </w:pPr>
          </w:p>
        </w:tc>
        <w:tc>
          <w:tcPr>
            <w:tcW w:w="4973" w:type="dxa"/>
            <w:vMerge/>
            <w:shd w:val="clear" w:color="auto" w:fill="CCC0D9" w:themeFill="accent4" w:themeFillTint="66"/>
          </w:tcPr>
          <w:p w:rsidR="0043484B" w:rsidRPr="00214F1D" w:rsidRDefault="0043484B" w:rsidP="00223D39">
            <w:pPr>
              <w:keepNext/>
              <w:outlineLvl w:val="4"/>
              <w:rPr>
                <w:rFonts w:ascii="Open Sans" w:hAnsi="Open Sans" w:cs="Open Sans"/>
                <w:b/>
                <w:sz w:val="20"/>
                <w:szCs w:val="20"/>
              </w:rPr>
            </w:pPr>
          </w:p>
        </w:tc>
      </w:tr>
    </w:tbl>
    <w:p w:rsidR="0043484B" w:rsidRPr="00214F1D" w:rsidRDefault="0043484B" w:rsidP="0043484B">
      <w:pPr>
        <w:spacing w:after="0"/>
        <w:contextualSpacing/>
        <w:rPr>
          <w:rFonts w:ascii="Open Sans" w:hAnsi="Open Sans" w:cs="Open Sans"/>
          <w:sz w:val="20"/>
          <w:szCs w:val="20"/>
        </w:rPr>
      </w:pPr>
    </w:p>
    <w:p w:rsidR="0043484B" w:rsidRDefault="0043484B" w:rsidP="0043484B">
      <w:pPr>
        <w:spacing w:after="0"/>
        <w:ind w:left="720"/>
        <w:contextualSpacing/>
        <w:rPr>
          <w:rFonts w:ascii="Open Sans" w:hAnsi="Open Sans" w:cs="Open Sans"/>
          <w:sz w:val="20"/>
          <w:szCs w:val="20"/>
        </w:rPr>
      </w:pPr>
    </w:p>
    <w:p w:rsidR="0043484B" w:rsidRDefault="0043484B" w:rsidP="0043484B">
      <w:pPr>
        <w:spacing w:after="0"/>
        <w:ind w:left="720"/>
        <w:contextualSpacing/>
        <w:rPr>
          <w:rFonts w:ascii="Open Sans" w:hAnsi="Open Sans" w:cs="Open Sans"/>
          <w:sz w:val="20"/>
          <w:szCs w:val="20"/>
        </w:rPr>
      </w:pPr>
    </w:p>
    <w:p w:rsidR="0043484B" w:rsidRDefault="0043484B" w:rsidP="0043484B">
      <w:pPr>
        <w:spacing w:after="0"/>
        <w:ind w:left="720"/>
        <w:contextualSpacing/>
        <w:rPr>
          <w:rFonts w:ascii="Open Sans" w:hAnsi="Open Sans" w:cs="Open Sans"/>
          <w:sz w:val="20"/>
          <w:szCs w:val="20"/>
        </w:rPr>
      </w:pPr>
    </w:p>
    <w:p w:rsidR="0043484B" w:rsidRDefault="0043484B" w:rsidP="0043484B">
      <w:pPr>
        <w:spacing w:after="0"/>
        <w:ind w:left="720"/>
        <w:contextualSpacing/>
        <w:rPr>
          <w:rFonts w:ascii="Open Sans" w:hAnsi="Open Sans" w:cs="Open Sans"/>
          <w:sz w:val="20"/>
          <w:szCs w:val="20"/>
        </w:rPr>
      </w:pPr>
    </w:p>
    <w:p w:rsidR="0043484B" w:rsidRDefault="0043484B" w:rsidP="0043484B">
      <w:pPr>
        <w:spacing w:after="0"/>
        <w:ind w:left="720"/>
        <w:contextualSpacing/>
        <w:rPr>
          <w:rFonts w:ascii="Open Sans" w:hAnsi="Open Sans" w:cs="Open Sans"/>
          <w:sz w:val="20"/>
          <w:szCs w:val="20"/>
        </w:rPr>
      </w:pPr>
    </w:p>
    <w:p w:rsidR="0043484B" w:rsidRDefault="0043484B" w:rsidP="0043484B">
      <w:pPr>
        <w:spacing w:after="0"/>
        <w:ind w:left="720"/>
        <w:contextualSpacing/>
        <w:rPr>
          <w:rFonts w:ascii="Open Sans" w:hAnsi="Open Sans" w:cs="Open Sans"/>
          <w:sz w:val="20"/>
          <w:szCs w:val="20"/>
        </w:rPr>
      </w:pPr>
    </w:p>
    <w:p w:rsidR="0043484B" w:rsidRDefault="0043484B" w:rsidP="0043484B">
      <w:pPr>
        <w:spacing w:after="0"/>
        <w:ind w:left="720"/>
        <w:contextualSpacing/>
        <w:rPr>
          <w:rFonts w:ascii="Open Sans" w:hAnsi="Open Sans" w:cs="Open Sans"/>
          <w:sz w:val="20"/>
          <w:szCs w:val="20"/>
        </w:rPr>
      </w:pPr>
    </w:p>
    <w:p w:rsidR="0043484B" w:rsidRDefault="0043484B" w:rsidP="0043484B">
      <w:pPr>
        <w:spacing w:after="0"/>
        <w:ind w:left="720"/>
        <w:contextualSpacing/>
        <w:rPr>
          <w:rFonts w:ascii="Open Sans" w:hAnsi="Open Sans" w:cs="Open Sans"/>
          <w:sz w:val="20"/>
          <w:szCs w:val="20"/>
        </w:rPr>
      </w:pPr>
    </w:p>
    <w:p w:rsidR="0043484B" w:rsidRDefault="0043484B" w:rsidP="0043484B">
      <w:pPr>
        <w:spacing w:after="0"/>
        <w:ind w:left="720"/>
        <w:contextualSpacing/>
        <w:rPr>
          <w:rFonts w:ascii="Open Sans" w:hAnsi="Open Sans" w:cs="Open Sans"/>
          <w:sz w:val="20"/>
          <w:szCs w:val="20"/>
        </w:rPr>
      </w:pPr>
    </w:p>
    <w:p w:rsidR="0043484B" w:rsidRDefault="0043484B" w:rsidP="0043484B">
      <w:pPr>
        <w:spacing w:after="0"/>
        <w:ind w:left="720"/>
        <w:contextualSpacing/>
        <w:rPr>
          <w:rFonts w:ascii="Open Sans" w:hAnsi="Open Sans" w:cs="Open Sans"/>
          <w:sz w:val="20"/>
          <w:szCs w:val="20"/>
        </w:rPr>
      </w:pPr>
    </w:p>
    <w:p w:rsidR="0043484B" w:rsidRDefault="0043484B" w:rsidP="0043484B">
      <w:pPr>
        <w:spacing w:after="0"/>
        <w:ind w:left="720"/>
        <w:contextualSpacing/>
        <w:rPr>
          <w:rFonts w:ascii="Open Sans" w:hAnsi="Open Sans" w:cs="Open Sans"/>
          <w:sz w:val="20"/>
          <w:szCs w:val="20"/>
        </w:rPr>
      </w:pPr>
    </w:p>
    <w:p w:rsidR="0043484B" w:rsidRDefault="0043484B" w:rsidP="0043484B">
      <w:pPr>
        <w:spacing w:after="0"/>
        <w:ind w:left="720"/>
        <w:contextualSpacing/>
        <w:rPr>
          <w:rFonts w:ascii="Open Sans" w:hAnsi="Open Sans" w:cs="Open Sans"/>
          <w:sz w:val="20"/>
          <w:szCs w:val="20"/>
        </w:rPr>
      </w:pPr>
    </w:p>
    <w:p w:rsidR="0043484B" w:rsidRDefault="0043484B" w:rsidP="0043484B">
      <w:pPr>
        <w:spacing w:after="0"/>
        <w:ind w:left="720"/>
        <w:contextualSpacing/>
        <w:rPr>
          <w:rFonts w:ascii="Open Sans" w:hAnsi="Open Sans" w:cs="Open Sans"/>
          <w:sz w:val="20"/>
          <w:szCs w:val="20"/>
        </w:rPr>
      </w:pPr>
    </w:p>
    <w:p w:rsidR="0043484B" w:rsidRDefault="0043484B" w:rsidP="0043484B">
      <w:pPr>
        <w:spacing w:after="0"/>
        <w:ind w:left="720"/>
        <w:contextualSpacing/>
        <w:rPr>
          <w:rFonts w:ascii="Open Sans" w:hAnsi="Open Sans" w:cs="Open Sans"/>
          <w:sz w:val="20"/>
          <w:szCs w:val="20"/>
        </w:rPr>
      </w:pPr>
    </w:p>
    <w:p w:rsidR="0043484B" w:rsidRDefault="0043484B" w:rsidP="0043484B">
      <w:pPr>
        <w:spacing w:after="0"/>
        <w:ind w:left="720"/>
        <w:contextualSpacing/>
        <w:rPr>
          <w:rFonts w:ascii="Open Sans" w:hAnsi="Open Sans" w:cs="Open Sans"/>
          <w:sz w:val="20"/>
          <w:szCs w:val="20"/>
        </w:rPr>
      </w:pPr>
    </w:p>
    <w:p w:rsidR="0043484B" w:rsidRPr="00214F1D" w:rsidRDefault="0043484B" w:rsidP="0043484B">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43484B" w:rsidRPr="00214F1D" w:rsidTr="00223D39">
        <w:trPr>
          <w:trHeight w:val="890"/>
        </w:trPr>
        <w:tc>
          <w:tcPr>
            <w:tcW w:w="13860" w:type="dxa"/>
            <w:shd w:val="clear" w:color="auto" w:fill="F2F2F2" w:themeFill="background1" w:themeFillShade="F2"/>
            <w:vAlign w:val="center"/>
          </w:tcPr>
          <w:p w:rsidR="0043484B" w:rsidRDefault="0043484B" w:rsidP="00223D39">
            <w:pPr>
              <w:rPr>
                <w:rFonts w:ascii="Open Sans" w:eastAsia="Times New Roman" w:hAnsi="Open Sans" w:cs="Open Sans"/>
                <w:b/>
                <w:sz w:val="20"/>
                <w:szCs w:val="20"/>
              </w:rPr>
            </w:pPr>
          </w:p>
          <w:p w:rsidR="0043484B" w:rsidRPr="00AF7A17" w:rsidRDefault="0043484B" w:rsidP="00223D39">
            <w:pPr>
              <w:jc w:val="center"/>
              <w:rPr>
                <w:rFonts w:ascii="Open Sans" w:eastAsia="Times New Roman" w:hAnsi="Open Sans" w:cs="Open Sans"/>
                <w:b/>
                <w:sz w:val="28"/>
                <w:szCs w:val="28"/>
              </w:rPr>
            </w:pPr>
            <w:r w:rsidRPr="00AF7A17">
              <w:rPr>
                <w:rFonts w:ascii="Open Sans" w:eastAsia="Times New Roman" w:hAnsi="Open Sans" w:cs="Open Sans"/>
                <w:b/>
                <w:sz w:val="28"/>
                <w:szCs w:val="28"/>
              </w:rPr>
              <w:t>SECTION IV</w:t>
            </w:r>
          </w:p>
          <w:p w:rsidR="0043484B" w:rsidRPr="00214F1D" w:rsidRDefault="0043484B" w:rsidP="00223D39">
            <w:pPr>
              <w:jc w:val="center"/>
              <w:rPr>
                <w:rFonts w:ascii="Open Sans" w:eastAsia="Times New Roman" w:hAnsi="Open Sans" w:cs="Open Sans"/>
                <w:b/>
                <w:sz w:val="20"/>
                <w:szCs w:val="20"/>
              </w:rPr>
            </w:pPr>
            <w:r w:rsidRPr="00AF7A17">
              <w:rPr>
                <w:rFonts w:ascii="Open Sans" w:eastAsia="Times New Roman" w:hAnsi="Open Sans" w:cs="Open Sans"/>
                <w:b/>
                <w:sz w:val="28"/>
                <w:szCs w:val="28"/>
              </w:rPr>
              <w:t>ADDITIONAL CRITERIA AND INDICATORS OF QUALITY</w:t>
            </w:r>
          </w:p>
        </w:tc>
      </w:tr>
      <w:tr w:rsidR="0043484B" w:rsidRPr="00214F1D" w:rsidTr="00223D39">
        <w:trPr>
          <w:trHeight w:val="1457"/>
        </w:trPr>
        <w:tc>
          <w:tcPr>
            <w:tcW w:w="13860" w:type="dxa"/>
          </w:tcPr>
          <w:p w:rsidR="0043484B" w:rsidRPr="00214F1D" w:rsidRDefault="0043484B" w:rsidP="00223D39">
            <w:pPr>
              <w:contextualSpacing/>
              <w:rPr>
                <w:rFonts w:ascii="Open Sans" w:hAnsi="Open Sans" w:cs="Open Sans"/>
                <w:sz w:val="20"/>
                <w:szCs w:val="20"/>
              </w:rPr>
            </w:pPr>
          </w:p>
          <w:p w:rsidR="0043484B" w:rsidRPr="00214F1D" w:rsidRDefault="0043484B" w:rsidP="00223D39">
            <w:pPr>
              <w:contextualSpacing/>
              <w:rPr>
                <w:rFonts w:ascii="Open Sans" w:hAnsi="Open Sans" w:cs="Open Sans"/>
                <w:i/>
                <w:sz w:val="20"/>
                <w:szCs w:val="20"/>
              </w:rPr>
            </w:pPr>
            <w:r w:rsidRPr="00214F1D">
              <w:rPr>
                <w:rFonts w:ascii="Open Sans" w:hAnsi="Open Sans" w:cs="Open Sans"/>
                <w:i/>
                <w:sz w:val="20"/>
                <w:szCs w:val="20"/>
              </w:rPr>
              <w:t>Materials must meet all non-negotiable criteria in Section I</w:t>
            </w:r>
            <w:r>
              <w:rPr>
                <w:rFonts w:ascii="Open Sans" w:hAnsi="Open Sans" w:cs="Open Sans"/>
                <w:i/>
                <w:sz w:val="20"/>
                <w:szCs w:val="20"/>
              </w:rPr>
              <w:t>, II, and III</w:t>
            </w:r>
            <w:r w:rsidRPr="00214F1D">
              <w:rPr>
                <w:rFonts w:ascii="Open Sans" w:hAnsi="Open Sans" w:cs="Open Sans"/>
                <w:i/>
                <w:sz w:val="20"/>
                <w:szCs w:val="20"/>
              </w:rPr>
              <w:t xml:space="preserve"> to be aligned to the course standards and receive state approval.</w:t>
            </w:r>
          </w:p>
          <w:p w:rsidR="0043484B" w:rsidRPr="00AF7A17" w:rsidRDefault="0043484B" w:rsidP="00223D39">
            <w:pPr>
              <w:ind w:right="911"/>
              <w:contextualSpacing/>
              <w:rPr>
                <w:rFonts w:ascii="Open Sans" w:hAnsi="Open Sans" w:cs="Open Sans"/>
                <w:i/>
                <w:sz w:val="20"/>
                <w:szCs w:val="20"/>
              </w:rPr>
            </w:pPr>
            <w:r>
              <w:rPr>
                <w:rFonts w:ascii="Open Sans" w:hAnsi="Open Sans" w:cs="Open Sans"/>
                <w:i/>
                <w:sz w:val="20"/>
                <w:szCs w:val="20"/>
              </w:rPr>
              <w:t>Section IV</w:t>
            </w:r>
            <w:r w:rsidRPr="00AF7A17">
              <w:rPr>
                <w:rFonts w:ascii="Open Sans" w:hAnsi="Open Sans" w:cs="Open Sans"/>
                <w:i/>
                <w:sz w:val="20"/>
                <w:szCs w:val="20"/>
              </w:rPr>
              <w:t xml:space="preserve"> includes additional criteria for alignment to the course standards as well as indicators of quality. </w:t>
            </w:r>
            <w:r>
              <w:rPr>
                <w:rFonts w:ascii="Open Sans" w:hAnsi="Open Sans" w:cs="Open Sans"/>
                <w:i/>
                <w:sz w:val="20"/>
                <w:szCs w:val="20"/>
              </w:rPr>
              <w:t xml:space="preserve">Section IV will not disqualify a text from being approved on the state adoption list. This section provides districts with additional information to use during their decision-making process.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p>
          <w:p w:rsidR="0043484B" w:rsidRPr="00214F1D" w:rsidRDefault="0043484B" w:rsidP="00223D39">
            <w:pPr>
              <w:contextualSpacing/>
              <w:rPr>
                <w:rFonts w:ascii="Open Sans" w:hAnsi="Open Sans" w:cs="Open Sans"/>
                <w:sz w:val="20"/>
                <w:szCs w:val="20"/>
              </w:rPr>
            </w:pPr>
          </w:p>
        </w:tc>
      </w:tr>
    </w:tbl>
    <w:p w:rsidR="0043484B" w:rsidRPr="00214F1D" w:rsidRDefault="0043484B" w:rsidP="0043484B">
      <w:pPr>
        <w:spacing w:after="0"/>
        <w:contextualSpacing/>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43484B" w:rsidRPr="00214F1D" w:rsidTr="00223D39">
        <w:tc>
          <w:tcPr>
            <w:tcW w:w="7290" w:type="dxa"/>
            <w:shd w:val="clear" w:color="auto" w:fill="F2F2F2" w:themeFill="background1" w:themeFillShade="F2"/>
            <w:vAlign w:val="center"/>
          </w:tcPr>
          <w:p w:rsidR="0043484B" w:rsidRPr="00214F1D" w:rsidRDefault="0043484B" w:rsidP="00223D39">
            <w:pPr>
              <w:rPr>
                <w:rFonts w:ascii="Open Sans" w:eastAsia="Times New Roman" w:hAnsi="Open Sans" w:cs="Open Sans"/>
                <w:b/>
                <w:sz w:val="20"/>
                <w:szCs w:val="20"/>
              </w:rPr>
            </w:pPr>
            <w:r>
              <w:rPr>
                <w:rFonts w:ascii="Open Sans" w:eastAsia="Times New Roman" w:hAnsi="Open Sans" w:cs="Open Sans"/>
                <w:b/>
                <w:sz w:val="20"/>
                <w:szCs w:val="20"/>
              </w:rPr>
              <w:t>Alignment to industry standards</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b/>
                <w:sz w:val="20"/>
                <w:szCs w:val="20"/>
              </w:rPr>
            </w:pPr>
            <w:r>
              <w:rPr>
                <w:rFonts w:ascii="Open Sans" w:hAnsi="Open Sans" w:cs="Open Sans"/>
                <w:b/>
                <w:sz w:val="20"/>
                <w:szCs w:val="20"/>
              </w:rPr>
              <w:t xml:space="preserve">Yes </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43484B" w:rsidRPr="00214F1D" w:rsidTr="00223D39">
        <w:trPr>
          <w:trHeight w:val="1403"/>
        </w:trPr>
        <w:tc>
          <w:tcPr>
            <w:tcW w:w="7290" w:type="dxa"/>
            <w:vAlign w:val="center"/>
          </w:tcPr>
          <w:p w:rsidR="0043484B" w:rsidRPr="00214F1D" w:rsidRDefault="0043484B"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relevant </w:t>
            </w:r>
            <w:r w:rsidRPr="00214F1D">
              <w:rPr>
                <w:rFonts w:ascii="Open Sans" w:hAnsi="Open Sans" w:cs="Open Sans"/>
                <w:b/>
                <w:sz w:val="20"/>
                <w:szCs w:val="20"/>
              </w:rPr>
              <w:t>national and/or industry standards</w:t>
            </w:r>
            <w:r w:rsidRPr="00214F1D">
              <w:rPr>
                <w:rFonts w:ascii="Open Sans" w:hAnsi="Open Sans" w:cs="Open Sans"/>
                <w:sz w:val="20"/>
                <w:szCs w:val="20"/>
              </w:rPr>
              <w:t xml:space="preserve"> where appropriate. For example, </w:t>
            </w:r>
            <w:r w:rsidRPr="00214F1D">
              <w:rPr>
                <w:rFonts w:ascii="Open Sans" w:hAnsi="Open Sans" w:cs="Open Sans"/>
                <w:i/>
                <w:sz w:val="20"/>
                <w:szCs w:val="20"/>
              </w:rPr>
              <w:t>Mechatronics I</w:t>
            </w:r>
            <w:r w:rsidRPr="00214F1D">
              <w:rPr>
                <w:rFonts w:ascii="Open Sans" w:hAnsi="Open Sans" w:cs="Open Sans"/>
                <w:sz w:val="20"/>
                <w:szCs w:val="20"/>
              </w:rPr>
              <w:t xml:space="preserve"> materials routinely make reference to and reinforce connections with national industry certification standards from companies like Siemens.</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4680" w:type="dxa"/>
          </w:tcPr>
          <w:p w:rsidR="0043484B" w:rsidRPr="00214F1D" w:rsidRDefault="0043484B" w:rsidP="00223D39">
            <w:pPr>
              <w:contextualSpacing/>
              <w:rPr>
                <w:rFonts w:ascii="Open Sans" w:hAnsi="Open Sans" w:cs="Open Sans"/>
                <w:sz w:val="20"/>
                <w:szCs w:val="20"/>
              </w:rPr>
            </w:pPr>
          </w:p>
        </w:tc>
      </w:tr>
      <w:tr w:rsidR="0043484B" w:rsidRPr="00214F1D" w:rsidTr="00223D39">
        <w:trPr>
          <w:trHeight w:val="1700"/>
        </w:trPr>
        <w:tc>
          <w:tcPr>
            <w:tcW w:w="7290" w:type="dxa"/>
            <w:vAlign w:val="center"/>
          </w:tcPr>
          <w:p w:rsidR="0043484B" w:rsidRPr="00214F1D" w:rsidRDefault="0043484B"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discipline-specific </w:t>
            </w:r>
            <w:r w:rsidRPr="00214F1D">
              <w:rPr>
                <w:rFonts w:ascii="Open Sans" w:hAnsi="Open Sans" w:cs="Open Sans"/>
                <w:b/>
                <w:sz w:val="20"/>
                <w:szCs w:val="20"/>
              </w:rPr>
              <w:t>content or pedagogical frameworks</w:t>
            </w:r>
            <w:r w:rsidRPr="00214F1D">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43484B" w:rsidRPr="00214F1D" w:rsidRDefault="0043484B" w:rsidP="00223D39">
            <w:pPr>
              <w:contextualSpacing/>
              <w:rPr>
                <w:rFonts w:ascii="Open Sans" w:hAnsi="Open Sans" w:cs="Open Sans"/>
                <w:sz w:val="20"/>
                <w:szCs w:val="20"/>
              </w:rPr>
            </w:pPr>
          </w:p>
        </w:tc>
      </w:tr>
      <w:tr w:rsidR="0043484B" w:rsidRPr="00214F1D" w:rsidTr="00223D39">
        <w:trPr>
          <w:trHeight w:val="1520"/>
        </w:trPr>
        <w:tc>
          <w:tcPr>
            <w:tcW w:w="7290" w:type="dxa"/>
            <w:vAlign w:val="center"/>
          </w:tcPr>
          <w:p w:rsidR="0043484B" w:rsidRPr="00214F1D" w:rsidRDefault="0043484B"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Connections are made to discipline-specific </w:t>
            </w:r>
            <w:r w:rsidRPr="00214F1D">
              <w:rPr>
                <w:rFonts w:ascii="Open Sans" w:hAnsi="Open Sans" w:cs="Open Sans"/>
                <w:b/>
                <w:sz w:val="20"/>
                <w:szCs w:val="20"/>
              </w:rPr>
              <w:t>professional societies and organizations</w:t>
            </w:r>
            <w:r w:rsidRPr="00214F1D">
              <w:rPr>
                <w:rFonts w:ascii="Open Sans" w:hAnsi="Open Sans" w:cs="Open Sans"/>
                <w:sz w:val="20"/>
                <w:szCs w:val="20"/>
              </w:rPr>
              <w:t xml:space="preserve">, and their value is clearly communicated in the materials. For example, </w:t>
            </w:r>
            <w:r w:rsidRPr="00214F1D">
              <w:rPr>
                <w:rFonts w:ascii="Open Sans" w:hAnsi="Open Sans" w:cs="Open Sans"/>
                <w:i/>
                <w:sz w:val="20"/>
                <w:szCs w:val="20"/>
              </w:rPr>
              <w:t>School Counseling</w:t>
            </w:r>
            <w:r w:rsidRPr="00214F1D">
              <w:rPr>
                <w:rFonts w:ascii="Open Sans" w:hAnsi="Open Sans" w:cs="Open Sans"/>
                <w:sz w:val="20"/>
                <w:szCs w:val="20"/>
              </w:rPr>
              <w:t xml:space="preserve"> materials routinely make reference to and reinforce connections with the American School Counselor Association (ASCA).</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43484B" w:rsidRPr="00214F1D" w:rsidRDefault="0043484B" w:rsidP="00223D39">
            <w:pPr>
              <w:contextualSpacing/>
              <w:rPr>
                <w:rFonts w:ascii="Open Sans" w:hAnsi="Open Sans" w:cs="Open Sans"/>
                <w:sz w:val="20"/>
                <w:szCs w:val="20"/>
              </w:rPr>
            </w:pPr>
          </w:p>
        </w:tc>
      </w:tr>
    </w:tbl>
    <w:p w:rsidR="0043484B" w:rsidRDefault="0043484B" w:rsidP="0043484B">
      <w:pPr>
        <w:spacing w:after="0" w:line="240" w:lineRule="auto"/>
        <w:rPr>
          <w:rFonts w:ascii="Open Sans" w:hAnsi="Open Sans" w:cs="Open Sans"/>
          <w:sz w:val="20"/>
          <w:szCs w:val="20"/>
        </w:rPr>
      </w:pPr>
    </w:p>
    <w:p w:rsidR="0043484B" w:rsidRDefault="0043484B" w:rsidP="0043484B">
      <w:pPr>
        <w:spacing w:after="0" w:line="240" w:lineRule="auto"/>
        <w:rPr>
          <w:rFonts w:ascii="Open Sans" w:hAnsi="Open Sans" w:cs="Open Sans"/>
          <w:sz w:val="20"/>
          <w:szCs w:val="20"/>
        </w:rPr>
      </w:pPr>
    </w:p>
    <w:p w:rsidR="0043484B" w:rsidRPr="00214F1D" w:rsidRDefault="0043484B" w:rsidP="0043484B">
      <w:pPr>
        <w:spacing w:after="0" w:line="240" w:lineRule="auto"/>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43484B" w:rsidRPr="00214F1D" w:rsidTr="00223D39">
        <w:trPr>
          <w:trHeight w:val="350"/>
        </w:trPr>
        <w:tc>
          <w:tcPr>
            <w:tcW w:w="7290" w:type="dxa"/>
            <w:shd w:val="clear" w:color="auto" w:fill="F2F2F2" w:themeFill="background1" w:themeFillShade="F2"/>
            <w:vAlign w:val="center"/>
          </w:tcPr>
          <w:p w:rsidR="0043484B" w:rsidRPr="00214F1D" w:rsidRDefault="0043484B" w:rsidP="00223D39">
            <w:pPr>
              <w:rPr>
                <w:rFonts w:ascii="Open Sans" w:eastAsia="Times New Roman" w:hAnsi="Open Sans" w:cs="Open Sans"/>
                <w:b/>
                <w:sz w:val="20"/>
                <w:szCs w:val="20"/>
              </w:rPr>
            </w:pPr>
            <w:r w:rsidRPr="00214F1D">
              <w:rPr>
                <w:rFonts w:ascii="Open Sans" w:hAnsi="Open Sans" w:cs="Open Sans"/>
                <w:b/>
                <w:sz w:val="20"/>
                <w:szCs w:val="20"/>
              </w:rPr>
              <w:lastRenderedPageBreak/>
              <w:t>SEQUENCE AND PROGRESSION OF STANDARDS</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b/>
                <w:sz w:val="20"/>
                <w:szCs w:val="20"/>
              </w:rPr>
            </w:pPr>
            <w:r>
              <w:rPr>
                <w:rFonts w:ascii="Open Sans" w:hAnsi="Open Sans" w:cs="Open Sans"/>
                <w:b/>
                <w:sz w:val="20"/>
                <w:szCs w:val="20"/>
              </w:rPr>
              <w:t>No</w:t>
            </w:r>
          </w:p>
        </w:tc>
        <w:tc>
          <w:tcPr>
            <w:tcW w:w="468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43484B" w:rsidRPr="00214F1D" w:rsidTr="00223D39">
        <w:trPr>
          <w:trHeight w:val="1187"/>
        </w:trPr>
        <w:tc>
          <w:tcPr>
            <w:tcW w:w="7290" w:type="dxa"/>
            <w:vAlign w:val="center"/>
          </w:tcPr>
          <w:p w:rsidR="0043484B" w:rsidRPr="00214F1D" w:rsidRDefault="0043484B" w:rsidP="00223D39">
            <w:pPr>
              <w:numPr>
                <w:ilvl w:val="0"/>
                <w:numId w:val="5"/>
              </w:numPr>
              <w:ind w:left="342"/>
              <w:contextualSpacing/>
              <w:rPr>
                <w:rFonts w:ascii="Open Sans" w:hAnsi="Open Sans" w:cs="Open Sans"/>
                <w:sz w:val="20"/>
                <w:szCs w:val="20"/>
              </w:rPr>
            </w:pPr>
            <w:r w:rsidRPr="00214F1D">
              <w:rPr>
                <w:rFonts w:ascii="Open Sans" w:hAnsi="Open Sans" w:cs="Open Sans"/>
                <w:sz w:val="20"/>
                <w:szCs w:val="20"/>
              </w:rPr>
              <w:t>Connections are made within a course between knowledge and skills, where these connections are appropriate and natural, as set forth by the standards.</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4680" w:type="dxa"/>
          </w:tcPr>
          <w:p w:rsidR="0043484B" w:rsidRPr="00214F1D" w:rsidRDefault="0043484B" w:rsidP="00223D39">
            <w:pPr>
              <w:contextualSpacing/>
              <w:rPr>
                <w:rFonts w:ascii="Open Sans" w:hAnsi="Open Sans" w:cs="Open Sans"/>
                <w:sz w:val="20"/>
                <w:szCs w:val="20"/>
              </w:rPr>
            </w:pPr>
          </w:p>
        </w:tc>
      </w:tr>
      <w:tr w:rsidR="0043484B" w:rsidRPr="00214F1D" w:rsidTr="00223D39">
        <w:trPr>
          <w:trHeight w:val="1250"/>
        </w:trPr>
        <w:tc>
          <w:tcPr>
            <w:tcW w:w="7290" w:type="dxa"/>
            <w:vAlign w:val="center"/>
          </w:tcPr>
          <w:p w:rsidR="0043484B" w:rsidRPr="00214F1D" w:rsidRDefault="0043484B"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43484B" w:rsidRPr="00214F1D" w:rsidRDefault="0043484B" w:rsidP="00223D39">
            <w:pPr>
              <w:contextualSpacing/>
              <w:rPr>
                <w:rFonts w:ascii="Open Sans" w:hAnsi="Open Sans" w:cs="Open Sans"/>
                <w:sz w:val="20"/>
                <w:szCs w:val="20"/>
              </w:rPr>
            </w:pPr>
          </w:p>
        </w:tc>
      </w:tr>
      <w:tr w:rsidR="0043484B" w:rsidRPr="00214F1D" w:rsidTr="00223D39">
        <w:trPr>
          <w:trHeight w:val="1781"/>
        </w:trPr>
        <w:tc>
          <w:tcPr>
            <w:tcW w:w="7290" w:type="dxa"/>
            <w:vAlign w:val="center"/>
          </w:tcPr>
          <w:p w:rsidR="0043484B" w:rsidRPr="00214F1D" w:rsidRDefault="0043484B"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43484B" w:rsidRPr="00214F1D" w:rsidRDefault="0043484B" w:rsidP="00223D39">
            <w:pPr>
              <w:contextualSpacing/>
              <w:rPr>
                <w:rFonts w:ascii="Open Sans" w:hAnsi="Open Sans" w:cs="Open Sans"/>
                <w:sz w:val="20"/>
                <w:szCs w:val="20"/>
              </w:rPr>
            </w:pPr>
          </w:p>
        </w:tc>
      </w:tr>
    </w:tbl>
    <w:p w:rsidR="0043484B" w:rsidRPr="00214F1D" w:rsidRDefault="0043484B" w:rsidP="0043484B">
      <w:pPr>
        <w:spacing w:after="0"/>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43484B" w:rsidRPr="00214F1D" w:rsidTr="00223D39">
        <w:trPr>
          <w:trHeight w:val="395"/>
        </w:trPr>
        <w:tc>
          <w:tcPr>
            <w:tcW w:w="7290" w:type="dxa"/>
            <w:shd w:val="clear" w:color="auto" w:fill="F2F2F2" w:themeFill="background1" w:themeFillShade="F2"/>
            <w:vAlign w:val="center"/>
          </w:tcPr>
          <w:p w:rsidR="0043484B" w:rsidRPr="00214F1D" w:rsidRDefault="0043484B" w:rsidP="00223D39">
            <w:pPr>
              <w:rPr>
                <w:rFonts w:ascii="Open Sans" w:eastAsia="Times New Roman" w:hAnsi="Open Sans" w:cs="Open Sans"/>
                <w:b/>
                <w:sz w:val="20"/>
                <w:szCs w:val="20"/>
              </w:rPr>
            </w:pPr>
            <w:r w:rsidRPr="00214F1D">
              <w:rPr>
                <w:rFonts w:ascii="Open Sans" w:eastAsia="Times New Roman" w:hAnsi="Open Sans" w:cs="Open Sans"/>
                <w:b/>
                <w:sz w:val="20"/>
                <w:szCs w:val="20"/>
              </w:rPr>
              <w:t>TEACHER SUPPORTS</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43484B" w:rsidRPr="00214F1D" w:rsidTr="00223D39">
        <w:trPr>
          <w:trHeight w:val="1160"/>
        </w:trPr>
        <w:tc>
          <w:tcPr>
            <w:tcW w:w="7290" w:type="dxa"/>
            <w:vAlign w:val="center"/>
          </w:tcPr>
          <w:p w:rsidR="0043484B" w:rsidRPr="00214F1D" w:rsidRDefault="0043484B"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4680" w:type="dxa"/>
          </w:tcPr>
          <w:p w:rsidR="0043484B" w:rsidRPr="00214F1D" w:rsidRDefault="0043484B" w:rsidP="00223D39">
            <w:pPr>
              <w:contextualSpacing/>
              <w:rPr>
                <w:rFonts w:ascii="Open Sans" w:hAnsi="Open Sans" w:cs="Open Sans"/>
                <w:sz w:val="20"/>
                <w:szCs w:val="20"/>
              </w:rPr>
            </w:pPr>
          </w:p>
        </w:tc>
      </w:tr>
      <w:tr w:rsidR="0043484B" w:rsidRPr="00214F1D" w:rsidTr="00223D39">
        <w:trPr>
          <w:trHeight w:val="1376"/>
        </w:trPr>
        <w:tc>
          <w:tcPr>
            <w:tcW w:w="7290" w:type="dxa"/>
            <w:vAlign w:val="center"/>
          </w:tcPr>
          <w:p w:rsidR="0043484B" w:rsidRPr="00214F1D" w:rsidRDefault="0043484B" w:rsidP="00223D39">
            <w:pPr>
              <w:numPr>
                <w:ilvl w:val="0"/>
                <w:numId w:val="6"/>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4680" w:type="dxa"/>
          </w:tcPr>
          <w:p w:rsidR="0043484B" w:rsidRPr="00214F1D" w:rsidRDefault="0043484B" w:rsidP="00223D39">
            <w:pPr>
              <w:contextualSpacing/>
              <w:rPr>
                <w:rFonts w:ascii="Open Sans" w:hAnsi="Open Sans" w:cs="Open Sans"/>
                <w:sz w:val="20"/>
                <w:szCs w:val="20"/>
              </w:rPr>
            </w:pPr>
          </w:p>
        </w:tc>
      </w:tr>
      <w:tr w:rsidR="0043484B" w:rsidRPr="00214F1D" w:rsidTr="00223D39">
        <w:trPr>
          <w:trHeight w:val="1376"/>
        </w:trPr>
        <w:tc>
          <w:tcPr>
            <w:tcW w:w="7290" w:type="dxa"/>
            <w:vAlign w:val="center"/>
          </w:tcPr>
          <w:p w:rsidR="0043484B" w:rsidRPr="00214F1D" w:rsidRDefault="0043484B"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lastRenderedPageBreak/>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4680" w:type="dxa"/>
          </w:tcPr>
          <w:p w:rsidR="0043484B" w:rsidRPr="00214F1D" w:rsidRDefault="0043484B" w:rsidP="00223D39">
            <w:pPr>
              <w:contextualSpacing/>
              <w:rPr>
                <w:rFonts w:ascii="Open Sans" w:hAnsi="Open Sans" w:cs="Open Sans"/>
                <w:sz w:val="20"/>
                <w:szCs w:val="20"/>
              </w:rPr>
            </w:pPr>
          </w:p>
        </w:tc>
      </w:tr>
    </w:tbl>
    <w:p w:rsidR="0043484B" w:rsidRPr="00214F1D" w:rsidRDefault="0043484B" w:rsidP="0043484B">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43484B" w:rsidRPr="00214F1D" w:rsidTr="00223D39">
        <w:trPr>
          <w:trHeight w:val="395"/>
        </w:trPr>
        <w:tc>
          <w:tcPr>
            <w:tcW w:w="7290" w:type="dxa"/>
            <w:shd w:val="clear" w:color="auto" w:fill="F2F2F2" w:themeFill="background1" w:themeFillShade="F2"/>
            <w:vAlign w:val="center"/>
          </w:tcPr>
          <w:p w:rsidR="0043484B" w:rsidRPr="00214F1D" w:rsidRDefault="0043484B" w:rsidP="00223D39">
            <w:pPr>
              <w:rPr>
                <w:rFonts w:ascii="Open Sans" w:eastAsia="Times New Roman" w:hAnsi="Open Sans" w:cs="Open Sans"/>
                <w:b/>
                <w:sz w:val="20"/>
                <w:szCs w:val="20"/>
              </w:rPr>
            </w:pPr>
            <w:r w:rsidRPr="00214F1D">
              <w:rPr>
                <w:rFonts w:ascii="Open Sans" w:eastAsia="Times New Roman" w:hAnsi="Open Sans" w:cs="Open Sans"/>
                <w:b/>
                <w:sz w:val="20"/>
                <w:szCs w:val="20"/>
              </w:rPr>
              <w:t>USABILITY</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b/>
                <w:sz w:val="20"/>
                <w:szCs w:val="20"/>
              </w:rPr>
            </w:pPr>
            <w:r>
              <w:rPr>
                <w:rFonts w:ascii="Open Sans" w:hAnsi="Open Sans" w:cs="Open Sans"/>
                <w:b/>
                <w:sz w:val="20"/>
                <w:szCs w:val="20"/>
              </w:rPr>
              <w:t>No</w:t>
            </w:r>
          </w:p>
        </w:tc>
        <w:tc>
          <w:tcPr>
            <w:tcW w:w="4361"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43484B" w:rsidRPr="00214F1D" w:rsidTr="00223D39">
        <w:trPr>
          <w:trHeight w:val="1367"/>
        </w:trPr>
        <w:tc>
          <w:tcPr>
            <w:tcW w:w="7290" w:type="dxa"/>
            <w:vAlign w:val="center"/>
          </w:tcPr>
          <w:p w:rsidR="0043484B" w:rsidRPr="00214F1D" w:rsidRDefault="0043484B" w:rsidP="00223D39">
            <w:pPr>
              <w:numPr>
                <w:ilvl w:val="0"/>
                <w:numId w:val="10"/>
              </w:numPr>
              <w:contextualSpacing/>
              <w:rPr>
                <w:rFonts w:ascii="Open Sans" w:hAnsi="Open Sans" w:cs="Open Sans"/>
                <w:sz w:val="20"/>
                <w:szCs w:val="20"/>
              </w:rPr>
            </w:pPr>
            <w:r w:rsidRPr="00214F1D">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4361" w:type="dxa"/>
          </w:tcPr>
          <w:p w:rsidR="0043484B" w:rsidRPr="00214F1D" w:rsidRDefault="0043484B" w:rsidP="00223D39">
            <w:pPr>
              <w:contextualSpacing/>
              <w:rPr>
                <w:rFonts w:ascii="Open Sans" w:hAnsi="Open Sans" w:cs="Open Sans"/>
                <w:sz w:val="20"/>
                <w:szCs w:val="20"/>
              </w:rPr>
            </w:pPr>
          </w:p>
        </w:tc>
      </w:tr>
      <w:tr w:rsidR="0043484B" w:rsidRPr="00214F1D" w:rsidTr="00223D39">
        <w:trPr>
          <w:trHeight w:val="1115"/>
        </w:trPr>
        <w:tc>
          <w:tcPr>
            <w:tcW w:w="7290" w:type="dxa"/>
            <w:vAlign w:val="center"/>
          </w:tcPr>
          <w:p w:rsidR="0043484B" w:rsidRPr="00214F1D" w:rsidRDefault="0043484B"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clear and easy to read for students, teachers, and parents. The design and graphics do not distract from the course content and are appropriately placed.</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4361" w:type="dxa"/>
          </w:tcPr>
          <w:p w:rsidR="0043484B" w:rsidRPr="00214F1D" w:rsidRDefault="0043484B" w:rsidP="00223D39">
            <w:pPr>
              <w:contextualSpacing/>
              <w:rPr>
                <w:rFonts w:ascii="Open Sans" w:hAnsi="Open Sans" w:cs="Open Sans"/>
                <w:sz w:val="20"/>
                <w:szCs w:val="20"/>
              </w:rPr>
            </w:pPr>
          </w:p>
        </w:tc>
      </w:tr>
      <w:tr w:rsidR="0043484B" w:rsidRPr="00214F1D" w:rsidTr="00223D39">
        <w:trPr>
          <w:trHeight w:val="1376"/>
        </w:trPr>
        <w:tc>
          <w:tcPr>
            <w:tcW w:w="7290" w:type="dxa"/>
            <w:vAlign w:val="center"/>
          </w:tcPr>
          <w:p w:rsidR="0043484B" w:rsidRPr="00214F1D" w:rsidRDefault="0043484B" w:rsidP="00223D39">
            <w:pPr>
              <w:numPr>
                <w:ilvl w:val="0"/>
                <w:numId w:val="10"/>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supports for all learners, e.g., ELs, students who are below grade level, advanced students.</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4361" w:type="dxa"/>
          </w:tcPr>
          <w:p w:rsidR="0043484B" w:rsidRPr="00214F1D" w:rsidRDefault="0043484B" w:rsidP="00223D39">
            <w:pPr>
              <w:contextualSpacing/>
              <w:rPr>
                <w:rFonts w:ascii="Open Sans" w:hAnsi="Open Sans" w:cs="Open Sans"/>
                <w:sz w:val="20"/>
                <w:szCs w:val="20"/>
              </w:rPr>
            </w:pPr>
          </w:p>
        </w:tc>
      </w:tr>
      <w:tr w:rsidR="0043484B" w:rsidRPr="00214F1D" w:rsidTr="00223D39">
        <w:trPr>
          <w:trHeight w:val="1376"/>
        </w:trPr>
        <w:tc>
          <w:tcPr>
            <w:tcW w:w="7290" w:type="dxa"/>
            <w:vAlign w:val="center"/>
          </w:tcPr>
          <w:p w:rsidR="0043484B" w:rsidRPr="00214F1D" w:rsidRDefault="0043484B"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4361" w:type="dxa"/>
          </w:tcPr>
          <w:p w:rsidR="0043484B" w:rsidRPr="00214F1D" w:rsidRDefault="0043484B" w:rsidP="00223D39">
            <w:pPr>
              <w:contextualSpacing/>
              <w:rPr>
                <w:rFonts w:ascii="Open Sans" w:hAnsi="Open Sans" w:cs="Open Sans"/>
                <w:sz w:val="20"/>
                <w:szCs w:val="20"/>
              </w:rPr>
            </w:pPr>
          </w:p>
        </w:tc>
      </w:tr>
    </w:tbl>
    <w:p w:rsidR="0043484B" w:rsidRDefault="0043484B" w:rsidP="0043484B">
      <w:pPr>
        <w:spacing w:after="0"/>
        <w:rPr>
          <w:rFonts w:ascii="Open Sans" w:hAnsi="Open Sans" w:cs="Open Sans"/>
          <w:sz w:val="20"/>
          <w:szCs w:val="20"/>
        </w:rPr>
      </w:pPr>
    </w:p>
    <w:p w:rsidR="0043484B" w:rsidRDefault="0043484B" w:rsidP="0043484B">
      <w:pPr>
        <w:spacing w:after="0"/>
        <w:rPr>
          <w:rFonts w:ascii="Open Sans" w:hAnsi="Open Sans" w:cs="Open Sans"/>
          <w:sz w:val="20"/>
          <w:szCs w:val="20"/>
        </w:rPr>
      </w:pPr>
    </w:p>
    <w:p w:rsidR="0043484B" w:rsidRDefault="0043484B" w:rsidP="0043484B">
      <w:pPr>
        <w:spacing w:after="0"/>
        <w:rPr>
          <w:rFonts w:ascii="Open Sans" w:hAnsi="Open Sans" w:cs="Open Sans"/>
          <w:sz w:val="20"/>
          <w:szCs w:val="20"/>
        </w:rPr>
      </w:pPr>
    </w:p>
    <w:p w:rsidR="0043484B" w:rsidRDefault="0043484B" w:rsidP="0043484B">
      <w:pPr>
        <w:spacing w:after="0"/>
        <w:rPr>
          <w:rFonts w:ascii="Open Sans" w:hAnsi="Open Sans" w:cs="Open Sans"/>
          <w:sz w:val="20"/>
          <w:szCs w:val="20"/>
        </w:rPr>
      </w:pPr>
    </w:p>
    <w:p w:rsidR="0043484B" w:rsidRPr="00214F1D" w:rsidRDefault="0043484B" w:rsidP="0043484B">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43484B" w:rsidRPr="00214F1D" w:rsidTr="00223D39">
        <w:trPr>
          <w:trHeight w:val="395"/>
        </w:trPr>
        <w:tc>
          <w:tcPr>
            <w:tcW w:w="7290" w:type="dxa"/>
            <w:shd w:val="clear" w:color="auto" w:fill="F2F2F2" w:themeFill="background1" w:themeFillShade="F2"/>
            <w:vAlign w:val="center"/>
          </w:tcPr>
          <w:p w:rsidR="0043484B" w:rsidRPr="00214F1D" w:rsidRDefault="0043484B" w:rsidP="00223D39">
            <w:pPr>
              <w:rPr>
                <w:rFonts w:ascii="Open Sans" w:eastAsia="Times New Roman" w:hAnsi="Open Sans" w:cs="Open Sans"/>
                <w:b/>
                <w:sz w:val="20"/>
                <w:szCs w:val="20"/>
              </w:rPr>
            </w:pPr>
            <w:r w:rsidRPr="00214F1D">
              <w:rPr>
                <w:rFonts w:ascii="Open Sans" w:eastAsia="Times New Roman" w:hAnsi="Open Sans" w:cs="Open Sans"/>
                <w:b/>
                <w:sz w:val="20"/>
                <w:szCs w:val="20"/>
              </w:rPr>
              <w:lastRenderedPageBreak/>
              <w:t>ASSESSMENTS</w:t>
            </w:r>
          </w:p>
        </w:tc>
        <w:tc>
          <w:tcPr>
            <w:tcW w:w="990" w:type="dxa"/>
            <w:shd w:val="clear" w:color="auto" w:fill="F2F2F2" w:themeFill="background1" w:themeFillShade="F2"/>
            <w:vAlign w:val="center"/>
          </w:tcPr>
          <w:p w:rsidR="0043484B" w:rsidRPr="00B472FD" w:rsidRDefault="0043484B" w:rsidP="00223D39">
            <w:pPr>
              <w:contextualSpacing/>
              <w:jc w:val="center"/>
              <w:rPr>
                <w:rFonts w:ascii="Open Sans" w:hAnsi="Open Sans" w:cs="Open Sans"/>
                <w:b/>
                <w:sz w:val="20"/>
                <w:szCs w:val="20"/>
              </w:rPr>
            </w:pPr>
            <w:r w:rsidRPr="00B472FD">
              <w:rPr>
                <w:rFonts w:ascii="Open Sans" w:hAnsi="Open Sans" w:cs="Open Sans"/>
                <w:b/>
                <w:sz w:val="20"/>
                <w:szCs w:val="20"/>
              </w:rPr>
              <w:t>Yes</w:t>
            </w:r>
          </w:p>
        </w:tc>
        <w:tc>
          <w:tcPr>
            <w:tcW w:w="990" w:type="dxa"/>
            <w:shd w:val="clear" w:color="auto" w:fill="F2F2F2" w:themeFill="background1" w:themeFillShade="F2"/>
            <w:vAlign w:val="center"/>
          </w:tcPr>
          <w:p w:rsidR="0043484B" w:rsidRPr="00B472FD" w:rsidRDefault="0043484B" w:rsidP="00223D39">
            <w:pPr>
              <w:contextualSpacing/>
              <w:jc w:val="center"/>
              <w:rPr>
                <w:rFonts w:ascii="Open Sans" w:hAnsi="Open Sans" w:cs="Open Sans"/>
                <w:b/>
                <w:sz w:val="20"/>
                <w:szCs w:val="20"/>
              </w:rPr>
            </w:pPr>
            <w:r w:rsidRPr="00B472FD">
              <w:rPr>
                <w:rFonts w:ascii="Open Sans" w:hAnsi="Open Sans" w:cs="Open Sans"/>
                <w:b/>
                <w:sz w:val="20"/>
                <w:szCs w:val="20"/>
              </w:rPr>
              <w:t>No</w:t>
            </w:r>
          </w:p>
        </w:tc>
        <w:tc>
          <w:tcPr>
            <w:tcW w:w="4361"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43484B" w:rsidRPr="00214F1D" w:rsidTr="00223D39">
        <w:trPr>
          <w:trHeight w:val="1502"/>
        </w:trPr>
        <w:tc>
          <w:tcPr>
            <w:tcW w:w="7290" w:type="dxa"/>
            <w:vAlign w:val="center"/>
          </w:tcPr>
          <w:p w:rsidR="0043484B" w:rsidRPr="00214F1D" w:rsidRDefault="0043484B" w:rsidP="00223D39">
            <w:pPr>
              <w:numPr>
                <w:ilvl w:val="0"/>
                <w:numId w:val="9"/>
              </w:numPr>
              <w:contextualSpacing/>
              <w:rPr>
                <w:rFonts w:ascii="Open Sans" w:hAnsi="Open Sans" w:cs="Open Sans"/>
                <w:sz w:val="20"/>
                <w:szCs w:val="20"/>
              </w:rPr>
            </w:pPr>
            <w:r w:rsidRPr="00214F1D">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990" w:type="dxa"/>
            <w:shd w:val="clear" w:color="auto" w:fill="F2F2F2" w:themeFill="background1" w:themeFillShade="F2"/>
            <w:vAlign w:val="center"/>
          </w:tcPr>
          <w:p w:rsidR="0043484B" w:rsidRPr="00B472FD" w:rsidRDefault="0043484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3484B" w:rsidRPr="00B472FD" w:rsidRDefault="0043484B" w:rsidP="00223D39">
            <w:pPr>
              <w:contextualSpacing/>
              <w:jc w:val="center"/>
              <w:rPr>
                <w:rFonts w:ascii="Open Sans" w:hAnsi="Open Sans" w:cs="Open Sans"/>
                <w:sz w:val="20"/>
                <w:szCs w:val="20"/>
              </w:rPr>
            </w:pPr>
          </w:p>
        </w:tc>
        <w:tc>
          <w:tcPr>
            <w:tcW w:w="4361" w:type="dxa"/>
          </w:tcPr>
          <w:p w:rsidR="0043484B" w:rsidRPr="00214F1D" w:rsidRDefault="0043484B" w:rsidP="00223D39">
            <w:pPr>
              <w:contextualSpacing/>
              <w:rPr>
                <w:rFonts w:ascii="Open Sans" w:hAnsi="Open Sans" w:cs="Open Sans"/>
                <w:sz w:val="20"/>
                <w:szCs w:val="20"/>
              </w:rPr>
            </w:pPr>
          </w:p>
        </w:tc>
      </w:tr>
      <w:tr w:rsidR="0043484B" w:rsidRPr="00214F1D" w:rsidTr="00223D39">
        <w:trPr>
          <w:trHeight w:val="1115"/>
        </w:trPr>
        <w:tc>
          <w:tcPr>
            <w:tcW w:w="7290" w:type="dxa"/>
            <w:vAlign w:val="center"/>
          </w:tcPr>
          <w:p w:rsidR="0043484B" w:rsidRPr="00214F1D" w:rsidRDefault="0043484B" w:rsidP="00223D39">
            <w:pPr>
              <w:numPr>
                <w:ilvl w:val="0"/>
                <w:numId w:val="9"/>
              </w:numPr>
              <w:ind w:left="432"/>
              <w:contextualSpacing/>
              <w:rPr>
                <w:rFonts w:ascii="Open Sans" w:hAnsi="Open Sans" w:cs="Open Sans"/>
                <w:sz w:val="20"/>
                <w:szCs w:val="20"/>
              </w:rPr>
            </w:pPr>
            <w:r w:rsidRPr="00214F1D">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990" w:type="dxa"/>
            <w:shd w:val="clear" w:color="auto" w:fill="F2F2F2" w:themeFill="background1" w:themeFillShade="F2"/>
            <w:vAlign w:val="center"/>
          </w:tcPr>
          <w:p w:rsidR="0043484B" w:rsidRPr="00B472FD" w:rsidRDefault="0043484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3484B" w:rsidRPr="00B472FD" w:rsidRDefault="0043484B" w:rsidP="00223D39">
            <w:pPr>
              <w:contextualSpacing/>
              <w:jc w:val="center"/>
              <w:rPr>
                <w:rFonts w:ascii="Open Sans" w:hAnsi="Open Sans" w:cs="Open Sans"/>
                <w:sz w:val="20"/>
                <w:szCs w:val="20"/>
              </w:rPr>
            </w:pPr>
          </w:p>
        </w:tc>
        <w:tc>
          <w:tcPr>
            <w:tcW w:w="4361" w:type="dxa"/>
          </w:tcPr>
          <w:p w:rsidR="0043484B" w:rsidRPr="00214F1D" w:rsidRDefault="0043484B" w:rsidP="00223D39">
            <w:pPr>
              <w:contextualSpacing/>
              <w:rPr>
                <w:rFonts w:ascii="Open Sans" w:hAnsi="Open Sans" w:cs="Open Sans"/>
                <w:sz w:val="20"/>
                <w:szCs w:val="20"/>
              </w:rPr>
            </w:pPr>
          </w:p>
        </w:tc>
      </w:tr>
      <w:tr w:rsidR="0043484B" w:rsidRPr="00214F1D" w:rsidTr="00223D39">
        <w:trPr>
          <w:trHeight w:val="1376"/>
        </w:trPr>
        <w:tc>
          <w:tcPr>
            <w:tcW w:w="7290" w:type="dxa"/>
            <w:vAlign w:val="center"/>
          </w:tcPr>
          <w:p w:rsidR="0043484B" w:rsidRPr="00214F1D" w:rsidRDefault="0043484B" w:rsidP="00223D39">
            <w:pPr>
              <w:numPr>
                <w:ilvl w:val="0"/>
                <w:numId w:val="9"/>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assessment accommodations for diverse learners, including sample items that capture multiple measures of student proficiency.</w:t>
            </w: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3484B" w:rsidRPr="00214F1D" w:rsidRDefault="0043484B" w:rsidP="00223D39">
            <w:pPr>
              <w:contextualSpacing/>
              <w:jc w:val="center"/>
              <w:rPr>
                <w:rFonts w:ascii="Open Sans" w:hAnsi="Open Sans" w:cs="Open Sans"/>
                <w:sz w:val="20"/>
                <w:szCs w:val="20"/>
              </w:rPr>
            </w:pPr>
          </w:p>
        </w:tc>
        <w:tc>
          <w:tcPr>
            <w:tcW w:w="4361" w:type="dxa"/>
          </w:tcPr>
          <w:p w:rsidR="0043484B" w:rsidRPr="00214F1D" w:rsidRDefault="0043484B" w:rsidP="00223D39">
            <w:pPr>
              <w:contextualSpacing/>
              <w:rPr>
                <w:rFonts w:ascii="Open Sans" w:hAnsi="Open Sans" w:cs="Open Sans"/>
                <w:sz w:val="20"/>
                <w:szCs w:val="20"/>
              </w:rPr>
            </w:pPr>
          </w:p>
        </w:tc>
      </w:tr>
    </w:tbl>
    <w:p w:rsidR="0043484B" w:rsidRPr="00214F1D" w:rsidRDefault="0043484B" w:rsidP="0043484B">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13631"/>
      </w:tblGrid>
      <w:tr w:rsidR="0043484B" w:rsidRPr="00214F1D" w:rsidTr="00223D39">
        <w:trPr>
          <w:trHeight w:val="395"/>
        </w:trPr>
        <w:tc>
          <w:tcPr>
            <w:tcW w:w="13631" w:type="dxa"/>
            <w:shd w:val="clear" w:color="auto" w:fill="F2F2F2" w:themeFill="background1" w:themeFillShade="F2"/>
          </w:tcPr>
          <w:p w:rsidR="0043484B" w:rsidRPr="00807E9D" w:rsidRDefault="0043484B" w:rsidP="00223D39">
            <w:pPr>
              <w:jc w:val="center"/>
              <w:rPr>
                <w:rFonts w:ascii="Open Sans" w:hAnsi="Open Sans" w:cs="Open Sans"/>
                <w:b/>
                <w:i/>
                <w:sz w:val="28"/>
                <w:szCs w:val="28"/>
              </w:rPr>
            </w:pPr>
            <w:r w:rsidRPr="00807E9D">
              <w:rPr>
                <w:rFonts w:ascii="Open Sans" w:hAnsi="Open Sans" w:cs="Open Sans"/>
                <w:b/>
                <w:sz w:val="28"/>
                <w:szCs w:val="28"/>
              </w:rPr>
              <w:t xml:space="preserve">SECTION V </w:t>
            </w:r>
            <w:r w:rsidRPr="00807E9D">
              <w:rPr>
                <w:rFonts w:ascii="Open Sans" w:hAnsi="Open Sans" w:cs="Open Sans"/>
                <w:b/>
                <w:i/>
                <w:sz w:val="28"/>
                <w:szCs w:val="28"/>
              </w:rPr>
              <w:t>(optional)</w:t>
            </w:r>
            <w:r w:rsidRPr="00807E9D">
              <w:rPr>
                <w:rFonts w:ascii="Open Sans" w:hAnsi="Open Sans" w:cs="Open Sans"/>
                <w:b/>
                <w:sz w:val="28"/>
                <w:szCs w:val="28"/>
              </w:rPr>
              <w:t>:</w:t>
            </w:r>
            <w:r w:rsidRPr="00807E9D">
              <w:rPr>
                <w:rFonts w:ascii="Open Sans" w:hAnsi="Open Sans" w:cs="Open Sans"/>
                <w:b/>
                <w:i/>
                <w:sz w:val="28"/>
                <w:szCs w:val="28"/>
              </w:rPr>
              <w:t xml:space="preserve"> </w:t>
            </w:r>
            <w:r w:rsidRPr="00807E9D">
              <w:rPr>
                <w:rFonts w:ascii="Open Sans" w:hAnsi="Open Sans" w:cs="Open Sans"/>
                <w:b/>
                <w:sz w:val="28"/>
                <w:szCs w:val="28"/>
              </w:rPr>
              <w:t>FOCUS AREA</w:t>
            </w:r>
          </w:p>
          <w:p w:rsidR="0043484B" w:rsidRPr="00214F1D" w:rsidRDefault="0043484B" w:rsidP="00223D39">
            <w:pPr>
              <w:rPr>
                <w:rFonts w:ascii="Open Sans" w:hAnsi="Open Sans" w:cs="Open Sans"/>
                <w:b/>
                <w:sz w:val="20"/>
                <w:szCs w:val="20"/>
              </w:rPr>
            </w:pPr>
          </w:p>
          <w:p w:rsidR="0043484B" w:rsidRPr="00807E9D" w:rsidRDefault="0043484B" w:rsidP="00223D39">
            <w:pPr>
              <w:rPr>
                <w:rFonts w:ascii="Open Sans" w:hAnsi="Open Sans" w:cs="Open Sans"/>
                <w:i/>
                <w:sz w:val="20"/>
                <w:szCs w:val="20"/>
              </w:rPr>
            </w:pPr>
            <w:r w:rsidRPr="00807E9D">
              <w:rPr>
                <w:rFonts w:ascii="Open Sans" w:hAnsi="Open Sans" w:cs="Open Sans"/>
                <w:i/>
                <w:sz w:val="20"/>
                <w:szCs w:val="20"/>
              </w:rPr>
              <w:t>Use this section to capture qualitative observations on an additional area of focus, if presented in the materials. A sample focus area for the Health Informatics program of study is provided in the following. If applicable, fill in the blank table with observations and notes.</w:t>
            </w:r>
          </w:p>
        </w:tc>
      </w:tr>
    </w:tbl>
    <w:tbl>
      <w:tblPr>
        <w:tblStyle w:val="TableGrid"/>
        <w:tblpPr w:leftFromText="180" w:rightFromText="180" w:vertAnchor="text" w:horzAnchor="margin" w:tblpXSpec="center" w:tblpY="129"/>
        <w:tblW w:w="13798" w:type="dxa"/>
        <w:shd w:val="thinReverseDiagStripe" w:color="D9D9D9" w:themeColor="background1" w:themeShade="D9" w:fill="auto"/>
        <w:tblLayout w:type="fixed"/>
        <w:tblLook w:val="04A0" w:firstRow="1" w:lastRow="0" w:firstColumn="1" w:lastColumn="0" w:noHBand="0" w:noVBand="1"/>
      </w:tblPr>
      <w:tblGrid>
        <w:gridCol w:w="7015"/>
        <w:gridCol w:w="6783"/>
      </w:tblGrid>
      <w:tr w:rsidR="0043484B" w:rsidRPr="00214F1D" w:rsidTr="00223D39">
        <w:trPr>
          <w:trHeight w:val="395"/>
        </w:trPr>
        <w:tc>
          <w:tcPr>
            <w:tcW w:w="7015" w:type="dxa"/>
            <w:shd w:val="thinReverseDiagStripe" w:color="D9D9D9" w:themeColor="background1" w:themeShade="D9" w:fill="auto"/>
            <w:vAlign w:val="center"/>
          </w:tcPr>
          <w:p w:rsidR="0043484B" w:rsidRPr="00214F1D" w:rsidRDefault="0043484B" w:rsidP="00223D39">
            <w:pPr>
              <w:rPr>
                <w:rFonts w:ascii="Open Sans" w:eastAsia="Times New Roman" w:hAnsi="Open Sans" w:cs="Open Sans"/>
                <w:b/>
                <w:sz w:val="20"/>
                <w:szCs w:val="20"/>
              </w:rPr>
            </w:pPr>
            <w:r w:rsidRPr="00214F1D">
              <w:rPr>
                <w:rFonts w:ascii="Open Sans" w:eastAsia="Times New Roman" w:hAnsi="Open Sans" w:cs="Open Sans"/>
                <w:b/>
                <w:sz w:val="20"/>
                <w:szCs w:val="20"/>
              </w:rPr>
              <w:t xml:space="preserve">III. EXAMPLE: FOCUS IN Health Information Systems </w:t>
            </w:r>
          </w:p>
        </w:tc>
        <w:tc>
          <w:tcPr>
            <w:tcW w:w="6783" w:type="dxa"/>
            <w:shd w:val="thinReverseDiagStripe" w:color="D9D9D9" w:themeColor="background1" w:themeShade="D9" w:fill="auto"/>
            <w:vAlign w:val="center"/>
          </w:tcPr>
          <w:p w:rsidR="0043484B" w:rsidRPr="00214F1D" w:rsidRDefault="0043484B" w:rsidP="00223D39">
            <w:pPr>
              <w:contextualSpacing/>
              <w:jc w:val="center"/>
              <w:rPr>
                <w:rFonts w:ascii="Open Sans" w:hAnsi="Open Sans" w:cs="Open Sans"/>
                <w:b/>
                <w:sz w:val="20"/>
                <w:szCs w:val="20"/>
              </w:rPr>
            </w:pPr>
            <w:r w:rsidRPr="00214F1D">
              <w:rPr>
                <w:rFonts w:ascii="Open Sans" w:hAnsi="Open Sans" w:cs="Open Sans"/>
                <w:b/>
                <w:sz w:val="20"/>
                <w:szCs w:val="20"/>
              </w:rPr>
              <w:t>NOTES</w:t>
            </w:r>
          </w:p>
        </w:tc>
      </w:tr>
      <w:tr w:rsidR="0043484B" w:rsidRPr="00214F1D" w:rsidTr="00223D39">
        <w:trPr>
          <w:trHeight w:val="1259"/>
        </w:trPr>
        <w:tc>
          <w:tcPr>
            <w:tcW w:w="7015" w:type="dxa"/>
            <w:shd w:val="thinReverseDiagStripe" w:color="D9D9D9" w:themeColor="background1" w:themeShade="D9" w:fill="auto"/>
            <w:vAlign w:val="center"/>
          </w:tcPr>
          <w:p w:rsidR="0043484B" w:rsidRPr="00214F1D" w:rsidRDefault="0043484B"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include coverage of major parameters most frequently reported in health databases.</w:t>
            </w:r>
          </w:p>
        </w:tc>
        <w:tc>
          <w:tcPr>
            <w:tcW w:w="6783" w:type="dxa"/>
            <w:shd w:val="thinReverseDiagStripe" w:color="D9D9D9" w:themeColor="background1" w:themeShade="D9" w:fill="auto"/>
            <w:vAlign w:val="center"/>
          </w:tcPr>
          <w:p w:rsidR="0043484B" w:rsidRPr="00214F1D" w:rsidRDefault="0043484B" w:rsidP="00223D39">
            <w:pPr>
              <w:contextualSpacing/>
              <w:jc w:val="center"/>
              <w:rPr>
                <w:rFonts w:ascii="Open Sans" w:hAnsi="Open Sans" w:cs="Open Sans"/>
                <w:i/>
                <w:sz w:val="20"/>
                <w:szCs w:val="20"/>
              </w:rPr>
            </w:pPr>
          </w:p>
        </w:tc>
      </w:tr>
      <w:tr w:rsidR="0043484B" w:rsidRPr="00214F1D" w:rsidTr="00223D39">
        <w:trPr>
          <w:trHeight w:val="1115"/>
        </w:trPr>
        <w:tc>
          <w:tcPr>
            <w:tcW w:w="7015" w:type="dxa"/>
            <w:shd w:val="thinReverseDiagStripe" w:color="D9D9D9" w:themeColor="background1" w:themeShade="D9" w:fill="auto"/>
            <w:vAlign w:val="center"/>
          </w:tcPr>
          <w:p w:rsidR="0043484B" w:rsidRPr="00214F1D" w:rsidRDefault="0043484B"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draw clear connections between policy and procedures and the legal ramifications of health informatics.</w:t>
            </w:r>
            <w:r w:rsidRPr="00214F1D">
              <w:rPr>
                <w:rFonts w:ascii="Open Sans" w:hAnsi="Open Sans" w:cs="Open Sans"/>
                <w:color w:val="000000"/>
                <w:sz w:val="20"/>
                <w:szCs w:val="20"/>
              </w:rPr>
              <w:t xml:space="preserve"> </w:t>
            </w:r>
          </w:p>
        </w:tc>
        <w:tc>
          <w:tcPr>
            <w:tcW w:w="6783" w:type="dxa"/>
            <w:shd w:val="thinReverseDiagStripe" w:color="D9D9D9" w:themeColor="background1" w:themeShade="D9" w:fill="auto"/>
            <w:vAlign w:val="center"/>
          </w:tcPr>
          <w:p w:rsidR="0043484B" w:rsidRPr="00214F1D" w:rsidRDefault="0043484B" w:rsidP="00223D39">
            <w:pPr>
              <w:contextualSpacing/>
              <w:jc w:val="center"/>
              <w:rPr>
                <w:rFonts w:ascii="Open Sans" w:hAnsi="Open Sans" w:cs="Open Sans"/>
                <w:sz w:val="20"/>
                <w:szCs w:val="20"/>
              </w:rPr>
            </w:pPr>
          </w:p>
        </w:tc>
      </w:tr>
    </w:tbl>
    <w:p w:rsidR="0043484B" w:rsidRPr="0043484B" w:rsidRDefault="0043484B" w:rsidP="0043484B">
      <w:pPr>
        <w:tabs>
          <w:tab w:val="left" w:pos="2145"/>
        </w:tabs>
        <w:rPr>
          <w:rFonts w:ascii="Open Sans" w:eastAsia="Times New Roman" w:hAnsi="Open Sans" w:cs="Open Sans"/>
          <w:sz w:val="20"/>
          <w:szCs w:val="20"/>
        </w:rPr>
      </w:pPr>
      <w:bookmarkStart w:id="0" w:name="_GoBack"/>
      <w:bookmarkEnd w:id="0"/>
    </w:p>
    <w:sectPr w:rsidR="0043484B" w:rsidRPr="0043484B" w:rsidSect="00D537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880" w:rsidRDefault="00691880" w:rsidP="0043484B">
      <w:pPr>
        <w:spacing w:after="0" w:line="240" w:lineRule="auto"/>
      </w:pPr>
      <w:r>
        <w:separator/>
      </w:r>
    </w:p>
  </w:endnote>
  <w:endnote w:type="continuationSeparator" w:id="0">
    <w:p w:rsidR="00691880" w:rsidRDefault="00691880" w:rsidP="00434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880" w:rsidRDefault="00691880" w:rsidP="0043484B">
      <w:pPr>
        <w:spacing w:after="0" w:line="240" w:lineRule="auto"/>
      </w:pPr>
      <w:r>
        <w:separator/>
      </w:r>
    </w:p>
  </w:footnote>
  <w:footnote w:type="continuationSeparator" w:id="0">
    <w:p w:rsidR="00691880" w:rsidRDefault="00691880" w:rsidP="004348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84B" w:rsidRPr="00720652" w:rsidRDefault="0043484B" w:rsidP="0043484B">
    <w:pPr>
      <w:spacing w:after="0" w:line="240" w:lineRule="auto"/>
      <w:jc w:val="center"/>
      <w:rPr>
        <w:b/>
        <w:i/>
        <w:sz w:val="28"/>
      </w:rPr>
    </w:pPr>
    <w:r w:rsidRPr="00720652">
      <w:rPr>
        <w:noProof/>
      </w:rPr>
      <w:drawing>
        <wp:anchor distT="0" distB="0" distL="114300" distR="114300" simplePos="0" relativeHeight="251659264" behindDoc="0" locked="0" layoutInCell="1" allowOverlap="1" wp14:anchorId="4391843D" wp14:editId="408AFCA4">
          <wp:simplePos x="0" y="0"/>
          <wp:positionH relativeFrom="margin">
            <wp:posOffset>-357505</wp:posOffset>
          </wp:positionH>
          <wp:positionV relativeFrom="paragraph">
            <wp:posOffset>-153035</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1">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720652">
      <w:rPr>
        <w:b/>
        <w:sz w:val="28"/>
      </w:rPr>
      <w:t>TENNESSEE CAREER AND TECHNICAL EDUCATION TEXTBOOK SCREENING INSTRUMENT,</w:t>
    </w:r>
  </w:p>
  <w:p w:rsidR="0043484B" w:rsidRPr="00720652" w:rsidRDefault="0043484B" w:rsidP="0043484B">
    <w:pPr>
      <w:spacing w:after="0" w:line="240" w:lineRule="auto"/>
      <w:jc w:val="center"/>
      <w:rPr>
        <w:b/>
        <w:sz w:val="28"/>
      </w:rPr>
    </w:pPr>
    <w:r w:rsidRPr="00720652">
      <w:rPr>
        <w:b/>
        <w:sz w:val="28"/>
      </w:rPr>
      <w:t>CRIMINAL JUSTICE PRACTICUM</w:t>
    </w:r>
    <w:r>
      <w:rPr>
        <w:b/>
        <w:sz w:val="28"/>
      </w:rPr>
      <w:t>, 6194</w:t>
    </w:r>
  </w:p>
  <w:p w:rsidR="0043484B" w:rsidRDefault="004348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E1922"/>
    <w:multiLevelType w:val="hybridMultilevel"/>
    <w:tmpl w:val="CBA29132"/>
    <w:lvl w:ilvl="0" w:tplc="A0125772">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F7706"/>
    <w:multiLevelType w:val="hybridMultilevel"/>
    <w:tmpl w:val="61F67D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4F3393"/>
    <w:multiLevelType w:val="hybridMultilevel"/>
    <w:tmpl w:val="6484BA1C"/>
    <w:lvl w:ilvl="0" w:tplc="DC449724">
      <w:start w:val="1"/>
      <w:numFmt w:val="decimal"/>
      <w:lvlText w:val="%1)"/>
      <w:lvlJc w:val="left"/>
      <w:pPr>
        <w:ind w:left="720" w:hanging="360"/>
      </w:pPr>
      <w:rPr>
        <w:rFonts w:hint="default"/>
        <w:b w:val="0"/>
      </w:rPr>
    </w:lvl>
    <w:lvl w:ilvl="1" w:tplc="7F9851B8">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7"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8" w15:restartNumberingAfterBreak="0">
    <w:nsid w:val="24212D15"/>
    <w:multiLevelType w:val="hybridMultilevel"/>
    <w:tmpl w:val="2B3627EA"/>
    <w:lvl w:ilvl="0" w:tplc="AA32C1C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D4347A"/>
    <w:multiLevelType w:val="hybridMultilevel"/>
    <w:tmpl w:val="67C0BBFE"/>
    <w:lvl w:ilvl="0" w:tplc="04090011">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14433D"/>
    <w:multiLevelType w:val="hybridMultilevel"/>
    <w:tmpl w:val="39E69E5E"/>
    <w:lvl w:ilvl="0" w:tplc="04090011">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5E2792"/>
    <w:multiLevelType w:val="hybridMultilevel"/>
    <w:tmpl w:val="62ACFFB0"/>
    <w:lvl w:ilvl="0" w:tplc="F1CE03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614841"/>
    <w:multiLevelType w:val="hybridMultilevel"/>
    <w:tmpl w:val="6FA0ABD2"/>
    <w:lvl w:ilvl="0" w:tplc="531E2A62">
      <w:start w:val="2"/>
      <w:numFmt w:val="lowerLetter"/>
      <w:lvlText w:val="%1."/>
      <w:lvlJc w:val="left"/>
      <w:pPr>
        <w:ind w:left="234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7C227BFC"/>
    <w:multiLevelType w:val="hybridMultilevel"/>
    <w:tmpl w:val="257A373A"/>
    <w:lvl w:ilvl="0" w:tplc="0E08C7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6"/>
  </w:num>
  <w:num w:numId="3">
    <w:abstractNumId w:val="17"/>
  </w:num>
  <w:num w:numId="4">
    <w:abstractNumId w:val="7"/>
  </w:num>
  <w:num w:numId="5">
    <w:abstractNumId w:val="3"/>
  </w:num>
  <w:num w:numId="6">
    <w:abstractNumId w:val="19"/>
  </w:num>
  <w:num w:numId="7">
    <w:abstractNumId w:val="16"/>
  </w:num>
  <w:num w:numId="8">
    <w:abstractNumId w:val="20"/>
  </w:num>
  <w:num w:numId="9">
    <w:abstractNumId w:val="21"/>
  </w:num>
  <w:num w:numId="10">
    <w:abstractNumId w:val="9"/>
  </w:num>
  <w:num w:numId="11">
    <w:abstractNumId w:val="12"/>
  </w:num>
  <w:num w:numId="12">
    <w:abstractNumId w:val="4"/>
  </w:num>
  <w:num w:numId="13">
    <w:abstractNumId w:val="8"/>
  </w:num>
  <w:num w:numId="14">
    <w:abstractNumId w:val="2"/>
  </w:num>
  <w:num w:numId="15">
    <w:abstractNumId w:val="10"/>
  </w:num>
  <w:num w:numId="16">
    <w:abstractNumId w:val="11"/>
  </w:num>
  <w:num w:numId="17">
    <w:abstractNumId w:val="22"/>
  </w:num>
  <w:num w:numId="18">
    <w:abstractNumId w:val="13"/>
  </w:num>
  <w:num w:numId="19">
    <w:abstractNumId w:val="5"/>
  </w:num>
  <w:num w:numId="20">
    <w:abstractNumId w:val="1"/>
  </w:num>
  <w:num w:numId="21">
    <w:abstractNumId w:val="15"/>
  </w:num>
  <w:num w:numId="22">
    <w:abstractNumId w:val="1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6519D"/>
    <w:rsid w:val="00072127"/>
    <w:rsid w:val="00075263"/>
    <w:rsid w:val="000845EB"/>
    <w:rsid w:val="00091479"/>
    <w:rsid w:val="000E3170"/>
    <w:rsid w:val="00115038"/>
    <w:rsid w:val="0011573F"/>
    <w:rsid w:val="00124855"/>
    <w:rsid w:val="001602D8"/>
    <w:rsid w:val="001A0833"/>
    <w:rsid w:val="001B02DE"/>
    <w:rsid w:val="001B5E52"/>
    <w:rsid w:val="002D0902"/>
    <w:rsid w:val="00316AA4"/>
    <w:rsid w:val="003965B7"/>
    <w:rsid w:val="003F4BAB"/>
    <w:rsid w:val="004079F5"/>
    <w:rsid w:val="00415672"/>
    <w:rsid w:val="004156E2"/>
    <w:rsid w:val="00421523"/>
    <w:rsid w:val="0043484B"/>
    <w:rsid w:val="0043492C"/>
    <w:rsid w:val="00465233"/>
    <w:rsid w:val="00473800"/>
    <w:rsid w:val="005B1541"/>
    <w:rsid w:val="005C6289"/>
    <w:rsid w:val="005D7F02"/>
    <w:rsid w:val="00610137"/>
    <w:rsid w:val="006240A2"/>
    <w:rsid w:val="00642569"/>
    <w:rsid w:val="00677286"/>
    <w:rsid w:val="00691880"/>
    <w:rsid w:val="006A1A1A"/>
    <w:rsid w:val="006B1BCA"/>
    <w:rsid w:val="006B2D51"/>
    <w:rsid w:val="006D23A5"/>
    <w:rsid w:val="006F3C74"/>
    <w:rsid w:val="007125FD"/>
    <w:rsid w:val="00720652"/>
    <w:rsid w:val="00730420"/>
    <w:rsid w:val="00745453"/>
    <w:rsid w:val="007728F3"/>
    <w:rsid w:val="0078544F"/>
    <w:rsid w:val="007C21F4"/>
    <w:rsid w:val="00871B0B"/>
    <w:rsid w:val="008B526F"/>
    <w:rsid w:val="008C4C6B"/>
    <w:rsid w:val="008C71E0"/>
    <w:rsid w:val="008C7DB3"/>
    <w:rsid w:val="008F0203"/>
    <w:rsid w:val="00911CDD"/>
    <w:rsid w:val="00981326"/>
    <w:rsid w:val="009B1574"/>
    <w:rsid w:val="009E68E4"/>
    <w:rsid w:val="00A24BE7"/>
    <w:rsid w:val="00AB444A"/>
    <w:rsid w:val="00B31E0B"/>
    <w:rsid w:val="00B440CE"/>
    <w:rsid w:val="00B564D1"/>
    <w:rsid w:val="00B9770E"/>
    <w:rsid w:val="00C033C2"/>
    <w:rsid w:val="00C25F66"/>
    <w:rsid w:val="00C3750F"/>
    <w:rsid w:val="00C406CE"/>
    <w:rsid w:val="00C4526C"/>
    <w:rsid w:val="00CE0E9C"/>
    <w:rsid w:val="00CF1BC0"/>
    <w:rsid w:val="00CF3ED2"/>
    <w:rsid w:val="00D11A14"/>
    <w:rsid w:val="00D53761"/>
    <w:rsid w:val="00D73280"/>
    <w:rsid w:val="00D80682"/>
    <w:rsid w:val="00DE024E"/>
    <w:rsid w:val="00DF7998"/>
    <w:rsid w:val="00E2342D"/>
    <w:rsid w:val="00E33ABB"/>
    <w:rsid w:val="00E45E61"/>
    <w:rsid w:val="00E5213D"/>
    <w:rsid w:val="00E70F53"/>
    <w:rsid w:val="00EB1010"/>
    <w:rsid w:val="00ED3FD4"/>
    <w:rsid w:val="00EF5194"/>
    <w:rsid w:val="00F13C67"/>
    <w:rsid w:val="00F30CEA"/>
    <w:rsid w:val="00F54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unhideWhenUsed/>
    <w:rsid w:val="004348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84B"/>
  </w:style>
  <w:style w:type="paragraph" w:styleId="Footer">
    <w:name w:val="footer"/>
    <w:basedOn w:val="Normal"/>
    <w:link w:val="FooterChar"/>
    <w:uiPriority w:val="99"/>
    <w:unhideWhenUsed/>
    <w:rsid w:val="004348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E6E69-D60A-4C49-8F04-03F92A378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12</Pages>
  <Words>2235</Words>
  <Characters>12741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10</cp:revision>
  <cp:lastPrinted>2016-06-14T21:25:00Z</cp:lastPrinted>
  <dcterms:created xsi:type="dcterms:W3CDTF">2018-07-23T12:35:00Z</dcterms:created>
  <dcterms:modified xsi:type="dcterms:W3CDTF">2018-09-19T13:36:00Z</dcterms:modified>
</cp:coreProperties>
</file>