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D53761" w:rsidRDefault="00D53761" w:rsidP="00D53761">
      <w:pPr>
        <w:spacing w:after="0" w:line="240" w:lineRule="auto"/>
        <w:jc w:val="center"/>
        <w:rPr>
          <w:b/>
          <w:i/>
          <w:sz w:val="28"/>
        </w:rPr>
      </w:pPr>
      <w:bookmarkStart w:id="0" w:name="_GoBack"/>
      <w:bookmarkEnd w:id="0"/>
      <w:r>
        <w:rPr>
          <w:noProof/>
        </w:rPr>
        <w:drawing>
          <wp:anchor distT="0" distB="0" distL="114300" distR="114300" simplePos="0" relativeHeight="251660288" behindDoc="0" locked="0" layoutInCell="1" allowOverlap="1">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anchor>
        </w:drawing>
      </w:r>
      <w:r w:rsidRPr="00D53761">
        <w:rPr>
          <w:b/>
          <w:sz w:val="28"/>
        </w:rPr>
        <w:t>TENNESSEE CAREER AND TECHNICAL EDUCATION TEXTBOOK SCREENING INSTRUMENT,</w:t>
      </w:r>
    </w:p>
    <w:p w:rsidR="00EF5194" w:rsidRPr="00EF5194" w:rsidRDefault="00B9770E" w:rsidP="00E442F2">
      <w:pPr>
        <w:spacing w:after="0" w:line="240" w:lineRule="auto"/>
        <w:jc w:val="center"/>
        <w:rPr>
          <w:b/>
          <w:sz w:val="28"/>
        </w:rPr>
      </w:pPr>
      <w:r>
        <w:rPr>
          <w:b/>
          <w:sz w:val="28"/>
        </w:rPr>
        <w:t xml:space="preserve"> </w:t>
      </w:r>
      <w:r w:rsidR="00E442F2">
        <w:rPr>
          <w:b/>
          <w:sz w:val="28"/>
        </w:rPr>
        <w:t>BUSINESS AND MARKETING ELECTIVES</w:t>
      </w:r>
    </w:p>
    <w:p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3176"/>
      </w:tblGrid>
      <w:tr w:rsidR="00D53761" w:rsidRPr="00D53761" w:rsidTr="008C353D">
        <w:tc>
          <w:tcPr>
            <w:tcW w:w="13176" w:type="dxa"/>
            <w:shd w:val="clear" w:color="auto" w:fill="F2F2F2" w:themeFill="background1" w:themeFillShade="F2"/>
          </w:tcPr>
          <w:p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rsidTr="008C353D">
        <w:tc>
          <w:tcPr>
            <w:tcW w:w="13176" w:type="dxa"/>
          </w:tcPr>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rsidR="00D53761" w:rsidRPr="00D53761" w:rsidRDefault="00D53761" w:rsidP="00D53761">
            <w:pPr>
              <w:rPr>
                <w:rFonts w:ascii="Open Sans" w:eastAsia="Times New Roman" w:hAnsi="Open Sans" w:cs="Open Sans"/>
                <w:sz w:val="18"/>
                <w:szCs w:val="18"/>
              </w:rPr>
            </w:pP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rsidR="00D53761" w:rsidRPr="00D53761" w:rsidRDefault="00D53761" w:rsidP="00D53761">
            <w:pPr>
              <w:rPr>
                <w:rFonts w:ascii="Open Sans" w:eastAsia="Times New Roman" w:hAnsi="Open Sans" w:cs="Open Sans"/>
                <w:b/>
                <w:sz w:val="18"/>
                <w:szCs w:val="18"/>
              </w:rPr>
            </w:pPr>
          </w:p>
          <w:p w:rsidR="00E70F53" w:rsidRPr="00E70F53" w:rsidRDefault="00E442F2"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PERSONAL FINANCE</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5901</w:t>
            </w:r>
            <w:r w:rsidR="00E70F53" w:rsidRPr="00E70F53">
              <w:rPr>
                <w:rFonts w:ascii="Open Sans" w:eastAsia="Times New Roman" w:hAnsi="Open Sans" w:cs="Open Sans"/>
                <w:b/>
                <w:sz w:val="18"/>
                <w:szCs w:val="18"/>
              </w:rPr>
              <w:t xml:space="preserve">)                                      </w:t>
            </w:r>
          </w:p>
          <w:p w:rsidR="00115038"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 xml:space="preserve">BUSINESS </w:t>
            </w:r>
            <w:r w:rsidR="00E442F2">
              <w:rPr>
                <w:rFonts w:ascii="Open Sans" w:eastAsia="Times New Roman" w:hAnsi="Open Sans" w:cs="Open Sans"/>
                <w:b/>
                <w:sz w:val="18"/>
                <w:szCs w:val="18"/>
              </w:rPr>
              <w:t>ECONOMICS</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000845EB" w:rsidRPr="00E70F53">
              <w:rPr>
                <w:rFonts w:ascii="Open Sans" w:eastAsia="Times New Roman" w:hAnsi="Open Sans" w:cs="Open Sans"/>
                <w:b/>
                <w:sz w:val="18"/>
                <w:szCs w:val="18"/>
              </w:rPr>
              <w:t xml:space="preserve">)        </w:t>
            </w:r>
          </w:p>
          <w:p w:rsidR="00C033C2" w:rsidRDefault="00E442F2" w:rsidP="000845EB">
            <w:pPr>
              <w:spacing w:after="200" w:line="276" w:lineRule="auto"/>
              <w:rPr>
                <w:rFonts w:ascii="Open Sans" w:eastAsia="Times New Roman" w:hAnsi="Open Sans" w:cs="Open Sans"/>
                <w:b/>
                <w:sz w:val="18"/>
                <w:szCs w:val="18"/>
              </w:rPr>
            </w:pPr>
            <w:r w:rsidRPr="00A50608">
              <w:rPr>
                <w:rFonts w:ascii="Open Sans" w:eastAsia="Times New Roman" w:hAnsi="Open Sans" w:cs="Open Sans"/>
                <w:b/>
                <w:sz w:val="18"/>
                <w:szCs w:val="18"/>
                <w:highlight w:val="yellow"/>
              </w:rPr>
              <w:t>AMERICAN BUSINESS LEGAL</w:t>
            </w:r>
            <w:r w:rsidR="000845EB" w:rsidRPr="00A50608">
              <w:rPr>
                <w:rFonts w:ascii="Open Sans" w:eastAsia="Times New Roman" w:hAnsi="Open Sans" w:cs="Open Sans"/>
                <w:b/>
                <w:sz w:val="18"/>
                <w:szCs w:val="18"/>
                <w:highlight w:val="yellow"/>
              </w:rPr>
              <w:t xml:space="preserve"> </w:t>
            </w:r>
            <w:r w:rsidR="00FC5A98" w:rsidRPr="00A50608">
              <w:rPr>
                <w:rFonts w:ascii="Open Sans" w:eastAsia="Times New Roman" w:hAnsi="Open Sans" w:cs="Open Sans"/>
                <w:b/>
                <w:sz w:val="18"/>
                <w:szCs w:val="18"/>
                <w:highlight w:val="yellow"/>
              </w:rPr>
              <w:t>(5892</w:t>
            </w:r>
            <w:r w:rsidR="000845EB" w:rsidRPr="00A50608">
              <w:rPr>
                <w:rFonts w:ascii="Open Sans" w:eastAsia="Times New Roman" w:hAnsi="Open Sans" w:cs="Open Sans"/>
                <w:b/>
                <w:sz w:val="18"/>
                <w:szCs w:val="18"/>
                <w:highlight w:val="yellow"/>
              </w:rPr>
              <w:t>)</w:t>
            </w:r>
            <w:r w:rsidR="000845EB" w:rsidRPr="00E70F53">
              <w:rPr>
                <w:rFonts w:ascii="Open Sans" w:eastAsia="Times New Roman" w:hAnsi="Open Sans" w:cs="Open Sans"/>
                <w:b/>
                <w:sz w:val="18"/>
                <w:szCs w:val="18"/>
              </w:rPr>
              <w:t xml:space="preserve">         </w:t>
            </w:r>
          </w:p>
          <w:p w:rsidR="00D53761" w:rsidRPr="00D53761" w:rsidRDefault="00D53761" w:rsidP="00E442F2">
            <w:pPr>
              <w:rPr>
                <w:rFonts w:ascii="Open Sans" w:eastAsia="Times New Roman" w:hAnsi="Open Sans" w:cs="Open Sans"/>
                <w:b/>
                <w:i/>
                <w:sz w:val="18"/>
                <w:szCs w:val="18"/>
              </w:rPr>
            </w:pPr>
          </w:p>
        </w:tc>
      </w:tr>
      <w:tr w:rsidR="004079F5" w:rsidRPr="00D53761" w:rsidTr="008C353D">
        <w:tc>
          <w:tcPr>
            <w:tcW w:w="13176" w:type="dxa"/>
          </w:tcPr>
          <w:p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3158"/>
      </w:tblGrid>
      <w:tr w:rsidR="00981326" w:rsidRPr="00D53761" w:rsidTr="00981326">
        <w:tc>
          <w:tcPr>
            <w:tcW w:w="13158" w:type="dxa"/>
            <w:shd w:val="clear" w:color="auto" w:fill="F2F2F2" w:themeFill="background1" w:themeFillShade="F2"/>
          </w:tcPr>
          <w:p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rsidTr="00981326">
        <w:tc>
          <w:tcPr>
            <w:tcW w:w="13158" w:type="dxa"/>
          </w:tcPr>
          <w:p w:rsidR="00981326" w:rsidRPr="00D53761" w:rsidRDefault="00981326" w:rsidP="00981326">
            <w:pPr>
              <w:rPr>
                <w:rFonts w:ascii="Open Sans" w:hAnsi="Open Sans" w:cs="Open Sans"/>
                <w:sz w:val="18"/>
                <w:szCs w:val="18"/>
              </w:rPr>
            </w:pPr>
          </w:p>
          <w:p w:rsidR="00981326" w:rsidRPr="00D53761" w:rsidRDefault="005D7F02" w:rsidP="00981326">
            <w:pPr>
              <w:rPr>
                <w:rFonts w:ascii="Open Sans" w:hAnsi="Open Sans" w:cs="Open Sans"/>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__</w:t>
            </w:r>
            <w:r w:rsidR="00250189">
              <w:rPr>
                <w:rFonts w:ascii="Open Sans" w:hAnsi="Open Sans" w:cs="Open Sans"/>
                <w:sz w:val="18"/>
                <w:szCs w:val="18"/>
              </w:rPr>
              <w:t>Glencoe Business and Personal Law</w:t>
            </w:r>
            <w:r w:rsidR="00981326" w:rsidRPr="00D53761">
              <w:rPr>
                <w:rFonts w:ascii="Open Sans" w:hAnsi="Open Sans" w:cs="Open Sans"/>
                <w:sz w:val="18"/>
                <w:szCs w:val="18"/>
              </w:rPr>
              <w:t>_</w:t>
            </w:r>
            <w:r w:rsidR="00250189">
              <w:rPr>
                <w:rFonts w:ascii="Open Sans" w:hAnsi="Open Sans" w:cs="Open Sans"/>
                <w:sz w:val="18"/>
                <w:szCs w:val="18"/>
              </w:rPr>
              <w:t>978-0-02-139722-8</w:t>
            </w:r>
            <w:r w:rsidR="000E3170">
              <w:rPr>
                <w:rFonts w:ascii="Open Sans" w:hAnsi="Open Sans" w:cs="Open Sans"/>
                <w:sz w:val="18"/>
                <w:szCs w:val="18"/>
              </w:rPr>
              <w:t>_________________</w:t>
            </w:r>
            <w:r w:rsidR="00981326" w:rsidRPr="00D53761">
              <w:rPr>
                <w:rFonts w:ascii="Open Sans" w:hAnsi="Open Sans" w:cs="Open Sans"/>
                <w:sz w:val="18"/>
                <w:szCs w:val="18"/>
              </w:rPr>
              <w:t xml:space="preserve"> Level(s)/Course(s): __</w:t>
            </w:r>
            <w:r w:rsidR="000E3170">
              <w:rPr>
                <w:rFonts w:ascii="Open Sans" w:hAnsi="Open Sans" w:cs="Open Sans"/>
                <w:sz w:val="18"/>
                <w:szCs w:val="18"/>
              </w:rPr>
              <w:t>__</w:t>
            </w:r>
            <w:r w:rsidR="00250189">
              <w:rPr>
                <w:rFonts w:ascii="Open Sans" w:hAnsi="Open Sans" w:cs="Open Sans"/>
                <w:sz w:val="18"/>
                <w:szCs w:val="18"/>
              </w:rPr>
              <w:t>5892</w:t>
            </w:r>
            <w:r w:rsidR="000E3170">
              <w:rPr>
                <w:rFonts w:ascii="Open Sans" w:hAnsi="Open Sans" w:cs="Open Sans"/>
                <w:sz w:val="18"/>
                <w:szCs w:val="18"/>
              </w:rPr>
              <w:t>________</w:t>
            </w:r>
            <w:r w:rsidR="00250189">
              <w:rPr>
                <w:rFonts w:ascii="Open Sans" w:hAnsi="Open Sans" w:cs="Open Sans"/>
                <w:sz w:val="18"/>
                <w:szCs w:val="18"/>
              </w:rPr>
              <w:t>_____</w:t>
            </w:r>
          </w:p>
          <w:p w:rsidR="00981326" w:rsidRPr="00D53761" w:rsidRDefault="00981326" w:rsidP="00981326">
            <w:pPr>
              <w:rPr>
                <w:rFonts w:ascii="Open Sans" w:hAnsi="Open Sans" w:cs="Open Sans"/>
                <w:sz w:val="18"/>
                <w:szCs w:val="18"/>
              </w:rPr>
            </w:pPr>
          </w:p>
          <w:p w:rsidR="00981326" w:rsidRPr="00D53761" w:rsidRDefault="00981326" w:rsidP="00981326">
            <w:pPr>
              <w:rPr>
                <w:rFonts w:ascii="Open Sans" w:hAnsi="Open Sans" w:cs="Open Sans"/>
                <w:sz w:val="18"/>
                <w:szCs w:val="18"/>
              </w:rPr>
            </w:pPr>
            <w:r w:rsidRPr="00D53761">
              <w:rPr>
                <w:rFonts w:ascii="Open Sans" w:hAnsi="Open Sans" w:cs="Open Sans"/>
                <w:sz w:val="18"/>
                <w:szCs w:val="18"/>
              </w:rPr>
              <w:t>Publisher: ___</w:t>
            </w:r>
            <w:r w:rsidR="00250189">
              <w:rPr>
                <w:rFonts w:ascii="Open Sans" w:hAnsi="Open Sans" w:cs="Open Sans"/>
                <w:sz w:val="18"/>
                <w:szCs w:val="18"/>
              </w:rPr>
              <w:t>McGraw Hill</w:t>
            </w:r>
            <w:r w:rsidRPr="00D53761">
              <w:rPr>
                <w:rFonts w:ascii="Open Sans" w:hAnsi="Open Sans" w:cs="Open Sans"/>
                <w:sz w:val="18"/>
                <w:szCs w:val="18"/>
              </w:rPr>
              <w:t>__</w:t>
            </w:r>
            <w:r w:rsidR="000E3170">
              <w:rPr>
                <w:rFonts w:ascii="Open Sans" w:hAnsi="Open Sans" w:cs="Open Sans"/>
                <w:sz w:val="18"/>
                <w:szCs w:val="18"/>
              </w:rPr>
              <w:t>_______________</w:t>
            </w:r>
            <w:r w:rsidRPr="00D53761">
              <w:rPr>
                <w:rFonts w:ascii="Open Sans" w:hAnsi="Open Sans" w:cs="Open Sans"/>
                <w:sz w:val="18"/>
                <w:szCs w:val="18"/>
              </w:rPr>
              <w:t xml:space="preserve">___________ </w:t>
            </w:r>
            <w:r w:rsidR="005D7F02">
              <w:rPr>
                <w:rFonts w:ascii="Open Sans" w:hAnsi="Open Sans" w:cs="Open Sans"/>
                <w:sz w:val="18"/>
                <w:szCs w:val="18"/>
              </w:rPr>
              <w:t xml:space="preserve">Copyright </w:t>
            </w:r>
            <w:r w:rsidRPr="00D53761">
              <w:rPr>
                <w:rFonts w:ascii="Open Sans" w:hAnsi="Open Sans" w:cs="Open Sans"/>
                <w:sz w:val="18"/>
                <w:szCs w:val="18"/>
              </w:rPr>
              <w:t>Year: _____</w:t>
            </w:r>
            <w:r w:rsidR="000E3170">
              <w:rPr>
                <w:rFonts w:ascii="Open Sans" w:hAnsi="Open Sans" w:cs="Open Sans"/>
                <w:sz w:val="18"/>
                <w:szCs w:val="18"/>
              </w:rPr>
              <w:t>_</w:t>
            </w:r>
            <w:r w:rsidR="00250189">
              <w:rPr>
                <w:rFonts w:ascii="Open Sans" w:hAnsi="Open Sans" w:cs="Open Sans"/>
                <w:sz w:val="18"/>
                <w:szCs w:val="18"/>
              </w:rPr>
              <w:t>2016</w:t>
            </w:r>
            <w:r w:rsidR="000E3170">
              <w:rPr>
                <w:rFonts w:ascii="Open Sans" w:hAnsi="Open Sans" w:cs="Open Sans"/>
                <w:sz w:val="18"/>
                <w:szCs w:val="18"/>
              </w:rPr>
              <w:t>_______________________</w:t>
            </w:r>
          </w:p>
          <w:p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3158"/>
      </w:tblGrid>
      <w:tr w:rsidR="001A0833" w:rsidRPr="00D53761" w:rsidTr="001A0833">
        <w:tc>
          <w:tcPr>
            <w:tcW w:w="13158" w:type="dxa"/>
            <w:shd w:val="clear" w:color="auto" w:fill="F2F2F2" w:themeFill="background1" w:themeFillShade="F2"/>
          </w:tcPr>
          <w:p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rsidTr="00911CDD">
        <w:trPr>
          <w:trHeight w:val="1896"/>
        </w:trPr>
        <w:tc>
          <w:tcPr>
            <w:tcW w:w="13158" w:type="dxa"/>
          </w:tcPr>
          <w:p w:rsidR="008F0203" w:rsidRDefault="00E442F2" w:rsidP="001A0833">
            <w:r>
              <w:t>These courses are for elective credit and supplement learning in the areas of business, marketing,  and finance.</w:t>
            </w:r>
          </w:p>
          <w:p w:rsidR="008F0203" w:rsidRDefault="008F0203" w:rsidP="001A0833"/>
          <w:p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3158"/>
      </w:tblGrid>
      <w:tr w:rsidR="00911CDD" w:rsidRPr="00D53761" w:rsidTr="00911CDD">
        <w:tc>
          <w:tcPr>
            <w:tcW w:w="13158" w:type="dxa"/>
            <w:shd w:val="clear" w:color="auto" w:fill="F2F2F2" w:themeFill="background1" w:themeFillShade="F2"/>
          </w:tcPr>
          <w:p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rsidTr="00911CDD">
        <w:tc>
          <w:tcPr>
            <w:tcW w:w="13158" w:type="dxa"/>
          </w:tcPr>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rsidR="00911CDD" w:rsidRPr="00D53761" w:rsidRDefault="00911CDD" w:rsidP="00911CDD">
            <w:pPr>
              <w:rPr>
                <w:rFonts w:ascii="Open Sans" w:eastAsia="Times New Roman" w:hAnsi="Open Sans" w:cs="Open Sans"/>
                <w:sz w:val="18"/>
                <w:szCs w:val="18"/>
              </w:rPr>
            </w:pPr>
          </w:p>
        </w:tc>
      </w:tr>
    </w:tbl>
    <w:p w:rsidR="00D53761" w:rsidRPr="00D53761" w:rsidRDefault="00D53761" w:rsidP="00D53761">
      <w:pPr>
        <w:rPr>
          <w:rFonts w:ascii="Open Sans" w:hAnsi="Open Sans" w:cs="Open Sans"/>
          <w:sz w:val="20"/>
          <w:szCs w:val="20"/>
        </w:rPr>
      </w:pPr>
    </w:p>
    <w:p w:rsidR="00D53761" w:rsidRPr="00D53761" w:rsidRDefault="00D53761" w:rsidP="00D53761">
      <w:pPr>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I(1):</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rsidTr="007E6B27">
              <w:trPr>
                <w:trHeight w:val="1007"/>
              </w:trPr>
              <w:tc>
                <w:tcPr>
                  <w:tcW w:w="3754" w:type="pct"/>
                  <w:shd w:val="clear" w:color="auto" w:fill="F2F2F2" w:themeFill="background1" w:themeFillShade="F2"/>
                  <w:vAlign w:val="center"/>
                </w:tcPr>
                <w:p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Yes __</w:t>
                  </w:r>
                  <w:r w:rsidR="00EC2E4B">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7E6B27">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w:t>
                  </w:r>
                  <w:r w:rsidR="00D11A14">
                    <w:rPr>
                      <w:rFonts w:ascii="Open Sans" w:hAnsi="Open Sans" w:cs="Open Sans"/>
                      <w:b/>
                      <w:sz w:val="20"/>
                      <w:szCs w:val="20"/>
                    </w:rPr>
                    <w:t>_</w:t>
                  </w:r>
                  <w:r w:rsidR="00EC2E4B">
                    <w:rPr>
                      <w:rFonts w:ascii="Open Sans" w:hAnsi="Open Sans" w:cs="Open Sans"/>
                      <w:b/>
                      <w:sz w:val="20"/>
                      <w:szCs w:val="20"/>
                    </w:rPr>
                    <w:t>X</w:t>
                  </w:r>
                  <w:r w:rsidR="00D11A14">
                    <w:rPr>
                      <w:rFonts w:ascii="Open Sans" w:hAnsi="Open Sans" w:cs="Open Sans"/>
                      <w:b/>
                      <w:sz w:val="20"/>
                      <w:szCs w:val="20"/>
                    </w:rPr>
                    <w:t>__</w:t>
                  </w:r>
                </w:p>
              </w:tc>
              <w:tc>
                <w:tcPr>
                  <w:tcW w:w="619"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E6B27">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rsidR="00981326" w:rsidRPr="00D53761" w:rsidRDefault="00981326" w:rsidP="00642569">
                  <w:pPr>
                    <w:keepNext/>
                    <w:jc w:val="center"/>
                    <w:outlineLvl w:val="0"/>
                    <w:rPr>
                      <w:rFonts w:ascii="Open Sans" w:hAnsi="Open Sans" w:cs="Open Sans"/>
                      <w:b/>
                      <w:sz w:val="20"/>
                      <w:szCs w:val="20"/>
                    </w:rPr>
                  </w:pPr>
                  <w:r w:rsidRPr="00D53761">
                    <w:rPr>
                      <w:rFonts w:ascii="Open Sans" w:hAnsi="Open Sans" w:cs="Open Sans"/>
                      <w:b/>
                      <w:sz w:val="20"/>
                      <w:szCs w:val="20"/>
                    </w:rPr>
                    <w:t>Yes _</w:t>
                  </w:r>
                  <w:r w:rsidR="00642569">
                    <w:rPr>
                      <w:rFonts w:ascii="Open Sans" w:hAnsi="Open Sans" w:cs="Open Sans"/>
                      <w:b/>
                      <w:sz w:val="20"/>
                      <w:szCs w:val="20"/>
                    </w:rPr>
                    <w:t>_</w:t>
                  </w:r>
                  <w:r w:rsidR="00EC2E4B">
                    <w:rPr>
                      <w:rFonts w:ascii="Open Sans" w:hAnsi="Open Sans" w:cs="Open Sans"/>
                      <w:b/>
                      <w:sz w:val="20"/>
                      <w:szCs w:val="20"/>
                    </w:rPr>
                    <w:t>X</w:t>
                  </w:r>
                  <w:r w:rsidRPr="00D53761">
                    <w:rPr>
                      <w:rFonts w:ascii="Open Sans" w:hAnsi="Open Sans" w:cs="Open Sans"/>
                      <w:b/>
                      <w:sz w:val="20"/>
                      <w:szCs w:val="20"/>
                    </w:rPr>
                    <w:t>_</w:t>
                  </w:r>
                  <w:r w:rsidR="00D11A14">
                    <w:rPr>
                      <w:rFonts w:ascii="Open Sans" w:hAnsi="Open Sans" w:cs="Open Sans"/>
                      <w:b/>
                      <w:sz w:val="20"/>
                      <w:szCs w:val="20"/>
                    </w:rPr>
                    <w:t>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rsidTr="007E6B27">
              <w:trPr>
                <w:trHeight w:val="890"/>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EC2E4B">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981326">
        <w:trPr>
          <w:trHeight w:val="1075"/>
        </w:trPr>
        <w:tc>
          <w:tcPr>
            <w:tcW w:w="10548"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__</w:t>
            </w:r>
            <w:r w:rsidR="00EC2E4B">
              <w:rPr>
                <w:rFonts w:ascii="Open Sans" w:hAnsi="Open Sans" w:cs="Open Sans"/>
                <w:b/>
                <w:sz w:val="20"/>
                <w:szCs w:val="20"/>
              </w:rPr>
              <w:t>X</w:t>
            </w:r>
            <w:r w:rsidRPr="00D53761">
              <w:rPr>
                <w:rFonts w:ascii="Open Sans" w:hAnsi="Open Sans" w:cs="Open Sans"/>
                <w:b/>
                <w:sz w:val="20"/>
                <w:szCs w:val="20"/>
              </w:rPr>
              <w:t>___     No 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981326">
        <w:trPr>
          <w:trHeight w:val="1612"/>
        </w:trPr>
        <w:tc>
          <w:tcPr>
            <w:tcW w:w="14109"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rsidR="0011573F" w:rsidRDefault="0011573F" w:rsidP="00981326">
            <w:pPr>
              <w:rPr>
                <w:rFonts w:ascii="Open Sans" w:hAnsi="Open Sans" w:cs="Open Sans"/>
                <w:b/>
                <w:sz w:val="20"/>
                <w:szCs w:val="20"/>
              </w:rPr>
            </w:pPr>
          </w:p>
          <w:p w:rsidR="0011573F" w:rsidRPr="00642569" w:rsidRDefault="00DA2D67" w:rsidP="00DA2D67">
            <w:pPr>
              <w:rPr>
                <w:rFonts w:ascii="Open Sans" w:hAnsi="Open Sans" w:cs="Open Sans"/>
                <w:sz w:val="20"/>
                <w:szCs w:val="20"/>
              </w:rPr>
            </w:pPr>
            <w:r>
              <w:rPr>
                <w:rFonts w:ascii="Open Sans" w:hAnsi="Open Sans" w:cs="Open Sans"/>
                <w:sz w:val="20"/>
                <w:szCs w:val="20"/>
              </w:rPr>
              <w:t xml:space="preserve">This textbook </w:t>
            </w:r>
            <w:r w:rsidR="00642569">
              <w:rPr>
                <w:rFonts w:ascii="Open Sans" w:hAnsi="Open Sans" w:cs="Open Sans"/>
                <w:sz w:val="20"/>
                <w:szCs w:val="20"/>
              </w:rPr>
              <w:t>meet</w:t>
            </w:r>
            <w:r w:rsidR="005E68D4">
              <w:rPr>
                <w:rFonts w:ascii="Open Sans" w:hAnsi="Open Sans" w:cs="Open Sans"/>
                <w:sz w:val="20"/>
                <w:szCs w:val="20"/>
              </w:rPr>
              <w:t>s</w:t>
            </w:r>
            <w:r w:rsidR="00642569">
              <w:rPr>
                <w:rFonts w:ascii="Open Sans" w:hAnsi="Open Sans" w:cs="Open Sans"/>
                <w:sz w:val="20"/>
                <w:szCs w:val="20"/>
              </w:rPr>
              <w:t xml:space="preserve"> the mandatory 80 percent alignment to course standards in Business </w:t>
            </w:r>
            <w:r w:rsidR="005E68D4">
              <w:rPr>
                <w:rFonts w:ascii="Open Sans" w:hAnsi="Open Sans" w:cs="Open Sans"/>
                <w:sz w:val="20"/>
                <w:szCs w:val="20"/>
              </w:rPr>
              <w:t>and Personal Law</w:t>
            </w:r>
            <w:r w:rsidR="00642569">
              <w:rPr>
                <w:rFonts w:ascii="Open Sans" w:hAnsi="Open Sans" w:cs="Open Sans"/>
                <w:sz w:val="20"/>
                <w:szCs w:val="20"/>
              </w:rPr>
              <w:t>.</w:t>
            </w:r>
            <w:r>
              <w:rPr>
                <w:rFonts w:ascii="Open Sans" w:hAnsi="Open Sans" w:cs="Open Sans"/>
                <w:sz w:val="20"/>
                <w:szCs w:val="20"/>
              </w:rPr>
              <w:t xml:space="preserve"> </w:t>
            </w:r>
          </w:p>
        </w:tc>
      </w:tr>
    </w:tbl>
    <w:p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rsidR="005D7F02" w:rsidRDefault="005D7F02" w:rsidP="00D53761">
      <w:pPr>
        <w:spacing w:after="0" w:line="240" w:lineRule="auto"/>
        <w:rPr>
          <w:rFonts w:ascii="Open Sans" w:eastAsia="Times New Roman" w:hAnsi="Open Sans" w:cs="Open Sans"/>
          <w:sz w:val="20"/>
          <w:szCs w:val="20"/>
        </w:rPr>
      </w:pPr>
    </w:p>
    <w:p w:rsidR="005D7F02" w:rsidRDefault="005D7F02" w:rsidP="00D53761">
      <w:pPr>
        <w:spacing w:after="0" w:line="240" w:lineRule="auto"/>
        <w:rPr>
          <w:rFonts w:ascii="Open Sans" w:eastAsia="Times New Roman" w:hAnsi="Open Sans" w:cs="Open Sans"/>
          <w:sz w:val="20"/>
          <w:szCs w:val="20"/>
        </w:rPr>
      </w:pPr>
    </w:p>
    <w:p w:rsidR="00EC2E4B" w:rsidRDefault="00EC2E4B" w:rsidP="00D53761">
      <w:pPr>
        <w:spacing w:after="0" w:line="240" w:lineRule="auto"/>
        <w:rPr>
          <w:rFonts w:ascii="Open Sans" w:eastAsia="Times New Roman" w:hAnsi="Open Sans" w:cs="Open Sans"/>
          <w:sz w:val="20"/>
          <w:szCs w:val="20"/>
        </w:rPr>
      </w:pPr>
    </w:p>
    <w:p w:rsidR="00EC2E4B" w:rsidRDefault="00EC2E4B" w:rsidP="00D53761">
      <w:pPr>
        <w:spacing w:after="0" w:line="240" w:lineRule="auto"/>
        <w:rPr>
          <w:rFonts w:ascii="Open Sans" w:eastAsia="Times New Roman" w:hAnsi="Open Sans" w:cs="Open Sans"/>
          <w:sz w:val="20"/>
          <w:szCs w:val="20"/>
        </w:rPr>
      </w:pPr>
    </w:p>
    <w:p w:rsidR="006D5A85" w:rsidRDefault="006D5A85" w:rsidP="00D53761">
      <w:pPr>
        <w:spacing w:after="0" w:line="240" w:lineRule="auto"/>
        <w:rPr>
          <w:rFonts w:ascii="Open Sans" w:eastAsia="Times New Roman" w:hAnsi="Open Sans" w:cs="Open Sans"/>
          <w:b/>
          <w:sz w:val="18"/>
          <w:szCs w:val="18"/>
        </w:rPr>
      </w:pPr>
    </w:p>
    <w:p w:rsidR="00F30CEA" w:rsidRDefault="00FC5A98"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AMERICAN BUSINESS LEGAL SYSTEMS</w:t>
      </w:r>
      <w:r w:rsidR="00F30CEA"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5892</w:t>
      </w:r>
      <w:r w:rsidR="00F30CEA"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EB196A">
        <w:tc>
          <w:tcPr>
            <w:tcW w:w="12950" w:type="dxa"/>
            <w:gridSpan w:val="4"/>
            <w:shd w:val="clear" w:color="auto" w:fill="F2F2F2" w:themeFill="background1" w:themeFillShade="F2"/>
          </w:tcPr>
          <w:p w:rsidR="00F30CEA" w:rsidRPr="00F30CEA" w:rsidRDefault="00F30CEA" w:rsidP="00EB196A">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EB196A">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EB196A">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EB196A">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EB196A">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8C7DB3" w:rsidRDefault="00FC5A98" w:rsidP="008C7DB3">
            <w:pPr>
              <w:pStyle w:val="ListParagraph"/>
              <w:numPr>
                <w:ilvl w:val="0"/>
                <w:numId w:val="14"/>
              </w:numPr>
              <w:rPr>
                <w:rFonts w:ascii="Open Sans" w:eastAsia="Times New Roman" w:hAnsi="Open Sans" w:cs="Open Sans"/>
                <w:sz w:val="20"/>
                <w:szCs w:val="20"/>
              </w:rPr>
            </w:pPr>
            <w:r>
              <w:t>The student will develop and apply concepts related to human relations, safety, career development, communications and leadership skills for a global workplace. The student will: 1.1 Develop sensitivity to personal, societal, corporate, and governmental responsibility to community and global issues. 1.2 Demonstrate the interpersonal, teamwork, and leadership skills needed to function in diverse business settings, including the global marketplace. 1.3 Communicate effectively as writers, listeners, and speakers in diverse social and business settings. 1.4 Apply the critical-thinking and soft skills needed to function in students’ multiple roles as citizens, consumers, workers, managers, business owners, and directors of their own futures. 1.5 Analyze and follow policies for managing legal and ethical issues in organizations and in a technology-based society. 1.6 Investigate the lifelong learning skills that foster flexible career paths and confidence in adapting to a workplace that demands constant retooling. 1.7 Assess personal skills, abilities, aptitudes and personal strengths and weaknesses as they relate to career exploration and apply knowledge gained from individual assessment to research and develop an individual career plan. 1.8 Examine the goals and principles of Future Business Leaders of America. 1.9 Investigate online and office safety procedures and pass a written safety examination with 100% accuracy. 1.10 Demonstrate parliamentary procedure through office staff/chapter organizational meetings. 1.11 Apply appropriate typography concepts to industry documents.</w:t>
            </w:r>
          </w:p>
        </w:tc>
        <w:tc>
          <w:tcPr>
            <w:tcW w:w="630" w:type="dxa"/>
          </w:tcPr>
          <w:p w:rsidR="00F30CEA" w:rsidRDefault="00D07B22"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EB196A">
            <w:pPr>
              <w:rPr>
                <w:rFonts w:ascii="Open Sans" w:eastAsia="Times New Roman" w:hAnsi="Open Sans" w:cs="Open Sans"/>
                <w:sz w:val="20"/>
                <w:szCs w:val="20"/>
              </w:rPr>
            </w:pPr>
          </w:p>
        </w:tc>
        <w:tc>
          <w:tcPr>
            <w:tcW w:w="4135" w:type="dxa"/>
          </w:tcPr>
          <w:p w:rsidR="00F30CEA" w:rsidRDefault="00301BBC" w:rsidP="00301BBC">
            <w:pPr>
              <w:rPr>
                <w:rFonts w:ascii="Open Sans" w:eastAsia="Times New Roman" w:hAnsi="Open Sans" w:cs="Open Sans"/>
                <w:sz w:val="20"/>
                <w:szCs w:val="20"/>
              </w:rPr>
            </w:pPr>
            <w:r>
              <w:rPr>
                <w:rFonts w:ascii="Open Sans" w:eastAsia="Times New Roman" w:hAnsi="Open Sans" w:cs="Open Sans"/>
                <w:sz w:val="20"/>
                <w:szCs w:val="20"/>
              </w:rPr>
              <w:t xml:space="preserve">Materials for this standard is explicitly met (examples given in </w:t>
            </w:r>
            <w:r w:rsidR="009874D1">
              <w:rPr>
                <w:rFonts w:ascii="Open Sans" w:eastAsia="Times New Roman" w:hAnsi="Open Sans" w:cs="Open Sans"/>
                <w:sz w:val="20"/>
                <w:szCs w:val="20"/>
              </w:rPr>
              <w:t>Careers in Law</w:t>
            </w:r>
            <w:r w:rsidR="009C4162">
              <w:rPr>
                <w:rFonts w:ascii="Open Sans" w:eastAsia="Times New Roman" w:hAnsi="Open Sans" w:cs="Open Sans"/>
                <w:sz w:val="20"/>
                <w:szCs w:val="20"/>
              </w:rPr>
              <w:t xml:space="preserve"> at the end each unit</w:t>
            </w:r>
            <w:r w:rsidR="00CE67D8">
              <w:rPr>
                <w:rFonts w:ascii="Open Sans" w:eastAsia="Times New Roman" w:hAnsi="Open Sans" w:cs="Open Sans"/>
                <w:sz w:val="20"/>
                <w:szCs w:val="20"/>
              </w:rPr>
              <w:t xml:space="preserve">, </w:t>
            </w:r>
            <w:r w:rsidR="00C90203">
              <w:rPr>
                <w:rFonts w:ascii="Open Sans" w:eastAsia="Times New Roman" w:hAnsi="Open Sans" w:cs="Open Sans"/>
                <w:sz w:val="20"/>
                <w:szCs w:val="20"/>
              </w:rPr>
              <w:t>Ethical Applications, Global Law sections, Academic Connection sections</w:t>
            </w:r>
            <w:r w:rsidR="009874D1">
              <w:rPr>
                <w:rFonts w:ascii="Open Sans" w:eastAsia="Times New Roman" w:hAnsi="Open Sans" w:cs="Open Sans"/>
                <w:sz w:val="20"/>
                <w:szCs w:val="20"/>
              </w:rPr>
              <w:t xml:space="preserve">, </w:t>
            </w:r>
            <w:r w:rsidR="00C90203">
              <w:rPr>
                <w:rFonts w:ascii="Open Sans" w:eastAsia="Times New Roman" w:hAnsi="Open Sans" w:cs="Open Sans"/>
                <w:sz w:val="20"/>
                <w:szCs w:val="20"/>
              </w:rPr>
              <w:t xml:space="preserve">Bell Ringer Activities; </w:t>
            </w:r>
            <w:r w:rsidR="00CE67D8">
              <w:rPr>
                <w:rFonts w:ascii="Open Sans" w:eastAsia="Times New Roman" w:hAnsi="Open Sans" w:cs="Open Sans"/>
                <w:sz w:val="20"/>
                <w:szCs w:val="20"/>
              </w:rPr>
              <w:t>The Writing Connection</w:t>
            </w:r>
            <w:r w:rsidR="009874D1">
              <w:rPr>
                <w:rFonts w:ascii="Open Sans" w:eastAsia="Times New Roman" w:hAnsi="Open Sans" w:cs="Open Sans"/>
                <w:sz w:val="20"/>
                <w:szCs w:val="20"/>
              </w:rPr>
              <w:t xml:space="preserve"> sections</w:t>
            </w:r>
            <w:r w:rsidR="006A3B0A">
              <w:rPr>
                <w:rFonts w:ascii="Open Sans" w:eastAsia="Times New Roman" w:hAnsi="Open Sans" w:cs="Open Sans"/>
                <w:sz w:val="20"/>
                <w:szCs w:val="20"/>
              </w:rPr>
              <w:t>)</w:t>
            </w:r>
            <w:r w:rsidR="009874D1">
              <w:rPr>
                <w:rFonts w:ascii="Open Sans" w:eastAsia="Times New Roman" w:hAnsi="Open Sans" w:cs="Open Sans"/>
                <w:sz w:val="20"/>
                <w:szCs w:val="20"/>
              </w:rPr>
              <w:t xml:space="preserve"> </w:t>
            </w:r>
            <w:r>
              <w:rPr>
                <w:rFonts w:ascii="Open Sans" w:eastAsia="Times New Roman" w:hAnsi="Open Sans" w:cs="Open Sans"/>
                <w:sz w:val="20"/>
                <w:szCs w:val="20"/>
              </w:rPr>
              <w:t>throughout the text.</w:t>
            </w:r>
          </w:p>
        </w:tc>
      </w:tr>
      <w:tr w:rsidR="00F30CEA" w:rsidTr="00CF1BC0">
        <w:tc>
          <w:tcPr>
            <w:tcW w:w="7555" w:type="dxa"/>
          </w:tcPr>
          <w:p w:rsidR="00F30CEA" w:rsidRPr="00EC2E4B" w:rsidRDefault="00FC5A98" w:rsidP="008C7DB3">
            <w:pPr>
              <w:pStyle w:val="ListParagraph"/>
              <w:numPr>
                <w:ilvl w:val="0"/>
                <w:numId w:val="14"/>
              </w:numPr>
              <w:rPr>
                <w:rFonts w:ascii="Open Sans" w:eastAsia="Times New Roman" w:hAnsi="Open Sans" w:cs="Open Sans"/>
                <w:sz w:val="20"/>
                <w:szCs w:val="20"/>
              </w:rPr>
            </w:pPr>
            <w:r>
              <w:t>The student will analyze the Constitution as it relates to American business. The student will: 2.1 Examine the historical background of the United States legal system. 2.2 Analyze the basic principles upon which the Constitution of the United States is based. 2.3 Demonstrate the role of constitutions in preventing abuse of governmental power. 2.4 Analyze the impact of the Constitution, Constitutional Amendments, and federal acts on American business practices. 2.5 Critique the effect of rule of law as it applies to business and employees.</w:t>
            </w:r>
          </w:p>
          <w:p w:rsidR="00EC2E4B" w:rsidRPr="00EC2E4B" w:rsidRDefault="00EC2E4B" w:rsidP="00EC2E4B">
            <w:pPr>
              <w:rPr>
                <w:rFonts w:ascii="Open Sans" w:eastAsia="Times New Roman" w:hAnsi="Open Sans" w:cs="Open Sans"/>
                <w:sz w:val="20"/>
                <w:szCs w:val="20"/>
              </w:rPr>
            </w:pPr>
          </w:p>
        </w:tc>
        <w:tc>
          <w:tcPr>
            <w:tcW w:w="630" w:type="dxa"/>
          </w:tcPr>
          <w:p w:rsidR="00F30CEA" w:rsidRDefault="00D07B22"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EB196A">
            <w:pPr>
              <w:rPr>
                <w:rFonts w:ascii="Open Sans" w:eastAsia="Times New Roman" w:hAnsi="Open Sans" w:cs="Open Sans"/>
                <w:sz w:val="20"/>
                <w:szCs w:val="20"/>
              </w:rPr>
            </w:pPr>
          </w:p>
        </w:tc>
        <w:tc>
          <w:tcPr>
            <w:tcW w:w="4135" w:type="dxa"/>
          </w:tcPr>
          <w:p w:rsidR="00F30CEA" w:rsidRDefault="00CC4C72" w:rsidP="00EB196A">
            <w:pPr>
              <w:rPr>
                <w:rFonts w:ascii="Open Sans" w:eastAsia="Times New Roman" w:hAnsi="Open Sans" w:cs="Open Sans"/>
                <w:sz w:val="20"/>
                <w:szCs w:val="20"/>
              </w:rPr>
            </w:pPr>
            <w:r>
              <w:rPr>
                <w:rFonts w:ascii="Open Sans" w:eastAsia="Times New Roman" w:hAnsi="Open Sans" w:cs="Open Sans"/>
                <w:sz w:val="20"/>
                <w:szCs w:val="20"/>
              </w:rPr>
              <w:t xml:space="preserve">Material for this standard is </w:t>
            </w:r>
            <w:r w:rsidR="00301BBC">
              <w:rPr>
                <w:rFonts w:ascii="Open Sans" w:eastAsia="Times New Roman" w:hAnsi="Open Sans" w:cs="Open Sans"/>
                <w:sz w:val="20"/>
                <w:szCs w:val="20"/>
              </w:rPr>
              <w:t>explicitly met</w:t>
            </w:r>
            <w:r w:rsidR="00EB2260">
              <w:rPr>
                <w:rFonts w:ascii="Open Sans" w:eastAsia="Times New Roman" w:hAnsi="Open Sans" w:cs="Open Sans"/>
                <w:sz w:val="20"/>
                <w:szCs w:val="20"/>
              </w:rPr>
              <w:t xml:space="preserve"> (i.e The American Constitution,</w:t>
            </w:r>
            <w:r w:rsidR="00301BBC">
              <w:rPr>
                <w:rFonts w:ascii="Open Sans" w:eastAsia="Times New Roman" w:hAnsi="Open Sans" w:cs="Open Sans"/>
                <w:sz w:val="20"/>
                <w:szCs w:val="20"/>
              </w:rPr>
              <w:t xml:space="preserve"> </w:t>
            </w:r>
            <w:r w:rsidR="009874D1">
              <w:rPr>
                <w:rFonts w:ascii="Open Sans" w:eastAsia="Times New Roman" w:hAnsi="Open Sans" w:cs="Open Sans"/>
                <w:sz w:val="20"/>
                <w:szCs w:val="20"/>
              </w:rPr>
              <w:t>pp. 504-517</w:t>
            </w:r>
            <w:r w:rsidR="001E1225">
              <w:rPr>
                <w:rFonts w:ascii="Open Sans" w:eastAsia="Times New Roman" w:hAnsi="Open Sans" w:cs="Open Sans"/>
                <w:sz w:val="20"/>
                <w:szCs w:val="20"/>
              </w:rPr>
              <w:t xml:space="preserve"> &amp; the Declaration of Independence pp. 518-521; </w:t>
            </w:r>
          </w:p>
        </w:tc>
      </w:tr>
      <w:tr w:rsidR="00F30CEA" w:rsidTr="00CF1BC0">
        <w:tc>
          <w:tcPr>
            <w:tcW w:w="7555" w:type="dxa"/>
          </w:tcPr>
          <w:p w:rsidR="00F30CEA" w:rsidRPr="008C7DB3" w:rsidRDefault="00FC5A98" w:rsidP="008C7DB3">
            <w:pPr>
              <w:pStyle w:val="ListParagraph"/>
              <w:numPr>
                <w:ilvl w:val="0"/>
                <w:numId w:val="14"/>
              </w:numPr>
              <w:rPr>
                <w:rFonts w:ascii="Open Sans" w:eastAsia="Times New Roman" w:hAnsi="Open Sans" w:cs="Open Sans"/>
                <w:sz w:val="20"/>
                <w:szCs w:val="20"/>
              </w:rPr>
            </w:pPr>
            <w:r>
              <w:t>The student will analyze ways the Bill of Rights protects the American citizen. The student will: 3.1 Examine the basic freedoms guaranteed by the Bill of Rights. 3.2 Analyze the effect of laws on individual rights and freedoms. 3.3 Investigate the balance between the protection of individual rights and the general welfare of all citizens.</w:t>
            </w:r>
          </w:p>
        </w:tc>
        <w:tc>
          <w:tcPr>
            <w:tcW w:w="630" w:type="dxa"/>
          </w:tcPr>
          <w:p w:rsidR="00F30CEA" w:rsidRDefault="007107AA"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EB196A">
            <w:pPr>
              <w:rPr>
                <w:rFonts w:ascii="Open Sans" w:eastAsia="Times New Roman" w:hAnsi="Open Sans" w:cs="Open Sans"/>
                <w:sz w:val="20"/>
                <w:szCs w:val="20"/>
              </w:rPr>
            </w:pPr>
          </w:p>
        </w:tc>
        <w:tc>
          <w:tcPr>
            <w:tcW w:w="4135" w:type="dxa"/>
          </w:tcPr>
          <w:p w:rsidR="00F30CEA" w:rsidRDefault="007107AA" w:rsidP="00EB196A">
            <w:pPr>
              <w:rPr>
                <w:rFonts w:ascii="Open Sans" w:eastAsia="Times New Roman" w:hAnsi="Open Sans" w:cs="Open Sans"/>
                <w:sz w:val="20"/>
                <w:szCs w:val="20"/>
              </w:rPr>
            </w:pPr>
            <w:r>
              <w:rPr>
                <w:rFonts w:ascii="Open Sans" w:eastAsia="Times New Roman" w:hAnsi="Open Sans" w:cs="Open Sans"/>
                <w:sz w:val="20"/>
                <w:szCs w:val="20"/>
              </w:rPr>
              <w:t xml:space="preserve">Material for this standard </w:t>
            </w:r>
            <w:r w:rsidR="00301BBC">
              <w:rPr>
                <w:rFonts w:ascii="Open Sans" w:eastAsia="Times New Roman" w:hAnsi="Open Sans" w:cs="Open Sans"/>
                <w:sz w:val="20"/>
                <w:szCs w:val="20"/>
              </w:rPr>
              <w:t xml:space="preserve">explicitly met </w:t>
            </w:r>
            <w:r>
              <w:rPr>
                <w:rFonts w:ascii="Open Sans" w:eastAsia="Times New Roman" w:hAnsi="Open Sans" w:cs="Open Sans"/>
                <w:sz w:val="20"/>
                <w:szCs w:val="20"/>
              </w:rPr>
              <w:t>(i.e. Nature of Tort Law (violation of one’s rights, intentionally wrong doing, pp. 55-65</w:t>
            </w:r>
            <w:r w:rsidR="00AC3D2D">
              <w:rPr>
                <w:rFonts w:ascii="Open Sans" w:eastAsia="Times New Roman" w:hAnsi="Open Sans" w:cs="Open Sans"/>
                <w:sz w:val="20"/>
                <w:szCs w:val="20"/>
              </w:rPr>
              <w:t>.</w:t>
            </w:r>
            <w:r>
              <w:rPr>
                <w:rFonts w:ascii="Open Sans" w:eastAsia="Times New Roman" w:hAnsi="Open Sans" w:cs="Open Sans"/>
                <w:sz w:val="20"/>
                <w:szCs w:val="20"/>
              </w:rPr>
              <w:t xml:space="preserve"> Figure 3.1 Intentional Torts against Persons, p. 57</w:t>
            </w:r>
            <w:r w:rsidR="009C4162">
              <w:rPr>
                <w:rFonts w:ascii="Open Sans" w:eastAsia="Times New Roman" w:hAnsi="Open Sans" w:cs="Open Sans"/>
                <w:sz w:val="20"/>
                <w:szCs w:val="20"/>
              </w:rPr>
              <w:t>. Employee Rights &amp; Privacy</w:t>
            </w:r>
          </w:p>
        </w:tc>
      </w:tr>
      <w:tr w:rsidR="00F30CEA" w:rsidTr="00CF1BC0">
        <w:tc>
          <w:tcPr>
            <w:tcW w:w="7555" w:type="dxa"/>
          </w:tcPr>
          <w:p w:rsidR="00F30CEA" w:rsidRPr="008C7DB3" w:rsidRDefault="00FC5A98" w:rsidP="008C7DB3">
            <w:pPr>
              <w:pStyle w:val="ListParagraph"/>
              <w:numPr>
                <w:ilvl w:val="0"/>
                <w:numId w:val="14"/>
              </w:numPr>
              <w:rPr>
                <w:rFonts w:ascii="Open Sans" w:eastAsia="Times New Roman" w:hAnsi="Open Sans" w:cs="Open Sans"/>
                <w:sz w:val="20"/>
                <w:szCs w:val="20"/>
              </w:rPr>
            </w:pPr>
            <w:r>
              <w:t>The student will investigate the organizational structure of the executive, legislative, and judicial branches of federal, state, and local governments. The student will: 4.1 Compare and contrast requirements and duties for the executive and legislative branches. 4.2 Examine the process for proposing and passing legislation. 4.3 Examine the function of the judicial system as it relates to the executive and legislative branches. 4.4 Relate the duties and requirements for serving in state and local governments. 4.5 Analyze the function of a system of checks and balances.</w:t>
            </w:r>
          </w:p>
        </w:tc>
        <w:tc>
          <w:tcPr>
            <w:tcW w:w="630" w:type="dxa"/>
          </w:tcPr>
          <w:p w:rsidR="00F30CEA" w:rsidRDefault="00C90203"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EB196A">
            <w:pPr>
              <w:rPr>
                <w:rFonts w:ascii="Open Sans" w:eastAsia="Times New Roman" w:hAnsi="Open Sans" w:cs="Open Sans"/>
                <w:sz w:val="20"/>
                <w:szCs w:val="20"/>
              </w:rPr>
            </w:pPr>
          </w:p>
        </w:tc>
        <w:tc>
          <w:tcPr>
            <w:tcW w:w="4135" w:type="dxa"/>
          </w:tcPr>
          <w:p w:rsidR="00F30CEA" w:rsidRDefault="005A0365" w:rsidP="00EB196A">
            <w:pPr>
              <w:rPr>
                <w:rFonts w:ascii="Open Sans" w:eastAsia="Times New Roman" w:hAnsi="Open Sans" w:cs="Open Sans"/>
                <w:sz w:val="20"/>
                <w:szCs w:val="20"/>
              </w:rPr>
            </w:pPr>
            <w:r>
              <w:rPr>
                <w:rFonts w:ascii="Open Sans" w:eastAsia="Times New Roman" w:hAnsi="Open Sans" w:cs="Open Sans"/>
                <w:sz w:val="20"/>
                <w:szCs w:val="20"/>
              </w:rPr>
              <w:t xml:space="preserve">Material for this standard is explicitly met (i.e. </w:t>
            </w:r>
            <w:r w:rsidR="00920FF6">
              <w:rPr>
                <w:rFonts w:ascii="Open Sans" w:eastAsia="Times New Roman" w:hAnsi="Open Sans" w:cs="Open Sans"/>
                <w:sz w:val="20"/>
                <w:szCs w:val="20"/>
              </w:rPr>
              <w:t xml:space="preserve">The </w:t>
            </w:r>
            <w:r w:rsidR="00DA2D67">
              <w:rPr>
                <w:rFonts w:ascii="Open Sans" w:eastAsia="Times New Roman" w:hAnsi="Open Sans" w:cs="Open Sans"/>
                <w:sz w:val="20"/>
                <w:szCs w:val="20"/>
              </w:rPr>
              <w:t>Constitution</w:t>
            </w:r>
            <w:r w:rsidR="00920FF6">
              <w:rPr>
                <w:rFonts w:ascii="Open Sans" w:eastAsia="Times New Roman" w:hAnsi="Open Sans" w:cs="Open Sans"/>
                <w:sz w:val="20"/>
                <w:szCs w:val="20"/>
              </w:rPr>
              <w:t xml:space="preserve"> of the United States, p. 504-517</w:t>
            </w:r>
            <w:r w:rsidR="00DA2D67">
              <w:rPr>
                <w:rFonts w:ascii="Open Sans" w:eastAsia="Times New Roman" w:hAnsi="Open Sans" w:cs="Open Sans"/>
                <w:sz w:val="20"/>
                <w:szCs w:val="20"/>
              </w:rPr>
              <w:t>, Declaration of Independence</w:t>
            </w:r>
            <w:r w:rsidR="00920FF6">
              <w:rPr>
                <w:rFonts w:ascii="Open Sans" w:eastAsia="Times New Roman" w:hAnsi="Open Sans" w:cs="Open Sans"/>
                <w:sz w:val="20"/>
                <w:szCs w:val="20"/>
              </w:rPr>
              <w:t>, p. 518-521</w:t>
            </w:r>
            <w:r>
              <w:rPr>
                <w:rFonts w:ascii="Open Sans" w:eastAsia="Times New Roman" w:hAnsi="Open Sans" w:cs="Open Sans"/>
                <w:sz w:val="20"/>
                <w:szCs w:val="20"/>
              </w:rPr>
              <w:t>, Case Studies,</w:t>
            </w:r>
          </w:p>
        </w:tc>
      </w:tr>
      <w:tr w:rsidR="00F30CEA" w:rsidTr="00CF1BC0">
        <w:tc>
          <w:tcPr>
            <w:tcW w:w="7555" w:type="dxa"/>
          </w:tcPr>
          <w:p w:rsidR="00F30CEA" w:rsidRPr="008C7DB3" w:rsidRDefault="00FC5A98" w:rsidP="008C7DB3">
            <w:pPr>
              <w:pStyle w:val="ListParagraph"/>
              <w:numPr>
                <w:ilvl w:val="0"/>
                <w:numId w:val="14"/>
              </w:numPr>
              <w:rPr>
                <w:rFonts w:ascii="Open Sans" w:eastAsia="Times New Roman" w:hAnsi="Open Sans" w:cs="Open Sans"/>
                <w:sz w:val="20"/>
                <w:szCs w:val="20"/>
              </w:rPr>
            </w:pPr>
            <w:r>
              <w:t>The student will connect ethics, law, the court system, and substantive and procedural law. The student will: 5.1 Compare the relationship between ethics and the law. 5.2 Analyze the structure of federal, state, and local courts in the American legal system. 5.3 Connect the role of the juvenile court with the role of other courts within a state, territory, or province. 5.4 Differentiate between substantive and procedural law.</w:t>
            </w:r>
          </w:p>
        </w:tc>
        <w:tc>
          <w:tcPr>
            <w:tcW w:w="630" w:type="dxa"/>
          </w:tcPr>
          <w:p w:rsidR="00F30CEA" w:rsidRDefault="00C90203"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EB196A">
            <w:pPr>
              <w:rPr>
                <w:rFonts w:ascii="Open Sans" w:eastAsia="Times New Roman" w:hAnsi="Open Sans" w:cs="Open Sans"/>
                <w:sz w:val="20"/>
                <w:szCs w:val="20"/>
              </w:rPr>
            </w:pPr>
          </w:p>
        </w:tc>
        <w:tc>
          <w:tcPr>
            <w:tcW w:w="4135" w:type="dxa"/>
          </w:tcPr>
          <w:p w:rsidR="00F30CEA" w:rsidRDefault="00CC4C72" w:rsidP="00EB196A">
            <w:pPr>
              <w:rPr>
                <w:rFonts w:ascii="Open Sans" w:eastAsia="Times New Roman" w:hAnsi="Open Sans" w:cs="Open Sans"/>
                <w:sz w:val="20"/>
                <w:szCs w:val="20"/>
              </w:rPr>
            </w:pPr>
            <w:r>
              <w:rPr>
                <w:rFonts w:ascii="Open Sans" w:eastAsia="Times New Roman" w:hAnsi="Open Sans" w:cs="Open Sans"/>
                <w:sz w:val="20"/>
                <w:szCs w:val="20"/>
              </w:rPr>
              <w:t xml:space="preserve">Material for this standard is </w:t>
            </w:r>
            <w:r w:rsidR="005A0365">
              <w:rPr>
                <w:rFonts w:ascii="Open Sans" w:eastAsia="Times New Roman" w:hAnsi="Open Sans" w:cs="Open Sans"/>
                <w:sz w:val="20"/>
                <w:szCs w:val="20"/>
              </w:rPr>
              <w:t xml:space="preserve">explicitly met </w:t>
            </w:r>
            <w:r>
              <w:rPr>
                <w:rFonts w:ascii="Open Sans" w:eastAsia="Times New Roman" w:hAnsi="Open Sans" w:cs="Open Sans"/>
                <w:sz w:val="20"/>
                <w:szCs w:val="20"/>
              </w:rPr>
              <w:t xml:space="preserve">(i.e. </w:t>
            </w:r>
            <w:r w:rsidR="00CE67D8">
              <w:rPr>
                <w:rFonts w:ascii="Open Sans" w:eastAsia="Times New Roman" w:hAnsi="Open Sans" w:cs="Open Sans"/>
                <w:sz w:val="20"/>
                <w:szCs w:val="20"/>
              </w:rPr>
              <w:t>Ethical Character Traits, Relationship between Ethics &amp; the Law, p. 8</w:t>
            </w:r>
            <w:r w:rsidR="006B3BAD">
              <w:rPr>
                <w:rFonts w:ascii="Open Sans" w:eastAsia="Times New Roman" w:hAnsi="Open Sans" w:cs="Open Sans"/>
                <w:sz w:val="20"/>
                <w:szCs w:val="20"/>
              </w:rPr>
              <w:t>, Chapter 1,</w:t>
            </w:r>
          </w:p>
          <w:p w:rsidR="00CE67D8" w:rsidRDefault="009874D1" w:rsidP="006B3BAD">
            <w:pPr>
              <w:rPr>
                <w:rFonts w:ascii="Open Sans" w:eastAsia="Times New Roman" w:hAnsi="Open Sans" w:cs="Open Sans"/>
                <w:sz w:val="20"/>
                <w:szCs w:val="20"/>
              </w:rPr>
            </w:pPr>
            <w:r>
              <w:rPr>
                <w:rFonts w:ascii="Open Sans" w:eastAsia="Times New Roman" w:hAnsi="Open Sans" w:cs="Open Sans"/>
                <w:sz w:val="20"/>
                <w:szCs w:val="20"/>
              </w:rPr>
              <w:t>Figure 1.2 Court Systems in the U.S. p. 17</w:t>
            </w:r>
            <w:r w:rsidR="00CC4C72">
              <w:rPr>
                <w:rFonts w:ascii="Open Sans" w:eastAsia="Times New Roman" w:hAnsi="Open Sans" w:cs="Open Sans"/>
                <w:sz w:val="20"/>
                <w:szCs w:val="20"/>
              </w:rPr>
              <w:t>)</w:t>
            </w:r>
            <w:r w:rsidR="006B3BAD">
              <w:rPr>
                <w:rFonts w:ascii="Open Sans" w:eastAsia="Times New Roman" w:hAnsi="Open Sans" w:cs="Open Sans"/>
                <w:sz w:val="20"/>
                <w:szCs w:val="20"/>
              </w:rPr>
              <w:t xml:space="preserve"> </w:t>
            </w:r>
          </w:p>
        </w:tc>
      </w:tr>
      <w:tr w:rsidR="00F30CEA" w:rsidTr="00CF1BC0">
        <w:tc>
          <w:tcPr>
            <w:tcW w:w="7555" w:type="dxa"/>
          </w:tcPr>
          <w:p w:rsidR="00F30CEA" w:rsidRPr="008C7DB3" w:rsidRDefault="00FC5A98" w:rsidP="008C7DB3">
            <w:pPr>
              <w:pStyle w:val="ListParagraph"/>
              <w:numPr>
                <w:ilvl w:val="0"/>
                <w:numId w:val="14"/>
              </w:numPr>
              <w:rPr>
                <w:rFonts w:ascii="Open Sans" w:eastAsia="Times New Roman" w:hAnsi="Open Sans" w:cs="Open Sans"/>
                <w:sz w:val="20"/>
                <w:szCs w:val="20"/>
              </w:rPr>
            </w:pPr>
            <w:r>
              <w:t>The student will apply the concepts of contract law. The student will: 6.1 Analyze the essential parts of a contract. 6.2 Analyze the different classifications of contracts. 6.3 Compare requirements of an offer and an acceptance. 6.4 Analyze requirements for valid consideration.</w:t>
            </w:r>
          </w:p>
        </w:tc>
        <w:tc>
          <w:tcPr>
            <w:tcW w:w="630" w:type="dxa"/>
          </w:tcPr>
          <w:p w:rsidR="00F30CEA" w:rsidRDefault="00EC2E4B"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EB196A">
            <w:pPr>
              <w:rPr>
                <w:rFonts w:ascii="Open Sans" w:eastAsia="Times New Roman" w:hAnsi="Open Sans" w:cs="Open Sans"/>
                <w:sz w:val="20"/>
                <w:szCs w:val="20"/>
              </w:rPr>
            </w:pPr>
          </w:p>
        </w:tc>
        <w:tc>
          <w:tcPr>
            <w:tcW w:w="4135" w:type="dxa"/>
          </w:tcPr>
          <w:p w:rsidR="00F30CEA" w:rsidRDefault="00E22ED5" w:rsidP="008316D1">
            <w:pPr>
              <w:rPr>
                <w:rFonts w:ascii="Open Sans" w:eastAsia="Times New Roman" w:hAnsi="Open Sans" w:cs="Open Sans"/>
                <w:sz w:val="20"/>
                <w:szCs w:val="20"/>
              </w:rPr>
            </w:pPr>
            <w:r>
              <w:rPr>
                <w:rFonts w:ascii="Open Sans" w:eastAsia="Times New Roman" w:hAnsi="Open Sans" w:cs="Open Sans"/>
                <w:sz w:val="20"/>
                <w:szCs w:val="20"/>
              </w:rPr>
              <w:t xml:space="preserve">Material for this standard is </w:t>
            </w:r>
            <w:r w:rsidR="00301BBC">
              <w:rPr>
                <w:rFonts w:ascii="Open Sans" w:eastAsia="Times New Roman" w:hAnsi="Open Sans" w:cs="Open Sans"/>
                <w:sz w:val="20"/>
                <w:szCs w:val="20"/>
              </w:rPr>
              <w:t xml:space="preserve">explicitly met </w:t>
            </w:r>
            <w:r w:rsidR="001A3106">
              <w:rPr>
                <w:rFonts w:ascii="Open Sans" w:eastAsia="Times New Roman" w:hAnsi="Open Sans" w:cs="Open Sans"/>
                <w:sz w:val="20"/>
                <w:szCs w:val="20"/>
              </w:rPr>
              <w:t xml:space="preserve">(i.e. Legal Briefs, p. 78, </w:t>
            </w:r>
            <w:r w:rsidR="008316D1">
              <w:rPr>
                <w:rFonts w:ascii="Open Sans" w:eastAsia="Times New Roman" w:hAnsi="Open Sans" w:cs="Open Sans"/>
                <w:sz w:val="20"/>
                <w:szCs w:val="20"/>
              </w:rPr>
              <w:t>What is a Contract</w:t>
            </w:r>
            <w:r w:rsidR="00301BBC">
              <w:rPr>
                <w:rFonts w:ascii="Open Sans" w:eastAsia="Times New Roman" w:hAnsi="Open Sans" w:cs="Open Sans"/>
                <w:sz w:val="20"/>
                <w:szCs w:val="20"/>
              </w:rPr>
              <w:t>, pp. 80-93</w:t>
            </w:r>
            <w:r w:rsidR="001A3106">
              <w:rPr>
                <w:rFonts w:ascii="Open Sans" w:eastAsia="Times New Roman" w:hAnsi="Open Sans" w:cs="Open Sans"/>
                <w:sz w:val="20"/>
                <w:szCs w:val="20"/>
              </w:rPr>
              <w:t xml:space="preserve">; </w:t>
            </w:r>
            <w:r w:rsidR="008316D1">
              <w:rPr>
                <w:rFonts w:ascii="Open Sans" w:eastAsia="Times New Roman" w:hAnsi="Open Sans" w:cs="Open Sans"/>
                <w:sz w:val="20"/>
                <w:szCs w:val="20"/>
              </w:rPr>
              <w:t xml:space="preserve">Elements of a Contract, pp 98-126: How Contracts End, pp 130-150. </w:t>
            </w:r>
            <w:r w:rsidR="001A3106">
              <w:rPr>
                <w:rFonts w:ascii="Open Sans" w:eastAsia="Times New Roman" w:hAnsi="Open Sans" w:cs="Open Sans"/>
                <w:sz w:val="20"/>
                <w:szCs w:val="20"/>
              </w:rPr>
              <w:t xml:space="preserve">Figure </w:t>
            </w:r>
            <w:r w:rsidR="008316D1">
              <w:rPr>
                <w:rFonts w:ascii="Open Sans" w:eastAsia="Times New Roman" w:hAnsi="Open Sans" w:cs="Open Sans"/>
                <w:sz w:val="20"/>
                <w:szCs w:val="20"/>
              </w:rPr>
              <w:t>4.1 Elements of a Contract p. 83, Apply &amp; Debates,</w:t>
            </w:r>
            <w:r w:rsidR="00CE6897">
              <w:rPr>
                <w:rFonts w:ascii="Open Sans" w:eastAsia="Times New Roman" w:hAnsi="Open Sans" w:cs="Open Sans"/>
                <w:sz w:val="20"/>
                <w:szCs w:val="20"/>
              </w:rPr>
              <w:t xml:space="preserve"> Case Study Practice</w:t>
            </w:r>
            <w:r w:rsidR="008316D1">
              <w:rPr>
                <w:rFonts w:ascii="Open Sans" w:eastAsia="Times New Roman" w:hAnsi="Open Sans" w:cs="Open Sans"/>
                <w:sz w:val="20"/>
                <w:szCs w:val="20"/>
              </w:rPr>
              <w:t>s</w:t>
            </w:r>
            <w:r w:rsidR="00920FF6">
              <w:rPr>
                <w:rFonts w:ascii="Open Sans" w:eastAsia="Times New Roman" w:hAnsi="Open Sans" w:cs="Open Sans"/>
                <w:sz w:val="20"/>
                <w:szCs w:val="20"/>
              </w:rPr>
              <w:t>, Ethics Applications.</w:t>
            </w:r>
          </w:p>
        </w:tc>
      </w:tr>
      <w:tr w:rsidR="008C7DB3" w:rsidTr="00CF1BC0">
        <w:tc>
          <w:tcPr>
            <w:tcW w:w="7555" w:type="dxa"/>
          </w:tcPr>
          <w:p w:rsidR="008C7DB3" w:rsidRDefault="00FC5A98" w:rsidP="008C7DB3">
            <w:pPr>
              <w:pStyle w:val="ListParagraph"/>
              <w:numPr>
                <w:ilvl w:val="0"/>
                <w:numId w:val="14"/>
              </w:numPr>
            </w:pPr>
            <w:r>
              <w:t>The student will analyze laws for the protection of the consumer. The student will: 7.1 Identify consumer laws that regulate consumer protection. 7.2 Investigate consumer laws that regulate consumer credit. 7.3 Differentiate the law of sales from various transactions relating to sales</w:t>
            </w:r>
          </w:p>
        </w:tc>
        <w:tc>
          <w:tcPr>
            <w:tcW w:w="630" w:type="dxa"/>
          </w:tcPr>
          <w:p w:rsidR="008C7DB3" w:rsidRDefault="00EC2E4B"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EB196A">
            <w:pPr>
              <w:rPr>
                <w:rFonts w:ascii="Open Sans" w:eastAsia="Times New Roman" w:hAnsi="Open Sans" w:cs="Open Sans"/>
                <w:sz w:val="20"/>
                <w:szCs w:val="20"/>
              </w:rPr>
            </w:pPr>
          </w:p>
        </w:tc>
        <w:tc>
          <w:tcPr>
            <w:tcW w:w="4135" w:type="dxa"/>
          </w:tcPr>
          <w:p w:rsidR="008C7DB3" w:rsidRDefault="00E22ED5" w:rsidP="00301BBC">
            <w:pPr>
              <w:rPr>
                <w:rFonts w:ascii="Open Sans" w:eastAsia="Times New Roman" w:hAnsi="Open Sans" w:cs="Open Sans"/>
                <w:sz w:val="20"/>
                <w:szCs w:val="20"/>
              </w:rPr>
            </w:pPr>
            <w:r>
              <w:rPr>
                <w:rFonts w:ascii="Open Sans" w:eastAsia="Times New Roman" w:hAnsi="Open Sans" w:cs="Open Sans"/>
                <w:sz w:val="20"/>
                <w:szCs w:val="20"/>
              </w:rPr>
              <w:t>Material for this standard is explicit</w:t>
            </w:r>
            <w:r w:rsidR="00301BBC">
              <w:rPr>
                <w:rFonts w:ascii="Open Sans" w:eastAsia="Times New Roman" w:hAnsi="Open Sans" w:cs="Open Sans"/>
                <w:sz w:val="20"/>
                <w:szCs w:val="20"/>
              </w:rPr>
              <w:t>ly met</w:t>
            </w:r>
            <w:r w:rsidR="005539BB">
              <w:rPr>
                <w:rFonts w:ascii="Open Sans" w:eastAsia="Times New Roman" w:hAnsi="Open Sans" w:cs="Open Sans"/>
                <w:sz w:val="20"/>
                <w:szCs w:val="20"/>
              </w:rPr>
              <w:t xml:space="preserve"> (i.e. Consumer Protection Laws, pp. 266-269. Figure 12.2: What if You are Denied Credit?, p. 268</w:t>
            </w:r>
          </w:p>
        </w:tc>
      </w:tr>
      <w:tr w:rsidR="008C7DB3" w:rsidTr="00CF1BC0">
        <w:tc>
          <w:tcPr>
            <w:tcW w:w="7555" w:type="dxa"/>
          </w:tcPr>
          <w:p w:rsidR="00EC2E4B" w:rsidRDefault="00FC5A98" w:rsidP="00EC2E4B">
            <w:pPr>
              <w:pStyle w:val="ListParagraph"/>
              <w:numPr>
                <w:ilvl w:val="0"/>
                <w:numId w:val="14"/>
              </w:numPr>
            </w:pPr>
            <w:r>
              <w:t>The student will examine domestic relations laws. The student will: 8.1 Analyze legal considerations in marriage. 8.2 Analyze legal considerations in divorce. 8.3 Analyze legal considerations in child custody. 8.4 Analyze legal considerations in domestic abuse, child abuse, neglect or other related issues to domestic abuse.</w:t>
            </w:r>
          </w:p>
        </w:tc>
        <w:tc>
          <w:tcPr>
            <w:tcW w:w="630" w:type="dxa"/>
          </w:tcPr>
          <w:p w:rsidR="008C7DB3" w:rsidRDefault="00EC2E4B"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EB196A">
            <w:pPr>
              <w:rPr>
                <w:rFonts w:ascii="Open Sans" w:eastAsia="Times New Roman" w:hAnsi="Open Sans" w:cs="Open Sans"/>
                <w:sz w:val="20"/>
                <w:szCs w:val="20"/>
              </w:rPr>
            </w:pPr>
          </w:p>
        </w:tc>
        <w:tc>
          <w:tcPr>
            <w:tcW w:w="4135" w:type="dxa"/>
          </w:tcPr>
          <w:p w:rsidR="008C7DB3" w:rsidRDefault="00DA2D67" w:rsidP="00CE6897">
            <w:pPr>
              <w:rPr>
                <w:rFonts w:ascii="Open Sans" w:eastAsia="Times New Roman" w:hAnsi="Open Sans" w:cs="Open Sans"/>
                <w:sz w:val="20"/>
                <w:szCs w:val="20"/>
              </w:rPr>
            </w:pPr>
            <w:r>
              <w:rPr>
                <w:rFonts w:ascii="Open Sans" w:eastAsia="Times New Roman" w:hAnsi="Open Sans" w:cs="Open Sans"/>
                <w:sz w:val="20"/>
                <w:szCs w:val="20"/>
              </w:rPr>
              <w:t xml:space="preserve">Material for this standard is </w:t>
            </w:r>
            <w:r w:rsidR="002C10F0">
              <w:rPr>
                <w:rFonts w:ascii="Open Sans" w:eastAsia="Times New Roman" w:hAnsi="Open Sans" w:cs="Open Sans"/>
                <w:sz w:val="20"/>
                <w:szCs w:val="20"/>
              </w:rPr>
              <w:t xml:space="preserve">clearly </w:t>
            </w:r>
            <w:r>
              <w:rPr>
                <w:rFonts w:ascii="Open Sans" w:eastAsia="Times New Roman" w:hAnsi="Open Sans" w:cs="Open Sans"/>
                <w:sz w:val="20"/>
                <w:szCs w:val="20"/>
              </w:rPr>
              <w:t xml:space="preserve">met (i.e. </w:t>
            </w:r>
            <w:r w:rsidR="001F558B">
              <w:rPr>
                <w:rFonts w:ascii="Open Sans" w:eastAsia="Times New Roman" w:hAnsi="Open Sans" w:cs="Open Sans"/>
                <w:sz w:val="20"/>
                <w:szCs w:val="20"/>
              </w:rPr>
              <w:t>Domestic Violen</w:t>
            </w:r>
            <w:r w:rsidR="003F3D84">
              <w:rPr>
                <w:rFonts w:ascii="Open Sans" w:eastAsia="Times New Roman" w:hAnsi="Open Sans" w:cs="Open Sans"/>
                <w:sz w:val="20"/>
                <w:szCs w:val="20"/>
              </w:rPr>
              <w:t>ce, p. 43; Marriage Laws, p. 440-445’ Divorce /Child Custody, p. 448, Figure 20-1 Divorce Settlement, p. 449</w:t>
            </w:r>
          </w:p>
          <w:p w:rsidR="002C10F0" w:rsidRDefault="002C10F0" w:rsidP="00CE6897">
            <w:pPr>
              <w:rPr>
                <w:rFonts w:ascii="Open Sans" w:eastAsia="Times New Roman" w:hAnsi="Open Sans" w:cs="Open Sans"/>
                <w:sz w:val="20"/>
                <w:szCs w:val="20"/>
              </w:rPr>
            </w:pPr>
            <w:r>
              <w:rPr>
                <w:rFonts w:ascii="Open Sans" w:eastAsia="Times New Roman" w:hAnsi="Open Sans" w:cs="Open Sans"/>
                <w:sz w:val="20"/>
                <w:szCs w:val="20"/>
              </w:rPr>
              <w:t>Case Study, p. 450</w:t>
            </w:r>
            <w:r w:rsidR="00C46330">
              <w:rPr>
                <w:rFonts w:ascii="Open Sans" w:eastAsia="Times New Roman" w:hAnsi="Open Sans" w:cs="Open Sans"/>
                <w:sz w:val="20"/>
                <w:szCs w:val="20"/>
              </w:rPr>
              <w:t>: Apply &amp; Debate, p. 451</w:t>
            </w:r>
          </w:p>
        </w:tc>
      </w:tr>
      <w:tr w:rsidR="008C7DB3" w:rsidTr="00CF1BC0">
        <w:tc>
          <w:tcPr>
            <w:tcW w:w="7555" w:type="dxa"/>
          </w:tcPr>
          <w:p w:rsidR="008C7DB3" w:rsidRDefault="00FC5A98" w:rsidP="008C7DB3">
            <w:pPr>
              <w:pStyle w:val="ListParagraph"/>
              <w:numPr>
                <w:ilvl w:val="0"/>
                <w:numId w:val="14"/>
              </w:numPr>
            </w:pPr>
            <w:r>
              <w:t>The student will analyze the functions of commercial paper, insurance, secured transactions, and bankruptcy. The student will: 9.1 Apply correct procedures for borrowing money with secured transactions. 9.2 Evaluate criteria used in making wise decisions when purchasing on credit. 9.3 Analyze types of negotiable instruments, including commercial paper. 9.4 Relate the purchase of insurance to specific individual needs. 9.5 Examine bankruptcy laws.</w:t>
            </w:r>
          </w:p>
        </w:tc>
        <w:tc>
          <w:tcPr>
            <w:tcW w:w="630" w:type="dxa"/>
          </w:tcPr>
          <w:p w:rsidR="008C7DB3" w:rsidRDefault="00EC2E4B"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EB196A">
            <w:pPr>
              <w:rPr>
                <w:rFonts w:ascii="Open Sans" w:eastAsia="Times New Roman" w:hAnsi="Open Sans" w:cs="Open Sans"/>
                <w:sz w:val="20"/>
                <w:szCs w:val="20"/>
              </w:rPr>
            </w:pPr>
          </w:p>
        </w:tc>
        <w:tc>
          <w:tcPr>
            <w:tcW w:w="4135" w:type="dxa"/>
          </w:tcPr>
          <w:p w:rsidR="008C7DB3" w:rsidRDefault="004C0FDD" w:rsidP="00EB196A">
            <w:pPr>
              <w:rPr>
                <w:rFonts w:ascii="Open Sans" w:eastAsia="Times New Roman" w:hAnsi="Open Sans" w:cs="Open Sans"/>
                <w:sz w:val="20"/>
                <w:szCs w:val="20"/>
              </w:rPr>
            </w:pPr>
            <w:r>
              <w:rPr>
                <w:rFonts w:ascii="Open Sans" w:eastAsia="Times New Roman" w:hAnsi="Open Sans" w:cs="Open Sans"/>
                <w:sz w:val="20"/>
                <w:szCs w:val="20"/>
              </w:rPr>
              <w:t xml:space="preserve">Material in this </w:t>
            </w:r>
            <w:r w:rsidR="001E1225">
              <w:rPr>
                <w:rFonts w:ascii="Open Sans" w:eastAsia="Times New Roman" w:hAnsi="Open Sans" w:cs="Open Sans"/>
                <w:sz w:val="20"/>
                <w:szCs w:val="20"/>
              </w:rPr>
              <w:t xml:space="preserve">text clearly meets this standard: (i.e. Negotiable Instruments, pp. 226-232; Banking Basics, p. </w:t>
            </w:r>
            <w:r w:rsidR="009E3D4C">
              <w:rPr>
                <w:rFonts w:ascii="Open Sans" w:eastAsia="Times New Roman" w:hAnsi="Open Sans" w:cs="Open Sans"/>
                <w:sz w:val="20"/>
                <w:szCs w:val="20"/>
              </w:rPr>
              <w:t>234-239,</w:t>
            </w:r>
            <w:r w:rsidR="001E1225">
              <w:rPr>
                <w:rFonts w:ascii="Open Sans" w:eastAsia="Times New Roman" w:hAnsi="Open Sans" w:cs="Open Sans"/>
                <w:sz w:val="20"/>
                <w:szCs w:val="20"/>
              </w:rPr>
              <w:t xml:space="preserve"> Global Law: Banking in Switzerland, p. 237;</w:t>
            </w:r>
            <w:r w:rsidR="009E3D4C">
              <w:rPr>
                <w:rFonts w:ascii="Open Sans" w:eastAsia="Times New Roman" w:hAnsi="Open Sans" w:cs="Open Sans"/>
                <w:sz w:val="20"/>
                <w:szCs w:val="20"/>
              </w:rPr>
              <w:t xml:space="preserve"> Apply &amp; Debate, p. 242 &amp; Case Study Practice &amp; Ethics Application, p. 243</w:t>
            </w:r>
          </w:p>
          <w:p w:rsidR="00357630" w:rsidRDefault="00357630" w:rsidP="00EB196A">
            <w:pPr>
              <w:rPr>
                <w:rFonts w:ascii="Open Sans" w:eastAsia="Times New Roman" w:hAnsi="Open Sans" w:cs="Open Sans"/>
                <w:sz w:val="20"/>
                <w:szCs w:val="20"/>
              </w:rPr>
            </w:pPr>
            <w:r>
              <w:rPr>
                <w:rFonts w:ascii="Open Sans" w:eastAsia="Times New Roman" w:hAnsi="Open Sans" w:cs="Open Sans"/>
                <w:sz w:val="20"/>
                <w:szCs w:val="20"/>
              </w:rPr>
              <w:t>Insurance &amp; Estate Planning, pp 456-471; Bankruptcy Types, pp 273-275</w:t>
            </w:r>
          </w:p>
        </w:tc>
      </w:tr>
      <w:tr w:rsidR="008C7DB3" w:rsidTr="00CF1BC0">
        <w:tc>
          <w:tcPr>
            <w:tcW w:w="7555" w:type="dxa"/>
          </w:tcPr>
          <w:p w:rsidR="008C7DB3" w:rsidRDefault="00FC5A98" w:rsidP="008C7DB3">
            <w:pPr>
              <w:pStyle w:val="ListParagraph"/>
              <w:numPr>
                <w:ilvl w:val="0"/>
                <w:numId w:val="14"/>
              </w:numPr>
            </w:pPr>
            <w:r>
              <w:t>The student will examine business organizations and government regulations. The student will: 10.1 Compare and contrast the four types of business organizations. 10.2 Analyze ways legislation affects business organizations.</w:t>
            </w:r>
          </w:p>
        </w:tc>
        <w:tc>
          <w:tcPr>
            <w:tcW w:w="630" w:type="dxa"/>
          </w:tcPr>
          <w:p w:rsidR="008C7DB3" w:rsidRDefault="00EC2E4B"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EB196A">
            <w:pPr>
              <w:rPr>
                <w:rFonts w:ascii="Open Sans" w:eastAsia="Times New Roman" w:hAnsi="Open Sans" w:cs="Open Sans"/>
                <w:sz w:val="20"/>
                <w:szCs w:val="20"/>
              </w:rPr>
            </w:pPr>
          </w:p>
        </w:tc>
        <w:tc>
          <w:tcPr>
            <w:tcW w:w="4135" w:type="dxa"/>
          </w:tcPr>
          <w:p w:rsidR="008C7DB3" w:rsidRDefault="004C0FDD" w:rsidP="00EB196A">
            <w:pPr>
              <w:rPr>
                <w:rFonts w:ascii="Open Sans" w:eastAsia="Times New Roman" w:hAnsi="Open Sans" w:cs="Open Sans"/>
                <w:sz w:val="20"/>
                <w:szCs w:val="20"/>
              </w:rPr>
            </w:pPr>
            <w:r>
              <w:rPr>
                <w:rFonts w:ascii="Open Sans" w:eastAsia="Times New Roman" w:hAnsi="Open Sans" w:cs="Open Sans"/>
                <w:sz w:val="20"/>
                <w:szCs w:val="20"/>
              </w:rPr>
              <w:t>Material in this text clearly meets this standard (i.e. Forms of Business, pp. 354-371.  Case Study (Roach v. Mead), p. 360</w:t>
            </w:r>
            <w:r w:rsidR="000F6110">
              <w:rPr>
                <w:rFonts w:ascii="Open Sans" w:eastAsia="Times New Roman" w:hAnsi="Open Sans" w:cs="Open Sans"/>
                <w:sz w:val="20"/>
                <w:szCs w:val="20"/>
              </w:rPr>
              <w:t>; Figure 15.1 Types of Corporations, p. 368</w:t>
            </w:r>
          </w:p>
          <w:p w:rsidR="00AD3E23" w:rsidRDefault="00AD3E23" w:rsidP="00EB196A">
            <w:pPr>
              <w:rPr>
                <w:rFonts w:ascii="Open Sans" w:eastAsia="Times New Roman" w:hAnsi="Open Sans" w:cs="Open Sans"/>
                <w:sz w:val="20"/>
                <w:szCs w:val="20"/>
              </w:rPr>
            </w:pPr>
            <w:r>
              <w:rPr>
                <w:rFonts w:ascii="Open Sans" w:eastAsia="Times New Roman" w:hAnsi="Open Sans" w:cs="Open Sans"/>
                <w:sz w:val="20"/>
                <w:szCs w:val="20"/>
              </w:rPr>
              <w:t>Corporate Regulations &amp; Acts, p</w:t>
            </w:r>
            <w:r w:rsidR="00822B78">
              <w:rPr>
                <w:rFonts w:ascii="Open Sans" w:eastAsia="Times New Roman" w:hAnsi="Open Sans" w:cs="Open Sans"/>
                <w:sz w:val="20"/>
                <w:szCs w:val="20"/>
              </w:rPr>
              <w:t>p. 396-407</w:t>
            </w:r>
          </w:p>
          <w:p w:rsidR="00822B78" w:rsidRDefault="00822B78" w:rsidP="00EB196A">
            <w:pPr>
              <w:rPr>
                <w:rFonts w:ascii="Open Sans" w:eastAsia="Times New Roman" w:hAnsi="Open Sans" w:cs="Open Sans"/>
                <w:sz w:val="20"/>
                <w:szCs w:val="20"/>
              </w:rPr>
            </w:pPr>
            <w:r>
              <w:rPr>
                <w:rFonts w:ascii="Open Sans" w:eastAsia="Times New Roman" w:hAnsi="Open Sans" w:cs="Open Sans"/>
                <w:sz w:val="20"/>
                <w:szCs w:val="20"/>
              </w:rPr>
              <w:t>Figure 18-1, p. 403, Apply &amp; Debate, p. 410</w:t>
            </w:r>
          </w:p>
        </w:tc>
      </w:tr>
      <w:tr w:rsidR="008C7DB3" w:rsidTr="00CF1BC0">
        <w:tc>
          <w:tcPr>
            <w:tcW w:w="7555" w:type="dxa"/>
          </w:tcPr>
          <w:p w:rsidR="008C7DB3" w:rsidRDefault="00FC5A98" w:rsidP="008C7DB3">
            <w:pPr>
              <w:pStyle w:val="ListParagraph"/>
              <w:numPr>
                <w:ilvl w:val="0"/>
                <w:numId w:val="14"/>
              </w:numPr>
            </w:pPr>
            <w:r>
              <w:t>The student will analyze the role and importance of agency law and employment law as they relate to the conduct of business. The student will: 11.1 Demonstrate an understanding of the nature of an agency relationship. 11.2 Analyze the different types of agents. 11.3 Analyze the duties of the employer. 11.4 Analyze the duties of the employee. 11.5 Interpret the impact of legislation on worker benefits, employment conditions, and employee rights.</w:t>
            </w:r>
          </w:p>
        </w:tc>
        <w:tc>
          <w:tcPr>
            <w:tcW w:w="630" w:type="dxa"/>
          </w:tcPr>
          <w:p w:rsidR="008C7DB3" w:rsidRDefault="00AC3D2D"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EB196A">
            <w:pPr>
              <w:rPr>
                <w:rFonts w:ascii="Open Sans" w:eastAsia="Times New Roman" w:hAnsi="Open Sans" w:cs="Open Sans"/>
                <w:sz w:val="20"/>
                <w:szCs w:val="20"/>
              </w:rPr>
            </w:pPr>
          </w:p>
        </w:tc>
        <w:tc>
          <w:tcPr>
            <w:tcW w:w="4135" w:type="dxa"/>
          </w:tcPr>
          <w:p w:rsidR="00997413" w:rsidRDefault="00AC3D2D" w:rsidP="00997413">
            <w:pPr>
              <w:rPr>
                <w:rFonts w:ascii="Open Sans" w:eastAsia="Times New Roman" w:hAnsi="Open Sans" w:cs="Open Sans"/>
                <w:sz w:val="20"/>
                <w:szCs w:val="20"/>
              </w:rPr>
            </w:pPr>
            <w:r>
              <w:rPr>
                <w:rFonts w:ascii="Open Sans" w:eastAsia="Times New Roman" w:hAnsi="Open Sans" w:cs="Open Sans"/>
                <w:sz w:val="20"/>
                <w:szCs w:val="20"/>
              </w:rPr>
              <w:t xml:space="preserve">Chapter 15 (Employment Law); explicitly detailed </w:t>
            </w:r>
            <w:r w:rsidR="00997413">
              <w:rPr>
                <w:rFonts w:ascii="Open Sans" w:eastAsia="Times New Roman" w:hAnsi="Open Sans" w:cs="Open Sans"/>
                <w:sz w:val="20"/>
                <w:szCs w:val="20"/>
              </w:rPr>
              <w:t>the elements of employment law.</w:t>
            </w:r>
            <w:r w:rsidR="00F5550E">
              <w:rPr>
                <w:rFonts w:ascii="Open Sans" w:eastAsia="Times New Roman" w:hAnsi="Open Sans" w:cs="Open Sans"/>
                <w:sz w:val="20"/>
                <w:szCs w:val="20"/>
              </w:rPr>
              <w:t xml:space="preserve"> Employee Rights; Fair Labor Standards Act, </w:t>
            </w:r>
            <w:r>
              <w:rPr>
                <w:rFonts w:ascii="Open Sans" w:eastAsia="Times New Roman" w:hAnsi="Open Sans" w:cs="Open Sans"/>
                <w:sz w:val="20"/>
                <w:szCs w:val="20"/>
              </w:rPr>
              <w:t>Equal Pay</w:t>
            </w:r>
            <w:r w:rsidR="00F5550E">
              <w:rPr>
                <w:rFonts w:ascii="Open Sans" w:eastAsia="Times New Roman" w:hAnsi="Open Sans" w:cs="Open Sans"/>
                <w:sz w:val="20"/>
                <w:szCs w:val="20"/>
              </w:rPr>
              <w:t xml:space="preserve"> Act</w:t>
            </w:r>
            <w:r>
              <w:rPr>
                <w:rFonts w:ascii="Open Sans" w:eastAsia="Times New Roman" w:hAnsi="Open Sans" w:cs="Open Sans"/>
                <w:sz w:val="20"/>
                <w:szCs w:val="20"/>
              </w:rPr>
              <w:t xml:space="preserve">, </w:t>
            </w:r>
            <w:r w:rsidR="00F5550E">
              <w:rPr>
                <w:rFonts w:ascii="Open Sans" w:eastAsia="Times New Roman" w:hAnsi="Open Sans" w:cs="Open Sans"/>
                <w:sz w:val="20"/>
                <w:szCs w:val="20"/>
              </w:rPr>
              <w:t xml:space="preserve">FMLA, Equal Employment Opportunity, Civil Rights Act, </w:t>
            </w:r>
            <w:r>
              <w:rPr>
                <w:rFonts w:ascii="Open Sans" w:eastAsia="Times New Roman" w:hAnsi="Open Sans" w:cs="Open Sans"/>
                <w:sz w:val="20"/>
                <w:szCs w:val="20"/>
              </w:rPr>
              <w:t>all Em</w:t>
            </w:r>
            <w:r w:rsidR="00753D2E">
              <w:rPr>
                <w:rFonts w:ascii="Open Sans" w:eastAsia="Times New Roman" w:hAnsi="Open Sans" w:cs="Open Sans"/>
                <w:sz w:val="20"/>
                <w:szCs w:val="20"/>
              </w:rPr>
              <w:t>ployee Laws outlined in this chapter</w:t>
            </w:r>
            <w:r>
              <w:rPr>
                <w:rFonts w:ascii="Open Sans" w:eastAsia="Times New Roman" w:hAnsi="Open Sans" w:cs="Open Sans"/>
                <w:sz w:val="20"/>
                <w:szCs w:val="20"/>
              </w:rPr>
              <w:t>.</w:t>
            </w:r>
            <w:r w:rsidR="00287BF4">
              <w:rPr>
                <w:rFonts w:ascii="Open Sans" w:eastAsia="Times New Roman" w:hAnsi="Open Sans" w:cs="Open Sans"/>
                <w:sz w:val="20"/>
                <w:szCs w:val="20"/>
              </w:rPr>
              <w:t xml:space="preserve"> OSHA Case Study, p. 334: Figure 15.1 (Rights). p. 337</w:t>
            </w:r>
          </w:p>
          <w:p w:rsidR="008C7DB3" w:rsidRDefault="00997413" w:rsidP="00997413">
            <w:pPr>
              <w:rPr>
                <w:rFonts w:ascii="Open Sans" w:eastAsia="Times New Roman" w:hAnsi="Open Sans" w:cs="Open Sans"/>
                <w:sz w:val="20"/>
                <w:szCs w:val="20"/>
              </w:rPr>
            </w:pPr>
            <w:r>
              <w:rPr>
                <w:rFonts w:ascii="Open Sans" w:eastAsia="Times New Roman" w:hAnsi="Open Sans" w:cs="Open Sans"/>
                <w:sz w:val="20"/>
                <w:szCs w:val="20"/>
              </w:rPr>
              <w:t>Landmark Case (Jackson v. BBE), p. 350</w:t>
            </w:r>
            <w:r w:rsidR="00F5550E">
              <w:rPr>
                <w:rFonts w:ascii="Open Sans" w:eastAsia="Times New Roman" w:hAnsi="Open Sans" w:cs="Open Sans"/>
                <w:sz w:val="20"/>
                <w:szCs w:val="20"/>
              </w:rPr>
              <w:t xml:space="preserve"> </w:t>
            </w:r>
          </w:p>
        </w:tc>
      </w:tr>
      <w:tr w:rsidR="008C7DB3" w:rsidTr="00CF1BC0">
        <w:tc>
          <w:tcPr>
            <w:tcW w:w="7555" w:type="dxa"/>
          </w:tcPr>
          <w:p w:rsidR="008C7DB3" w:rsidRDefault="00FC5A98" w:rsidP="008C7DB3">
            <w:pPr>
              <w:pStyle w:val="ListParagraph"/>
              <w:numPr>
                <w:ilvl w:val="0"/>
                <w:numId w:val="14"/>
              </w:numPr>
            </w:pPr>
            <w:r>
              <w:t>The student will analyze the legalities that apply to personal property, real property, and estate planning. The student will: 12.1 Investigate items that are considered personal property. 12.2 Determine the characteristics of items that would deem them real property. 12.3 Analyze the various components of estate planning and determine when estate planning is advisable</w:t>
            </w:r>
          </w:p>
        </w:tc>
        <w:tc>
          <w:tcPr>
            <w:tcW w:w="630" w:type="dxa"/>
          </w:tcPr>
          <w:p w:rsidR="008C7DB3" w:rsidRDefault="00EC2E4B"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EB196A">
            <w:pPr>
              <w:rPr>
                <w:rFonts w:ascii="Open Sans" w:eastAsia="Times New Roman" w:hAnsi="Open Sans" w:cs="Open Sans"/>
                <w:sz w:val="20"/>
                <w:szCs w:val="20"/>
              </w:rPr>
            </w:pPr>
          </w:p>
        </w:tc>
        <w:tc>
          <w:tcPr>
            <w:tcW w:w="4135" w:type="dxa"/>
          </w:tcPr>
          <w:p w:rsidR="008C7DB3" w:rsidRDefault="00F2687C" w:rsidP="00EB196A">
            <w:pPr>
              <w:rPr>
                <w:rFonts w:ascii="Open Sans" w:eastAsia="Times New Roman" w:hAnsi="Open Sans" w:cs="Open Sans"/>
                <w:sz w:val="20"/>
                <w:szCs w:val="20"/>
              </w:rPr>
            </w:pPr>
            <w:r>
              <w:rPr>
                <w:rFonts w:ascii="Open Sans" w:eastAsia="Times New Roman" w:hAnsi="Open Sans" w:cs="Open Sans"/>
                <w:sz w:val="20"/>
                <w:szCs w:val="20"/>
              </w:rPr>
              <w:t>The material in this text clearly meets this standard (i.e.</w:t>
            </w:r>
            <w:r w:rsidR="0055764A">
              <w:rPr>
                <w:rFonts w:ascii="Open Sans" w:eastAsia="Times New Roman" w:hAnsi="Open Sans" w:cs="Open Sans"/>
                <w:sz w:val="20"/>
                <w:szCs w:val="20"/>
              </w:rPr>
              <w:t xml:space="preserve"> Renting &amp; Ownership: Rental Agreements pp 200-205; Ownership, pp 206-213; Global Law:</w:t>
            </w:r>
            <w:r>
              <w:rPr>
                <w:rFonts w:ascii="Open Sans" w:eastAsia="Times New Roman" w:hAnsi="Open Sans" w:cs="Open Sans"/>
                <w:sz w:val="20"/>
                <w:szCs w:val="20"/>
              </w:rPr>
              <w:t xml:space="preserve"> Property Ownership in Cuba, p. 208</w:t>
            </w:r>
            <w:r w:rsidR="0055764A">
              <w:rPr>
                <w:rFonts w:ascii="Open Sans" w:eastAsia="Times New Roman" w:hAnsi="Open Sans" w:cs="Open Sans"/>
                <w:sz w:val="20"/>
                <w:szCs w:val="20"/>
              </w:rPr>
              <w:t>; Apply &amp; Debate, p. 214 &amp; Case Study Practice, p. 213</w:t>
            </w:r>
          </w:p>
        </w:tc>
      </w:tr>
      <w:tr w:rsidR="008C7DB3" w:rsidTr="00CF1BC0">
        <w:tc>
          <w:tcPr>
            <w:tcW w:w="7555" w:type="dxa"/>
          </w:tcPr>
          <w:p w:rsidR="008C7DB3" w:rsidRDefault="00FC5A98" w:rsidP="008C7DB3">
            <w:pPr>
              <w:pStyle w:val="ListParagraph"/>
              <w:numPr>
                <w:ilvl w:val="0"/>
                <w:numId w:val="14"/>
              </w:numPr>
            </w:pPr>
            <w:r>
              <w:t>Analyze the American business and legal systems compared to other global business and legal systems. The student will: 13.1 Investigate types of legal systems that are different from the U.S. system. 13.2 Analyze business law and practices in other countries which are different than the US practices. 13.3 Examine laws and practices related to the import and export of goods and services (trade agreements, protectionism, trade balance). 13.4 Assess the role of trade agreements and international legal and political bodies in the resolution of trade disputes.</w:t>
            </w:r>
          </w:p>
        </w:tc>
        <w:tc>
          <w:tcPr>
            <w:tcW w:w="630" w:type="dxa"/>
          </w:tcPr>
          <w:p w:rsidR="008C7DB3" w:rsidRDefault="00EC2E4B"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EB196A">
            <w:pPr>
              <w:rPr>
                <w:rFonts w:ascii="Open Sans" w:eastAsia="Times New Roman" w:hAnsi="Open Sans" w:cs="Open Sans"/>
                <w:sz w:val="20"/>
                <w:szCs w:val="20"/>
              </w:rPr>
            </w:pPr>
          </w:p>
        </w:tc>
        <w:tc>
          <w:tcPr>
            <w:tcW w:w="4135" w:type="dxa"/>
          </w:tcPr>
          <w:p w:rsidR="008C7DB3" w:rsidRDefault="004C0FDD" w:rsidP="001E1225">
            <w:pPr>
              <w:rPr>
                <w:rFonts w:ascii="Open Sans" w:eastAsia="Times New Roman" w:hAnsi="Open Sans" w:cs="Open Sans"/>
                <w:sz w:val="20"/>
                <w:szCs w:val="20"/>
              </w:rPr>
            </w:pPr>
            <w:r>
              <w:rPr>
                <w:rFonts w:ascii="Open Sans" w:eastAsia="Times New Roman" w:hAnsi="Open Sans" w:cs="Open Sans"/>
                <w:sz w:val="20"/>
                <w:szCs w:val="20"/>
              </w:rPr>
              <w:t>M</w:t>
            </w:r>
            <w:r w:rsidR="006B3BAD">
              <w:rPr>
                <w:rFonts w:ascii="Open Sans" w:eastAsia="Times New Roman" w:hAnsi="Open Sans" w:cs="Open Sans"/>
                <w:sz w:val="20"/>
                <w:szCs w:val="20"/>
              </w:rPr>
              <w:t>aterial in this text clearly meets this standard (i.e. Case Study Practice (Papaila), p. 31, Global Law, p. 37</w:t>
            </w:r>
            <w:r w:rsidR="00F2687C">
              <w:rPr>
                <w:rFonts w:ascii="Open Sans" w:eastAsia="Times New Roman" w:hAnsi="Open Sans" w:cs="Open Sans"/>
                <w:sz w:val="20"/>
                <w:szCs w:val="20"/>
              </w:rPr>
              <w:t xml:space="preserve">, Commercial Agents in the United Arab Emirates, p. 294, </w:t>
            </w:r>
          </w:p>
        </w:tc>
      </w:tr>
    </w:tbl>
    <w:p w:rsidR="00F30CEA" w:rsidRPr="005539BB" w:rsidRDefault="008C7DB3" w:rsidP="00D53761">
      <w:pPr>
        <w:spacing w:after="0" w:line="240" w:lineRule="auto"/>
        <w:rPr>
          <w:rFonts w:ascii="Open Sans" w:eastAsia="Times New Roman" w:hAnsi="Open Sans" w:cs="Open Sans"/>
          <w:b/>
          <w:sz w:val="20"/>
          <w:szCs w:val="20"/>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sidRPr="008C7DB3">
        <w:rPr>
          <w:rFonts w:ascii="Open Sans" w:eastAsia="Times New Roman" w:hAnsi="Open Sans" w:cs="Open Sans"/>
          <w:b/>
          <w:sz w:val="20"/>
          <w:szCs w:val="20"/>
        </w:rPr>
        <w:t xml:space="preserve"> </w:t>
      </w:r>
    </w:p>
    <w:p w:rsidR="006D5A85" w:rsidRDefault="006D5A85" w:rsidP="00F30CEA">
      <w:pPr>
        <w:rPr>
          <w:rFonts w:ascii="Open Sans" w:eastAsia="Times New Roman" w:hAnsi="Open Sans" w:cs="Open Sans"/>
          <w:b/>
          <w:sz w:val="18"/>
          <w:szCs w:val="18"/>
        </w:rPr>
      </w:pPr>
    </w:p>
    <w:p w:rsidR="00072127" w:rsidRDefault="00072127" w:rsidP="00F30CEA">
      <w:pPr>
        <w:rPr>
          <w:rFonts w:ascii="Open Sans" w:eastAsia="Times New Roman" w:hAnsi="Open Sans" w:cs="Open Sans"/>
          <w:b/>
          <w:sz w:val="18"/>
          <w:szCs w:val="18"/>
        </w:rPr>
      </w:pP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SECTION I(2):</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421523">
        <w:trPr>
          <w:trHeight w:val="6406"/>
        </w:trPr>
        <w:tc>
          <w:tcPr>
            <w:tcW w:w="13883" w:type="dxa"/>
            <w:gridSpan w:val="2"/>
          </w:tcPr>
          <w:p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rsidTr="00711D00">
              <w:trPr>
                <w:trHeight w:val="1304"/>
              </w:trPr>
              <w:tc>
                <w:tcPr>
                  <w:tcW w:w="10210" w:type="dxa"/>
                  <w:shd w:val="clear" w:color="auto" w:fill="F2F2F2" w:themeFill="background1" w:themeFillShade="F2"/>
                  <w:vAlign w:val="center"/>
                </w:tcPr>
                <w:p w:rsidR="00981326" w:rsidRPr="00D53761" w:rsidRDefault="00981326" w:rsidP="00AE2DC2">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rsidR="00981326" w:rsidRPr="00D53761" w:rsidRDefault="00981326" w:rsidP="00AE2DC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EC2E4B">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AE2DC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250"/>
              </w:trPr>
              <w:tc>
                <w:tcPr>
                  <w:tcW w:w="10210" w:type="dxa"/>
                  <w:shd w:val="clear" w:color="auto" w:fill="F2F2F2" w:themeFill="background1" w:themeFillShade="F2"/>
                  <w:vAlign w:val="center"/>
                </w:tcPr>
                <w:p w:rsidR="00981326" w:rsidRPr="00D53761" w:rsidRDefault="00981326" w:rsidP="00AE2DC2">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rsidR="00981326" w:rsidRPr="00D53761" w:rsidRDefault="00981326" w:rsidP="00AE2DC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EC2E4B">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AE2DC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250"/>
              </w:trPr>
              <w:tc>
                <w:tcPr>
                  <w:tcW w:w="10210" w:type="dxa"/>
                  <w:shd w:val="clear" w:color="auto" w:fill="F2F2F2" w:themeFill="background1" w:themeFillShade="F2"/>
                  <w:vAlign w:val="center"/>
                </w:tcPr>
                <w:p w:rsidR="00981326" w:rsidRPr="00D53761" w:rsidRDefault="00981326" w:rsidP="00AE2DC2">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rsidR="00981326" w:rsidRPr="00D53761" w:rsidRDefault="00981326" w:rsidP="00AE2DC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EC2E4B">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AE2DC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160"/>
              </w:trPr>
              <w:tc>
                <w:tcPr>
                  <w:tcW w:w="10210" w:type="dxa"/>
                  <w:shd w:val="clear" w:color="auto" w:fill="F2F2F2" w:themeFill="background1" w:themeFillShade="F2"/>
                  <w:vAlign w:val="center"/>
                </w:tcPr>
                <w:p w:rsidR="00981326" w:rsidRPr="00D53761" w:rsidRDefault="00981326" w:rsidP="00AE2DC2">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rsidR="00981326" w:rsidRPr="00D53761" w:rsidRDefault="00981326" w:rsidP="00AE2DC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EC2E4B">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AE2DC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349"/>
              </w:trPr>
              <w:tc>
                <w:tcPr>
                  <w:tcW w:w="10210" w:type="dxa"/>
                  <w:shd w:val="clear" w:color="auto" w:fill="F2F2F2" w:themeFill="background1" w:themeFillShade="F2"/>
                  <w:vAlign w:val="center"/>
                </w:tcPr>
                <w:p w:rsidR="00981326" w:rsidRPr="00D53761" w:rsidRDefault="00981326" w:rsidP="00AE2DC2">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rsidR="00981326" w:rsidRPr="00D53761" w:rsidRDefault="00981326" w:rsidP="00AE2DC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EC2E4B">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AE2DC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421523">
        <w:trPr>
          <w:trHeight w:val="925"/>
        </w:trPr>
        <w:tc>
          <w:tcPr>
            <w:tcW w:w="10350"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EC2E4B">
              <w:rPr>
                <w:rFonts w:ascii="Open Sans" w:hAnsi="Open Sans" w:cs="Open Sans"/>
                <w:b/>
                <w:sz w:val="20"/>
                <w:szCs w:val="20"/>
              </w:rPr>
              <w:t>X</w:t>
            </w:r>
            <w:r w:rsidRPr="00D53761">
              <w:rPr>
                <w:rFonts w:ascii="Open Sans" w:hAnsi="Open Sans" w:cs="Open Sans"/>
                <w:b/>
                <w:sz w:val="20"/>
                <w:szCs w:val="20"/>
              </w:rPr>
              <w:t>___     No _____</w:t>
            </w:r>
          </w:p>
        </w:tc>
      </w:tr>
      <w:tr w:rsidR="00981326" w:rsidRPr="00D53761" w:rsidTr="00981326">
        <w:trPr>
          <w:trHeight w:val="1358"/>
        </w:trPr>
        <w:tc>
          <w:tcPr>
            <w:tcW w:w="13883"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rsidR="006B3BAD" w:rsidRPr="006B3BAD" w:rsidRDefault="006B3BAD" w:rsidP="00B27D73">
            <w:pPr>
              <w:rPr>
                <w:rFonts w:ascii="Open Sans" w:hAnsi="Open Sans" w:cs="Open Sans"/>
                <w:sz w:val="20"/>
                <w:szCs w:val="20"/>
              </w:rPr>
            </w:pPr>
            <w:r>
              <w:rPr>
                <w:rFonts w:ascii="Open Sans" w:hAnsi="Open Sans" w:cs="Open Sans"/>
                <w:sz w:val="20"/>
                <w:szCs w:val="20"/>
              </w:rPr>
              <w:t>The text explicitly meets all standards and non-negotiable items (focus, rigor, relevance) as evident in its structure that embraces higher order/</w:t>
            </w:r>
            <w:r w:rsidR="00B27D73">
              <w:rPr>
                <w:rFonts w:ascii="Open Sans" w:hAnsi="Open Sans" w:cs="Open Sans"/>
                <w:sz w:val="20"/>
                <w:szCs w:val="20"/>
              </w:rPr>
              <w:t>critical</w:t>
            </w:r>
            <w:r>
              <w:rPr>
                <w:rFonts w:ascii="Open Sans" w:hAnsi="Open Sans" w:cs="Open Sans"/>
                <w:sz w:val="20"/>
                <w:szCs w:val="20"/>
              </w:rPr>
              <w:t xml:space="preserve"> </w:t>
            </w:r>
            <w:r w:rsidR="005E68D4">
              <w:rPr>
                <w:rFonts w:ascii="Open Sans" w:hAnsi="Open Sans" w:cs="Open Sans"/>
                <w:sz w:val="20"/>
                <w:szCs w:val="20"/>
              </w:rPr>
              <w:t>thinking, problem solving, real-</w:t>
            </w:r>
            <w:r w:rsidR="00B27D73">
              <w:rPr>
                <w:rFonts w:ascii="Open Sans" w:hAnsi="Open Sans" w:cs="Open Sans"/>
                <w:sz w:val="20"/>
                <w:szCs w:val="20"/>
              </w:rPr>
              <w:t>world application</w:t>
            </w:r>
            <w:r>
              <w:rPr>
                <w:rFonts w:ascii="Open Sans" w:hAnsi="Open Sans" w:cs="Open Sans"/>
                <w:sz w:val="20"/>
                <w:szCs w:val="20"/>
              </w:rPr>
              <w:t xml:space="preserve">. </w:t>
            </w:r>
            <w:r w:rsidR="00B27D73">
              <w:rPr>
                <w:rFonts w:ascii="Open Sans" w:hAnsi="Open Sans" w:cs="Open Sans"/>
                <w:sz w:val="20"/>
                <w:szCs w:val="20"/>
              </w:rPr>
              <w:t xml:space="preserve">The </w:t>
            </w:r>
            <w:r>
              <w:rPr>
                <w:rFonts w:ascii="Open Sans" w:hAnsi="Open Sans" w:cs="Open Sans"/>
                <w:sz w:val="20"/>
                <w:szCs w:val="20"/>
              </w:rPr>
              <w:t xml:space="preserve">Reading Checks, Case Study Practices, Ethics Applications, Global </w:t>
            </w:r>
            <w:r w:rsidR="00B27D73">
              <w:rPr>
                <w:rFonts w:ascii="Open Sans" w:hAnsi="Open Sans" w:cs="Open Sans"/>
                <w:sz w:val="20"/>
                <w:szCs w:val="20"/>
              </w:rPr>
              <w:t xml:space="preserve">Law, </w:t>
            </w:r>
            <w:r w:rsidR="005E68D4">
              <w:rPr>
                <w:rFonts w:ascii="Open Sans" w:hAnsi="Open Sans" w:cs="Open Sans"/>
                <w:sz w:val="20"/>
                <w:szCs w:val="20"/>
              </w:rPr>
              <w:t>etc.</w:t>
            </w:r>
            <w:r w:rsidR="00B27D73">
              <w:rPr>
                <w:rFonts w:ascii="Open Sans" w:hAnsi="Open Sans" w:cs="Open Sans"/>
                <w:sz w:val="20"/>
                <w:szCs w:val="20"/>
              </w:rPr>
              <w:t xml:space="preserve"> </w:t>
            </w:r>
            <w:r w:rsidR="009627F9">
              <w:rPr>
                <w:rFonts w:ascii="Open Sans" w:hAnsi="Open Sans" w:cs="Open Sans"/>
                <w:sz w:val="20"/>
                <w:szCs w:val="20"/>
              </w:rPr>
              <w:t>(Illustrations &amp; Figures) are</w:t>
            </w:r>
            <w:r w:rsidR="00B27D73">
              <w:rPr>
                <w:rFonts w:ascii="Open Sans" w:hAnsi="Open Sans" w:cs="Open Sans"/>
                <w:sz w:val="20"/>
                <w:szCs w:val="20"/>
              </w:rPr>
              <w:t xml:space="preserve"> outstanding modes</w:t>
            </w:r>
            <w:r w:rsidR="009627F9">
              <w:rPr>
                <w:rFonts w:ascii="Open Sans" w:hAnsi="Open Sans" w:cs="Open Sans"/>
                <w:sz w:val="20"/>
                <w:szCs w:val="20"/>
              </w:rPr>
              <w:t xml:space="preserve"> of learning to increase students’ conceptual understanding of material</w:t>
            </w:r>
            <w:r w:rsidR="00B27D73">
              <w:rPr>
                <w:rFonts w:ascii="Open Sans" w:hAnsi="Open Sans" w:cs="Open Sans"/>
                <w:sz w:val="20"/>
                <w:szCs w:val="20"/>
              </w:rPr>
              <w:t>.</w:t>
            </w:r>
            <w:r w:rsidR="005E68D4">
              <w:rPr>
                <w:rFonts w:ascii="Open Sans" w:hAnsi="Open Sans" w:cs="Open Sans"/>
                <w:sz w:val="20"/>
                <w:szCs w:val="20"/>
              </w:rPr>
              <w:t xml:space="preserve">  </w:t>
            </w:r>
          </w:p>
        </w:tc>
      </w:tr>
    </w:tbl>
    <w:p w:rsidR="00D53761" w:rsidRPr="00D53761" w:rsidRDefault="00D53761" w:rsidP="00EC2E4B">
      <w:pPr>
        <w:spacing w:after="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rsidTr="008C353D">
        <w:trPr>
          <w:trHeight w:val="267"/>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rsidTr="008C353D">
        <w:trPr>
          <w:trHeight w:val="323"/>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rsidTr="008C353D">
        <w:trPr>
          <w:trHeight w:val="2807"/>
        </w:trPr>
        <w:tc>
          <w:tcPr>
            <w:tcW w:w="13860" w:type="dxa"/>
            <w:gridSpan w:val="2"/>
          </w:tcPr>
          <w:p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rsidTr="008C353D">
              <w:trPr>
                <w:trHeight w:val="1007"/>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EC2E4B">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8C353D">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EC2E4B">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8C353D">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EC2E4B">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8C353D">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EC2E4B">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rsidR="00D53761" w:rsidRPr="00D53761" w:rsidRDefault="00D53761" w:rsidP="00D53761">
            <w:pPr>
              <w:rPr>
                <w:rFonts w:ascii="Open Sans" w:hAnsi="Open Sans" w:cs="Open Sans"/>
                <w:sz w:val="20"/>
                <w:szCs w:val="20"/>
              </w:rPr>
            </w:pPr>
          </w:p>
        </w:tc>
      </w:tr>
      <w:tr w:rsidR="00D53761" w:rsidRPr="00D53761" w:rsidTr="008C353D">
        <w:trPr>
          <w:trHeight w:val="1043"/>
        </w:trPr>
        <w:tc>
          <w:tcPr>
            <w:tcW w:w="10350" w:type="dxa"/>
            <w:shd w:val="clear" w:color="auto" w:fill="F2F2F2" w:themeFill="background1" w:themeFillShade="F2"/>
            <w:vAlign w:val="center"/>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rsidR="00D53761" w:rsidRPr="00D53761" w:rsidRDefault="00D53761" w:rsidP="00D53761">
            <w:pPr>
              <w:jc w:val="center"/>
              <w:rPr>
                <w:rFonts w:ascii="Open Sans" w:hAnsi="Open Sans" w:cs="Open Sans"/>
                <w:b/>
                <w:sz w:val="20"/>
                <w:szCs w:val="20"/>
              </w:rPr>
            </w:pPr>
          </w:p>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EC2E4B">
              <w:rPr>
                <w:rFonts w:ascii="Open Sans" w:hAnsi="Open Sans" w:cs="Open Sans"/>
                <w:b/>
                <w:sz w:val="20"/>
                <w:szCs w:val="20"/>
              </w:rPr>
              <w:t>X</w:t>
            </w:r>
            <w:r w:rsidRPr="00D53761">
              <w:rPr>
                <w:rFonts w:ascii="Open Sans" w:hAnsi="Open Sans" w:cs="Open Sans"/>
                <w:b/>
                <w:sz w:val="20"/>
                <w:szCs w:val="20"/>
              </w:rPr>
              <w:t>___     No _____</w:t>
            </w:r>
          </w:p>
        </w:tc>
      </w:tr>
      <w:tr w:rsidR="00D53761" w:rsidRPr="00D53761" w:rsidTr="008C353D">
        <w:trPr>
          <w:trHeight w:val="2159"/>
        </w:trPr>
        <w:tc>
          <w:tcPr>
            <w:tcW w:w="13860" w:type="dxa"/>
            <w:gridSpan w:val="2"/>
          </w:tcPr>
          <w:p w:rsid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t>Justification/Notes</w:t>
            </w:r>
          </w:p>
          <w:p w:rsidR="005E68D4" w:rsidRPr="00D53761" w:rsidRDefault="005E68D4" w:rsidP="006A3B0A">
            <w:pPr>
              <w:keepNext/>
              <w:outlineLvl w:val="4"/>
              <w:rPr>
                <w:rFonts w:ascii="Open Sans" w:hAnsi="Open Sans" w:cs="Open Sans"/>
                <w:b/>
                <w:sz w:val="20"/>
                <w:szCs w:val="20"/>
              </w:rPr>
            </w:pPr>
            <w:r>
              <w:rPr>
                <w:rFonts w:ascii="Open Sans" w:hAnsi="Open Sans" w:cs="Open Sans"/>
                <w:sz w:val="20"/>
                <w:szCs w:val="20"/>
              </w:rPr>
              <w:t xml:space="preserve">The text </w:t>
            </w:r>
            <w:r w:rsidR="00AD3E23">
              <w:rPr>
                <w:rFonts w:ascii="Open Sans" w:hAnsi="Open Sans" w:cs="Open Sans"/>
                <w:sz w:val="20"/>
                <w:szCs w:val="20"/>
              </w:rPr>
              <w:t xml:space="preserve">innovatory </w:t>
            </w:r>
            <w:r w:rsidR="006A3B0A">
              <w:rPr>
                <w:rFonts w:ascii="Open Sans" w:hAnsi="Open Sans" w:cs="Open Sans"/>
                <w:sz w:val="20"/>
                <w:szCs w:val="20"/>
              </w:rPr>
              <w:t xml:space="preserve">structure </w:t>
            </w:r>
            <w:r>
              <w:rPr>
                <w:rFonts w:ascii="Open Sans" w:hAnsi="Open Sans" w:cs="Open Sans"/>
                <w:sz w:val="20"/>
                <w:szCs w:val="20"/>
              </w:rPr>
              <w:t xml:space="preserve">meets all requirements </w:t>
            </w:r>
            <w:r w:rsidR="00B27D73">
              <w:rPr>
                <w:rFonts w:ascii="Open Sans" w:hAnsi="Open Sans" w:cs="Open Sans"/>
                <w:sz w:val="20"/>
                <w:szCs w:val="20"/>
              </w:rPr>
              <w:t xml:space="preserve">of the standards </w:t>
            </w:r>
            <w:r w:rsidR="00AD3E23">
              <w:rPr>
                <w:rFonts w:ascii="Open Sans" w:hAnsi="Open Sans" w:cs="Open Sans"/>
                <w:sz w:val="20"/>
                <w:szCs w:val="20"/>
              </w:rPr>
              <w:t>to prepare</w:t>
            </w:r>
            <w:r w:rsidR="006A3B0A">
              <w:rPr>
                <w:rFonts w:ascii="Open Sans" w:hAnsi="Open Sans" w:cs="Open Sans"/>
                <w:sz w:val="20"/>
                <w:szCs w:val="20"/>
              </w:rPr>
              <w:t xml:space="preserve"> </w:t>
            </w:r>
            <w:r>
              <w:rPr>
                <w:rFonts w:ascii="Open Sans" w:hAnsi="Open Sans" w:cs="Open Sans"/>
                <w:sz w:val="20"/>
                <w:szCs w:val="20"/>
              </w:rPr>
              <w:t>student</w:t>
            </w:r>
            <w:r w:rsidR="006A3B0A">
              <w:rPr>
                <w:rFonts w:ascii="Open Sans" w:hAnsi="Open Sans" w:cs="Open Sans"/>
                <w:sz w:val="20"/>
                <w:szCs w:val="20"/>
              </w:rPr>
              <w:t>s</w:t>
            </w:r>
            <w:r>
              <w:rPr>
                <w:rFonts w:ascii="Open Sans" w:hAnsi="Open Sans" w:cs="Open Sans"/>
                <w:sz w:val="20"/>
                <w:szCs w:val="20"/>
              </w:rPr>
              <w:t xml:space="preserve"> for postsecondary and career r</w:t>
            </w:r>
            <w:r w:rsidR="00AD3E23">
              <w:rPr>
                <w:rFonts w:ascii="Open Sans" w:hAnsi="Open Sans" w:cs="Open Sans"/>
                <w:sz w:val="20"/>
                <w:szCs w:val="20"/>
              </w:rPr>
              <w:t>eadiness in a very unique manner. This text is h</w:t>
            </w:r>
            <w:r>
              <w:rPr>
                <w:rFonts w:ascii="Open Sans" w:hAnsi="Open Sans" w:cs="Open Sans"/>
                <w:sz w:val="20"/>
                <w:szCs w:val="20"/>
              </w:rPr>
              <w:t>ighly recommended</w:t>
            </w:r>
            <w:r w:rsidR="00AD3E23">
              <w:rPr>
                <w:rFonts w:ascii="Open Sans" w:hAnsi="Open Sans" w:cs="Open Sans"/>
                <w:sz w:val="20"/>
                <w:szCs w:val="20"/>
              </w:rPr>
              <w:t xml:space="preserve"> and </w:t>
            </w:r>
            <w:r w:rsidR="006A3B0A">
              <w:rPr>
                <w:rFonts w:ascii="Open Sans" w:hAnsi="Open Sans" w:cs="Open Sans"/>
                <w:sz w:val="20"/>
                <w:szCs w:val="20"/>
              </w:rPr>
              <w:t xml:space="preserve">elements of it </w:t>
            </w:r>
            <w:r w:rsidR="00AD3E23">
              <w:rPr>
                <w:rFonts w:ascii="Open Sans" w:hAnsi="Open Sans" w:cs="Open Sans"/>
                <w:sz w:val="20"/>
                <w:szCs w:val="20"/>
              </w:rPr>
              <w:t xml:space="preserve">can be used in other business </w:t>
            </w:r>
            <w:r w:rsidR="00542089">
              <w:rPr>
                <w:rFonts w:ascii="Open Sans" w:hAnsi="Open Sans" w:cs="Open Sans"/>
                <w:sz w:val="20"/>
                <w:szCs w:val="20"/>
              </w:rPr>
              <w:t>programs of study</w:t>
            </w:r>
            <w:r w:rsidR="00AD3E23">
              <w:rPr>
                <w:rFonts w:ascii="Open Sans" w:hAnsi="Open Sans" w:cs="Open Sans"/>
                <w:sz w:val="20"/>
                <w:szCs w:val="20"/>
              </w:rPr>
              <w:t>.</w:t>
            </w:r>
          </w:p>
        </w:tc>
      </w:tr>
    </w:tbl>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rsidTr="008C353D">
        <w:trPr>
          <w:trHeight w:val="1384"/>
        </w:trPr>
        <w:tc>
          <w:tcPr>
            <w:tcW w:w="1035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Yes __</w:t>
            </w:r>
            <w:r w:rsidR="00EC2E4B">
              <w:rPr>
                <w:rFonts w:ascii="Open Sans" w:hAnsi="Open Sans" w:cs="Open Sans"/>
                <w:b/>
                <w:sz w:val="20"/>
                <w:szCs w:val="20"/>
              </w:rPr>
              <w:t>X</w:t>
            </w:r>
            <w:r w:rsidRPr="00D53761">
              <w:rPr>
                <w:rFonts w:ascii="Open Sans" w:hAnsi="Open Sans" w:cs="Open Sans"/>
                <w:b/>
                <w:sz w:val="20"/>
                <w:szCs w:val="20"/>
              </w:rPr>
              <w:t>___       No _____</w:t>
            </w:r>
          </w:p>
        </w:tc>
      </w:tr>
    </w:tbl>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rsidTr="008C353D">
        <w:tc>
          <w:tcPr>
            <w:tcW w:w="1386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rsidTr="008C353D">
        <w:tc>
          <w:tcPr>
            <w:tcW w:w="13860" w:type="dxa"/>
          </w:tcPr>
          <w:p w:rsidR="00D53761" w:rsidRPr="00D53761" w:rsidRDefault="00D53761" w:rsidP="00D53761">
            <w:pPr>
              <w:contextualSpacing/>
              <w:rPr>
                <w:rFonts w:ascii="Open Sans" w:hAnsi="Open Sans" w:cs="Open Sans"/>
                <w:sz w:val="20"/>
                <w:szCs w:val="20"/>
              </w:rPr>
            </w:pPr>
          </w:p>
          <w:p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rsidR="00D53761" w:rsidRPr="00D53761" w:rsidRDefault="00D53761" w:rsidP="00D53761">
            <w:pPr>
              <w:contextualSpacing/>
              <w:rPr>
                <w:rFonts w:ascii="Open Sans" w:hAnsi="Open Sans" w:cs="Open Sans"/>
                <w:sz w:val="20"/>
                <w:szCs w:val="20"/>
              </w:rPr>
            </w:pPr>
          </w:p>
          <w:p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rsidR="00D53761" w:rsidRPr="00D53761" w:rsidRDefault="00D53761" w:rsidP="00D53761">
            <w:pPr>
              <w:contextualSpacing/>
              <w:rPr>
                <w:rFonts w:ascii="Open Sans" w:hAnsi="Open Sans" w:cs="Open Sans"/>
                <w:sz w:val="20"/>
                <w:szCs w:val="20"/>
              </w:rPr>
            </w:pP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rsidR="00D53761" w:rsidRPr="00D53761" w:rsidRDefault="00D53761" w:rsidP="00D53761">
            <w:pPr>
              <w:contextualSpacing/>
              <w:rPr>
                <w:rFonts w:ascii="Open Sans" w:hAnsi="Open Sans" w:cs="Open Sans"/>
                <w:sz w:val="20"/>
                <w:szCs w:val="20"/>
              </w:rPr>
            </w:pPr>
          </w:p>
        </w:tc>
      </w:tr>
    </w:tbl>
    <w:p w:rsidR="00D53761" w:rsidRDefault="00D53761" w:rsidP="00D53761">
      <w:pPr>
        <w:spacing w:after="0"/>
        <w:ind w:left="720"/>
        <w:contextualSpacing/>
        <w:rPr>
          <w:rFonts w:ascii="Open Sans" w:hAnsi="Open Sans" w:cs="Open Sans"/>
          <w:sz w:val="20"/>
          <w:szCs w:val="20"/>
        </w:rPr>
      </w:pPr>
    </w:p>
    <w:p w:rsidR="00EC2E4B" w:rsidRDefault="00EC2E4B" w:rsidP="00D53761">
      <w:pPr>
        <w:spacing w:after="0"/>
        <w:ind w:left="720"/>
        <w:contextualSpacing/>
        <w:rPr>
          <w:rFonts w:ascii="Open Sans" w:hAnsi="Open Sans" w:cs="Open Sans"/>
          <w:sz w:val="20"/>
          <w:szCs w:val="20"/>
        </w:rPr>
      </w:pPr>
    </w:p>
    <w:p w:rsidR="00EC2E4B" w:rsidRDefault="00EC2E4B" w:rsidP="00D53761">
      <w:pPr>
        <w:spacing w:after="0"/>
        <w:ind w:left="720"/>
        <w:contextualSpacing/>
        <w:rPr>
          <w:rFonts w:ascii="Open Sans" w:hAnsi="Open Sans" w:cs="Open Sans"/>
          <w:sz w:val="20"/>
          <w:szCs w:val="20"/>
        </w:rPr>
      </w:pPr>
    </w:p>
    <w:p w:rsidR="00EC2E4B" w:rsidRDefault="00EC2E4B" w:rsidP="00D53761">
      <w:pPr>
        <w:spacing w:after="0"/>
        <w:ind w:left="720"/>
        <w:contextualSpacing/>
        <w:rPr>
          <w:rFonts w:ascii="Open Sans" w:hAnsi="Open Sans" w:cs="Open Sans"/>
          <w:sz w:val="20"/>
          <w:szCs w:val="20"/>
        </w:rPr>
      </w:pPr>
    </w:p>
    <w:p w:rsidR="00EC2E4B" w:rsidRDefault="00EC2E4B" w:rsidP="00D53761">
      <w:pPr>
        <w:spacing w:after="0"/>
        <w:ind w:left="720"/>
        <w:contextualSpacing/>
        <w:rPr>
          <w:rFonts w:ascii="Open Sans" w:hAnsi="Open Sans" w:cs="Open Sans"/>
          <w:sz w:val="20"/>
          <w:szCs w:val="20"/>
        </w:rPr>
      </w:pPr>
    </w:p>
    <w:p w:rsidR="00EC2E4B" w:rsidRDefault="00EC2E4B" w:rsidP="00D53761">
      <w:pPr>
        <w:spacing w:after="0"/>
        <w:ind w:left="720"/>
        <w:contextualSpacing/>
        <w:rPr>
          <w:rFonts w:ascii="Open Sans" w:hAnsi="Open Sans" w:cs="Open Sans"/>
          <w:sz w:val="20"/>
          <w:szCs w:val="20"/>
        </w:rPr>
      </w:pPr>
    </w:p>
    <w:p w:rsidR="00EC2E4B" w:rsidRPr="00D53761" w:rsidRDefault="00EC2E4B" w:rsidP="00D53761">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8C353D">
        <w:trPr>
          <w:trHeight w:val="1736"/>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072D12">
              <w:rPr>
                <w:rFonts w:ascii="Arial Black" w:hAnsi="Arial Black" w:cs="Open Sans"/>
                <w:sz w:val="20"/>
                <w:szCs w:val="20"/>
              </w:rPr>
              <w:t xml:space="preserve">2  </w:t>
            </w:r>
            <w:r w:rsidRPr="00D53761">
              <w:rPr>
                <w:rFonts w:ascii="Open Sans" w:hAnsi="Open Sans" w:cs="Open Sans"/>
                <w:sz w:val="20"/>
                <w:szCs w:val="20"/>
              </w:rPr>
              <w:t xml:space="preserve">    1      0</w:t>
            </w:r>
          </w:p>
        </w:tc>
        <w:tc>
          <w:tcPr>
            <w:tcW w:w="2988" w:type="dxa"/>
          </w:tcPr>
          <w:p w:rsidR="00D53761" w:rsidRDefault="00D53761" w:rsidP="00D53761">
            <w:pPr>
              <w:contextualSpacing/>
              <w:rPr>
                <w:rFonts w:ascii="Open Sans" w:hAnsi="Open Sans" w:cs="Open Sans"/>
                <w:sz w:val="20"/>
                <w:szCs w:val="20"/>
              </w:rPr>
            </w:pPr>
          </w:p>
          <w:p w:rsidR="00072D12" w:rsidRPr="00D53761" w:rsidRDefault="007A308E" w:rsidP="007A308E">
            <w:pPr>
              <w:contextualSpacing/>
              <w:rPr>
                <w:rFonts w:ascii="Open Sans" w:hAnsi="Open Sans" w:cs="Open Sans"/>
                <w:sz w:val="20"/>
                <w:szCs w:val="20"/>
              </w:rPr>
            </w:pPr>
            <w:r>
              <w:rPr>
                <w:rFonts w:ascii="Open Sans" w:hAnsi="Open Sans" w:cs="Open Sans"/>
                <w:sz w:val="20"/>
                <w:szCs w:val="20"/>
              </w:rPr>
              <w:t>Material aligns to relevant standards &amp; incorporates the Real World in the “</w:t>
            </w:r>
            <w:r w:rsidR="00072D12">
              <w:rPr>
                <w:rFonts w:ascii="Open Sans" w:hAnsi="Open Sans" w:cs="Open Sans"/>
                <w:sz w:val="20"/>
                <w:szCs w:val="20"/>
              </w:rPr>
              <w:t>Legal Briefs</w:t>
            </w:r>
            <w:r>
              <w:rPr>
                <w:rFonts w:ascii="Open Sans" w:hAnsi="Open Sans" w:cs="Open Sans"/>
                <w:sz w:val="20"/>
                <w:szCs w:val="20"/>
              </w:rPr>
              <w:t>” scenario</w:t>
            </w:r>
            <w:r w:rsidR="00072D12">
              <w:rPr>
                <w:rFonts w:ascii="Open Sans" w:hAnsi="Open Sans" w:cs="Open Sans"/>
                <w:sz w:val="20"/>
                <w:szCs w:val="20"/>
              </w:rPr>
              <w:t xml:space="preserve"> </w:t>
            </w:r>
            <w:r>
              <w:rPr>
                <w:rFonts w:ascii="Open Sans" w:hAnsi="Open Sans" w:cs="Open Sans"/>
                <w:sz w:val="20"/>
                <w:szCs w:val="20"/>
              </w:rPr>
              <w:t>at the beginning of each chapter.</w:t>
            </w:r>
          </w:p>
        </w:tc>
      </w:tr>
      <w:tr w:rsidR="00D53761" w:rsidRPr="00D53761" w:rsidTr="008C353D">
        <w:trPr>
          <w:trHeight w:val="1979"/>
        </w:trPr>
        <w:tc>
          <w:tcPr>
            <w:tcW w:w="8730" w:type="dxa"/>
            <w:vAlign w:val="center"/>
          </w:tcPr>
          <w:p w:rsidR="00D53761" w:rsidRPr="00D53761" w:rsidRDefault="00D53761"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072D12">
              <w:rPr>
                <w:rFonts w:ascii="Arial Black" w:hAnsi="Arial Black" w:cs="Open Sans"/>
                <w:sz w:val="20"/>
                <w:szCs w:val="20"/>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CE0E61" w:rsidP="009462B7">
            <w:pPr>
              <w:contextualSpacing/>
              <w:rPr>
                <w:rFonts w:ascii="Open Sans" w:hAnsi="Open Sans" w:cs="Open Sans"/>
                <w:sz w:val="20"/>
                <w:szCs w:val="20"/>
              </w:rPr>
            </w:pPr>
            <w:r>
              <w:rPr>
                <w:rFonts w:ascii="Open Sans" w:hAnsi="Open Sans" w:cs="Open Sans"/>
                <w:sz w:val="20"/>
                <w:szCs w:val="20"/>
              </w:rPr>
              <w:t>Text is aligned to discipline-specific content</w:t>
            </w:r>
            <w:r w:rsidR="009462B7">
              <w:rPr>
                <w:rFonts w:ascii="Open Sans" w:hAnsi="Open Sans" w:cs="Open Sans"/>
                <w:sz w:val="20"/>
                <w:szCs w:val="20"/>
              </w:rPr>
              <w:t>. The text includes different codes (L1, L2, L3) to identify different levels of abilities in order to meet the needs of all students</w:t>
            </w:r>
          </w:p>
        </w:tc>
      </w:tr>
      <w:tr w:rsidR="00D53761" w:rsidRPr="00D53761" w:rsidTr="008C353D">
        <w:trPr>
          <w:trHeight w:val="1979"/>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sidR="00415672">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rsidR="00D53761" w:rsidRPr="00D53761" w:rsidRDefault="00102F66" w:rsidP="00D53761">
            <w:pPr>
              <w:contextualSpacing/>
              <w:jc w:val="center"/>
              <w:rPr>
                <w:rFonts w:ascii="Open Sans" w:hAnsi="Open Sans" w:cs="Open Sans"/>
                <w:sz w:val="20"/>
                <w:szCs w:val="20"/>
              </w:rPr>
            </w:pPr>
            <w:r w:rsidRPr="00072D12">
              <w:rPr>
                <w:rFonts w:ascii="Arial Black" w:hAnsi="Arial Black" w:cs="Open Sans"/>
                <w:sz w:val="20"/>
                <w:szCs w:val="20"/>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102F66" w:rsidP="00D53761">
            <w:pPr>
              <w:contextualSpacing/>
              <w:rPr>
                <w:rFonts w:ascii="Open Sans" w:hAnsi="Open Sans" w:cs="Open Sans"/>
                <w:sz w:val="20"/>
                <w:szCs w:val="20"/>
              </w:rPr>
            </w:pPr>
            <w:r>
              <w:rPr>
                <w:rFonts w:ascii="Open Sans" w:hAnsi="Open Sans" w:cs="Open Sans"/>
                <w:sz w:val="20"/>
                <w:szCs w:val="20"/>
              </w:rPr>
              <w:t>Yes, the text through its “Develop Concepts” makes connections to the Supreme Court and the Courts of Appeals.</w:t>
            </w:r>
          </w:p>
        </w:tc>
      </w:tr>
    </w:tbl>
    <w:p w:rsidR="00D53761" w:rsidRPr="00D53761" w:rsidRDefault="00D53761" w:rsidP="00D53761">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rPr>
          <w:trHeight w:val="350"/>
        </w:trPr>
        <w:tc>
          <w:tcPr>
            <w:tcW w:w="8730" w:type="dxa"/>
            <w:shd w:val="clear" w:color="auto" w:fill="F2F2F2" w:themeFill="background1" w:themeFillShade="F2"/>
            <w:vAlign w:val="center"/>
          </w:tcPr>
          <w:p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8C353D">
        <w:trPr>
          <w:trHeight w:val="1664"/>
        </w:trPr>
        <w:tc>
          <w:tcPr>
            <w:tcW w:w="8730" w:type="dxa"/>
            <w:vAlign w:val="center"/>
          </w:tcPr>
          <w:p w:rsidR="00D53761" w:rsidRPr="00D53761" w:rsidRDefault="00D53761" w:rsidP="00D5376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072D12">
              <w:rPr>
                <w:rFonts w:ascii="Arial Black" w:hAnsi="Arial Black" w:cs="Open Sans"/>
                <w:sz w:val="20"/>
                <w:szCs w:val="20"/>
              </w:rPr>
              <w:t>2</w:t>
            </w:r>
            <w:r w:rsidRPr="00D53761">
              <w:rPr>
                <w:rFonts w:ascii="Open Sans" w:hAnsi="Open Sans" w:cs="Open Sans"/>
                <w:sz w:val="20"/>
                <w:szCs w:val="20"/>
              </w:rPr>
              <w:t xml:space="preserve">      1      0</w:t>
            </w:r>
          </w:p>
        </w:tc>
        <w:tc>
          <w:tcPr>
            <w:tcW w:w="2988" w:type="dxa"/>
          </w:tcPr>
          <w:p w:rsidR="00D53761" w:rsidRDefault="00D53761" w:rsidP="00D53761">
            <w:pPr>
              <w:contextualSpacing/>
              <w:rPr>
                <w:rFonts w:ascii="Open Sans" w:hAnsi="Open Sans" w:cs="Open Sans"/>
                <w:sz w:val="20"/>
                <w:szCs w:val="20"/>
              </w:rPr>
            </w:pPr>
          </w:p>
          <w:p w:rsidR="009462B7" w:rsidRDefault="009462B7" w:rsidP="00D53761">
            <w:pPr>
              <w:contextualSpacing/>
              <w:rPr>
                <w:rFonts w:ascii="Open Sans" w:hAnsi="Open Sans" w:cs="Open Sans"/>
                <w:sz w:val="20"/>
                <w:szCs w:val="20"/>
              </w:rPr>
            </w:pPr>
            <w:r>
              <w:rPr>
                <w:rFonts w:ascii="Open Sans" w:hAnsi="Open Sans" w:cs="Open Sans"/>
                <w:sz w:val="20"/>
                <w:szCs w:val="20"/>
              </w:rPr>
              <w:t xml:space="preserve">A variety of connections are made throughout the text to incorporate knowledge and skills set forth by </w:t>
            </w:r>
            <w:r w:rsidR="00845BCB">
              <w:rPr>
                <w:rFonts w:ascii="Open Sans" w:hAnsi="Open Sans" w:cs="Open Sans"/>
                <w:sz w:val="20"/>
                <w:szCs w:val="20"/>
              </w:rPr>
              <w:t>standards</w:t>
            </w:r>
          </w:p>
          <w:p w:rsidR="00776378" w:rsidRPr="00D53761" w:rsidRDefault="00B13F5B" w:rsidP="00D53761">
            <w:pPr>
              <w:contextualSpacing/>
              <w:rPr>
                <w:rFonts w:ascii="Open Sans" w:hAnsi="Open Sans" w:cs="Open Sans"/>
                <w:sz w:val="20"/>
                <w:szCs w:val="20"/>
              </w:rPr>
            </w:pPr>
            <w:r>
              <w:rPr>
                <w:rFonts w:ascii="Open Sans" w:hAnsi="Open Sans" w:cs="Open Sans"/>
                <w:sz w:val="20"/>
                <w:szCs w:val="20"/>
              </w:rPr>
              <w:t>(i.e. Academic C</w:t>
            </w:r>
            <w:r w:rsidR="00776378">
              <w:rPr>
                <w:rFonts w:ascii="Open Sans" w:hAnsi="Open Sans" w:cs="Open Sans"/>
                <w:sz w:val="20"/>
                <w:szCs w:val="20"/>
              </w:rPr>
              <w:t xml:space="preserve">onnections to </w:t>
            </w:r>
            <w:r w:rsidR="006C2573">
              <w:rPr>
                <w:rFonts w:ascii="Open Sans" w:hAnsi="Open Sans" w:cs="Open Sans"/>
                <w:sz w:val="20"/>
                <w:szCs w:val="20"/>
              </w:rPr>
              <w:t xml:space="preserve">Reading, </w:t>
            </w:r>
            <w:r w:rsidR="00776378">
              <w:rPr>
                <w:rFonts w:ascii="Open Sans" w:hAnsi="Open Sans" w:cs="Open Sans"/>
                <w:sz w:val="20"/>
                <w:szCs w:val="20"/>
              </w:rPr>
              <w:t>Social Studies, English Language courses, etc.)</w:t>
            </w:r>
          </w:p>
        </w:tc>
      </w:tr>
      <w:tr w:rsidR="00D53761" w:rsidRPr="00D53761" w:rsidTr="008C353D">
        <w:trPr>
          <w:trHeight w:val="1979"/>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072D12">
              <w:rPr>
                <w:rFonts w:ascii="Arial Black" w:hAnsi="Arial Black" w:cs="Open Sans"/>
                <w:sz w:val="20"/>
                <w:szCs w:val="20"/>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776378" w:rsidP="00307A2D">
            <w:pPr>
              <w:contextualSpacing/>
              <w:rPr>
                <w:rFonts w:ascii="Open Sans" w:hAnsi="Open Sans" w:cs="Open Sans"/>
                <w:sz w:val="20"/>
                <w:szCs w:val="20"/>
              </w:rPr>
            </w:pPr>
            <w:r>
              <w:rPr>
                <w:rFonts w:ascii="Open Sans" w:hAnsi="Open Sans" w:cs="Open Sans"/>
                <w:sz w:val="20"/>
                <w:szCs w:val="20"/>
              </w:rPr>
              <w:t>Materials</w:t>
            </w:r>
            <w:r w:rsidR="00B66C00">
              <w:rPr>
                <w:rFonts w:ascii="Open Sans" w:hAnsi="Open Sans" w:cs="Open Sans"/>
                <w:sz w:val="20"/>
                <w:szCs w:val="20"/>
              </w:rPr>
              <w:t xml:space="preserve"> </w:t>
            </w:r>
            <w:r w:rsidR="00B13F5B">
              <w:rPr>
                <w:rFonts w:ascii="Open Sans" w:hAnsi="Open Sans" w:cs="Open Sans"/>
                <w:sz w:val="20"/>
                <w:szCs w:val="20"/>
              </w:rPr>
              <w:t xml:space="preserve">are vertically coherent with previous courses and connections are explicit (i.e. </w:t>
            </w:r>
            <w:r w:rsidR="00307A2D">
              <w:rPr>
                <w:rFonts w:ascii="Open Sans" w:hAnsi="Open Sans" w:cs="Open Sans"/>
                <w:sz w:val="20"/>
                <w:szCs w:val="20"/>
              </w:rPr>
              <w:t xml:space="preserve">what was learned in a previous Government class </w:t>
            </w:r>
            <w:r w:rsidR="00B13F5B">
              <w:rPr>
                <w:rFonts w:ascii="Open Sans" w:hAnsi="Open Sans" w:cs="Open Sans"/>
                <w:sz w:val="20"/>
                <w:szCs w:val="20"/>
              </w:rPr>
              <w:t xml:space="preserve"> </w:t>
            </w:r>
            <w:r w:rsidR="00307A2D">
              <w:rPr>
                <w:rFonts w:ascii="Open Sans" w:hAnsi="Open Sans" w:cs="Open Sans"/>
                <w:sz w:val="20"/>
                <w:szCs w:val="20"/>
              </w:rPr>
              <w:t>connects with materials in the course: ex. Constitution Amendments)</w:t>
            </w:r>
            <w:r w:rsidR="00B13F5B">
              <w:rPr>
                <w:rFonts w:ascii="Open Sans" w:hAnsi="Open Sans" w:cs="Open Sans"/>
                <w:sz w:val="20"/>
                <w:szCs w:val="20"/>
              </w:rPr>
              <w:t xml:space="preserve"> </w:t>
            </w:r>
          </w:p>
        </w:tc>
      </w:tr>
      <w:tr w:rsidR="00D53761" w:rsidRPr="00D53761" w:rsidTr="008C353D">
        <w:trPr>
          <w:trHeight w:val="1781"/>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072D12">
              <w:rPr>
                <w:rFonts w:ascii="Arial Black" w:hAnsi="Arial Black" w:cs="Open Sans"/>
                <w:sz w:val="20"/>
                <w:szCs w:val="20"/>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B13F5B" w:rsidP="009164CB">
            <w:pPr>
              <w:contextualSpacing/>
              <w:rPr>
                <w:rFonts w:ascii="Open Sans" w:hAnsi="Open Sans" w:cs="Open Sans"/>
                <w:sz w:val="20"/>
                <w:szCs w:val="20"/>
              </w:rPr>
            </w:pPr>
            <w:r>
              <w:rPr>
                <w:rFonts w:ascii="Open Sans" w:hAnsi="Open Sans" w:cs="Open Sans"/>
                <w:sz w:val="20"/>
                <w:szCs w:val="20"/>
              </w:rPr>
              <w:t xml:space="preserve">Content progressions reflect the progressions in the standards </w:t>
            </w:r>
            <w:r w:rsidR="009164CB">
              <w:rPr>
                <w:rFonts w:ascii="Open Sans" w:hAnsi="Open Sans" w:cs="Open Sans"/>
                <w:sz w:val="20"/>
                <w:szCs w:val="20"/>
              </w:rPr>
              <w:t>and clearly aim at helping students meet the standards.</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II(3). TEACHER SUPPORTS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8C353D">
        <w:trPr>
          <w:trHeight w:val="1502"/>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072D12">
              <w:rPr>
                <w:rFonts w:ascii="Arial Black" w:hAnsi="Arial Black" w:cs="Open Sans"/>
                <w:sz w:val="20"/>
                <w:szCs w:val="20"/>
              </w:rPr>
              <w:t>2</w:t>
            </w:r>
            <w:r w:rsidRPr="00D53761">
              <w:rPr>
                <w:rFonts w:ascii="Open Sans" w:hAnsi="Open Sans" w:cs="Open Sans"/>
                <w:sz w:val="20"/>
                <w:szCs w:val="20"/>
              </w:rPr>
              <w:t xml:space="preserve">      1      0</w:t>
            </w:r>
          </w:p>
        </w:tc>
        <w:tc>
          <w:tcPr>
            <w:tcW w:w="2988" w:type="dxa"/>
          </w:tcPr>
          <w:p w:rsidR="00D53761" w:rsidRDefault="00D53761" w:rsidP="00D53761">
            <w:pPr>
              <w:contextualSpacing/>
              <w:rPr>
                <w:rFonts w:ascii="Open Sans" w:hAnsi="Open Sans" w:cs="Open Sans"/>
                <w:sz w:val="20"/>
                <w:szCs w:val="20"/>
              </w:rPr>
            </w:pPr>
          </w:p>
          <w:p w:rsidR="00845BCB" w:rsidRPr="00D53761" w:rsidRDefault="00776378" w:rsidP="00C647C3">
            <w:pPr>
              <w:contextualSpacing/>
              <w:rPr>
                <w:rFonts w:ascii="Open Sans" w:hAnsi="Open Sans" w:cs="Open Sans"/>
                <w:sz w:val="20"/>
                <w:szCs w:val="20"/>
              </w:rPr>
            </w:pPr>
            <w:r>
              <w:rPr>
                <w:rFonts w:ascii="Open Sans" w:hAnsi="Open Sans" w:cs="Open Sans"/>
                <w:sz w:val="20"/>
                <w:szCs w:val="20"/>
              </w:rPr>
              <w:t>Materials provide</w:t>
            </w:r>
            <w:r w:rsidR="00A33FED">
              <w:rPr>
                <w:rFonts w:ascii="Open Sans" w:hAnsi="Open Sans" w:cs="Open Sans"/>
                <w:sz w:val="20"/>
                <w:szCs w:val="20"/>
              </w:rPr>
              <w:t xml:space="preserve"> Brackets to</w:t>
            </w:r>
            <w:r w:rsidR="00042800">
              <w:rPr>
                <w:rFonts w:ascii="Open Sans" w:hAnsi="Open Sans" w:cs="Open Sans"/>
                <w:sz w:val="20"/>
                <w:szCs w:val="20"/>
              </w:rPr>
              <w:t xml:space="preserve"> support</w:t>
            </w:r>
            <w:r w:rsidR="001455C2">
              <w:rPr>
                <w:rFonts w:ascii="Open Sans" w:hAnsi="Open Sans" w:cs="Open Sans"/>
                <w:sz w:val="20"/>
                <w:szCs w:val="20"/>
              </w:rPr>
              <w:t xml:space="preserve"> &amp; show teachers how to use instructional</w:t>
            </w:r>
            <w:r w:rsidR="00042800">
              <w:rPr>
                <w:rFonts w:ascii="Open Sans" w:hAnsi="Open Sans" w:cs="Open Sans"/>
                <w:sz w:val="20"/>
                <w:szCs w:val="20"/>
              </w:rPr>
              <w:t xml:space="preserve"> strategies and activities </w:t>
            </w:r>
            <w:r w:rsidR="00A33FED">
              <w:rPr>
                <w:rFonts w:ascii="Open Sans" w:hAnsi="Open Sans" w:cs="Open Sans"/>
                <w:sz w:val="20"/>
                <w:szCs w:val="20"/>
              </w:rPr>
              <w:t xml:space="preserve"> </w:t>
            </w:r>
            <w:r w:rsidR="006C2573">
              <w:rPr>
                <w:rFonts w:ascii="Open Sans" w:hAnsi="Open Sans" w:cs="Open Sans"/>
                <w:sz w:val="20"/>
                <w:szCs w:val="20"/>
              </w:rPr>
              <w:t>(</w:t>
            </w:r>
            <w:r w:rsidR="00C647C3">
              <w:rPr>
                <w:rFonts w:ascii="Open Sans" w:hAnsi="Open Sans" w:cs="Open Sans"/>
                <w:sz w:val="20"/>
                <w:szCs w:val="20"/>
              </w:rPr>
              <w:t>Legal Briefs, Apply &amp; Debate, Global Law, Ethics, Scenarios, etc.)</w:t>
            </w:r>
          </w:p>
        </w:tc>
      </w:tr>
      <w:tr w:rsidR="00D53761" w:rsidRPr="00D53761" w:rsidTr="008C353D">
        <w:trPr>
          <w:trHeight w:val="1376"/>
        </w:trPr>
        <w:tc>
          <w:tcPr>
            <w:tcW w:w="8730" w:type="dxa"/>
            <w:vAlign w:val="center"/>
          </w:tcPr>
          <w:p w:rsidR="00D53761" w:rsidRPr="00D53761" w:rsidRDefault="00D53761"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3E1972">
              <w:rPr>
                <w:rFonts w:ascii="Arial Black" w:hAnsi="Arial Black" w:cs="Open Sans"/>
                <w:sz w:val="20"/>
                <w:szCs w:val="20"/>
              </w:rPr>
              <w:t xml:space="preserve">2  </w:t>
            </w:r>
            <w:r w:rsidRPr="00D53761">
              <w:rPr>
                <w:rFonts w:ascii="Open Sans" w:hAnsi="Open Sans" w:cs="Open Sans"/>
                <w:sz w:val="20"/>
                <w:szCs w:val="20"/>
              </w:rPr>
              <w:t xml:space="preserve">    1      0</w:t>
            </w:r>
          </w:p>
        </w:tc>
        <w:tc>
          <w:tcPr>
            <w:tcW w:w="2988" w:type="dxa"/>
          </w:tcPr>
          <w:p w:rsidR="00776378" w:rsidRDefault="00776378" w:rsidP="00776378">
            <w:pPr>
              <w:contextualSpacing/>
              <w:rPr>
                <w:rFonts w:ascii="Open Sans" w:hAnsi="Open Sans" w:cs="Open Sans"/>
                <w:sz w:val="20"/>
                <w:szCs w:val="20"/>
              </w:rPr>
            </w:pPr>
          </w:p>
          <w:p w:rsidR="00C647C3" w:rsidRDefault="00042800" w:rsidP="00776378">
            <w:pPr>
              <w:contextualSpacing/>
              <w:rPr>
                <w:rFonts w:ascii="Open Sans" w:hAnsi="Open Sans" w:cs="Open Sans"/>
                <w:sz w:val="20"/>
                <w:szCs w:val="20"/>
              </w:rPr>
            </w:pPr>
            <w:r>
              <w:rPr>
                <w:rFonts w:ascii="Open Sans" w:hAnsi="Open Sans" w:cs="Open Sans"/>
                <w:sz w:val="20"/>
                <w:szCs w:val="20"/>
              </w:rPr>
              <w:t>Material</w:t>
            </w:r>
            <w:r w:rsidR="001455C2">
              <w:rPr>
                <w:rFonts w:ascii="Open Sans" w:hAnsi="Open Sans" w:cs="Open Sans"/>
                <w:sz w:val="20"/>
                <w:szCs w:val="20"/>
              </w:rPr>
              <w:t xml:space="preserve"> </w:t>
            </w:r>
            <w:r>
              <w:rPr>
                <w:rFonts w:ascii="Open Sans" w:hAnsi="Open Sans" w:cs="Open Sans"/>
                <w:sz w:val="20"/>
                <w:szCs w:val="20"/>
              </w:rPr>
              <w:t xml:space="preserve">provides Letters that help the teacher identify </w:t>
            </w:r>
            <w:r w:rsidR="001455C2">
              <w:rPr>
                <w:rFonts w:ascii="Open Sans" w:hAnsi="Open Sans" w:cs="Open Sans"/>
                <w:sz w:val="20"/>
                <w:szCs w:val="20"/>
              </w:rPr>
              <w:t>different strategies &amp;</w:t>
            </w:r>
            <w:r>
              <w:rPr>
                <w:rFonts w:ascii="Open Sans" w:hAnsi="Open Sans" w:cs="Open Sans"/>
                <w:sz w:val="20"/>
                <w:szCs w:val="20"/>
              </w:rPr>
              <w:t xml:space="preserve"> activities</w:t>
            </w:r>
          </w:p>
          <w:p w:rsidR="00D53761" w:rsidRPr="00D53761" w:rsidRDefault="00C647C3" w:rsidP="00776378">
            <w:pPr>
              <w:contextualSpacing/>
              <w:rPr>
                <w:rFonts w:ascii="Open Sans" w:hAnsi="Open Sans" w:cs="Open Sans"/>
                <w:sz w:val="20"/>
                <w:szCs w:val="20"/>
              </w:rPr>
            </w:pPr>
            <w:r>
              <w:rPr>
                <w:rFonts w:ascii="Open Sans" w:hAnsi="Open Sans" w:cs="Open Sans"/>
                <w:sz w:val="20"/>
                <w:szCs w:val="20"/>
              </w:rPr>
              <w:t>(Guided Practice, Pre-teach, Teach, Bell Ringers, Assessments)</w:t>
            </w:r>
            <w:r w:rsidR="00042800">
              <w:rPr>
                <w:rFonts w:ascii="Open Sans" w:hAnsi="Open Sans" w:cs="Open Sans"/>
                <w:sz w:val="20"/>
                <w:szCs w:val="20"/>
              </w:rPr>
              <w:t xml:space="preserve">  </w:t>
            </w:r>
          </w:p>
        </w:tc>
      </w:tr>
      <w:tr w:rsidR="00D53761" w:rsidRPr="00D53761" w:rsidTr="008C353D">
        <w:trPr>
          <w:trHeight w:val="1376"/>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rsidR="00D53761" w:rsidRPr="00D53761" w:rsidRDefault="00160FB0" w:rsidP="00D53761">
            <w:pPr>
              <w:contextualSpacing/>
              <w:jc w:val="center"/>
              <w:rPr>
                <w:rFonts w:ascii="Open Sans" w:hAnsi="Open Sans" w:cs="Open Sans"/>
                <w:sz w:val="20"/>
                <w:szCs w:val="20"/>
              </w:rPr>
            </w:pPr>
            <w:r w:rsidRPr="00D53761">
              <w:rPr>
                <w:rFonts w:ascii="Open Sans" w:hAnsi="Open Sans" w:cs="Open Sans"/>
                <w:sz w:val="20"/>
                <w:szCs w:val="20"/>
              </w:rPr>
              <w:t xml:space="preserve">2      1      </w:t>
            </w:r>
            <w:r w:rsidRPr="00160FB0">
              <w:rPr>
                <w:rFonts w:ascii="Arial Black" w:hAnsi="Arial Black" w:cs="Open Sans"/>
                <w:sz w:val="20"/>
                <w:szCs w:val="20"/>
              </w:rPr>
              <w:t>0</w:t>
            </w:r>
          </w:p>
        </w:tc>
        <w:tc>
          <w:tcPr>
            <w:tcW w:w="2988" w:type="dxa"/>
          </w:tcPr>
          <w:p w:rsidR="00D53761" w:rsidRDefault="00D53761" w:rsidP="00D53761">
            <w:pPr>
              <w:contextualSpacing/>
              <w:rPr>
                <w:rFonts w:ascii="Open Sans" w:hAnsi="Open Sans" w:cs="Open Sans"/>
                <w:sz w:val="20"/>
                <w:szCs w:val="20"/>
              </w:rPr>
            </w:pPr>
          </w:p>
          <w:p w:rsidR="00160FB0" w:rsidRPr="00D53761" w:rsidRDefault="00160FB0" w:rsidP="006C2573">
            <w:pPr>
              <w:contextualSpacing/>
              <w:rPr>
                <w:rFonts w:ascii="Open Sans" w:hAnsi="Open Sans" w:cs="Open Sans"/>
                <w:sz w:val="20"/>
                <w:szCs w:val="20"/>
              </w:rPr>
            </w:pPr>
            <w:r>
              <w:rPr>
                <w:rFonts w:ascii="Open Sans" w:hAnsi="Open Sans" w:cs="Open Sans"/>
                <w:sz w:val="20"/>
                <w:szCs w:val="20"/>
              </w:rPr>
              <w:t xml:space="preserve">No, there were no references to professional development in the teacher’s edition </w:t>
            </w:r>
            <w:r w:rsidR="006C2573">
              <w:rPr>
                <w:rFonts w:ascii="Open Sans" w:hAnsi="Open Sans" w:cs="Open Sans"/>
                <w:sz w:val="20"/>
                <w:szCs w:val="20"/>
              </w:rPr>
              <w:t>materials provided in this text.</w:t>
            </w:r>
          </w:p>
        </w:tc>
      </w:tr>
    </w:tbl>
    <w:p w:rsidR="00D53761" w:rsidRDefault="00D53761" w:rsidP="00D53761">
      <w:pPr>
        <w:spacing w:after="0"/>
        <w:rPr>
          <w:rFonts w:ascii="Open Sans" w:hAnsi="Open Sans" w:cs="Open Sans"/>
          <w:sz w:val="20"/>
          <w:szCs w:val="20"/>
        </w:rPr>
      </w:pPr>
    </w:p>
    <w:p w:rsidR="00B66C00" w:rsidRDefault="00B66C00" w:rsidP="00D53761">
      <w:pPr>
        <w:spacing w:after="0"/>
        <w:rPr>
          <w:rFonts w:ascii="Open Sans" w:hAnsi="Open Sans" w:cs="Open Sans"/>
          <w:sz w:val="20"/>
          <w:szCs w:val="20"/>
        </w:rPr>
      </w:pPr>
    </w:p>
    <w:p w:rsidR="00B66C00" w:rsidRPr="00D53761" w:rsidRDefault="00B66C00"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II(4). USABILITY</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8C353D">
        <w:trPr>
          <w:trHeight w:val="1502"/>
        </w:trPr>
        <w:tc>
          <w:tcPr>
            <w:tcW w:w="8730" w:type="dxa"/>
            <w:vAlign w:val="center"/>
          </w:tcPr>
          <w:p w:rsidR="00D53761" w:rsidRPr="00D53761" w:rsidRDefault="00D53761"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B66C00">
              <w:rPr>
                <w:rFonts w:ascii="Arial Black" w:hAnsi="Arial Black" w:cs="Open Sans"/>
                <w:sz w:val="20"/>
                <w:szCs w:val="20"/>
              </w:rPr>
              <w:t>2</w:t>
            </w:r>
            <w:r w:rsidRPr="00D53761">
              <w:rPr>
                <w:rFonts w:ascii="Open Sans" w:hAnsi="Open Sans" w:cs="Open Sans"/>
                <w:sz w:val="20"/>
                <w:szCs w:val="20"/>
              </w:rPr>
              <w:t xml:space="preserve">      1      0</w:t>
            </w:r>
          </w:p>
        </w:tc>
        <w:tc>
          <w:tcPr>
            <w:tcW w:w="2988" w:type="dxa"/>
          </w:tcPr>
          <w:p w:rsidR="00D53761" w:rsidRDefault="00D53761" w:rsidP="00D53761">
            <w:pPr>
              <w:contextualSpacing/>
              <w:rPr>
                <w:rFonts w:ascii="Open Sans" w:hAnsi="Open Sans" w:cs="Open Sans"/>
                <w:sz w:val="20"/>
                <w:szCs w:val="20"/>
              </w:rPr>
            </w:pPr>
          </w:p>
          <w:p w:rsidR="00B66C00" w:rsidRPr="00D53761" w:rsidRDefault="00776378" w:rsidP="00D53761">
            <w:pPr>
              <w:contextualSpacing/>
              <w:rPr>
                <w:rFonts w:ascii="Open Sans" w:hAnsi="Open Sans" w:cs="Open Sans"/>
                <w:sz w:val="20"/>
                <w:szCs w:val="20"/>
              </w:rPr>
            </w:pPr>
            <w:r>
              <w:rPr>
                <w:rFonts w:ascii="Open Sans" w:hAnsi="Open Sans" w:cs="Open Sans"/>
                <w:sz w:val="20"/>
                <w:szCs w:val="20"/>
              </w:rPr>
              <w:t>Multiple</w:t>
            </w:r>
            <w:r w:rsidR="00B66C00">
              <w:rPr>
                <w:rFonts w:ascii="Open Sans" w:hAnsi="Open Sans" w:cs="Open Sans"/>
                <w:sz w:val="20"/>
                <w:szCs w:val="20"/>
              </w:rPr>
              <w:t xml:space="preserve"> formats and media can be accessed throughout the text, Internet, links, etc.</w:t>
            </w:r>
          </w:p>
        </w:tc>
      </w:tr>
      <w:tr w:rsidR="00D53761" w:rsidRPr="00D53761" w:rsidTr="008C353D">
        <w:trPr>
          <w:trHeight w:val="1115"/>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sidR="006F3C74">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3E1972">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3E1972" w:rsidRDefault="003E1972" w:rsidP="003E1972">
            <w:pPr>
              <w:contextualSpacing/>
              <w:rPr>
                <w:rFonts w:ascii="Open Sans" w:hAnsi="Open Sans" w:cs="Open Sans"/>
                <w:sz w:val="18"/>
                <w:szCs w:val="18"/>
              </w:rPr>
            </w:pPr>
            <w:r>
              <w:rPr>
                <w:rFonts w:ascii="Open Sans" w:hAnsi="Open Sans" w:cs="Open Sans"/>
                <w:sz w:val="18"/>
                <w:szCs w:val="18"/>
              </w:rPr>
              <w:t>Material entails</w:t>
            </w:r>
            <w:r w:rsidRPr="003E1972">
              <w:rPr>
                <w:rFonts w:ascii="Open Sans" w:hAnsi="Open Sans" w:cs="Open Sans"/>
                <w:sz w:val="18"/>
                <w:szCs w:val="18"/>
              </w:rPr>
              <w:t xml:space="preserve"> </w:t>
            </w:r>
            <w:r>
              <w:rPr>
                <w:rFonts w:ascii="Open Sans" w:hAnsi="Open Sans" w:cs="Open Sans"/>
                <w:sz w:val="18"/>
                <w:szCs w:val="18"/>
              </w:rPr>
              <w:t>user</w:t>
            </w:r>
            <w:r w:rsidRPr="003E1972">
              <w:rPr>
                <w:rFonts w:ascii="Open Sans" w:hAnsi="Open Sans" w:cs="Open Sans"/>
                <w:sz w:val="18"/>
                <w:szCs w:val="18"/>
              </w:rPr>
              <w:t>-friendly language and the design is appropriate, inspiring</w:t>
            </w:r>
            <w:r>
              <w:rPr>
                <w:rFonts w:ascii="Open Sans" w:hAnsi="Open Sans" w:cs="Open Sans"/>
                <w:sz w:val="18"/>
                <w:szCs w:val="18"/>
              </w:rPr>
              <w:t>,</w:t>
            </w:r>
            <w:r w:rsidRPr="003E1972">
              <w:rPr>
                <w:rFonts w:ascii="Open Sans" w:hAnsi="Open Sans" w:cs="Open Sans"/>
                <w:sz w:val="18"/>
                <w:szCs w:val="18"/>
              </w:rPr>
              <w:t xml:space="preserve"> and </w:t>
            </w:r>
            <w:r>
              <w:rPr>
                <w:rFonts w:ascii="Open Sans" w:hAnsi="Open Sans" w:cs="Open Sans"/>
                <w:sz w:val="18"/>
                <w:szCs w:val="18"/>
              </w:rPr>
              <w:t>relevant to enhance teaching and learning.</w:t>
            </w:r>
            <w:r w:rsidRPr="003E1972">
              <w:rPr>
                <w:rFonts w:ascii="Open Sans" w:hAnsi="Open Sans" w:cs="Open Sans"/>
                <w:sz w:val="18"/>
                <w:szCs w:val="18"/>
              </w:rPr>
              <w:t xml:space="preserve"> </w:t>
            </w:r>
          </w:p>
        </w:tc>
      </w:tr>
      <w:tr w:rsidR="00D53761" w:rsidRPr="00D53761" w:rsidTr="008C353D">
        <w:trPr>
          <w:trHeight w:val="1376"/>
        </w:trPr>
        <w:tc>
          <w:tcPr>
            <w:tcW w:w="8730" w:type="dxa"/>
            <w:vAlign w:val="center"/>
          </w:tcPr>
          <w:p w:rsidR="00D53761" w:rsidRPr="00D53761" w:rsidRDefault="00D53761"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3E1972">
              <w:rPr>
                <w:rFonts w:ascii="Arial Black" w:hAnsi="Arial Black" w:cs="Open Sans"/>
                <w:sz w:val="20"/>
                <w:szCs w:val="20"/>
              </w:rPr>
              <w:t xml:space="preserve">2 </w:t>
            </w:r>
            <w:r w:rsidRPr="00D53761">
              <w:rPr>
                <w:rFonts w:ascii="Open Sans" w:hAnsi="Open Sans" w:cs="Open Sans"/>
                <w:sz w:val="20"/>
                <w:szCs w:val="20"/>
              </w:rPr>
              <w:t xml:space="preserve">     1      0</w:t>
            </w:r>
          </w:p>
        </w:tc>
        <w:tc>
          <w:tcPr>
            <w:tcW w:w="2988" w:type="dxa"/>
          </w:tcPr>
          <w:p w:rsidR="000B5B60" w:rsidRPr="000B5B60" w:rsidRDefault="000B5B60" w:rsidP="000B5B60">
            <w:pPr>
              <w:rPr>
                <w:rFonts w:ascii="Times New Roman" w:eastAsia="Times New Roman" w:hAnsi="Times New Roman" w:cs="Times New Roman"/>
                <w:sz w:val="20"/>
                <w:szCs w:val="20"/>
              </w:rPr>
            </w:pPr>
            <w:r w:rsidRPr="000B5B60">
              <w:rPr>
                <w:rFonts w:ascii="Times New Roman" w:hAnsi="Times New Roman" w:cs="Times New Roman"/>
                <w:sz w:val="20"/>
                <w:szCs w:val="20"/>
              </w:rPr>
              <w:t xml:space="preserve">Universal Access </w:t>
            </w:r>
            <w:r w:rsidRPr="000B5B60">
              <w:rPr>
                <w:rFonts w:ascii="Times New Roman" w:eastAsia="Times New Roman" w:hAnsi="Times New Roman" w:cs="Times New Roman"/>
                <w:sz w:val="20"/>
                <w:szCs w:val="20"/>
              </w:rPr>
              <w:t xml:space="preserve">activities provide differentiated </w:t>
            </w:r>
          </w:p>
          <w:p w:rsidR="000B5B60" w:rsidRPr="000B5B60" w:rsidRDefault="000B5B60" w:rsidP="000B5B60">
            <w:pPr>
              <w:rPr>
                <w:rFonts w:ascii="Times New Roman" w:eastAsia="Times New Roman" w:hAnsi="Times New Roman" w:cs="Times New Roman"/>
                <w:sz w:val="20"/>
                <w:szCs w:val="20"/>
              </w:rPr>
            </w:pPr>
            <w:r w:rsidRPr="000B5B60">
              <w:rPr>
                <w:rFonts w:ascii="Times New Roman" w:eastAsia="Times New Roman" w:hAnsi="Times New Roman" w:cs="Times New Roman"/>
                <w:sz w:val="20"/>
                <w:szCs w:val="20"/>
              </w:rPr>
              <w:t>instruction for English language learners and suggestions for teaching various types of learners.</w:t>
            </w:r>
          </w:p>
          <w:p w:rsidR="00D53761" w:rsidRPr="00D53761" w:rsidRDefault="00D53761" w:rsidP="00D53761">
            <w:pPr>
              <w:contextualSpacing/>
              <w:rPr>
                <w:rFonts w:ascii="Open Sans" w:hAnsi="Open Sans" w:cs="Open Sans"/>
                <w:sz w:val="20"/>
                <w:szCs w:val="20"/>
              </w:rPr>
            </w:pPr>
          </w:p>
        </w:tc>
      </w:tr>
      <w:tr w:rsidR="00D53761" w:rsidRPr="00D53761" w:rsidTr="008C353D">
        <w:trPr>
          <w:trHeight w:val="1376"/>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rsidR="00D53761" w:rsidRPr="00D53761" w:rsidRDefault="00160FB0" w:rsidP="00D53761">
            <w:pPr>
              <w:contextualSpacing/>
              <w:jc w:val="center"/>
              <w:rPr>
                <w:rFonts w:ascii="Open Sans" w:hAnsi="Open Sans" w:cs="Open Sans"/>
                <w:sz w:val="20"/>
                <w:szCs w:val="20"/>
              </w:rPr>
            </w:pPr>
            <w:r w:rsidRPr="00C647C3">
              <w:rPr>
                <w:rFonts w:ascii="Open Sans" w:hAnsi="Open Sans" w:cs="Open Sans"/>
                <w:b/>
                <w:sz w:val="20"/>
                <w:szCs w:val="20"/>
              </w:rPr>
              <w:t xml:space="preserve">2 </w:t>
            </w:r>
            <w:r w:rsidRPr="00D53761">
              <w:rPr>
                <w:rFonts w:ascii="Open Sans" w:hAnsi="Open Sans" w:cs="Open Sans"/>
                <w:sz w:val="20"/>
                <w:szCs w:val="20"/>
              </w:rPr>
              <w:t xml:space="preserve">     </w:t>
            </w:r>
            <w:r w:rsidRPr="00C647C3">
              <w:rPr>
                <w:rFonts w:ascii="Open Sans" w:hAnsi="Open Sans" w:cs="Open Sans"/>
                <w:sz w:val="20"/>
                <w:szCs w:val="20"/>
              </w:rPr>
              <w:t>1</w:t>
            </w:r>
            <w:r w:rsidRPr="00D53761">
              <w:rPr>
                <w:rFonts w:ascii="Open Sans" w:hAnsi="Open Sans" w:cs="Open Sans"/>
                <w:sz w:val="20"/>
                <w:szCs w:val="20"/>
              </w:rPr>
              <w:t xml:space="preserve">      0</w:t>
            </w:r>
          </w:p>
        </w:tc>
        <w:tc>
          <w:tcPr>
            <w:tcW w:w="2988" w:type="dxa"/>
          </w:tcPr>
          <w:p w:rsidR="00D53761" w:rsidRPr="00D53761" w:rsidRDefault="00C647C3" w:rsidP="00D53761">
            <w:pPr>
              <w:contextualSpacing/>
              <w:rPr>
                <w:rFonts w:ascii="Open Sans" w:hAnsi="Open Sans" w:cs="Open Sans"/>
                <w:sz w:val="20"/>
                <w:szCs w:val="20"/>
              </w:rPr>
            </w:pPr>
            <w:r>
              <w:rPr>
                <w:rFonts w:ascii="Open Sans" w:hAnsi="Open Sans" w:cs="Open Sans"/>
                <w:sz w:val="20"/>
                <w:szCs w:val="20"/>
              </w:rPr>
              <w:t>Materials are culturally sensitive</w:t>
            </w:r>
            <w:r w:rsidR="008B0008">
              <w:rPr>
                <w:rFonts w:ascii="Open Sans" w:hAnsi="Open Sans" w:cs="Open Sans"/>
                <w:sz w:val="20"/>
                <w:szCs w:val="20"/>
              </w:rPr>
              <w:t>; strive to present content, not beliefs, as evident in Global Law sections throughout the text</w:t>
            </w:r>
          </w:p>
        </w:tc>
      </w:tr>
    </w:tbl>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r w:rsidRPr="00D53761">
        <w:rPr>
          <w:rFonts w:ascii="Open Sans" w:hAnsi="Open Sans" w:cs="Open Sans"/>
          <w:sz w:val="20"/>
          <w:szCs w:val="20"/>
        </w:rPr>
        <w:br/>
      </w:r>
    </w:p>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II(5). ASSESSMENTS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8C353D">
        <w:trPr>
          <w:trHeight w:val="1502"/>
        </w:trPr>
        <w:tc>
          <w:tcPr>
            <w:tcW w:w="8730" w:type="dxa"/>
            <w:vAlign w:val="center"/>
          </w:tcPr>
          <w:p w:rsidR="00D53761" w:rsidRPr="00D53761" w:rsidRDefault="00D53761" w:rsidP="00D53761">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0C4990">
              <w:rPr>
                <w:rFonts w:ascii="Arial Black" w:hAnsi="Arial Black" w:cs="Open Sans"/>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160FB0" w:rsidP="00C647C3">
            <w:pPr>
              <w:contextualSpacing/>
              <w:rPr>
                <w:rFonts w:ascii="Open Sans" w:hAnsi="Open Sans" w:cs="Open Sans"/>
                <w:sz w:val="20"/>
                <w:szCs w:val="20"/>
              </w:rPr>
            </w:pPr>
            <w:r>
              <w:rPr>
                <w:rFonts w:ascii="Open Sans" w:hAnsi="Open Sans" w:cs="Open Sans"/>
                <w:sz w:val="20"/>
                <w:szCs w:val="20"/>
              </w:rPr>
              <w:t>Material include aligned assessments: Review &amp; Section Assessments, Section Quizzes, Vocabulary Builders, Self-Checks, Essays</w:t>
            </w:r>
            <w:r w:rsidR="00C647C3">
              <w:rPr>
                <w:rFonts w:ascii="Open Sans" w:hAnsi="Open Sans" w:cs="Open Sans"/>
                <w:sz w:val="20"/>
                <w:szCs w:val="20"/>
              </w:rPr>
              <w:t xml:space="preserve">) </w:t>
            </w:r>
          </w:p>
        </w:tc>
      </w:tr>
      <w:tr w:rsidR="00D53761" w:rsidRPr="00D53761" w:rsidTr="008C353D">
        <w:trPr>
          <w:trHeight w:val="1115"/>
        </w:trPr>
        <w:tc>
          <w:tcPr>
            <w:tcW w:w="8730" w:type="dxa"/>
            <w:vAlign w:val="center"/>
          </w:tcPr>
          <w:p w:rsidR="00D53761" w:rsidRPr="00D53761" w:rsidRDefault="00D53761"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rsidR="00D53761" w:rsidRPr="00D53761" w:rsidRDefault="00160FB0" w:rsidP="00D53761">
            <w:pPr>
              <w:contextualSpacing/>
              <w:jc w:val="center"/>
              <w:rPr>
                <w:rFonts w:ascii="Open Sans" w:hAnsi="Open Sans" w:cs="Open Sans"/>
                <w:sz w:val="20"/>
                <w:szCs w:val="20"/>
              </w:rPr>
            </w:pPr>
            <w:r w:rsidRPr="00160FB0">
              <w:rPr>
                <w:rFonts w:ascii="Arial Black" w:hAnsi="Arial Black" w:cs="Open Sans"/>
                <w:sz w:val="20"/>
                <w:szCs w:val="20"/>
              </w:rPr>
              <w:t>2</w:t>
            </w:r>
            <w:r w:rsidRPr="00D53761">
              <w:rPr>
                <w:rFonts w:ascii="Open Sans" w:hAnsi="Open Sans" w:cs="Open Sans"/>
                <w:sz w:val="20"/>
                <w:szCs w:val="20"/>
              </w:rPr>
              <w:t xml:space="preserve">      1      0</w:t>
            </w:r>
          </w:p>
        </w:tc>
        <w:tc>
          <w:tcPr>
            <w:tcW w:w="2988" w:type="dxa"/>
          </w:tcPr>
          <w:p w:rsidR="00D53761" w:rsidRDefault="00D53761" w:rsidP="00D53761">
            <w:pPr>
              <w:contextualSpacing/>
              <w:rPr>
                <w:rFonts w:ascii="Open Sans" w:hAnsi="Open Sans" w:cs="Open Sans"/>
                <w:sz w:val="20"/>
                <w:szCs w:val="20"/>
              </w:rPr>
            </w:pPr>
          </w:p>
          <w:p w:rsidR="00160FB0" w:rsidRPr="00D53761" w:rsidRDefault="00160FB0" w:rsidP="00160FB0">
            <w:pPr>
              <w:contextualSpacing/>
              <w:rPr>
                <w:rFonts w:ascii="Open Sans" w:hAnsi="Open Sans" w:cs="Open Sans"/>
                <w:sz w:val="20"/>
                <w:szCs w:val="20"/>
              </w:rPr>
            </w:pPr>
            <w:r>
              <w:rPr>
                <w:rFonts w:ascii="Open Sans" w:hAnsi="Open Sans" w:cs="Open Sans"/>
                <w:sz w:val="20"/>
                <w:szCs w:val="20"/>
              </w:rPr>
              <w:t xml:space="preserve">Formative (quizzes); Summative (End of the Chapter tests).  </w:t>
            </w:r>
          </w:p>
        </w:tc>
      </w:tr>
      <w:tr w:rsidR="00D53761" w:rsidRPr="00D53761" w:rsidTr="008C353D">
        <w:trPr>
          <w:trHeight w:val="1376"/>
        </w:trPr>
        <w:tc>
          <w:tcPr>
            <w:tcW w:w="8730" w:type="dxa"/>
            <w:vAlign w:val="center"/>
          </w:tcPr>
          <w:p w:rsidR="00D53761" w:rsidRPr="00D53761" w:rsidRDefault="00D53761"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8B0008">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8B0008" w:rsidP="00D53761">
            <w:pPr>
              <w:contextualSpacing/>
              <w:rPr>
                <w:rFonts w:ascii="Open Sans" w:hAnsi="Open Sans" w:cs="Open Sans"/>
                <w:sz w:val="20"/>
                <w:szCs w:val="20"/>
              </w:rPr>
            </w:pPr>
            <w:r>
              <w:rPr>
                <w:rFonts w:ascii="Open Sans" w:hAnsi="Open Sans" w:cs="Open Sans"/>
                <w:sz w:val="20"/>
                <w:szCs w:val="20"/>
              </w:rPr>
              <w:t>Materials include accommodations for diverse learners as noted in Extending the Content sessions.</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rsidTr="008C353D">
        <w:trPr>
          <w:trHeight w:val="395"/>
        </w:trPr>
        <w:tc>
          <w:tcPr>
            <w:tcW w:w="13158" w:type="dxa"/>
            <w:shd w:val="clear" w:color="auto" w:fill="F2F2F2" w:themeFill="background1" w:themeFillShade="F2"/>
          </w:tcPr>
          <w:p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rsidR="00D53761" w:rsidRPr="00D53761" w:rsidRDefault="00D53761" w:rsidP="00D53761">
            <w:pPr>
              <w:rPr>
                <w:rFonts w:ascii="Open Sans" w:hAnsi="Open Sans" w:cs="Open Sans"/>
                <w:b/>
                <w:sz w:val="20"/>
                <w:szCs w:val="20"/>
              </w:rPr>
            </w:pPr>
          </w:p>
          <w:p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rsidTr="008C353D">
        <w:trPr>
          <w:trHeight w:val="395"/>
        </w:trPr>
        <w:tc>
          <w:tcPr>
            <w:tcW w:w="8730" w:type="dxa"/>
            <w:shd w:val="thinReverseDiagStripe" w:color="D9D9D9" w:themeColor="background1" w:themeShade="D9" w:fill="auto"/>
            <w:vAlign w:val="center"/>
          </w:tcPr>
          <w:p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8C353D">
        <w:trPr>
          <w:trHeight w:val="1259"/>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rsidTr="008C353D">
        <w:trPr>
          <w:trHeight w:val="1115"/>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rsidTr="008C353D">
        <w:trPr>
          <w:trHeight w:val="395"/>
        </w:trPr>
        <w:tc>
          <w:tcPr>
            <w:tcW w:w="8730" w:type="dxa"/>
            <w:shd w:val="clear" w:color="auto" w:fill="F2F2F2" w:themeFill="background1" w:themeFillShade="F2"/>
            <w:vAlign w:val="center"/>
          </w:tcPr>
          <w:p w:rsidR="0078544F" w:rsidRDefault="0078544F" w:rsidP="00D53761">
            <w:pPr>
              <w:rPr>
                <w:rFonts w:ascii="Open Sans" w:eastAsia="Times New Roman" w:hAnsi="Open Sans" w:cs="Open Sans"/>
                <w:b/>
                <w:sz w:val="20"/>
                <w:szCs w:val="20"/>
              </w:rPr>
            </w:pPr>
          </w:p>
          <w:p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8C353D">
        <w:trPr>
          <w:trHeight w:val="1259"/>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i/>
                <w:sz w:val="20"/>
                <w:szCs w:val="20"/>
              </w:rPr>
            </w:pPr>
          </w:p>
        </w:tc>
      </w:tr>
      <w:tr w:rsidR="00D53761" w:rsidRPr="00D53761" w:rsidTr="000C4990">
        <w:trPr>
          <w:trHeight w:val="953"/>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sz w:val="20"/>
                <w:szCs w:val="20"/>
              </w:rPr>
            </w:pPr>
          </w:p>
        </w:tc>
      </w:tr>
    </w:tbl>
    <w:p w:rsidR="00D53761" w:rsidRPr="00D53761" w:rsidRDefault="00D53761" w:rsidP="00D53761">
      <w:pPr>
        <w:rPr>
          <w:rFonts w:ascii="Open Sans" w:hAnsi="Open Sans" w:cs="Open Sans"/>
          <w:sz w:val="20"/>
          <w:szCs w:val="20"/>
        </w:rPr>
      </w:pPr>
    </w:p>
    <w:sectPr w:rsidR="00D53761" w:rsidRPr="00D53761" w:rsidSect="00EC2E4B">
      <w:footerReference w:type="default" r:id="rId9"/>
      <w:pgSz w:w="15840" w:h="12240" w:orient="landscape"/>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72C" w:rsidRDefault="00E2472C" w:rsidP="00EC2E4B">
      <w:pPr>
        <w:spacing w:after="0" w:line="240" w:lineRule="auto"/>
      </w:pPr>
      <w:r>
        <w:separator/>
      </w:r>
    </w:p>
  </w:endnote>
  <w:endnote w:type="continuationSeparator" w:id="0">
    <w:p w:rsidR="00E2472C" w:rsidRDefault="00E2472C" w:rsidP="00EC2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609" w:rsidRDefault="006B4609">
    <w:pPr>
      <w:pStyle w:val="Footer"/>
    </w:pPr>
    <w:r>
      <w:t>McGraw-Hill_5892_Glencoe Bus&amp;Personal Law_9780021397228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72C" w:rsidRDefault="00E2472C" w:rsidP="00EC2E4B">
      <w:pPr>
        <w:spacing w:after="0" w:line="240" w:lineRule="auto"/>
      </w:pPr>
      <w:r>
        <w:separator/>
      </w:r>
    </w:p>
  </w:footnote>
  <w:footnote w:type="continuationSeparator" w:id="0">
    <w:p w:rsidR="00E2472C" w:rsidRDefault="00E2472C" w:rsidP="00EC2E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1"/>
  </w:num>
  <w:num w:numId="2">
    <w:abstractNumId w:val="3"/>
  </w:num>
  <w:num w:numId="3">
    <w:abstractNumId w:val="10"/>
  </w:num>
  <w:num w:numId="4">
    <w:abstractNumId w:val="4"/>
  </w:num>
  <w:num w:numId="5">
    <w:abstractNumId w:val="1"/>
  </w:num>
  <w:num w:numId="6">
    <w:abstractNumId w:val="12"/>
  </w:num>
  <w:num w:numId="7">
    <w:abstractNumId w:val="9"/>
  </w:num>
  <w:num w:numId="8">
    <w:abstractNumId w:val="13"/>
  </w:num>
  <w:num w:numId="9">
    <w:abstractNumId w:val="14"/>
  </w:num>
  <w:num w:numId="10">
    <w:abstractNumId w:val="6"/>
  </w:num>
  <w:num w:numId="11">
    <w:abstractNumId w:val="8"/>
  </w:num>
  <w:num w:numId="12">
    <w:abstractNumId w:val="2"/>
  </w:num>
  <w:num w:numId="13">
    <w:abstractNumId w:val="5"/>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42800"/>
    <w:rsid w:val="00072127"/>
    <w:rsid w:val="00072D12"/>
    <w:rsid w:val="000845EB"/>
    <w:rsid w:val="000B5B60"/>
    <w:rsid w:val="000C4990"/>
    <w:rsid w:val="000E3170"/>
    <w:rsid w:val="000F6110"/>
    <w:rsid w:val="00102F66"/>
    <w:rsid w:val="00115038"/>
    <w:rsid w:val="0011573F"/>
    <w:rsid w:val="001240CF"/>
    <w:rsid w:val="00124855"/>
    <w:rsid w:val="001455C2"/>
    <w:rsid w:val="001602D8"/>
    <w:rsid w:val="00160FB0"/>
    <w:rsid w:val="001A0833"/>
    <w:rsid w:val="001A3106"/>
    <w:rsid w:val="001B02DE"/>
    <w:rsid w:val="001B5E52"/>
    <w:rsid w:val="001E1225"/>
    <w:rsid w:val="001F558B"/>
    <w:rsid w:val="00226274"/>
    <w:rsid w:val="00250189"/>
    <w:rsid w:val="002710A8"/>
    <w:rsid w:val="00287BF4"/>
    <w:rsid w:val="002C10F0"/>
    <w:rsid w:val="002D0902"/>
    <w:rsid w:val="00301BBC"/>
    <w:rsid w:val="00307A2D"/>
    <w:rsid w:val="00357630"/>
    <w:rsid w:val="003965B7"/>
    <w:rsid w:val="003E1972"/>
    <w:rsid w:val="003F34F3"/>
    <w:rsid w:val="003F3D84"/>
    <w:rsid w:val="004079F5"/>
    <w:rsid w:val="00415672"/>
    <w:rsid w:val="00421523"/>
    <w:rsid w:val="0043492C"/>
    <w:rsid w:val="00465233"/>
    <w:rsid w:val="00473800"/>
    <w:rsid w:val="004C0FDD"/>
    <w:rsid w:val="00542089"/>
    <w:rsid w:val="005539BB"/>
    <w:rsid w:val="0055764A"/>
    <w:rsid w:val="00566311"/>
    <w:rsid w:val="00593379"/>
    <w:rsid w:val="005A0365"/>
    <w:rsid w:val="005A7152"/>
    <w:rsid w:val="005D7F02"/>
    <w:rsid w:val="005E68D4"/>
    <w:rsid w:val="00600D60"/>
    <w:rsid w:val="006240A2"/>
    <w:rsid w:val="00636339"/>
    <w:rsid w:val="00642569"/>
    <w:rsid w:val="006A1A1A"/>
    <w:rsid w:val="006A3B0A"/>
    <w:rsid w:val="006B2D51"/>
    <w:rsid w:val="006B3BAD"/>
    <w:rsid w:val="006B4609"/>
    <w:rsid w:val="006C2573"/>
    <w:rsid w:val="006D23A5"/>
    <w:rsid w:val="006D5A85"/>
    <w:rsid w:val="006D78B6"/>
    <w:rsid w:val="006F3C74"/>
    <w:rsid w:val="006F7C28"/>
    <w:rsid w:val="007107AA"/>
    <w:rsid w:val="007125FD"/>
    <w:rsid w:val="007157E1"/>
    <w:rsid w:val="00730420"/>
    <w:rsid w:val="007526C0"/>
    <w:rsid w:val="00753D2E"/>
    <w:rsid w:val="007728F3"/>
    <w:rsid w:val="00776378"/>
    <w:rsid w:val="0078544F"/>
    <w:rsid w:val="007A308E"/>
    <w:rsid w:val="007C21F4"/>
    <w:rsid w:val="007C50F5"/>
    <w:rsid w:val="00817A9F"/>
    <w:rsid w:val="00822B78"/>
    <w:rsid w:val="008316D1"/>
    <w:rsid w:val="00845BCB"/>
    <w:rsid w:val="00871B0B"/>
    <w:rsid w:val="008B0008"/>
    <w:rsid w:val="008B526F"/>
    <w:rsid w:val="008C4C6B"/>
    <w:rsid w:val="008C71E0"/>
    <w:rsid w:val="008C7DB3"/>
    <w:rsid w:val="008F0203"/>
    <w:rsid w:val="00911CDD"/>
    <w:rsid w:val="009164CB"/>
    <w:rsid w:val="00920FF6"/>
    <w:rsid w:val="009462B7"/>
    <w:rsid w:val="009627F9"/>
    <w:rsid w:val="00981326"/>
    <w:rsid w:val="009874D1"/>
    <w:rsid w:val="0099098B"/>
    <w:rsid w:val="00997413"/>
    <w:rsid w:val="009C2988"/>
    <w:rsid w:val="009C4162"/>
    <w:rsid w:val="009E3752"/>
    <w:rsid w:val="009E3D4C"/>
    <w:rsid w:val="00A33FED"/>
    <w:rsid w:val="00A50608"/>
    <w:rsid w:val="00AB444A"/>
    <w:rsid w:val="00AC3D2D"/>
    <w:rsid w:val="00AD3E23"/>
    <w:rsid w:val="00AE2DC2"/>
    <w:rsid w:val="00B0207A"/>
    <w:rsid w:val="00B13F5B"/>
    <w:rsid w:val="00B27D73"/>
    <w:rsid w:val="00B31E0B"/>
    <w:rsid w:val="00B32823"/>
    <w:rsid w:val="00B543A5"/>
    <w:rsid w:val="00B564D1"/>
    <w:rsid w:val="00B66C00"/>
    <w:rsid w:val="00B9770E"/>
    <w:rsid w:val="00C033C2"/>
    <w:rsid w:val="00C25F66"/>
    <w:rsid w:val="00C3750F"/>
    <w:rsid w:val="00C4526C"/>
    <w:rsid w:val="00C45DD5"/>
    <w:rsid w:val="00C46330"/>
    <w:rsid w:val="00C647C3"/>
    <w:rsid w:val="00C90203"/>
    <w:rsid w:val="00CC4C72"/>
    <w:rsid w:val="00CE0E61"/>
    <w:rsid w:val="00CE0E9C"/>
    <w:rsid w:val="00CE67D8"/>
    <w:rsid w:val="00CE6897"/>
    <w:rsid w:val="00CF1BC0"/>
    <w:rsid w:val="00D07B22"/>
    <w:rsid w:val="00D11A14"/>
    <w:rsid w:val="00D53761"/>
    <w:rsid w:val="00D73280"/>
    <w:rsid w:val="00D8449E"/>
    <w:rsid w:val="00DA2D67"/>
    <w:rsid w:val="00DE024E"/>
    <w:rsid w:val="00DF7998"/>
    <w:rsid w:val="00E22ED5"/>
    <w:rsid w:val="00E2472C"/>
    <w:rsid w:val="00E442F2"/>
    <w:rsid w:val="00E45E61"/>
    <w:rsid w:val="00E70F53"/>
    <w:rsid w:val="00EB1010"/>
    <w:rsid w:val="00EB2260"/>
    <w:rsid w:val="00EC2E4B"/>
    <w:rsid w:val="00ED3FD4"/>
    <w:rsid w:val="00EF5194"/>
    <w:rsid w:val="00F2687C"/>
    <w:rsid w:val="00F30CEA"/>
    <w:rsid w:val="00F54597"/>
    <w:rsid w:val="00F5550E"/>
    <w:rsid w:val="00F73D42"/>
    <w:rsid w:val="00FC5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6B1060-3BC2-4D6A-AD7F-5FB50008C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3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Header">
    <w:name w:val="header"/>
    <w:basedOn w:val="Normal"/>
    <w:link w:val="HeaderChar"/>
    <w:uiPriority w:val="99"/>
    <w:semiHidden/>
    <w:unhideWhenUsed/>
    <w:rsid w:val="00EC2E4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2E4B"/>
  </w:style>
  <w:style w:type="paragraph" w:styleId="Footer">
    <w:name w:val="footer"/>
    <w:basedOn w:val="Normal"/>
    <w:link w:val="FooterChar"/>
    <w:uiPriority w:val="99"/>
    <w:semiHidden/>
    <w:unhideWhenUsed/>
    <w:rsid w:val="00EC2E4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2E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8754618">
      <w:bodyDiv w:val="1"/>
      <w:marLeft w:val="0"/>
      <w:marRight w:val="0"/>
      <w:marTop w:val="0"/>
      <w:marBottom w:val="0"/>
      <w:divBdr>
        <w:top w:val="none" w:sz="0" w:space="0" w:color="auto"/>
        <w:left w:val="none" w:sz="0" w:space="0" w:color="auto"/>
        <w:bottom w:val="none" w:sz="0" w:space="0" w:color="auto"/>
        <w:right w:val="none" w:sz="0" w:space="0" w:color="auto"/>
      </w:divBdr>
      <w:divsChild>
        <w:div w:id="913589503">
          <w:marLeft w:val="0"/>
          <w:marRight w:val="0"/>
          <w:marTop w:val="0"/>
          <w:marBottom w:val="0"/>
          <w:divBdr>
            <w:top w:val="none" w:sz="0" w:space="0" w:color="auto"/>
            <w:left w:val="none" w:sz="0" w:space="0" w:color="auto"/>
            <w:bottom w:val="none" w:sz="0" w:space="0" w:color="auto"/>
            <w:right w:val="none" w:sz="0" w:space="0" w:color="auto"/>
          </w:divBdr>
        </w:div>
        <w:div w:id="2031443720">
          <w:marLeft w:val="0"/>
          <w:marRight w:val="0"/>
          <w:marTop w:val="0"/>
          <w:marBottom w:val="0"/>
          <w:divBdr>
            <w:top w:val="none" w:sz="0" w:space="0" w:color="auto"/>
            <w:left w:val="none" w:sz="0" w:space="0" w:color="auto"/>
            <w:bottom w:val="none" w:sz="0" w:space="0" w:color="auto"/>
            <w:right w:val="none" w:sz="0" w:space="0" w:color="auto"/>
          </w:divBdr>
        </w:div>
        <w:div w:id="1785688681">
          <w:marLeft w:val="0"/>
          <w:marRight w:val="0"/>
          <w:marTop w:val="0"/>
          <w:marBottom w:val="0"/>
          <w:divBdr>
            <w:top w:val="none" w:sz="0" w:space="0" w:color="auto"/>
            <w:left w:val="none" w:sz="0" w:space="0" w:color="auto"/>
            <w:bottom w:val="none" w:sz="0" w:space="0" w:color="auto"/>
            <w:right w:val="none" w:sz="0" w:space="0" w:color="auto"/>
          </w:divBdr>
        </w:div>
        <w:div w:id="11744137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E6B5C-162B-406B-B1C6-F6633B163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3871</Words>
  <Characters>22067</Characters>
  <Application>Microsoft Office Word</Application>
  <DocSecurity>4</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Candi Norwood</dc:creator>
  <cp:lastModifiedBy>Rachel Brew</cp:lastModifiedBy>
  <cp:revision>2</cp:revision>
  <cp:lastPrinted>2016-06-14T21:25:00Z</cp:lastPrinted>
  <dcterms:created xsi:type="dcterms:W3CDTF">2018-08-23T13:26:00Z</dcterms:created>
  <dcterms:modified xsi:type="dcterms:W3CDTF">2018-08-23T13:26:00Z</dcterms:modified>
</cp:coreProperties>
</file>