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D53761" w:rsidRDefault="00D53761" w:rsidP="00D53761">
      <w:pPr>
        <w:spacing w:after="0" w:line="240" w:lineRule="auto"/>
        <w:jc w:val="center"/>
        <w:rPr>
          <w:b/>
          <w:i/>
          <w:sz w:val="28"/>
        </w:rPr>
      </w:pPr>
      <w:r>
        <w:rPr>
          <w:noProof/>
        </w:rPr>
        <w:drawing>
          <wp:anchor distT="0" distB="0" distL="114300" distR="114300" simplePos="0" relativeHeight="251660288" behindDoc="0" locked="0" layoutInCell="1" allowOverlap="1">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anchor>
        </w:drawing>
      </w:r>
      <w:r w:rsidRPr="00D53761">
        <w:rPr>
          <w:b/>
          <w:sz w:val="28"/>
        </w:rPr>
        <w:t>TENNESSEE CAREER AND TECHNICAL EDUCATION TEXTBOOK SCREENING INSTRUMENT,</w:t>
      </w:r>
    </w:p>
    <w:p w:rsidR="00EF5194" w:rsidRPr="00EF5194" w:rsidRDefault="004E6690" w:rsidP="00EF5194">
      <w:pPr>
        <w:spacing w:after="0" w:line="240" w:lineRule="auto"/>
        <w:jc w:val="center"/>
        <w:rPr>
          <w:b/>
          <w:sz w:val="28"/>
        </w:rPr>
      </w:pPr>
      <w:r>
        <w:rPr>
          <w:b/>
          <w:sz w:val="28"/>
        </w:rPr>
        <w:t>ACCOUNTING</w:t>
      </w:r>
      <w:r w:rsidR="00EF5194" w:rsidRPr="00EF5194">
        <w:rPr>
          <w:b/>
          <w:sz w:val="28"/>
        </w:rPr>
        <w:t xml:space="preserve"> PROGRAM OF STUDY</w:t>
      </w:r>
    </w:p>
    <w:p w:rsidR="00EF5194" w:rsidRPr="00EF5194" w:rsidRDefault="004E6690" w:rsidP="00EF5194">
      <w:pPr>
        <w:spacing w:after="0" w:line="240" w:lineRule="auto"/>
        <w:jc w:val="center"/>
        <w:rPr>
          <w:b/>
          <w:sz w:val="28"/>
        </w:rPr>
      </w:pPr>
      <w:r>
        <w:rPr>
          <w:b/>
          <w:sz w:val="28"/>
        </w:rPr>
        <w:t>FINANCE</w:t>
      </w:r>
      <w:r w:rsidR="00EF5194" w:rsidRPr="00EF5194">
        <w:rPr>
          <w:b/>
          <w:sz w:val="28"/>
        </w:rPr>
        <w:t xml:space="preserve"> CAREER CLUSTER</w:t>
      </w:r>
    </w:p>
    <w:p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3176"/>
      </w:tblGrid>
      <w:tr w:rsidR="00D53761" w:rsidRPr="00D53761" w:rsidTr="004E6690">
        <w:tc>
          <w:tcPr>
            <w:tcW w:w="13176" w:type="dxa"/>
            <w:shd w:val="clear" w:color="auto" w:fill="F2F2F2" w:themeFill="background1" w:themeFillShade="F2"/>
          </w:tcPr>
          <w:p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rsidTr="004E6690">
        <w:tc>
          <w:tcPr>
            <w:tcW w:w="13176" w:type="dxa"/>
          </w:tcPr>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rsidR="00D53761" w:rsidRPr="00D53761" w:rsidRDefault="00D53761" w:rsidP="00D53761">
            <w:pPr>
              <w:rPr>
                <w:rFonts w:ascii="Open Sans" w:eastAsia="Times New Roman" w:hAnsi="Open Sans" w:cs="Open Sans"/>
                <w:sz w:val="18"/>
                <w:szCs w:val="18"/>
              </w:rPr>
            </w:pP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rsidR="00D53761" w:rsidRPr="00D53761" w:rsidRDefault="00D53761" w:rsidP="00D53761">
            <w:pPr>
              <w:rPr>
                <w:rFonts w:ascii="Open Sans" w:eastAsia="Times New Roman" w:hAnsi="Open Sans" w:cs="Open Sans"/>
                <w:b/>
                <w:sz w:val="18"/>
                <w:szCs w:val="18"/>
              </w:rPr>
            </w:pPr>
          </w:p>
          <w:p w:rsidR="00E70F53" w:rsidRPr="00E70F53" w:rsidRDefault="00115038"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INTRODUCTION TO BUSINESS &amp; MARKETING</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00E70F53" w:rsidRPr="00E70F53">
              <w:rPr>
                <w:rFonts w:ascii="Open Sans" w:eastAsia="Times New Roman" w:hAnsi="Open Sans" w:cs="Open Sans"/>
                <w:b/>
                <w:sz w:val="18"/>
                <w:szCs w:val="18"/>
              </w:rPr>
              <w:t xml:space="preserve">)                                      </w:t>
            </w:r>
          </w:p>
          <w:p w:rsidR="00115038" w:rsidRDefault="001A4FF2" w:rsidP="000845EB">
            <w:pPr>
              <w:spacing w:after="200" w:line="276" w:lineRule="auto"/>
              <w:rPr>
                <w:rFonts w:ascii="Open Sans" w:eastAsia="Times New Roman" w:hAnsi="Open Sans" w:cs="Open Sans"/>
                <w:b/>
                <w:sz w:val="18"/>
                <w:szCs w:val="18"/>
              </w:rPr>
            </w:pPr>
            <w:r w:rsidRPr="00F81825">
              <w:rPr>
                <w:rFonts w:ascii="Open Sans" w:eastAsia="Times New Roman" w:hAnsi="Open Sans" w:cs="Open Sans"/>
                <w:b/>
                <w:sz w:val="18"/>
                <w:szCs w:val="18"/>
                <w:highlight w:val="yellow"/>
              </w:rPr>
              <w:t>ACCOUNTING I</w:t>
            </w:r>
            <w:r w:rsidR="000845EB" w:rsidRPr="00F81825">
              <w:rPr>
                <w:rFonts w:ascii="Open Sans" w:eastAsia="Times New Roman" w:hAnsi="Open Sans" w:cs="Open Sans"/>
                <w:b/>
                <w:sz w:val="18"/>
                <w:szCs w:val="18"/>
                <w:highlight w:val="yellow"/>
              </w:rPr>
              <w:t xml:space="preserve"> (</w:t>
            </w:r>
            <w:r w:rsidRPr="00F81825">
              <w:rPr>
                <w:rFonts w:ascii="Open Sans" w:eastAsia="Times New Roman" w:hAnsi="Open Sans" w:cs="Open Sans"/>
                <w:b/>
                <w:sz w:val="18"/>
                <w:szCs w:val="18"/>
                <w:highlight w:val="yellow"/>
              </w:rPr>
              <w:t>5910</w:t>
            </w:r>
            <w:r w:rsidR="000845EB" w:rsidRPr="00F81825">
              <w:rPr>
                <w:rFonts w:ascii="Open Sans" w:eastAsia="Times New Roman" w:hAnsi="Open Sans" w:cs="Open Sans"/>
                <w:b/>
                <w:sz w:val="18"/>
                <w:szCs w:val="18"/>
                <w:highlight w:val="yellow"/>
              </w:rPr>
              <w:t>)</w:t>
            </w:r>
            <w:r w:rsidR="000845EB" w:rsidRPr="00E70F53">
              <w:rPr>
                <w:rFonts w:ascii="Open Sans" w:eastAsia="Times New Roman" w:hAnsi="Open Sans" w:cs="Open Sans"/>
                <w:b/>
                <w:sz w:val="18"/>
                <w:szCs w:val="18"/>
              </w:rPr>
              <w:t xml:space="preserve">        </w:t>
            </w:r>
          </w:p>
          <w:p w:rsidR="00C033C2" w:rsidRDefault="001A4FF2"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ACCOUNTING II</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(5911</w:t>
            </w:r>
            <w:r w:rsidR="000845EB" w:rsidRPr="00E70F53">
              <w:rPr>
                <w:rFonts w:ascii="Open Sans" w:eastAsia="Times New Roman" w:hAnsi="Open Sans" w:cs="Open Sans"/>
                <w:b/>
                <w:sz w:val="18"/>
                <w:szCs w:val="18"/>
              </w:rPr>
              <w:t xml:space="preserve">)         </w:t>
            </w:r>
          </w:p>
          <w:p w:rsidR="000845EB" w:rsidRPr="00E70F53" w:rsidRDefault="001A4FF2"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FINANCIAL PLANNING</w:t>
            </w:r>
            <w:r w:rsidR="0079761C">
              <w:rPr>
                <w:rFonts w:ascii="Open Sans" w:eastAsia="Times New Roman" w:hAnsi="Open Sans" w:cs="Open Sans"/>
                <w:b/>
                <w:sz w:val="18"/>
                <w:szCs w:val="18"/>
              </w:rPr>
              <w:t xml:space="preserve"> (6188</w:t>
            </w:r>
            <w:r w:rsidR="00C033C2">
              <w:rPr>
                <w:rFonts w:ascii="Open Sans" w:eastAsia="Times New Roman" w:hAnsi="Open Sans" w:cs="Open Sans"/>
                <w:b/>
                <w:sz w:val="18"/>
                <w:szCs w:val="18"/>
              </w:rPr>
              <w:t>)</w:t>
            </w:r>
            <w:r w:rsidR="000845EB" w:rsidRPr="00E70F53">
              <w:rPr>
                <w:rFonts w:ascii="Open Sans" w:eastAsia="Times New Roman" w:hAnsi="Open Sans" w:cs="Open Sans"/>
                <w:b/>
                <w:sz w:val="18"/>
                <w:szCs w:val="18"/>
              </w:rPr>
              <w:t xml:space="preserve">                             </w:t>
            </w:r>
          </w:p>
          <w:p w:rsidR="00D53761" w:rsidRPr="00D53761" w:rsidRDefault="00D53761" w:rsidP="00D53761">
            <w:pPr>
              <w:rPr>
                <w:rFonts w:ascii="Open Sans" w:eastAsia="Times New Roman" w:hAnsi="Open Sans" w:cs="Open Sans"/>
                <w:b/>
                <w:i/>
                <w:sz w:val="18"/>
                <w:szCs w:val="18"/>
              </w:rPr>
            </w:pPr>
          </w:p>
        </w:tc>
      </w:tr>
      <w:tr w:rsidR="004079F5" w:rsidRPr="00D53761" w:rsidTr="004E6690">
        <w:tc>
          <w:tcPr>
            <w:tcW w:w="13176" w:type="dxa"/>
          </w:tcPr>
          <w:p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3158"/>
      </w:tblGrid>
      <w:tr w:rsidR="00981326" w:rsidRPr="00D53761" w:rsidTr="00981326">
        <w:tc>
          <w:tcPr>
            <w:tcW w:w="13158" w:type="dxa"/>
            <w:shd w:val="clear" w:color="auto" w:fill="F2F2F2" w:themeFill="background1" w:themeFillShade="F2"/>
          </w:tcPr>
          <w:p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rsidTr="00981326">
        <w:tc>
          <w:tcPr>
            <w:tcW w:w="13158" w:type="dxa"/>
          </w:tcPr>
          <w:p w:rsidR="00981326" w:rsidRPr="00D53761" w:rsidRDefault="00981326" w:rsidP="00981326">
            <w:pPr>
              <w:rPr>
                <w:rFonts w:ascii="Open Sans" w:hAnsi="Open Sans" w:cs="Open Sans"/>
                <w:sz w:val="18"/>
                <w:szCs w:val="18"/>
              </w:rPr>
            </w:pPr>
          </w:p>
          <w:p w:rsidR="00981326" w:rsidRPr="00D53761" w:rsidRDefault="005D7F02" w:rsidP="00981326">
            <w:pPr>
              <w:rPr>
                <w:rFonts w:ascii="Open Sans" w:hAnsi="Open Sans" w:cs="Open Sans"/>
                <w:sz w:val="18"/>
                <w:szCs w:val="18"/>
              </w:rPr>
            </w:pPr>
            <w:r>
              <w:rPr>
                <w:rFonts w:ascii="Open Sans" w:hAnsi="Open Sans" w:cs="Open Sans"/>
                <w:sz w:val="18"/>
                <w:szCs w:val="18"/>
              </w:rPr>
              <w:t>Book Title and ISBN:</w:t>
            </w:r>
            <w:r w:rsidR="00981326" w:rsidRPr="00D53761">
              <w:rPr>
                <w:rFonts w:ascii="Open Sans" w:hAnsi="Open Sans" w:cs="Open Sans"/>
                <w:sz w:val="18"/>
                <w:szCs w:val="18"/>
              </w:rPr>
              <w:t xml:space="preserve"> ___</w:t>
            </w:r>
            <w:r w:rsidR="000E3170">
              <w:rPr>
                <w:rFonts w:ascii="Open Sans" w:hAnsi="Open Sans" w:cs="Open Sans"/>
                <w:sz w:val="18"/>
                <w:szCs w:val="18"/>
              </w:rPr>
              <w:t>_</w:t>
            </w:r>
            <w:r w:rsidR="0040229B">
              <w:rPr>
                <w:rFonts w:ascii="Open Sans" w:hAnsi="Open Sans" w:cs="Open Sans"/>
                <w:sz w:val="18"/>
                <w:szCs w:val="18"/>
              </w:rPr>
              <w:t xml:space="preserve">Glencoe Accounting I </w:t>
            </w:r>
            <w:r w:rsidR="000E3170">
              <w:rPr>
                <w:rFonts w:ascii="Open Sans" w:hAnsi="Open Sans" w:cs="Open Sans"/>
                <w:sz w:val="18"/>
                <w:szCs w:val="18"/>
              </w:rPr>
              <w:t>__</w:t>
            </w:r>
            <w:r w:rsidR="0040229B">
              <w:rPr>
                <w:rFonts w:ascii="Open Sans" w:hAnsi="Open Sans" w:cs="Open Sans"/>
                <w:sz w:val="18"/>
                <w:szCs w:val="18"/>
              </w:rPr>
              <w:t>978-0-02-140088-1</w:t>
            </w:r>
            <w:r w:rsidR="000E3170">
              <w:rPr>
                <w:rFonts w:ascii="Open Sans" w:hAnsi="Open Sans" w:cs="Open Sans"/>
                <w:sz w:val="18"/>
                <w:szCs w:val="18"/>
              </w:rPr>
              <w:t>______________</w:t>
            </w:r>
            <w:r w:rsidR="00981326" w:rsidRPr="00D53761">
              <w:rPr>
                <w:rFonts w:ascii="Open Sans" w:hAnsi="Open Sans" w:cs="Open Sans"/>
                <w:sz w:val="18"/>
                <w:szCs w:val="18"/>
              </w:rPr>
              <w:t xml:space="preserve"> Level(s)/Course(s): __</w:t>
            </w:r>
            <w:r w:rsidR="000E3170">
              <w:rPr>
                <w:rFonts w:ascii="Open Sans" w:hAnsi="Open Sans" w:cs="Open Sans"/>
                <w:sz w:val="18"/>
                <w:szCs w:val="18"/>
              </w:rPr>
              <w:t>___</w:t>
            </w:r>
            <w:r w:rsidR="0040229B">
              <w:rPr>
                <w:rFonts w:ascii="Open Sans" w:hAnsi="Open Sans" w:cs="Open Sans"/>
                <w:sz w:val="18"/>
                <w:szCs w:val="18"/>
              </w:rPr>
              <w:t>5910</w:t>
            </w:r>
            <w:r w:rsidR="000E3170">
              <w:rPr>
                <w:rFonts w:ascii="Open Sans" w:hAnsi="Open Sans" w:cs="Open Sans"/>
                <w:sz w:val="18"/>
                <w:szCs w:val="18"/>
              </w:rPr>
              <w:t>__________________</w:t>
            </w:r>
          </w:p>
          <w:p w:rsidR="00981326" w:rsidRPr="00D53761" w:rsidRDefault="00981326" w:rsidP="00981326">
            <w:pPr>
              <w:rPr>
                <w:rFonts w:ascii="Open Sans" w:hAnsi="Open Sans" w:cs="Open Sans"/>
                <w:sz w:val="18"/>
                <w:szCs w:val="18"/>
              </w:rPr>
            </w:pPr>
          </w:p>
          <w:p w:rsidR="00981326" w:rsidRPr="00D53761" w:rsidRDefault="00981326" w:rsidP="00981326">
            <w:pPr>
              <w:rPr>
                <w:rFonts w:ascii="Open Sans" w:hAnsi="Open Sans" w:cs="Open Sans"/>
                <w:sz w:val="18"/>
                <w:szCs w:val="18"/>
              </w:rPr>
            </w:pPr>
            <w:r w:rsidRPr="00D53761">
              <w:rPr>
                <w:rFonts w:ascii="Open Sans" w:hAnsi="Open Sans" w:cs="Open Sans"/>
                <w:sz w:val="18"/>
                <w:szCs w:val="18"/>
              </w:rPr>
              <w:t>Publisher: __</w:t>
            </w:r>
            <w:r w:rsidR="0040229B">
              <w:rPr>
                <w:rFonts w:ascii="Open Sans" w:hAnsi="Open Sans" w:cs="Open Sans"/>
                <w:sz w:val="18"/>
                <w:szCs w:val="18"/>
              </w:rPr>
              <w:t>________</w:t>
            </w:r>
            <w:r w:rsidRPr="00D53761">
              <w:rPr>
                <w:rFonts w:ascii="Open Sans" w:hAnsi="Open Sans" w:cs="Open Sans"/>
                <w:sz w:val="18"/>
                <w:szCs w:val="18"/>
              </w:rPr>
              <w:t>__</w:t>
            </w:r>
            <w:r w:rsidR="0040229B">
              <w:rPr>
                <w:rFonts w:ascii="Open Sans" w:hAnsi="Open Sans" w:cs="Open Sans"/>
                <w:sz w:val="18"/>
                <w:szCs w:val="18"/>
              </w:rPr>
              <w:t>McGraw-Hill School Education LLC</w:t>
            </w:r>
            <w:r w:rsidRPr="00D53761">
              <w:rPr>
                <w:rFonts w:ascii="Open Sans" w:hAnsi="Open Sans" w:cs="Open Sans"/>
                <w:sz w:val="18"/>
                <w:szCs w:val="18"/>
              </w:rPr>
              <w:t>_</w:t>
            </w:r>
            <w:r w:rsidR="000E3170">
              <w:rPr>
                <w:rFonts w:ascii="Open Sans" w:hAnsi="Open Sans" w:cs="Open Sans"/>
                <w:sz w:val="18"/>
                <w:szCs w:val="18"/>
              </w:rPr>
              <w:t>_______________</w:t>
            </w:r>
            <w:r w:rsidR="0040229B">
              <w:rPr>
                <w:rFonts w:ascii="Open Sans" w:hAnsi="Open Sans" w:cs="Open Sans"/>
                <w:sz w:val="18"/>
                <w:szCs w:val="18"/>
              </w:rPr>
              <w:t>_</w:t>
            </w:r>
            <w:r w:rsidRPr="00D53761">
              <w:rPr>
                <w:rFonts w:ascii="Open Sans" w:hAnsi="Open Sans" w:cs="Open Sans"/>
                <w:sz w:val="18"/>
                <w:szCs w:val="18"/>
              </w:rPr>
              <w:t xml:space="preserve">______ </w:t>
            </w:r>
            <w:r w:rsidR="005D7F02">
              <w:rPr>
                <w:rFonts w:ascii="Open Sans" w:hAnsi="Open Sans" w:cs="Open Sans"/>
                <w:sz w:val="18"/>
                <w:szCs w:val="18"/>
              </w:rPr>
              <w:t xml:space="preserve">Copyright </w:t>
            </w:r>
            <w:r w:rsidRPr="00D53761">
              <w:rPr>
                <w:rFonts w:ascii="Open Sans" w:hAnsi="Open Sans" w:cs="Open Sans"/>
                <w:sz w:val="18"/>
                <w:szCs w:val="18"/>
              </w:rPr>
              <w:t>Year: _____</w:t>
            </w:r>
            <w:r w:rsidR="000E3170">
              <w:rPr>
                <w:rFonts w:ascii="Open Sans" w:hAnsi="Open Sans" w:cs="Open Sans"/>
                <w:sz w:val="18"/>
                <w:szCs w:val="18"/>
              </w:rPr>
              <w:t>___</w:t>
            </w:r>
            <w:r w:rsidR="0040229B">
              <w:rPr>
                <w:rFonts w:ascii="Open Sans" w:hAnsi="Open Sans" w:cs="Open Sans"/>
                <w:sz w:val="18"/>
                <w:szCs w:val="18"/>
              </w:rPr>
              <w:t>2016_________________</w:t>
            </w:r>
            <w:r w:rsidR="000E3170">
              <w:rPr>
                <w:rFonts w:ascii="Open Sans" w:hAnsi="Open Sans" w:cs="Open Sans"/>
                <w:sz w:val="18"/>
                <w:szCs w:val="18"/>
              </w:rPr>
              <w:t>_</w:t>
            </w:r>
          </w:p>
          <w:p w:rsidR="00981326" w:rsidRPr="00D53761" w:rsidRDefault="00981326"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3158"/>
      </w:tblGrid>
      <w:tr w:rsidR="001A0833" w:rsidRPr="00D53761" w:rsidTr="001A0833">
        <w:tc>
          <w:tcPr>
            <w:tcW w:w="13158" w:type="dxa"/>
            <w:shd w:val="clear" w:color="auto" w:fill="F2F2F2" w:themeFill="background1" w:themeFillShade="F2"/>
          </w:tcPr>
          <w:p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rsidTr="00911CDD">
        <w:trPr>
          <w:trHeight w:val="1896"/>
        </w:trPr>
        <w:tc>
          <w:tcPr>
            <w:tcW w:w="13158" w:type="dxa"/>
          </w:tcPr>
          <w:p w:rsidR="0079761C" w:rsidRDefault="001A4FF2" w:rsidP="001A0833">
            <w:r>
              <w:t>Accounting</w:t>
            </w:r>
            <w:r w:rsidR="008F0203">
              <w:t xml:space="preserve"> </w:t>
            </w:r>
            <w:r w:rsidR="0079761C">
              <w:t xml:space="preserve">program of study is intended to prepare students </w:t>
            </w:r>
            <w:r>
              <w:t xml:space="preserve">for accounting careers, giving them an in-depth knowledge of accounting procedures and their applications to business operations. Students will be proficient in the use of spreadsheet and accounting software. </w:t>
            </w:r>
          </w:p>
          <w:p w:rsidR="0079761C" w:rsidRDefault="0079761C" w:rsidP="001A0833"/>
          <w:p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3158"/>
      </w:tblGrid>
      <w:tr w:rsidR="00911CDD" w:rsidRPr="00D53761" w:rsidTr="00911CDD">
        <w:tc>
          <w:tcPr>
            <w:tcW w:w="13158" w:type="dxa"/>
            <w:shd w:val="clear" w:color="auto" w:fill="F2F2F2" w:themeFill="background1" w:themeFillShade="F2"/>
          </w:tcPr>
          <w:p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rsidTr="00911CDD">
        <w:tc>
          <w:tcPr>
            <w:tcW w:w="13158" w:type="dxa"/>
          </w:tcPr>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rsidR="00911CDD" w:rsidRPr="00D53761" w:rsidRDefault="00911CDD" w:rsidP="00911CDD">
            <w:pPr>
              <w:rPr>
                <w:rFonts w:ascii="Open Sans" w:eastAsia="Times New Roman" w:hAnsi="Open Sans" w:cs="Open Sans"/>
                <w:sz w:val="18"/>
                <w:szCs w:val="18"/>
              </w:rPr>
            </w:pPr>
          </w:p>
        </w:tc>
      </w:tr>
    </w:tbl>
    <w:p w:rsidR="00D53761" w:rsidRPr="00D53761" w:rsidRDefault="00D53761" w:rsidP="00D53761">
      <w:pPr>
        <w:rPr>
          <w:rFonts w:ascii="Open Sans" w:hAnsi="Open Sans" w:cs="Open Sans"/>
          <w:sz w:val="20"/>
          <w:szCs w:val="20"/>
        </w:rPr>
      </w:pPr>
    </w:p>
    <w:p w:rsidR="00D53761" w:rsidRPr="00D53761" w:rsidRDefault="00D53761" w:rsidP="00D53761">
      <w:pPr>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I(1):</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rsidTr="004E6690">
              <w:trPr>
                <w:trHeight w:val="1007"/>
              </w:trPr>
              <w:tc>
                <w:tcPr>
                  <w:tcW w:w="3754" w:type="pct"/>
                  <w:shd w:val="clear" w:color="auto" w:fill="F2F2F2" w:themeFill="background1" w:themeFillShade="F2"/>
                  <w:vAlign w:val="center"/>
                </w:tcPr>
                <w:p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Yes __</w:t>
                  </w:r>
                  <w:r w:rsidR="009460EE">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4E6690">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w:t>
                  </w:r>
                  <w:r w:rsidR="00D11A14">
                    <w:rPr>
                      <w:rFonts w:ascii="Open Sans" w:hAnsi="Open Sans" w:cs="Open Sans"/>
                      <w:b/>
                      <w:sz w:val="20"/>
                      <w:szCs w:val="20"/>
                    </w:rPr>
                    <w:t>_</w:t>
                  </w:r>
                  <w:r w:rsidR="009460EE">
                    <w:rPr>
                      <w:rFonts w:ascii="Open Sans" w:hAnsi="Open Sans" w:cs="Open Sans"/>
                      <w:b/>
                      <w:sz w:val="20"/>
                      <w:szCs w:val="20"/>
                    </w:rPr>
                    <w:t>X</w:t>
                  </w:r>
                  <w:r w:rsidR="00D11A14">
                    <w:rPr>
                      <w:rFonts w:ascii="Open Sans" w:hAnsi="Open Sans" w:cs="Open Sans"/>
                      <w:b/>
                      <w:sz w:val="20"/>
                      <w:szCs w:val="20"/>
                    </w:rPr>
                    <w:t>__</w:t>
                  </w:r>
                </w:p>
              </w:tc>
              <w:tc>
                <w:tcPr>
                  <w:tcW w:w="619"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4E6690">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rsidR="00981326" w:rsidRPr="00D53761" w:rsidRDefault="00981326" w:rsidP="00642569">
                  <w:pPr>
                    <w:keepNext/>
                    <w:jc w:val="center"/>
                    <w:outlineLvl w:val="0"/>
                    <w:rPr>
                      <w:rFonts w:ascii="Open Sans" w:hAnsi="Open Sans" w:cs="Open Sans"/>
                      <w:b/>
                      <w:sz w:val="20"/>
                      <w:szCs w:val="20"/>
                    </w:rPr>
                  </w:pPr>
                  <w:r w:rsidRPr="00D53761">
                    <w:rPr>
                      <w:rFonts w:ascii="Open Sans" w:hAnsi="Open Sans" w:cs="Open Sans"/>
                      <w:b/>
                      <w:sz w:val="20"/>
                      <w:szCs w:val="20"/>
                    </w:rPr>
                    <w:t>Yes _</w:t>
                  </w:r>
                  <w:r w:rsidR="00642569">
                    <w:rPr>
                      <w:rFonts w:ascii="Open Sans" w:hAnsi="Open Sans" w:cs="Open Sans"/>
                      <w:b/>
                      <w:sz w:val="20"/>
                      <w:szCs w:val="20"/>
                    </w:rPr>
                    <w:t>_</w:t>
                  </w:r>
                  <w:r w:rsidR="009460EE">
                    <w:rPr>
                      <w:rFonts w:ascii="Open Sans" w:hAnsi="Open Sans" w:cs="Open Sans"/>
                      <w:b/>
                      <w:sz w:val="20"/>
                      <w:szCs w:val="20"/>
                    </w:rPr>
                    <w:t>X</w:t>
                  </w:r>
                  <w:r w:rsidRPr="00D53761">
                    <w:rPr>
                      <w:rFonts w:ascii="Open Sans" w:hAnsi="Open Sans" w:cs="Open Sans"/>
                      <w:b/>
                      <w:sz w:val="20"/>
                      <w:szCs w:val="20"/>
                    </w:rPr>
                    <w:t>_</w:t>
                  </w:r>
                  <w:r w:rsidR="00D11A14">
                    <w:rPr>
                      <w:rFonts w:ascii="Open Sans" w:hAnsi="Open Sans" w:cs="Open Sans"/>
                      <w:b/>
                      <w:sz w:val="20"/>
                      <w:szCs w:val="20"/>
                    </w:rPr>
                    <w:t>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rsidTr="004E6690">
              <w:trPr>
                <w:trHeight w:val="890"/>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9460EE">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981326">
        <w:trPr>
          <w:trHeight w:val="1075"/>
        </w:trPr>
        <w:tc>
          <w:tcPr>
            <w:tcW w:w="10548"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__</w:t>
            </w:r>
            <w:r w:rsidR="009460EE">
              <w:rPr>
                <w:rFonts w:ascii="Open Sans" w:hAnsi="Open Sans" w:cs="Open Sans"/>
                <w:b/>
                <w:sz w:val="20"/>
                <w:szCs w:val="20"/>
              </w:rPr>
              <w:t>X</w:t>
            </w:r>
            <w:r w:rsidRPr="00D53761">
              <w:rPr>
                <w:rFonts w:ascii="Open Sans" w:hAnsi="Open Sans" w:cs="Open Sans"/>
                <w:b/>
                <w:sz w:val="20"/>
                <w:szCs w:val="20"/>
              </w:rPr>
              <w:t>___     No 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981326">
        <w:trPr>
          <w:trHeight w:val="1612"/>
        </w:trPr>
        <w:tc>
          <w:tcPr>
            <w:tcW w:w="14109" w:type="dxa"/>
            <w:gridSpan w:val="2"/>
          </w:tcPr>
          <w:p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rsidR="0011573F" w:rsidRDefault="0011573F" w:rsidP="00981326">
            <w:pPr>
              <w:rPr>
                <w:rFonts w:ascii="Open Sans" w:hAnsi="Open Sans" w:cs="Open Sans"/>
                <w:b/>
                <w:sz w:val="20"/>
                <w:szCs w:val="20"/>
              </w:rPr>
            </w:pPr>
          </w:p>
          <w:p w:rsidR="0011573F" w:rsidRPr="00642569" w:rsidRDefault="00642569" w:rsidP="00CB4B30">
            <w:pPr>
              <w:rPr>
                <w:rFonts w:ascii="Open Sans" w:hAnsi="Open Sans" w:cs="Open Sans"/>
                <w:sz w:val="20"/>
                <w:szCs w:val="20"/>
              </w:rPr>
            </w:pPr>
            <w:r>
              <w:rPr>
                <w:rFonts w:ascii="Open Sans" w:hAnsi="Open Sans" w:cs="Open Sans"/>
                <w:sz w:val="20"/>
                <w:szCs w:val="20"/>
              </w:rPr>
              <w:t xml:space="preserve">This </w:t>
            </w:r>
            <w:r w:rsidR="00B355E2">
              <w:rPr>
                <w:rFonts w:ascii="Open Sans" w:hAnsi="Open Sans" w:cs="Open Sans"/>
                <w:sz w:val="20"/>
                <w:szCs w:val="20"/>
              </w:rPr>
              <w:t xml:space="preserve">textbook </w:t>
            </w:r>
            <w:r>
              <w:rPr>
                <w:rFonts w:ascii="Open Sans" w:hAnsi="Open Sans" w:cs="Open Sans"/>
                <w:sz w:val="20"/>
                <w:szCs w:val="20"/>
              </w:rPr>
              <w:t>meet</w:t>
            </w:r>
            <w:r w:rsidR="00B355E2">
              <w:rPr>
                <w:rFonts w:ascii="Open Sans" w:hAnsi="Open Sans" w:cs="Open Sans"/>
                <w:sz w:val="20"/>
                <w:szCs w:val="20"/>
              </w:rPr>
              <w:t>s</w:t>
            </w:r>
            <w:r>
              <w:rPr>
                <w:rFonts w:ascii="Open Sans" w:hAnsi="Open Sans" w:cs="Open Sans"/>
                <w:sz w:val="20"/>
                <w:szCs w:val="20"/>
              </w:rPr>
              <w:t xml:space="preserve"> the mandatory 80 percent alignment to course stan</w:t>
            </w:r>
            <w:r w:rsidR="009A23E4">
              <w:rPr>
                <w:rFonts w:ascii="Open Sans" w:hAnsi="Open Sans" w:cs="Open Sans"/>
                <w:sz w:val="20"/>
                <w:szCs w:val="20"/>
              </w:rPr>
              <w:t>dards for</w:t>
            </w:r>
            <w:r w:rsidR="00B355E2">
              <w:rPr>
                <w:rFonts w:ascii="Open Sans" w:hAnsi="Open Sans" w:cs="Open Sans"/>
                <w:sz w:val="20"/>
                <w:szCs w:val="20"/>
              </w:rPr>
              <w:t xml:space="preserve"> Accounting I</w:t>
            </w:r>
            <w:r>
              <w:rPr>
                <w:rFonts w:ascii="Open Sans" w:hAnsi="Open Sans" w:cs="Open Sans"/>
                <w:sz w:val="20"/>
                <w:szCs w:val="20"/>
              </w:rPr>
              <w:t>.</w:t>
            </w:r>
            <w:r w:rsidR="00B355E2">
              <w:rPr>
                <w:rFonts w:ascii="Open Sans" w:hAnsi="Open Sans" w:cs="Open Sans"/>
                <w:sz w:val="20"/>
                <w:szCs w:val="20"/>
              </w:rPr>
              <w:t xml:space="preserve">  Outstanding focus on content; Excellent </w:t>
            </w:r>
            <w:r w:rsidR="009460EE">
              <w:rPr>
                <w:rFonts w:ascii="Open Sans" w:hAnsi="Open Sans" w:cs="Open Sans"/>
                <w:sz w:val="20"/>
                <w:szCs w:val="20"/>
              </w:rPr>
              <w:t xml:space="preserve">examples &amp; </w:t>
            </w:r>
            <w:r w:rsidR="00B355E2">
              <w:rPr>
                <w:rFonts w:ascii="Open Sans" w:hAnsi="Open Sans" w:cs="Open Sans"/>
                <w:sz w:val="20"/>
                <w:szCs w:val="20"/>
              </w:rPr>
              <w:t xml:space="preserve">images to </w:t>
            </w:r>
            <w:r w:rsidR="00CB4B30">
              <w:rPr>
                <w:rFonts w:ascii="Open Sans" w:hAnsi="Open Sans" w:cs="Open Sans"/>
                <w:sz w:val="20"/>
                <w:szCs w:val="20"/>
              </w:rPr>
              <w:t>improve concept</w:t>
            </w:r>
            <w:r w:rsidR="00B355E2">
              <w:rPr>
                <w:rFonts w:ascii="Open Sans" w:hAnsi="Open Sans" w:cs="Open Sans"/>
                <w:sz w:val="20"/>
                <w:szCs w:val="20"/>
              </w:rPr>
              <w:t xml:space="preserve">.  </w:t>
            </w:r>
            <w:r w:rsidR="00CB4B30">
              <w:rPr>
                <w:rFonts w:ascii="Open Sans" w:hAnsi="Open Sans" w:cs="Open Sans"/>
                <w:sz w:val="20"/>
                <w:szCs w:val="20"/>
              </w:rPr>
              <w:t>Excellent Figures &amp; Tables.   Recommendation:</w:t>
            </w:r>
            <w:r w:rsidR="00B355E2">
              <w:rPr>
                <w:rFonts w:ascii="Open Sans" w:hAnsi="Open Sans" w:cs="Open Sans"/>
                <w:sz w:val="20"/>
                <w:szCs w:val="20"/>
              </w:rPr>
              <w:t xml:space="preserve"> </w:t>
            </w:r>
            <w:r w:rsidR="00CB4B30">
              <w:rPr>
                <w:rFonts w:ascii="Open Sans" w:hAnsi="Open Sans" w:cs="Open Sans"/>
                <w:sz w:val="20"/>
                <w:szCs w:val="20"/>
              </w:rPr>
              <w:t xml:space="preserve"> Please include </w:t>
            </w:r>
            <w:r w:rsidR="00B355E2">
              <w:rPr>
                <w:rFonts w:ascii="Open Sans" w:hAnsi="Open Sans" w:cs="Open Sans"/>
                <w:sz w:val="20"/>
                <w:szCs w:val="20"/>
              </w:rPr>
              <w:t xml:space="preserve">a </w:t>
            </w:r>
            <w:r w:rsidR="00CB4B30">
              <w:rPr>
                <w:rFonts w:ascii="Open Sans" w:hAnsi="Open Sans" w:cs="Open Sans"/>
                <w:sz w:val="20"/>
                <w:szCs w:val="20"/>
              </w:rPr>
              <w:t xml:space="preserve">detailed </w:t>
            </w:r>
            <w:r w:rsidR="00B355E2">
              <w:rPr>
                <w:rFonts w:ascii="Open Sans" w:hAnsi="Open Sans" w:cs="Open Sans"/>
                <w:sz w:val="20"/>
                <w:szCs w:val="20"/>
              </w:rPr>
              <w:t xml:space="preserve">Scope and Sequence </w:t>
            </w:r>
            <w:r w:rsidR="00CB4B30">
              <w:rPr>
                <w:rFonts w:ascii="Open Sans" w:hAnsi="Open Sans" w:cs="Open Sans"/>
                <w:sz w:val="20"/>
                <w:szCs w:val="20"/>
              </w:rPr>
              <w:t>as an additional</w:t>
            </w:r>
            <w:r w:rsidR="009460EE">
              <w:rPr>
                <w:rFonts w:ascii="Open Sans" w:hAnsi="Open Sans" w:cs="Open Sans"/>
                <w:sz w:val="20"/>
                <w:szCs w:val="20"/>
              </w:rPr>
              <w:t xml:space="preserve"> resource</w:t>
            </w:r>
            <w:r w:rsidR="00B355E2">
              <w:rPr>
                <w:rFonts w:ascii="Open Sans" w:hAnsi="Open Sans" w:cs="Open Sans"/>
                <w:sz w:val="20"/>
                <w:szCs w:val="20"/>
              </w:rPr>
              <w:t xml:space="preserve"> </w:t>
            </w:r>
          </w:p>
        </w:tc>
      </w:tr>
    </w:tbl>
    <w:p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rsidR="005D7F02" w:rsidRDefault="005D7F02" w:rsidP="00D53761">
      <w:pPr>
        <w:spacing w:after="0" w:line="240" w:lineRule="auto"/>
        <w:rPr>
          <w:rFonts w:ascii="Open Sans" w:eastAsia="Times New Roman" w:hAnsi="Open Sans" w:cs="Open Sans"/>
          <w:sz w:val="20"/>
          <w:szCs w:val="20"/>
        </w:rPr>
      </w:pPr>
    </w:p>
    <w:p w:rsidR="005D7F02" w:rsidRDefault="005D7F02" w:rsidP="00D53761">
      <w:pPr>
        <w:spacing w:after="0" w:line="240" w:lineRule="auto"/>
        <w:rPr>
          <w:rFonts w:ascii="Open Sans" w:eastAsia="Times New Roman" w:hAnsi="Open Sans" w:cs="Open Sans"/>
          <w:sz w:val="20"/>
          <w:szCs w:val="20"/>
        </w:rPr>
      </w:pPr>
    </w:p>
    <w:p w:rsidR="0040229B" w:rsidRDefault="0040229B" w:rsidP="00F30CEA">
      <w:pPr>
        <w:rPr>
          <w:rFonts w:ascii="Open Sans" w:eastAsia="Times New Roman" w:hAnsi="Open Sans" w:cs="Open Sans"/>
          <w:b/>
          <w:sz w:val="18"/>
          <w:szCs w:val="18"/>
        </w:rPr>
      </w:pPr>
    </w:p>
    <w:p w:rsidR="0040229B" w:rsidRDefault="0040229B" w:rsidP="00F30CEA">
      <w:pPr>
        <w:rPr>
          <w:rFonts w:ascii="Open Sans" w:eastAsia="Times New Roman" w:hAnsi="Open Sans" w:cs="Open Sans"/>
          <w:b/>
          <w:sz w:val="18"/>
          <w:szCs w:val="18"/>
        </w:rPr>
      </w:pPr>
    </w:p>
    <w:p w:rsidR="00F30CEA" w:rsidRDefault="001A4FF2" w:rsidP="00AB027A">
      <w:pPr>
        <w:spacing w:after="0" w:line="240" w:lineRule="auto"/>
        <w:rPr>
          <w:rFonts w:ascii="Open Sans" w:eastAsia="Times New Roman" w:hAnsi="Open Sans" w:cs="Open Sans"/>
          <w:b/>
          <w:sz w:val="18"/>
          <w:szCs w:val="18"/>
        </w:rPr>
      </w:pPr>
      <w:r>
        <w:rPr>
          <w:rFonts w:ascii="Open Sans" w:eastAsia="Times New Roman" w:hAnsi="Open Sans" w:cs="Open Sans"/>
          <w:b/>
          <w:sz w:val="18"/>
          <w:szCs w:val="18"/>
        </w:rPr>
        <w:t>ACCOUNTING I</w:t>
      </w:r>
      <w:r w:rsidR="00F30CEA"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(5910</w:t>
      </w:r>
      <w:r w:rsidR="00F30CEA" w:rsidRPr="00E70F53">
        <w:rPr>
          <w:rFonts w:ascii="Open Sans" w:eastAsia="Times New Roman" w:hAnsi="Open Sans" w:cs="Open Sans"/>
          <w:b/>
          <w:sz w:val="18"/>
          <w:szCs w:val="18"/>
        </w:rPr>
        <w:t xml:space="preserve">)     </w:t>
      </w:r>
    </w:p>
    <w:tbl>
      <w:tblPr>
        <w:tblStyle w:val="TableGrid"/>
        <w:tblW w:w="13428" w:type="dxa"/>
        <w:tblLook w:val="04A0" w:firstRow="1" w:lastRow="0" w:firstColumn="1" w:lastColumn="0" w:noHBand="0" w:noVBand="1"/>
      </w:tblPr>
      <w:tblGrid>
        <w:gridCol w:w="7555"/>
        <w:gridCol w:w="630"/>
        <w:gridCol w:w="630"/>
        <w:gridCol w:w="4613"/>
      </w:tblGrid>
      <w:tr w:rsidR="00F30CEA" w:rsidRPr="00F30CEA" w:rsidTr="007628D2">
        <w:tc>
          <w:tcPr>
            <w:tcW w:w="13428" w:type="dxa"/>
            <w:gridSpan w:val="4"/>
            <w:shd w:val="clear" w:color="auto" w:fill="F2F2F2" w:themeFill="background1" w:themeFillShade="F2"/>
          </w:tcPr>
          <w:p w:rsidR="00F30CEA" w:rsidRPr="00F30CEA" w:rsidRDefault="00F30CEA" w:rsidP="004E6690">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F30CEA" w:rsidTr="00D62A0C">
        <w:tc>
          <w:tcPr>
            <w:tcW w:w="7555" w:type="dxa"/>
            <w:shd w:val="clear" w:color="auto" w:fill="F2F2F2" w:themeFill="background1" w:themeFillShade="F2"/>
          </w:tcPr>
          <w:p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613" w:type="dxa"/>
          </w:tcPr>
          <w:p w:rsidR="00F30CEA" w:rsidRDefault="00F30CEA" w:rsidP="004E6690">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D62A0C">
        <w:tc>
          <w:tcPr>
            <w:tcW w:w="7555" w:type="dxa"/>
          </w:tcPr>
          <w:p w:rsidR="00F30CEA" w:rsidRPr="00F30CEA" w:rsidRDefault="001A4FF2" w:rsidP="00F30CEA">
            <w:pPr>
              <w:pStyle w:val="ListParagraph"/>
              <w:numPr>
                <w:ilvl w:val="0"/>
                <w:numId w:val="12"/>
              </w:numPr>
              <w:rPr>
                <w:rFonts w:ascii="Open Sans" w:eastAsia="Times New Roman" w:hAnsi="Open Sans" w:cs="Open Sans"/>
                <w:sz w:val="20"/>
                <w:szCs w:val="20"/>
              </w:rPr>
            </w:pPr>
            <w:r>
              <w:t>Define the role of accounting in business, and compare and contrast the various functions and roles of accountants and bookkeepers. Explain the importance of accounting in both for-profit and non-profit businesses.</w:t>
            </w:r>
          </w:p>
        </w:tc>
        <w:tc>
          <w:tcPr>
            <w:tcW w:w="630" w:type="dxa"/>
          </w:tcPr>
          <w:p w:rsidR="00F30CEA" w:rsidRDefault="00A32DD7"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613" w:type="dxa"/>
          </w:tcPr>
          <w:p w:rsidR="00F30CEA" w:rsidRDefault="00F92547" w:rsidP="004E6690">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r w:rsidR="004F3F83">
              <w:rPr>
                <w:rFonts w:ascii="Open Sans" w:eastAsia="Times New Roman" w:hAnsi="Open Sans" w:cs="Open Sans"/>
                <w:sz w:val="20"/>
                <w:szCs w:val="20"/>
              </w:rPr>
              <w:t>:</w:t>
            </w:r>
          </w:p>
          <w:p w:rsidR="004F3F83" w:rsidRDefault="004F3F83" w:rsidP="004E6690">
            <w:pPr>
              <w:rPr>
                <w:rFonts w:ascii="Open Sans" w:eastAsia="Times New Roman" w:hAnsi="Open Sans" w:cs="Open Sans"/>
                <w:sz w:val="20"/>
                <w:szCs w:val="20"/>
              </w:rPr>
            </w:pPr>
            <w:r>
              <w:rPr>
                <w:rFonts w:ascii="Open Sans" w:eastAsia="Times New Roman" w:hAnsi="Open Sans" w:cs="Open Sans"/>
                <w:sz w:val="20"/>
                <w:szCs w:val="20"/>
              </w:rPr>
              <w:t>Section 1.2 Accounting Careers (pp15-19)</w:t>
            </w:r>
          </w:p>
          <w:p w:rsidR="004F3F83" w:rsidRDefault="004F3F83" w:rsidP="004E6690">
            <w:pPr>
              <w:rPr>
                <w:rFonts w:ascii="Open Sans" w:eastAsia="Times New Roman" w:hAnsi="Open Sans" w:cs="Open Sans"/>
                <w:sz w:val="20"/>
                <w:szCs w:val="20"/>
              </w:rPr>
            </w:pPr>
            <w:r>
              <w:rPr>
                <w:rFonts w:ascii="Open Sans" w:eastAsia="Times New Roman" w:hAnsi="Open Sans" w:cs="Open Sans"/>
                <w:sz w:val="20"/>
                <w:szCs w:val="20"/>
              </w:rPr>
              <w:t>Real World (pp 25-26): Assessments</w:t>
            </w:r>
          </w:p>
        </w:tc>
      </w:tr>
      <w:tr w:rsidR="00F30CEA" w:rsidTr="00D62A0C">
        <w:tc>
          <w:tcPr>
            <w:tcW w:w="7555" w:type="dxa"/>
          </w:tcPr>
          <w:p w:rsidR="00F30CEA" w:rsidRPr="00F30CEA" w:rsidRDefault="001A4FF2" w:rsidP="00F30CEA">
            <w:pPr>
              <w:pStyle w:val="ListParagraph"/>
              <w:numPr>
                <w:ilvl w:val="0"/>
                <w:numId w:val="12"/>
              </w:numPr>
              <w:rPr>
                <w:rFonts w:ascii="Open Sans" w:eastAsia="Times New Roman" w:hAnsi="Open Sans" w:cs="Open Sans"/>
                <w:sz w:val="20"/>
                <w:szCs w:val="20"/>
              </w:rPr>
            </w:pPr>
            <w:r>
              <w:t>Drawing on research from sources such as the American Institute of Certified Public Accountants (AICPA) and the Bureau of Labor Statistics (BLS), identify the skills needed to succeed in accounting and finance-related fields. Using real-time labor market data, investigate opportunities for job growth in these fields. Take a career interest inventory to assess goals and aptitudes, and develop a career plan based on the results.</w:t>
            </w:r>
          </w:p>
        </w:tc>
        <w:tc>
          <w:tcPr>
            <w:tcW w:w="630" w:type="dxa"/>
          </w:tcPr>
          <w:p w:rsidR="00F30CEA" w:rsidRDefault="00A32DD7"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613" w:type="dxa"/>
          </w:tcPr>
          <w:p w:rsidR="00962CFC" w:rsidRDefault="00962CFC" w:rsidP="00962CFC">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962CFC" w:rsidRDefault="00962CFC" w:rsidP="00962CFC">
            <w:pPr>
              <w:rPr>
                <w:rFonts w:ascii="Open Sans" w:eastAsia="Times New Roman" w:hAnsi="Open Sans" w:cs="Open Sans"/>
                <w:sz w:val="20"/>
                <w:szCs w:val="20"/>
              </w:rPr>
            </w:pPr>
            <w:r>
              <w:rPr>
                <w:rFonts w:ascii="Open Sans" w:eastAsia="Times New Roman" w:hAnsi="Open Sans" w:cs="Open Sans"/>
                <w:sz w:val="20"/>
                <w:szCs w:val="20"/>
              </w:rPr>
              <w:t>Section 1.1 Exploring Careers (pp 7-13)</w:t>
            </w:r>
          </w:p>
          <w:p w:rsidR="00962CFC" w:rsidRDefault="0071376B" w:rsidP="00962CFC">
            <w:pPr>
              <w:rPr>
                <w:rFonts w:ascii="Open Sans" w:eastAsia="Times New Roman" w:hAnsi="Open Sans" w:cs="Open Sans"/>
                <w:sz w:val="20"/>
                <w:szCs w:val="20"/>
              </w:rPr>
            </w:pPr>
            <w:r>
              <w:rPr>
                <w:rFonts w:ascii="Open Sans" w:eastAsia="Times New Roman" w:hAnsi="Open Sans" w:cs="Open Sans"/>
                <w:sz w:val="20"/>
                <w:szCs w:val="20"/>
              </w:rPr>
              <w:t>Assessing Your Interests</w:t>
            </w:r>
            <w:r w:rsidR="007910BC">
              <w:rPr>
                <w:rFonts w:ascii="Open Sans" w:eastAsia="Times New Roman" w:hAnsi="Open Sans" w:cs="Open Sans"/>
                <w:sz w:val="20"/>
                <w:szCs w:val="20"/>
              </w:rPr>
              <w:t xml:space="preserve"> &amp; Skills</w:t>
            </w:r>
            <w:r>
              <w:rPr>
                <w:rFonts w:ascii="Open Sans" w:eastAsia="Times New Roman" w:hAnsi="Open Sans" w:cs="Open Sans"/>
                <w:sz w:val="20"/>
                <w:szCs w:val="20"/>
              </w:rPr>
              <w:t xml:space="preserve"> (p. 23)</w:t>
            </w:r>
          </w:p>
          <w:p w:rsidR="00F30CEA" w:rsidRDefault="00962CFC" w:rsidP="00962CFC">
            <w:pPr>
              <w:rPr>
                <w:rFonts w:ascii="Open Sans" w:eastAsia="Times New Roman" w:hAnsi="Open Sans" w:cs="Open Sans"/>
                <w:sz w:val="20"/>
                <w:szCs w:val="20"/>
              </w:rPr>
            </w:pPr>
            <w:r>
              <w:rPr>
                <w:rFonts w:ascii="Open Sans" w:eastAsia="Times New Roman" w:hAnsi="Open Sans" w:cs="Open Sans"/>
                <w:sz w:val="20"/>
                <w:szCs w:val="20"/>
              </w:rPr>
              <w:t>Real World (pp 25-26): Assessments</w:t>
            </w:r>
          </w:p>
        </w:tc>
      </w:tr>
      <w:tr w:rsidR="00F30CEA" w:rsidTr="00D62A0C">
        <w:tc>
          <w:tcPr>
            <w:tcW w:w="7555" w:type="dxa"/>
          </w:tcPr>
          <w:p w:rsidR="00F30CEA" w:rsidRPr="00F30CEA" w:rsidRDefault="001A4FF2" w:rsidP="00F30CEA">
            <w:pPr>
              <w:pStyle w:val="ListParagraph"/>
              <w:numPr>
                <w:ilvl w:val="0"/>
                <w:numId w:val="12"/>
              </w:numPr>
              <w:rPr>
                <w:rFonts w:ascii="Open Sans" w:eastAsia="Times New Roman" w:hAnsi="Open Sans" w:cs="Open Sans"/>
                <w:sz w:val="20"/>
                <w:szCs w:val="20"/>
              </w:rPr>
            </w:pPr>
            <w:r>
              <w:t>Research authentic vacancy announcements for accounting professionals on online job boards or the websites of major companies. Compare interests and skills from the career interest inventory with the requirements listed in job descriptions, such as education credentials and work experience. Based on the research, develop a profile of one such position, detailing what the typical work day, salary, and responsibilities of a chosen accounting professional look like in a given location and/or sector of the financial industry.</w:t>
            </w:r>
          </w:p>
        </w:tc>
        <w:tc>
          <w:tcPr>
            <w:tcW w:w="630" w:type="dxa"/>
          </w:tcPr>
          <w:p w:rsidR="00F30CEA" w:rsidRDefault="00A32DD7"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613" w:type="dxa"/>
          </w:tcPr>
          <w:p w:rsidR="00962CFC" w:rsidRDefault="00962CFC" w:rsidP="00962CFC">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71376B" w:rsidRDefault="0071376B" w:rsidP="0071376B">
            <w:pPr>
              <w:rPr>
                <w:rFonts w:ascii="Open Sans" w:eastAsia="Times New Roman" w:hAnsi="Open Sans" w:cs="Open Sans"/>
                <w:sz w:val="20"/>
                <w:szCs w:val="20"/>
              </w:rPr>
            </w:pPr>
            <w:r>
              <w:rPr>
                <w:rFonts w:ascii="Open Sans" w:eastAsia="Times New Roman" w:hAnsi="Open Sans" w:cs="Open Sans"/>
                <w:sz w:val="20"/>
                <w:szCs w:val="20"/>
              </w:rPr>
              <w:t>Researching Careers (p. 23)</w:t>
            </w:r>
          </w:p>
          <w:p w:rsidR="007910BC" w:rsidRDefault="007910BC" w:rsidP="0071376B">
            <w:pPr>
              <w:rPr>
                <w:rFonts w:ascii="Open Sans" w:eastAsia="Times New Roman" w:hAnsi="Open Sans" w:cs="Open Sans"/>
                <w:sz w:val="20"/>
                <w:szCs w:val="20"/>
              </w:rPr>
            </w:pPr>
            <w:r>
              <w:rPr>
                <w:rFonts w:ascii="Open Sans" w:eastAsia="Times New Roman" w:hAnsi="Open Sans" w:cs="Open Sans"/>
                <w:sz w:val="20"/>
                <w:szCs w:val="20"/>
              </w:rPr>
              <w:t>Summarizing Your Personal Traits (p. 24)</w:t>
            </w:r>
          </w:p>
          <w:p w:rsidR="008417B4" w:rsidRDefault="008417B4" w:rsidP="0071376B">
            <w:pPr>
              <w:rPr>
                <w:rFonts w:ascii="Open Sans" w:eastAsia="Times New Roman" w:hAnsi="Open Sans" w:cs="Open Sans"/>
                <w:sz w:val="20"/>
                <w:szCs w:val="20"/>
              </w:rPr>
            </w:pPr>
            <w:r>
              <w:rPr>
                <w:rFonts w:ascii="Open Sans" w:eastAsia="Times New Roman" w:hAnsi="Open Sans" w:cs="Open Sans"/>
                <w:sz w:val="20"/>
                <w:szCs w:val="20"/>
              </w:rPr>
              <w:t>Career Skills Handbook, pp C1-C7</w:t>
            </w:r>
          </w:p>
          <w:p w:rsidR="00F30CEA" w:rsidRDefault="00F30CEA" w:rsidP="006E29B8">
            <w:pPr>
              <w:rPr>
                <w:rFonts w:ascii="Open Sans" w:eastAsia="Times New Roman" w:hAnsi="Open Sans" w:cs="Open Sans"/>
                <w:sz w:val="20"/>
                <w:szCs w:val="20"/>
              </w:rPr>
            </w:pPr>
          </w:p>
        </w:tc>
      </w:tr>
      <w:tr w:rsidR="00F30CEA" w:rsidTr="00D62A0C">
        <w:tc>
          <w:tcPr>
            <w:tcW w:w="7555" w:type="dxa"/>
          </w:tcPr>
          <w:p w:rsidR="00F30CEA" w:rsidRPr="00F30CEA" w:rsidRDefault="001A4FF2" w:rsidP="00F30CEA">
            <w:pPr>
              <w:pStyle w:val="ListParagraph"/>
              <w:numPr>
                <w:ilvl w:val="0"/>
                <w:numId w:val="12"/>
              </w:numPr>
              <w:rPr>
                <w:rFonts w:ascii="Open Sans" w:eastAsia="Times New Roman" w:hAnsi="Open Sans" w:cs="Open Sans"/>
                <w:sz w:val="20"/>
                <w:szCs w:val="20"/>
              </w:rPr>
            </w:pPr>
            <w:r>
              <w:t>Define the double-entry accounting system. Examine the accounting equation and the rules of debit and credit. Categorize specific accounts (i.e., assets, liabilities, owner’s equity, etc.) and analyze the impact of simple transactions on the accounting equation.</w:t>
            </w:r>
          </w:p>
        </w:tc>
        <w:tc>
          <w:tcPr>
            <w:tcW w:w="630" w:type="dxa"/>
          </w:tcPr>
          <w:p w:rsidR="00F30CEA" w:rsidRDefault="00A32DD7"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613" w:type="dxa"/>
          </w:tcPr>
          <w:p w:rsidR="007910BC" w:rsidRDefault="007910BC" w:rsidP="007910BC">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F30CEA" w:rsidRDefault="006E29B8" w:rsidP="007910BC">
            <w:pPr>
              <w:rPr>
                <w:rFonts w:ascii="Open Sans" w:eastAsia="Times New Roman" w:hAnsi="Open Sans" w:cs="Open Sans"/>
                <w:sz w:val="20"/>
                <w:szCs w:val="20"/>
              </w:rPr>
            </w:pPr>
            <w:r>
              <w:rPr>
                <w:rFonts w:ascii="Open Sans" w:eastAsia="Times New Roman" w:hAnsi="Open Sans" w:cs="Open Sans"/>
                <w:sz w:val="20"/>
                <w:szCs w:val="20"/>
              </w:rPr>
              <w:t xml:space="preserve">Accounting Equation, p. 57 </w:t>
            </w:r>
          </w:p>
          <w:p w:rsidR="006E29B8" w:rsidRDefault="006E29B8" w:rsidP="007910BC">
            <w:pPr>
              <w:rPr>
                <w:rFonts w:ascii="Open Sans" w:eastAsia="Times New Roman" w:hAnsi="Open Sans" w:cs="Open Sans"/>
                <w:sz w:val="20"/>
                <w:szCs w:val="20"/>
              </w:rPr>
            </w:pPr>
            <w:r>
              <w:rPr>
                <w:rFonts w:ascii="Open Sans" w:eastAsia="Times New Roman" w:hAnsi="Open Sans" w:cs="Open Sans"/>
                <w:sz w:val="20"/>
                <w:szCs w:val="20"/>
              </w:rPr>
              <w:t>Main Idea (Double-entry), p. 80, 82-84</w:t>
            </w:r>
          </w:p>
          <w:p w:rsidR="00293E02" w:rsidRDefault="00293E02" w:rsidP="007910BC">
            <w:pPr>
              <w:rPr>
                <w:rFonts w:ascii="Open Sans" w:eastAsia="Times New Roman" w:hAnsi="Open Sans" w:cs="Open Sans"/>
                <w:sz w:val="20"/>
                <w:szCs w:val="20"/>
              </w:rPr>
            </w:pPr>
            <w:r>
              <w:rPr>
                <w:rFonts w:ascii="Open Sans" w:eastAsia="Times New Roman" w:hAnsi="Open Sans" w:cs="Open Sans"/>
                <w:sz w:val="20"/>
                <w:szCs w:val="20"/>
              </w:rPr>
              <w:t>The Chart of Accounts table (p. 82)</w:t>
            </w:r>
          </w:p>
          <w:p w:rsidR="006E29B8" w:rsidRDefault="006E29B8" w:rsidP="007910BC">
            <w:pPr>
              <w:rPr>
                <w:rFonts w:ascii="Open Sans" w:eastAsia="Times New Roman" w:hAnsi="Open Sans" w:cs="Open Sans"/>
                <w:sz w:val="20"/>
                <w:szCs w:val="20"/>
              </w:rPr>
            </w:pPr>
          </w:p>
        </w:tc>
      </w:tr>
      <w:tr w:rsidR="00F30CEA" w:rsidTr="00D62A0C">
        <w:tc>
          <w:tcPr>
            <w:tcW w:w="7555" w:type="dxa"/>
          </w:tcPr>
          <w:p w:rsidR="00F30CEA" w:rsidRPr="00F30CEA" w:rsidRDefault="001A4FF2" w:rsidP="00F30CEA">
            <w:pPr>
              <w:pStyle w:val="ListParagraph"/>
              <w:numPr>
                <w:ilvl w:val="0"/>
                <w:numId w:val="12"/>
              </w:numPr>
              <w:rPr>
                <w:rFonts w:ascii="Open Sans" w:eastAsia="Times New Roman" w:hAnsi="Open Sans" w:cs="Open Sans"/>
                <w:sz w:val="20"/>
                <w:szCs w:val="20"/>
              </w:rPr>
            </w:pPr>
            <w:r>
              <w:t>Using the fundamental steps of transaction analysis, demonstrate a thorough understanding of the accounting cycle by performing the following: a. Collect and analyze source documents, including invoices, receipts, memorandums, check stubs, and calculator tape b. Analyze each transaction c. Journalize each transaction and post to ledgers d. Prepare a trial balance and work sheet e. After journalizing, posting, and adjusting, prepare a post-closing trial balance f. Prepare financial statements (i.e., balance sheet, cash flow statement, income statement, change in equity statement, etc.) For example, review sample transactions presented either through source documents or in narrative form, then determine what accounts are affected and whether they increase or decrease as a result of the transaction. Classify the accounts as assets, liabilities, or owner’s (shareholders) equity, and create journal entries. Students should use both manual and computer based methods to develop accounting solutions in this course.</w:t>
            </w:r>
          </w:p>
        </w:tc>
        <w:tc>
          <w:tcPr>
            <w:tcW w:w="630" w:type="dxa"/>
          </w:tcPr>
          <w:p w:rsidR="00F30CEA" w:rsidRDefault="00A32DD7"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613" w:type="dxa"/>
          </w:tcPr>
          <w:p w:rsidR="007910BC" w:rsidRDefault="007910BC" w:rsidP="007910BC">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7910BC" w:rsidRDefault="008A0F17" w:rsidP="007910BC">
            <w:pPr>
              <w:rPr>
                <w:rFonts w:ascii="Open Sans" w:eastAsia="Times New Roman" w:hAnsi="Open Sans" w:cs="Open Sans"/>
                <w:sz w:val="20"/>
                <w:szCs w:val="20"/>
              </w:rPr>
            </w:pPr>
            <w:r>
              <w:rPr>
                <w:rFonts w:ascii="Open Sans" w:eastAsia="Times New Roman" w:hAnsi="Open Sans" w:cs="Open Sans"/>
                <w:sz w:val="20"/>
                <w:szCs w:val="20"/>
              </w:rPr>
              <w:t>Steps in Account Cycle (pp 85, 86</w:t>
            </w:r>
            <w:r w:rsidR="007910BC">
              <w:rPr>
                <w:rFonts w:ascii="Open Sans" w:eastAsia="Times New Roman" w:hAnsi="Open Sans" w:cs="Open Sans"/>
                <w:sz w:val="20"/>
                <w:szCs w:val="20"/>
              </w:rPr>
              <w:t>)</w:t>
            </w:r>
          </w:p>
          <w:p w:rsidR="00F30CEA" w:rsidRDefault="008A0F17" w:rsidP="007910BC">
            <w:pPr>
              <w:rPr>
                <w:rFonts w:ascii="Open Sans" w:eastAsia="Times New Roman" w:hAnsi="Open Sans" w:cs="Open Sans"/>
                <w:sz w:val="20"/>
                <w:szCs w:val="20"/>
              </w:rPr>
            </w:pPr>
            <w:r>
              <w:rPr>
                <w:rFonts w:ascii="Open Sans" w:eastAsia="Times New Roman" w:hAnsi="Open Sans" w:cs="Open Sans"/>
                <w:sz w:val="20"/>
                <w:szCs w:val="20"/>
              </w:rPr>
              <w:t xml:space="preserve">Figure 6-2 </w:t>
            </w:r>
            <w:r w:rsidR="007910BC">
              <w:rPr>
                <w:rFonts w:ascii="Open Sans" w:eastAsia="Times New Roman" w:hAnsi="Open Sans" w:cs="Open Sans"/>
                <w:sz w:val="20"/>
                <w:szCs w:val="20"/>
              </w:rPr>
              <w:t>S</w:t>
            </w:r>
            <w:r>
              <w:rPr>
                <w:rFonts w:ascii="Open Sans" w:eastAsia="Times New Roman" w:hAnsi="Open Sans" w:cs="Open Sans"/>
                <w:sz w:val="20"/>
                <w:szCs w:val="20"/>
              </w:rPr>
              <w:t>ource Documents</w:t>
            </w:r>
          </w:p>
          <w:p w:rsidR="008A0F17" w:rsidRDefault="008A0F17" w:rsidP="007910BC">
            <w:pPr>
              <w:rPr>
                <w:rFonts w:ascii="Open Sans" w:eastAsia="Times New Roman" w:hAnsi="Open Sans" w:cs="Open Sans"/>
                <w:sz w:val="20"/>
                <w:szCs w:val="20"/>
              </w:rPr>
            </w:pPr>
            <w:r>
              <w:rPr>
                <w:rFonts w:ascii="Open Sans" w:eastAsia="Times New Roman" w:hAnsi="Open Sans" w:cs="Open Sans"/>
                <w:sz w:val="20"/>
                <w:szCs w:val="20"/>
              </w:rPr>
              <w:t>Journalizing &amp; Posting Transactions</w:t>
            </w:r>
          </w:p>
          <w:p w:rsidR="008A0F17" w:rsidRDefault="008A0F17" w:rsidP="007910BC">
            <w:pPr>
              <w:rPr>
                <w:rFonts w:ascii="Open Sans" w:eastAsia="Times New Roman" w:hAnsi="Open Sans" w:cs="Open Sans"/>
                <w:sz w:val="20"/>
                <w:szCs w:val="20"/>
              </w:rPr>
            </w:pPr>
            <w:r>
              <w:rPr>
                <w:rFonts w:ascii="Open Sans" w:eastAsia="Times New Roman" w:hAnsi="Open Sans" w:cs="Open Sans"/>
                <w:sz w:val="20"/>
                <w:szCs w:val="20"/>
              </w:rPr>
              <w:t>Real World Business Connection, p. 220</w:t>
            </w:r>
          </w:p>
          <w:p w:rsidR="008A0F17" w:rsidRDefault="008A0F17" w:rsidP="007910BC">
            <w:pPr>
              <w:rPr>
                <w:rFonts w:ascii="Open Sans" w:eastAsia="Times New Roman" w:hAnsi="Open Sans" w:cs="Open Sans"/>
                <w:sz w:val="20"/>
                <w:szCs w:val="20"/>
              </w:rPr>
            </w:pPr>
            <w:r>
              <w:rPr>
                <w:rFonts w:ascii="Open Sans" w:eastAsia="Times New Roman" w:hAnsi="Open Sans" w:cs="Open Sans"/>
                <w:sz w:val="20"/>
                <w:szCs w:val="20"/>
              </w:rPr>
              <w:t>Financial Statements (4 Types)</w:t>
            </w:r>
            <w:r w:rsidR="00260E30">
              <w:rPr>
                <w:rFonts w:ascii="Open Sans" w:eastAsia="Times New Roman" w:hAnsi="Open Sans" w:cs="Open Sans"/>
                <w:sz w:val="20"/>
                <w:szCs w:val="20"/>
              </w:rPr>
              <w:t>, p. 223</w:t>
            </w:r>
          </w:p>
          <w:p w:rsidR="008A0F17" w:rsidRDefault="00260E30" w:rsidP="007910BC">
            <w:pPr>
              <w:rPr>
                <w:rFonts w:ascii="Open Sans" w:eastAsia="Times New Roman" w:hAnsi="Open Sans" w:cs="Open Sans"/>
                <w:sz w:val="20"/>
                <w:szCs w:val="20"/>
              </w:rPr>
            </w:pPr>
            <w:r>
              <w:rPr>
                <w:rFonts w:ascii="Open Sans" w:eastAsia="Times New Roman" w:hAnsi="Open Sans" w:cs="Open Sans"/>
                <w:sz w:val="20"/>
                <w:szCs w:val="20"/>
              </w:rPr>
              <w:t>The Income Statement, p. 224-226</w:t>
            </w:r>
          </w:p>
          <w:p w:rsidR="008A0F17" w:rsidRDefault="008A0F17" w:rsidP="007910BC">
            <w:pPr>
              <w:rPr>
                <w:rFonts w:ascii="Open Sans" w:eastAsia="Times New Roman" w:hAnsi="Open Sans" w:cs="Open Sans"/>
                <w:sz w:val="20"/>
                <w:szCs w:val="20"/>
              </w:rPr>
            </w:pPr>
            <w:r>
              <w:rPr>
                <w:rFonts w:ascii="Open Sans" w:eastAsia="Times New Roman" w:hAnsi="Open Sans" w:cs="Open Sans"/>
                <w:sz w:val="20"/>
                <w:szCs w:val="20"/>
              </w:rPr>
              <w:t>The Balance Sheet</w:t>
            </w:r>
            <w:r w:rsidR="00060868">
              <w:rPr>
                <w:rFonts w:ascii="Open Sans" w:eastAsia="Times New Roman" w:hAnsi="Open Sans" w:cs="Open Sans"/>
                <w:sz w:val="20"/>
                <w:szCs w:val="20"/>
              </w:rPr>
              <w:t>, p. 233</w:t>
            </w:r>
          </w:p>
          <w:p w:rsidR="00060868" w:rsidRDefault="00060868" w:rsidP="007910BC">
            <w:pPr>
              <w:rPr>
                <w:rFonts w:ascii="Open Sans" w:eastAsia="Times New Roman" w:hAnsi="Open Sans" w:cs="Open Sans"/>
                <w:sz w:val="20"/>
                <w:szCs w:val="20"/>
              </w:rPr>
            </w:pPr>
            <w:r>
              <w:rPr>
                <w:rFonts w:ascii="Open Sans" w:eastAsia="Times New Roman" w:hAnsi="Open Sans" w:cs="Open Sans"/>
                <w:sz w:val="20"/>
                <w:szCs w:val="20"/>
              </w:rPr>
              <w:t>The Cash Flow Statement, p. 237</w:t>
            </w:r>
          </w:p>
          <w:p w:rsidR="00060868" w:rsidRDefault="00060868" w:rsidP="007910BC">
            <w:pPr>
              <w:rPr>
                <w:rFonts w:ascii="Open Sans" w:eastAsia="Times New Roman" w:hAnsi="Open Sans" w:cs="Open Sans"/>
                <w:sz w:val="20"/>
                <w:szCs w:val="20"/>
              </w:rPr>
            </w:pPr>
            <w:r>
              <w:rPr>
                <w:rFonts w:ascii="Open Sans" w:eastAsia="Times New Roman" w:hAnsi="Open Sans" w:cs="Open Sans"/>
                <w:sz w:val="20"/>
                <w:szCs w:val="20"/>
              </w:rPr>
              <w:t xml:space="preserve">Assessments, p. 239 </w:t>
            </w:r>
          </w:p>
        </w:tc>
      </w:tr>
      <w:tr w:rsidR="00F30CEA" w:rsidTr="00D62A0C">
        <w:tc>
          <w:tcPr>
            <w:tcW w:w="7555" w:type="dxa"/>
          </w:tcPr>
          <w:p w:rsidR="00F30CEA" w:rsidRPr="00F30CEA" w:rsidRDefault="001A4FF2" w:rsidP="00F30CEA">
            <w:pPr>
              <w:pStyle w:val="ListParagraph"/>
              <w:numPr>
                <w:ilvl w:val="0"/>
                <w:numId w:val="12"/>
              </w:numPr>
              <w:rPr>
                <w:rFonts w:ascii="Open Sans" w:eastAsia="Times New Roman" w:hAnsi="Open Sans" w:cs="Open Sans"/>
                <w:sz w:val="20"/>
                <w:szCs w:val="20"/>
              </w:rPr>
            </w:pPr>
            <w:r>
              <w:t>Outline the major stages of the merchandising business cycle and review inventory control and payment terms (i.e., just-in-time [JIT] inventory, cash, trade, quantity, seasonal discounts, etc.). While examining the financial records of a business, determine the cost of merchandise inventory and cost of merchandise sold for a given range of products in a specified time period, analyzing the impact on business profitability. For example, perform simple “what if” analysis to determine the range of profitability, based on changing variables of the cost of merchandise sold and merchandise inventory in relationship to operating costs, such as salaries, equipment, supplies, and overhead.</w:t>
            </w:r>
          </w:p>
        </w:tc>
        <w:tc>
          <w:tcPr>
            <w:tcW w:w="630" w:type="dxa"/>
          </w:tcPr>
          <w:p w:rsidR="00F30CEA" w:rsidRDefault="00A32DD7"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613" w:type="dxa"/>
          </w:tcPr>
          <w:p w:rsidR="00E83135" w:rsidRDefault="00E83135" w:rsidP="00E83135">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E83135" w:rsidRDefault="000573D4" w:rsidP="00E83135">
            <w:pPr>
              <w:rPr>
                <w:rFonts w:ascii="Open Sans" w:eastAsia="Times New Roman" w:hAnsi="Open Sans" w:cs="Open Sans"/>
                <w:sz w:val="20"/>
                <w:szCs w:val="20"/>
              </w:rPr>
            </w:pPr>
            <w:r>
              <w:rPr>
                <w:rFonts w:ascii="Open Sans" w:eastAsia="Times New Roman" w:hAnsi="Open Sans" w:cs="Open Sans"/>
                <w:sz w:val="20"/>
                <w:szCs w:val="20"/>
              </w:rPr>
              <w:t>Real World Business Connection: Ford Motor Company, p. 728</w:t>
            </w:r>
          </w:p>
          <w:p w:rsidR="00F30CEA" w:rsidRDefault="000573D4" w:rsidP="00E83135">
            <w:pPr>
              <w:rPr>
                <w:rFonts w:ascii="Open Sans" w:eastAsia="Times New Roman" w:hAnsi="Open Sans" w:cs="Open Sans"/>
                <w:sz w:val="20"/>
                <w:szCs w:val="20"/>
              </w:rPr>
            </w:pPr>
            <w:r>
              <w:rPr>
                <w:rFonts w:ascii="Open Sans" w:eastAsia="Times New Roman" w:hAnsi="Open Sans" w:cs="Open Sans"/>
                <w:sz w:val="20"/>
                <w:szCs w:val="20"/>
              </w:rPr>
              <w:t xml:space="preserve">Determining Inventory Quantity, Costs, &amp; Methods , pp 731-733; </w:t>
            </w:r>
            <w:r w:rsidR="00BD2346">
              <w:rPr>
                <w:rFonts w:ascii="Open Sans" w:eastAsia="Times New Roman" w:hAnsi="Open Sans" w:cs="Open Sans"/>
                <w:sz w:val="20"/>
                <w:szCs w:val="20"/>
              </w:rPr>
              <w:t xml:space="preserve">735-736; </w:t>
            </w:r>
            <w:r>
              <w:rPr>
                <w:rFonts w:ascii="Open Sans" w:eastAsia="Times New Roman" w:hAnsi="Open Sans" w:cs="Open Sans"/>
                <w:sz w:val="20"/>
                <w:szCs w:val="20"/>
              </w:rPr>
              <w:t>739-741</w:t>
            </w:r>
          </w:p>
          <w:p w:rsidR="000573D4" w:rsidRDefault="000573D4" w:rsidP="00E83135">
            <w:pPr>
              <w:rPr>
                <w:rFonts w:ascii="Open Sans" w:eastAsia="Times New Roman" w:hAnsi="Open Sans" w:cs="Open Sans"/>
                <w:sz w:val="20"/>
                <w:szCs w:val="20"/>
              </w:rPr>
            </w:pPr>
            <w:r>
              <w:rPr>
                <w:rFonts w:ascii="Open Sans" w:eastAsia="Times New Roman" w:hAnsi="Open Sans" w:cs="Open Sans"/>
                <w:sz w:val="20"/>
                <w:szCs w:val="20"/>
              </w:rPr>
              <w:t xml:space="preserve">Outstanding Figures 25-1, 25-2, 25-3 </w:t>
            </w:r>
          </w:p>
          <w:p w:rsidR="000573D4" w:rsidRDefault="00BD2346" w:rsidP="00E83135">
            <w:pPr>
              <w:rPr>
                <w:rFonts w:ascii="Open Sans" w:eastAsia="Times New Roman" w:hAnsi="Open Sans" w:cs="Open Sans"/>
                <w:sz w:val="20"/>
                <w:szCs w:val="20"/>
              </w:rPr>
            </w:pPr>
            <w:r>
              <w:rPr>
                <w:rFonts w:ascii="Open Sans" w:eastAsia="Times New Roman" w:hAnsi="Open Sans" w:cs="Open Sans"/>
                <w:sz w:val="20"/>
                <w:szCs w:val="20"/>
              </w:rPr>
              <w:t xml:space="preserve">FIFO Chart, p. 735; LIFO Chart, p. 736 </w:t>
            </w:r>
            <w:r w:rsidR="000573D4">
              <w:rPr>
                <w:rFonts w:ascii="Open Sans" w:eastAsia="Times New Roman" w:hAnsi="Open Sans" w:cs="Open Sans"/>
                <w:sz w:val="20"/>
                <w:szCs w:val="20"/>
              </w:rPr>
              <w:t>Comparison Chart, p. 739</w:t>
            </w:r>
          </w:p>
        </w:tc>
      </w:tr>
      <w:tr w:rsidR="001B5E52" w:rsidTr="00D62A0C">
        <w:tc>
          <w:tcPr>
            <w:tcW w:w="7555" w:type="dxa"/>
          </w:tcPr>
          <w:p w:rsidR="001B5E52" w:rsidRDefault="001A4FF2" w:rsidP="00F30CEA">
            <w:pPr>
              <w:pStyle w:val="ListParagraph"/>
              <w:numPr>
                <w:ilvl w:val="0"/>
                <w:numId w:val="12"/>
              </w:numPr>
            </w:pPr>
            <w:r>
              <w:t>Examine financial statements and analyze the effects of changing revenue and expenses on net income and assets. Identify trends within a company’s financial information and compare and contrast present performance to past performance, as well as to industry competitors and overall averages. Evaluate the impact of basic changes in current assets, liabilities, revenues, and net income on liquidity and profitability. For example, an increase in the cash in bank account will drive an increase in the current and quick ratios (liquidity) of a company. Based on the analysis, develop business strategies to improve liquidity and profitability.</w:t>
            </w:r>
          </w:p>
        </w:tc>
        <w:tc>
          <w:tcPr>
            <w:tcW w:w="630" w:type="dxa"/>
          </w:tcPr>
          <w:p w:rsidR="001B5E52" w:rsidRDefault="00A32DD7"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5E52" w:rsidRDefault="001B5E52" w:rsidP="004E6690">
            <w:pPr>
              <w:rPr>
                <w:rFonts w:ascii="Open Sans" w:eastAsia="Times New Roman" w:hAnsi="Open Sans" w:cs="Open Sans"/>
                <w:sz w:val="20"/>
                <w:szCs w:val="20"/>
              </w:rPr>
            </w:pPr>
          </w:p>
        </w:tc>
        <w:tc>
          <w:tcPr>
            <w:tcW w:w="4613" w:type="dxa"/>
          </w:tcPr>
          <w:p w:rsidR="00E83135" w:rsidRDefault="00E83135" w:rsidP="00E83135">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E83135" w:rsidRDefault="004E10B0" w:rsidP="00E83135">
            <w:pPr>
              <w:rPr>
                <w:rFonts w:ascii="Open Sans" w:eastAsia="Times New Roman" w:hAnsi="Open Sans" w:cs="Open Sans"/>
                <w:sz w:val="20"/>
                <w:szCs w:val="20"/>
              </w:rPr>
            </w:pPr>
            <w:r>
              <w:rPr>
                <w:rFonts w:ascii="Open Sans" w:eastAsia="Times New Roman" w:hAnsi="Open Sans" w:cs="Open Sans"/>
                <w:sz w:val="20"/>
                <w:szCs w:val="20"/>
              </w:rPr>
              <w:t>Real World Business Connection: Goodman &amp; Company, p. 808</w:t>
            </w:r>
          </w:p>
          <w:p w:rsidR="00B96664" w:rsidRDefault="002C798F" w:rsidP="00E83135">
            <w:pPr>
              <w:rPr>
                <w:rFonts w:ascii="Open Sans" w:eastAsia="Times New Roman" w:hAnsi="Open Sans" w:cs="Open Sans"/>
                <w:sz w:val="20"/>
                <w:szCs w:val="20"/>
              </w:rPr>
            </w:pPr>
            <w:r>
              <w:rPr>
                <w:rFonts w:ascii="Open Sans" w:eastAsia="Times New Roman" w:hAnsi="Open Sans" w:cs="Open Sans"/>
                <w:sz w:val="20"/>
                <w:szCs w:val="20"/>
              </w:rPr>
              <w:t>Financial Statements, pp 520-538</w:t>
            </w:r>
            <w:r w:rsidR="00B96664">
              <w:rPr>
                <w:rFonts w:ascii="Open Sans" w:eastAsia="Times New Roman" w:hAnsi="Open Sans" w:cs="Open Sans"/>
                <w:sz w:val="20"/>
                <w:szCs w:val="20"/>
              </w:rPr>
              <w:t xml:space="preserve"> </w:t>
            </w:r>
          </w:p>
          <w:p w:rsidR="00E41B12" w:rsidRDefault="00E41B12" w:rsidP="00E83135">
            <w:pPr>
              <w:rPr>
                <w:rFonts w:ascii="Open Sans" w:eastAsia="Times New Roman" w:hAnsi="Open Sans" w:cs="Open Sans"/>
                <w:sz w:val="20"/>
                <w:szCs w:val="20"/>
              </w:rPr>
            </w:pPr>
            <w:r>
              <w:rPr>
                <w:rFonts w:ascii="Open Sans" w:eastAsia="Times New Roman" w:hAnsi="Open Sans" w:cs="Open Sans"/>
                <w:sz w:val="20"/>
                <w:szCs w:val="20"/>
              </w:rPr>
              <w:t>Corporation’s Financial Statements, p. 558</w:t>
            </w:r>
          </w:p>
          <w:p w:rsidR="00E41B12" w:rsidRDefault="00B96664" w:rsidP="00E83135">
            <w:pPr>
              <w:rPr>
                <w:rFonts w:ascii="Open Sans" w:eastAsia="Times New Roman" w:hAnsi="Open Sans" w:cs="Open Sans"/>
                <w:sz w:val="20"/>
                <w:szCs w:val="20"/>
              </w:rPr>
            </w:pPr>
            <w:r>
              <w:rPr>
                <w:rFonts w:ascii="Open Sans" w:eastAsia="Times New Roman" w:hAnsi="Open Sans" w:cs="Open Sans"/>
                <w:sz w:val="20"/>
                <w:szCs w:val="20"/>
              </w:rPr>
              <w:t xml:space="preserve">The Income </w:t>
            </w:r>
            <w:r w:rsidR="009D2F65">
              <w:rPr>
                <w:rFonts w:ascii="Open Sans" w:eastAsia="Times New Roman" w:hAnsi="Open Sans" w:cs="Open Sans"/>
                <w:sz w:val="20"/>
                <w:szCs w:val="20"/>
              </w:rPr>
              <w:t>Statement, pp 560-565</w:t>
            </w:r>
            <w:r>
              <w:rPr>
                <w:rFonts w:ascii="Open Sans" w:eastAsia="Times New Roman" w:hAnsi="Open Sans" w:cs="Open Sans"/>
                <w:sz w:val="20"/>
                <w:szCs w:val="20"/>
              </w:rPr>
              <w:t xml:space="preserve"> </w:t>
            </w:r>
          </w:p>
          <w:p w:rsidR="004E10B0" w:rsidRDefault="004E10B0" w:rsidP="00E83135">
            <w:pPr>
              <w:rPr>
                <w:rFonts w:ascii="Open Sans" w:eastAsia="Times New Roman" w:hAnsi="Open Sans" w:cs="Open Sans"/>
                <w:sz w:val="20"/>
                <w:szCs w:val="20"/>
              </w:rPr>
            </w:pPr>
            <w:r>
              <w:rPr>
                <w:rFonts w:ascii="Open Sans" w:eastAsia="Times New Roman" w:hAnsi="Open Sans" w:cs="Open Sans"/>
                <w:sz w:val="20"/>
                <w:szCs w:val="20"/>
              </w:rPr>
              <w:t>Financia</w:t>
            </w:r>
            <w:r w:rsidR="00B96664">
              <w:rPr>
                <w:rFonts w:ascii="Open Sans" w:eastAsia="Times New Roman" w:hAnsi="Open Sans" w:cs="Open Sans"/>
                <w:sz w:val="20"/>
                <w:szCs w:val="20"/>
              </w:rPr>
              <w:t>l Statements for Partnership, p</w:t>
            </w:r>
            <w:r w:rsidR="00E41B12">
              <w:rPr>
                <w:rFonts w:ascii="Open Sans" w:eastAsia="Times New Roman" w:hAnsi="Open Sans" w:cs="Open Sans"/>
                <w:sz w:val="20"/>
                <w:szCs w:val="20"/>
              </w:rPr>
              <w:t>p</w:t>
            </w:r>
            <w:r w:rsidR="00B96664">
              <w:rPr>
                <w:rFonts w:ascii="Open Sans" w:eastAsia="Times New Roman" w:hAnsi="Open Sans" w:cs="Open Sans"/>
                <w:sz w:val="20"/>
                <w:szCs w:val="20"/>
              </w:rPr>
              <w:t xml:space="preserve"> 811</w:t>
            </w:r>
            <w:r w:rsidR="00E41B12">
              <w:rPr>
                <w:rFonts w:ascii="Open Sans" w:eastAsia="Times New Roman" w:hAnsi="Open Sans" w:cs="Open Sans"/>
                <w:sz w:val="20"/>
                <w:szCs w:val="20"/>
              </w:rPr>
              <w:t>-813</w:t>
            </w:r>
          </w:p>
          <w:p w:rsidR="001B5E52" w:rsidRDefault="004E10B0" w:rsidP="00E83135">
            <w:pPr>
              <w:rPr>
                <w:rFonts w:ascii="Open Sans" w:eastAsia="Times New Roman" w:hAnsi="Open Sans" w:cs="Open Sans"/>
                <w:sz w:val="20"/>
                <w:szCs w:val="20"/>
              </w:rPr>
            </w:pPr>
            <w:r>
              <w:rPr>
                <w:rFonts w:ascii="Open Sans" w:eastAsia="Times New Roman" w:hAnsi="Open Sans" w:cs="Open Sans"/>
                <w:sz w:val="20"/>
                <w:szCs w:val="20"/>
              </w:rPr>
              <w:t>Liquidation of Partnership</w:t>
            </w:r>
            <w:r w:rsidR="00B96664">
              <w:rPr>
                <w:rFonts w:ascii="Open Sans" w:eastAsia="Times New Roman" w:hAnsi="Open Sans" w:cs="Open Sans"/>
                <w:sz w:val="20"/>
                <w:szCs w:val="20"/>
              </w:rPr>
              <w:t>, p. 814-817</w:t>
            </w:r>
            <w:r>
              <w:rPr>
                <w:rFonts w:ascii="Open Sans" w:eastAsia="Times New Roman" w:hAnsi="Open Sans" w:cs="Open Sans"/>
                <w:sz w:val="20"/>
                <w:szCs w:val="20"/>
              </w:rPr>
              <w:t xml:space="preserve"> </w:t>
            </w:r>
          </w:p>
        </w:tc>
      </w:tr>
      <w:tr w:rsidR="001B5E52" w:rsidTr="00D62A0C">
        <w:tc>
          <w:tcPr>
            <w:tcW w:w="7555" w:type="dxa"/>
          </w:tcPr>
          <w:p w:rsidR="0040229B" w:rsidRDefault="001A4FF2" w:rsidP="0040229B">
            <w:pPr>
              <w:pStyle w:val="ListParagraph"/>
              <w:numPr>
                <w:ilvl w:val="0"/>
                <w:numId w:val="12"/>
              </w:numPr>
            </w:pPr>
            <w:r>
              <w:t>Explore cash control systems, and evaluate the importance of these systems to the security and stability of a business. Outline and demonstrate the steps for maintaining a checking account, including properly writing checks, tracking the check book balance, and reconciling that balance with the bank statement. Practice journalizing NSF (Not Sufficient Funds) checks, bank fees, and business credit card fees.</w:t>
            </w:r>
          </w:p>
        </w:tc>
        <w:tc>
          <w:tcPr>
            <w:tcW w:w="630" w:type="dxa"/>
          </w:tcPr>
          <w:p w:rsidR="001B5E52" w:rsidRDefault="0040229B"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5E52" w:rsidRDefault="001B5E52" w:rsidP="004E6690">
            <w:pPr>
              <w:rPr>
                <w:rFonts w:ascii="Open Sans" w:eastAsia="Times New Roman" w:hAnsi="Open Sans" w:cs="Open Sans"/>
                <w:sz w:val="20"/>
                <w:szCs w:val="20"/>
              </w:rPr>
            </w:pPr>
          </w:p>
        </w:tc>
        <w:tc>
          <w:tcPr>
            <w:tcW w:w="4613" w:type="dxa"/>
          </w:tcPr>
          <w:p w:rsidR="00E83135" w:rsidRDefault="00E83135" w:rsidP="00E83135">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E83135" w:rsidRDefault="00A66616" w:rsidP="00E83135">
            <w:pPr>
              <w:rPr>
                <w:rFonts w:ascii="Open Sans" w:eastAsia="Times New Roman" w:hAnsi="Open Sans" w:cs="Open Sans"/>
                <w:sz w:val="20"/>
                <w:szCs w:val="20"/>
              </w:rPr>
            </w:pPr>
            <w:r>
              <w:rPr>
                <w:rFonts w:ascii="Open Sans" w:eastAsia="Times New Roman" w:hAnsi="Open Sans" w:cs="Open Sans"/>
                <w:sz w:val="20"/>
                <w:szCs w:val="20"/>
              </w:rPr>
              <w:t>Banking Procedure/Checking Acct. pp 281-285</w:t>
            </w:r>
          </w:p>
          <w:p w:rsidR="001B5E52" w:rsidRDefault="00A66616" w:rsidP="00E83135">
            <w:pPr>
              <w:rPr>
                <w:rFonts w:ascii="Open Sans" w:eastAsia="Times New Roman" w:hAnsi="Open Sans" w:cs="Open Sans"/>
                <w:sz w:val="20"/>
                <w:szCs w:val="20"/>
              </w:rPr>
            </w:pPr>
            <w:r>
              <w:rPr>
                <w:rFonts w:ascii="Open Sans" w:eastAsia="Times New Roman" w:hAnsi="Open Sans" w:cs="Open Sans"/>
                <w:sz w:val="20"/>
                <w:szCs w:val="20"/>
              </w:rPr>
              <w:t xml:space="preserve">Reconciling a Bank Account, pp </w:t>
            </w:r>
            <w:r w:rsidR="00C71378">
              <w:rPr>
                <w:rFonts w:ascii="Open Sans" w:eastAsia="Times New Roman" w:hAnsi="Open Sans" w:cs="Open Sans"/>
                <w:sz w:val="20"/>
                <w:szCs w:val="20"/>
              </w:rPr>
              <w:t>287-293</w:t>
            </w:r>
          </w:p>
          <w:p w:rsidR="00C71378" w:rsidRDefault="00AB027A" w:rsidP="00E83135">
            <w:pPr>
              <w:rPr>
                <w:rFonts w:ascii="Open Sans" w:eastAsia="Times New Roman" w:hAnsi="Open Sans" w:cs="Open Sans"/>
                <w:sz w:val="20"/>
                <w:szCs w:val="20"/>
              </w:rPr>
            </w:pPr>
            <w:r>
              <w:rPr>
                <w:rFonts w:ascii="Open Sans" w:eastAsia="Times New Roman" w:hAnsi="Open Sans" w:cs="Open Sans"/>
                <w:sz w:val="20"/>
                <w:szCs w:val="20"/>
              </w:rPr>
              <w:t>Supporting Figures &amp; Assessments</w:t>
            </w:r>
          </w:p>
        </w:tc>
      </w:tr>
      <w:tr w:rsidR="001B5E52" w:rsidTr="00D62A0C">
        <w:tc>
          <w:tcPr>
            <w:tcW w:w="7555" w:type="dxa"/>
          </w:tcPr>
          <w:p w:rsidR="001B5E52" w:rsidRDefault="001A4FF2" w:rsidP="00F30CEA">
            <w:pPr>
              <w:pStyle w:val="ListParagraph"/>
              <w:numPr>
                <w:ilvl w:val="0"/>
                <w:numId w:val="12"/>
              </w:numPr>
            </w:pPr>
            <w:r>
              <w:t>Compare and contrast different means of paying employees, evaluating which methods provide the best motivation to reach company goals. Establish a complete payroll system, including reviewing various means of tracking hours worked, completing a payroll register, preparing an employee earnings record, and cutting employee checks. Journalize and post for each account affected in the process.</w:t>
            </w:r>
          </w:p>
        </w:tc>
        <w:tc>
          <w:tcPr>
            <w:tcW w:w="630" w:type="dxa"/>
          </w:tcPr>
          <w:p w:rsidR="001B5E52" w:rsidRDefault="00A32DD7"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5E52" w:rsidRDefault="001B5E52" w:rsidP="004E6690">
            <w:pPr>
              <w:rPr>
                <w:rFonts w:ascii="Open Sans" w:eastAsia="Times New Roman" w:hAnsi="Open Sans" w:cs="Open Sans"/>
                <w:sz w:val="20"/>
                <w:szCs w:val="20"/>
              </w:rPr>
            </w:pPr>
          </w:p>
        </w:tc>
        <w:tc>
          <w:tcPr>
            <w:tcW w:w="4613" w:type="dxa"/>
          </w:tcPr>
          <w:p w:rsidR="00E83135" w:rsidRDefault="00E83135" w:rsidP="00E83135">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E83135" w:rsidRDefault="00EF49A7" w:rsidP="00E83135">
            <w:pPr>
              <w:rPr>
                <w:rFonts w:ascii="Open Sans" w:eastAsia="Times New Roman" w:hAnsi="Open Sans" w:cs="Open Sans"/>
                <w:sz w:val="20"/>
                <w:szCs w:val="20"/>
              </w:rPr>
            </w:pPr>
            <w:r>
              <w:rPr>
                <w:rFonts w:ascii="Open Sans" w:eastAsia="Times New Roman" w:hAnsi="Open Sans" w:cs="Open Sans"/>
                <w:sz w:val="20"/>
                <w:szCs w:val="20"/>
              </w:rPr>
              <w:t>Calculating Gross Earnings, pp 313-317</w:t>
            </w:r>
          </w:p>
          <w:p w:rsidR="001B5E52" w:rsidRDefault="00EF49A7" w:rsidP="00E83135">
            <w:pPr>
              <w:rPr>
                <w:rFonts w:ascii="Open Sans" w:eastAsia="Times New Roman" w:hAnsi="Open Sans" w:cs="Open Sans"/>
                <w:sz w:val="20"/>
                <w:szCs w:val="20"/>
              </w:rPr>
            </w:pPr>
            <w:r>
              <w:rPr>
                <w:rFonts w:ascii="Open Sans" w:eastAsia="Times New Roman" w:hAnsi="Open Sans" w:cs="Open Sans"/>
                <w:sz w:val="20"/>
                <w:szCs w:val="20"/>
              </w:rPr>
              <w:t>Payroll Deductions, pp 318-323</w:t>
            </w:r>
          </w:p>
          <w:p w:rsidR="00AB027A" w:rsidRDefault="00AB027A" w:rsidP="00E83135">
            <w:pPr>
              <w:rPr>
                <w:rFonts w:ascii="Open Sans" w:eastAsia="Times New Roman" w:hAnsi="Open Sans" w:cs="Open Sans"/>
                <w:sz w:val="20"/>
                <w:szCs w:val="20"/>
              </w:rPr>
            </w:pPr>
            <w:r>
              <w:rPr>
                <w:rFonts w:ascii="Open Sans" w:eastAsia="Times New Roman" w:hAnsi="Open Sans" w:cs="Open Sans"/>
                <w:sz w:val="20"/>
                <w:szCs w:val="20"/>
              </w:rPr>
              <w:t>Payroll Accounting, pp. 323-327</w:t>
            </w:r>
          </w:p>
          <w:p w:rsidR="00AB027A" w:rsidRDefault="00AB027A" w:rsidP="00E83135">
            <w:pPr>
              <w:rPr>
                <w:rFonts w:ascii="Open Sans" w:eastAsia="Times New Roman" w:hAnsi="Open Sans" w:cs="Open Sans"/>
                <w:sz w:val="20"/>
                <w:szCs w:val="20"/>
              </w:rPr>
            </w:pPr>
            <w:r>
              <w:rPr>
                <w:rFonts w:ascii="Open Sans" w:eastAsia="Times New Roman" w:hAnsi="Open Sans" w:cs="Open Sans"/>
                <w:sz w:val="20"/>
                <w:szCs w:val="20"/>
              </w:rPr>
              <w:t>Supporting Figures &amp; Assessments</w:t>
            </w:r>
          </w:p>
        </w:tc>
      </w:tr>
      <w:tr w:rsidR="001B5E52" w:rsidTr="00D62A0C">
        <w:tc>
          <w:tcPr>
            <w:tcW w:w="7555" w:type="dxa"/>
          </w:tcPr>
          <w:p w:rsidR="001B5E52" w:rsidRDefault="001A4FF2" w:rsidP="00F30CEA">
            <w:pPr>
              <w:pStyle w:val="ListParagraph"/>
              <w:numPr>
                <w:ilvl w:val="0"/>
                <w:numId w:val="12"/>
              </w:numPr>
            </w:pPr>
            <w:r>
              <w:t>Use the federal tax tables published by the Internal Revenue Service (IRS) to calculate the correct tax withholding for each employee, justifying the selection. Journalize and post to reflect the payment of the ongoing payroll liabilities, including Federal Income Tax, Social Security and Medicare taxes, Medical Insurance, and any other withholdings.</w:t>
            </w:r>
          </w:p>
        </w:tc>
        <w:tc>
          <w:tcPr>
            <w:tcW w:w="630" w:type="dxa"/>
          </w:tcPr>
          <w:p w:rsidR="001B5E52" w:rsidRDefault="0040229B"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5E52" w:rsidRDefault="001B5E52" w:rsidP="004E6690">
            <w:pPr>
              <w:rPr>
                <w:rFonts w:ascii="Open Sans" w:eastAsia="Times New Roman" w:hAnsi="Open Sans" w:cs="Open Sans"/>
                <w:sz w:val="20"/>
                <w:szCs w:val="20"/>
              </w:rPr>
            </w:pPr>
          </w:p>
        </w:tc>
        <w:tc>
          <w:tcPr>
            <w:tcW w:w="4613" w:type="dxa"/>
          </w:tcPr>
          <w:p w:rsidR="00E83135" w:rsidRDefault="00E83135" w:rsidP="00E83135">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E5125A" w:rsidRDefault="00E5125A" w:rsidP="00E83135">
            <w:pPr>
              <w:rPr>
                <w:rFonts w:ascii="Open Sans" w:eastAsia="Times New Roman" w:hAnsi="Open Sans" w:cs="Open Sans"/>
                <w:sz w:val="20"/>
                <w:szCs w:val="20"/>
              </w:rPr>
            </w:pPr>
            <w:r>
              <w:rPr>
                <w:rFonts w:ascii="Open Sans" w:eastAsia="Times New Roman" w:hAnsi="Open Sans" w:cs="Open Sans"/>
                <w:sz w:val="20"/>
                <w:szCs w:val="20"/>
              </w:rPr>
              <w:t>Journalizing &amp; Posting Payroll, 343-346</w:t>
            </w:r>
          </w:p>
          <w:p w:rsidR="00E83135" w:rsidRDefault="00E5125A" w:rsidP="00E83135">
            <w:pPr>
              <w:rPr>
                <w:rFonts w:ascii="Open Sans" w:eastAsia="Times New Roman" w:hAnsi="Open Sans" w:cs="Open Sans"/>
                <w:sz w:val="20"/>
                <w:szCs w:val="20"/>
              </w:rPr>
            </w:pPr>
            <w:r>
              <w:rPr>
                <w:rFonts w:ascii="Open Sans" w:eastAsia="Times New Roman" w:hAnsi="Open Sans" w:cs="Open Sans"/>
                <w:sz w:val="20"/>
                <w:szCs w:val="20"/>
              </w:rPr>
              <w:t>Employers Payroll Taxes, pp 349-354</w:t>
            </w:r>
          </w:p>
          <w:p w:rsidR="00AB027A" w:rsidRDefault="00AB027A" w:rsidP="00E83135">
            <w:pPr>
              <w:rPr>
                <w:rFonts w:ascii="Open Sans" w:eastAsia="Times New Roman" w:hAnsi="Open Sans" w:cs="Open Sans"/>
                <w:sz w:val="20"/>
                <w:szCs w:val="20"/>
              </w:rPr>
            </w:pPr>
            <w:r>
              <w:rPr>
                <w:rFonts w:ascii="Open Sans" w:eastAsia="Times New Roman" w:hAnsi="Open Sans" w:cs="Open Sans"/>
                <w:sz w:val="20"/>
                <w:szCs w:val="20"/>
              </w:rPr>
              <w:t>Supporting Figures &amp; Assessments</w:t>
            </w:r>
          </w:p>
        </w:tc>
      </w:tr>
      <w:tr w:rsidR="001B5E52" w:rsidTr="00D62A0C">
        <w:tc>
          <w:tcPr>
            <w:tcW w:w="7555" w:type="dxa"/>
          </w:tcPr>
          <w:p w:rsidR="001B5E52" w:rsidRDefault="001A4FF2" w:rsidP="00F30CEA">
            <w:pPr>
              <w:pStyle w:val="ListParagraph"/>
              <w:numPr>
                <w:ilvl w:val="0"/>
                <w:numId w:val="12"/>
              </w:numPr>
            </w:pPr>
            <w:r>
              <w:t>Analyze the need for strong ethics in the field of accounting and for ongoing reputable business operations. Determine how GAAP (generally accepted accounting principles) rules serve the business world and create a standard for building and evaluating financial statements. Conduct research on various fraud cases and report on how they were discovered. Submit an analysis on which of the GAAP rules were violated and write persuasively to describe what could have been done to prevent these frauds.</w:t>
            </w:r>
          </w:p>
        </w:tc>
        <w:tc>
          <w:tcPr>
            <w:tcW w:w="630" w:type="dxa"/>
          </w:tcPr>
          <w:p w:rsidR="001B5E52" w:rsidRDefault="0040229B"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5E52" w:rsidRDefault="001B5E52" w:rsidP="004E6690">
            <w:pPr>
              <w:rPr>
                <w:rFonts w:ascii="Open Sans" w:eastAsia="Times New Roman" w:hAnsi="Open Sans" w:cs="Open Sans"/>
                <w:sz w:val="20"/>
                <w:szCs w:val="20"/>
              </w:rPr>
            </w:pPr>
          </w:p>
        </w:tc>
        <w:tc>
          <w:tcPr>
            <w:tcW w:w="4613" w:type="dxa"/>
          </w:tcPr>
          <w:p w:rsidR="00E83135" w:rsidRDefault="00E83135" w:rsidP="00E83135">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014266" w:rsidRDefault="00E83135" w:rsidP="00A6790B">
            <w:pPr>
              <w:rPr>
                <w:rFonts w:ascii="Open Sans" w:eastAsia="Times New Roman" w:hAnsi="Open Sans" w:cs="Open Sans"/>
                <w:sz w:val="20"/>
                <w:szCs w:val="20"/>
              </w:rPr>
            </w:pPr>
            <w:r>
              <w:rPr>
                <w:rFonts w:ascii="Open Sans" w:eastAsia="Times New Roman" w:hAnsi="Open Sans" w:cs="Open Sans"/>
                <w:sz w:val="20"/>
                <w:szCs w:val="20"/>
              </w:rPr>
              <w:t>Researching Careers (p. 23)</w:t>
            </w:r>
          </w:p>
          <w:p w:rsidR="00014266" w:rsidRDefault="00014266" w:rsidP="00A6790B">
            <w:pPr>
              <w:rPr>
                <w:rFonts w:ascii="Open Sans" w:eastAsia="Times New Roman" w:hAnsi="Open Sans" w:cs="Open Sans"/>
                <w:sz w:val="20"/>
                <w:szCs w:val="20"/>
              </w:rPr>
            </w:pPr>
            <w:r>
              <w:rPr>
                <w:rFonts w:ascii="Open Sans" w:eastAsia="Times New Roman" w:hAnsi="Open Sans" w:cs="Open Sans"/>
                <w:sz w:val="20"/>
                <w:szCs w:val="20"/>
              </w:rPr>
              <w:t>The Nature of Ethics, pp 835-537</w:t>
            </w:r>
          </w:p>
          <w:p w:rsidR="00014266" w:rsidRDefault="00014266" w:rsidP="00A6790B">
            <w:pPr>
              <w:rPr>
                <w:rFonts w:ascii="Open Sans" w:eastAsia="Times New Roman" w:hAnsi="Open Sans" w:cs="Open Sans"/>
                <w:sz w:val="20"/>
                <w:szCs w:val="20"/>
              </w:rPr>
            </w:pPr>
            <w:r>
              <w:rPr>
                <w:rFonts w:ascii="Open Sans" w:eastAsia="Times New Roman" w:hAnsi="Open Sans" w:cs="Open Sans"/>
                <w:sz w:val="20"/>
                <w:szCs w:val="20"/>
              </w:rPr>
              <w:t>Ethics in the Accounting Profession, pp 839-841</w:t>
            </w:r>
          </w:p>
          <w:p w:rsidR="00A6790B" w:rsidRDefault="00B33754" w:rsidP="00A6790B">
            <w:pPr>
              <w:rPr>
                <w:rFonts w:ascii="Open Sans" w:eastAsia="Times New Roman" w:hAnsi="Open Sans" w:cs="Open Sans"/>
                <w:sz w:val="20"/>
                <w:szCs w:val="20"/>
              </w:rPr>
            </w:pPr>
            <w:r>
              <w:rPr>
                <w:rFonts w:ascii="Open Sans" w:eastAsia="Times New Roman" w:hAnsi="Open Sans" w:cs="Open Sans"/>
                <w:sz w:val="20"/>
                <w:szCs w:val="20"/>
              </w:rPr>
              <w:t>The Accounting System: General Accepted Accounting Principles (GAAP), p. 36</w:t>
            </w:r>
          </w:p>
          <w:p w:rsidR="00A6790B" w:rsidRDefault="00A6790B" w:rsidP="00A6790B">
            <w:pPr>
              <w:rPr>
                <w:rFonts w:ascii="Open Sans" w:eastAsia="Times New Roman" w:hAnsi="Open Sans" w:cs="Open Sans"/>
                <w:sz w:val="20"/>
                <w:szCs w:val="20"/>
              </w:rPr>
            </w:pPr>
            <w:r>
              <w:rPr>
                <w:rFonts w:ascii="Open Sans" w:eastAsia="Times New Roman" w:hAnsi="Open Sans" w:cs="Open Sans"/>
                <w:sz w:val="20"/>
                <w:szCs w:val="20"/>
              </w:rPr>
              <w:t>Supporting Figures &amp; Assessments</w:t>
            </w:r>
            <w:r w:rsidR="002F3A71">
              <w:rPr>
                <w:rFonts w:ascii="Open Sans" w:eastAsia="Times New Roman" w:hAnsi="Open Sans" w:cs="Open Sans"/>
                <w:sz w:val="20"/>
                <w:szCs w:val="20"/>
              </w:rPr>
              <w:t xml:space="preserve"> (Matter of Ethics) throughout the text</w:t>
            </w:r>
          </w:p>
        </w:tc>
      </w:tr>
      <w:tr w:rsidR="001B5E52" w:rsidTr="00D62A0C">
        <w:tc>
          <w:tcPr>
            <w:tcW w:w="7555" w:type="dxa"/>
          </w:tcPr>
          <w:p w:rsidR="001B5E52" w:rsidRDefault="001A4FF2" w:rsidP="00F30CEA">
            <w:pPr>
              <w:pStyle w:val="ListParagraph"/>
              <w:numPr>
                <w:ilvl w:val="0"/>
                <w:numId w:val="12"/>
              </w:numPr>
            </w:pPr>
            <w:r>
              <w:t>Develop and refine clear verbal and written communication techniques in order to properly describe and explain accounting methods and procedures. Practice narrating such procedures to mock “peer clients” as would a financial service professional, translating technical concepts into everyday language a potential customer could understand. Through small group projects and presentations, gain an understanding of the importance of teamwork and leadership, and model proper interpersonal business behavior needed to establish rapport and trust with clients.</w:t>
            </w:r>
          </w:p>
        </w:tc>
        <w:tc>
          <w:tcPr>
            <w:tcW w:w="630" w:type="dxa"/>
          </w:tcPr>
          <w:p w:rsidR="001B5E52" w:rsidRDefault="0040229B"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5E52" w:rsidRDefault="001B5E52" w:rsidP="004E6690">
            <w:pPr>
              <w:rPr>
                <w:rFonts w:ascii="Open Sans" w:eastAsia="Times New Roman" w:hAnsi="Open Sans" w:cs="Open Sans"/>
                <w:sz w:val="20"/>
                <w:szCs w:val="20"/>
              </w:rPr>
            </w:pPr>
          </w:p>
        </w:tc>
        <w:tc>
          <w:tcPr>
            <w:tcW w:w="4613" w:type="dxa"/>
          </w:tcPr>
          <w:p w:rsidR="00E83135" w:rsidRDefault="00E83135" w:rsidP="00E83135">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A6790B" w:rsidRDefault="002F3A71" w:rsidP="002F3A71">
            <w:pPr>
              <w:rPr>
                <w:rFonts w:ascii="Open Sans" w:eastAsia="Times New Roman" w:hAnsi="Open Sans" w:cs="Open Sans"/>
                <w:sz w:val="20"/>
                <w:szCs w:val="20"/>
              </w:rPr>
            </w:pPr>
            <w:r w:rsidRPr="00DB101C">
              <w:rPr>
                <w:rFonts w:ascii="Open Sans" w:eastAsia="Times New Roman" w:hAnsi="Open Sans" w:cs="Open Sans"/>
                <w:b/>
                <w:sz w:val="20"/>
                <w:szCs w:val="20"/>
                <w:u w:val="single"/>
              </w:rPr>
              <w:t>Real World Applications &amp; Connections</w:t>
            </w:r>
            <w:r>
              <w:rPr>
                <w:rFonts w:ascii="Open Sans" w:eastAsia="Times New Roman" w:hAnsi="Open Sans" w:cs="Open Sans"/>
                <w:sz w:val="20"/>
                <w:szCs w:val="20"/>
              </w:rPr>
              <w:t xml:space="preserve"> (21</w:t>
            </w:r>
            <w:r w:rsidRPr="002F3A71">
              <w:rPr>
                <w:rFonts w:ascii="Open Sans" w:eastAsia="Times New Roman" w:hAnsi="Open Sans" w:cs="Open Sans"/>
                <w:sz w:val="20"/>
                <w:szCs w:val="20"/>
                <w:vertAlign w:val="superscript"/>
              </w:rPr>
              <w:t>st</w:t>
            </w:r>
            <w:r>
              <w:rPr>
                <w:rFonts w:ascii="Open Sans" w:eastAsia="Times New Roman" w:hAnsi="Open Sans" w:cs="Open Sans"/>
                <w:sz w:val="20"/>
                <w:szCs w:val="20"/>
              </w:rPr>
              <w:t xml:space="preserve"> Century Skills: Keys to Success, Business Connections, Career Wise, Global Accounting, , Analyzing Financial Reports) which teaches verbal &amp; written communication, interpersonal behavior, teambuilding, and critical thinking.</w:t>
            </w:r>
          </w:p>
        </w:tc>
      </w:tr>
      <w:tr w:rsidR="001B5E52" w:rsidTr="00D62A0C">
        <w:tc>
          <w:tcPr>
            <w:tcW w:w="7555" w:type="dxa"/>
          </w:tcPr>
          <w:p w:rsidR="001B5E52" w:rsidRDefault="001A4FF2" w:rsidP="00F30CEA">
            <w:pPr>
              <w:pStyle w:val="ListParagraph"/>
              <w:numPr>
                <w:ilvl w:val="0"/>
                <w:numId w:val="12"/>
              </w:numPr>
            </w:pPr>
            <w:r>
              <w:t>As part of a collaborative or end-of-course project, conduct a mock accounting review to demonstrate workplace skills required in the profession. Interpret and analyze financial documents to derive accounting solutions. Prepare a glossary of key terms to help explain the recommendations and procedures, citing evidence from financial document analysis. Upon completion of the project, deliver a presentation or create a summary document demonstrating the ability to communicate the accounting process, explaining how procedures and principles were followed to achieve project goals.</w:t>
            </w:r>
          </w:p>
        </w:tc>
        <w:tc>
          <w:tcPr>
            <w:tcW w:w="630" w:type="dxa"/>
          </w:tcPr>
          <w:p w:rsidR="001B5E52" w:rsidRDefault="0040229B"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5E52" w:rsidRDefault="001B5E52" w:rsidP="004E6690">
            <w:pPr>
              <w:rPr>
                <w:rFonts w:ascii="Open Sans" w:eastAsia="Times New Roman" w:hAnsi="Open Sans" w:cs="Open Sans"/>
                <w:sz w:val="20"/>
                <w:szCs w:val="20"/>
              </w:rPr>
            </w:pPr>
          </w:p>
        </w:tc>
        <w:tc>
          <w:tcPr>
            <w:tcW w:w="4613" w:type="dxa"/>
          </w:tcPr>
          <w:p w:rsidR="00E83135" w:rsidRDefault="00E83135" w:rsidP="00E83135">
            <w:pPr>
              <w:rPr>
                <w:rFonts w:ascii="Open Sans" w:eastAsia="Times New Roman" w:hAnsi="Open Sans" w:cs="Open Sans"/>
                <w:sz w:val="20"/>
                <w:szCs w:val="20"/>
              </w:rPr>
            </w:pPr>
            <w:r>
              <w:rPr>
                <w:rFonts w:ascii="Open Sans" w:eastAsia="Times New Roman" w:hAnsi="Open Sans" w:cs="Open Sans"/>
                <w:sz w:val="20"/>
                <w:szCs w:val="20"/>
              </w:rPr>
              <w:t>Material meets the criteria for this standard:</w:t>
            </w:r>
          </w:p>
          <w:p w:rsidR="00DB101C" w:rsidRPr="00DB101C" w:rsidRDefault="00DB101C" w:rsidP="00E83135">
            <w:pPr>
              <w:rPr>
                <w:rFonts w:ascii="Open Sans" w:eastAsia="Times New Roman" w:hAnsi="Open Sans" w:cs="Open Sans"/>
                <w:b/>
                <w:sz w:val="20"/>
                <w:szCs w:val="20"/>
                <w:u w:val="single"/>
              </w:rPr>
            </w:pPr>
            <w:r w:rsidRPr="00DB101C">
              <w:rPr>
                <w:rFonts w:ascii="Open Sans" w:eastAsia="Times New Roman" w:hAnsi="Open Sans" w:cs="Open Sans"/>
                <w:b/>
                <w:sz w:val="20"/>
                <w:szCs w:val="20"/>
                <w:u w:val="single"/>
              </w:rPr>
              <w:t>Relevant Tasks/Oral Presentations</w:t>
            </w:r>
          </w:p>
          <w:p w:rsidR="001B5E52" w:rsidRDefault="002F3A71" w:rsidP="00E83135">
            <w:pPr>
              <w:rPr>
                <w:rFonts w:ascii="Open Sans" w:eastAsia="Times New Roman" w:hAnsi="Open Sans" w:cs="Open Sans"/>
                <w:sz w:val="20"/>
                <w:szCs w:val="20"/>
              </w:rPr>
            </w:pPr>
            <w:r>
              <w:rPr>
                <w:rFonts w:ascii="Open Sans" w:eastAsia="Times New Roman" w:hAnsi="Open Sans" w:cs="Open Sans"/>
                <w:sz w:val="20"/>
                <w:szCs w:val="20"/>
              </w:rPr>
              <w:t xml:space="preserve">Mini Practice Sets 194-195, </w:t>
            </w:r>
            <w:r w:rsidR="00DB101C">
              <w:rPr>
                <w:rFonts w:ascii="Open Sans" w:eastAsia="Times New Roman" w:hAnsi="Open Sans" w:cs="Open Sans"/>
                <w:sz w:val="20"/>
                <w:szCs w:val="20"/>
              </w:rPr>
              <w:t>306-307, 374-377, 584-587, 780-783, 828-831</w:t>
            </w:r>
          </w:p>
          <w:p w:rsidR="00DB101C" w:rsidRDefault="00DB101C" w:rsidP="00E83135">
            <w:pPr>
              <w:rPr>
                <w:rFonts w:ascii="Open Sans" w:eastAsia="Times New Roman" w:hAnsi="Open Sans" w:cs="Open Sans"/>
                <w:sz w:val="20"/>
                <w:szCs w:val="20"/>
              </w:rPr>
            </w:pPr>
            <w:r>
              <w:rPr>
                <w:rFonts w:ascii="Open Sans" w:eastAsia="Times New Roman" w:hAnsi="Open Sans" w:cs="Open Sans"/>
                <w:sz w:val="20"/>
                <w:szCs w:val="20"/>
              </w:rPr>
              <w:t>Outstanding instructions, steps that promote problem solving, critical thinking throughout the text.</w:t>
            </w:r>
          </w:p>
        </w:tc>
      </w:tr>
    </w:tbl>
    <w:p w:rsidR="00F30CEA" w:rsidRDefault="00F30CEA" w:rsidP="00D53761">
      <w:pPr>
        <w:spacing w:after="0" w:line="240" w:lineRule="auto"/>
        <w:rPr>
          <w:rFonts w:ascii="Open Sans" w:eastAsia="Times New Roman" w:hAnsi="Open Sans" w:cs="Open Sans"/>
          <w:sz w:val="20"/>
          <w:szCs w:val="20"/>
        </w:rPr>
      </w:pPr>
    </w:p>
    <w:p w:rsidR="00CF1BC0" w:rsidRDefault="00CF1BC0" w:rsidP="00F30CEA">
      <w:pPr>
        <w:rPr>
          <w:rFonts w:ascii="Open Sans" w:eastAsia="Times New Roman" w:hAnsi="Open Sans" w:cs="Open Sans"/>
          <w:b/>
          <w:sz w:val="18"/>
          <w:szCs w:val="18"/>
        </w:rPr>
      </w:pP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t xml:space="preserve"> </w:t>
      </w:r>
    </w:p>
    <w:p w:rsidR="00F30CEA" w:rsidRPr="00D53761" w:rsidRDefault="00F30CEA"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SECTION I(2):</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421523">
        <w:trPr>
          <w:trHeight w:val="6406"/>
        </w:trPr>
        <w:tc>
          <w:tcPr>
            <w:tcW w:w="13883" w:type="dxa"/>
            <w:gridSpan w:val="2"/>
          </w:tcPr>
          <w:p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rsidTr="004E6690">
              <w:trPr>
                <w:trHeight w:val="1304"/>
              </w:trPr>
              <w:tc>
                <w:tcPr>
                  <w:tcW w:w="10210" w:type="dxa"/>
                  <w:shd w:val="clear" w:color="auto" w:fill="F2F2F2" w:themeFill="background1" w:themeFillShade="F2"/>
                  <w:vAlign w:val="center"/>
                </w:tcPr>
                <w:p w:rsidR="00981326" w:rsidRPr="00D53761" w:rsidRDefault="00981326" w:rsidP="00A15ED9">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rsidR="00981326" w:rsidRPr="00D53761" w:rsidRDefault="00981326" w:rsidP="00A15ED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9A23E4">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A15ED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4E6690">
              <w:trPr>
                <w:trHeight w:val="1250"/>
              </w:trPr>
              <w:tc>
                <w:tcPr>
                  <w:tcW w:w="10210" w:type="dxa"/>
                  <w:shd w:val="clear" w:color="auto" w:fill="F2F2F2" w:themeFill="background1" w:themeFillShade="F2"/>
                  <w:vAlign w:val="center"/>
                </w:tcPr>
                <w:p w:rsidR="00981326" w:rsidRPr="00D53761" w:rsidRDefault="00981326" w:rsidP="00A15ED9">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rsidR="00981326" w:rsidRPr="00D53761" w:rsidRDefault="00981326" w:rsidP="00A15ED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9A23E4">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A15ED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4E6690">
              <w:trPr>
                <w:trHeight w:val="1250"/>
              </w:trPr>
              <w:tc>
                <w:tcPr>
                  <w:tcW w:w="10210" w:type="dxa"/>
                  <w:shd w:val="clear" w:color="auto" w:fill="F2F2F2" w:themeFill="background1" w:themeFillShade="F2"/>
                  <w:vAlign w:val="center"/>
                </w:tcPr>
                <w:p w:rsidR="00981326" w:rsidRPr="00D53761" w:rsidRDefault="00981326" w:rsidP="00A15ED9">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rsidR="00981326" w:rsidRPr="00D53761" w:rsidRDefault="00981326" w:rsidP="00A15ED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9A23E4">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A15ED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4E6690">
              <w:trPr>
                <w:trHeight w:val="1160"/>
              </w:trPr>
              <w:tc>
                <w:tcPr>
                  <w:tcW w:w="10210" w:type="dxa"/>
                  <w:shd w:val="clear" w:color="auto" w:fill="F2F2F2" w:themeFill="background1" w:themeFillShade="F2"/>
                  <w:vAlign w:val="center"/>
                </w:tcPr>
                <w:p w:rsidR="00981326" w:rsidRPr="00D53761" w:rsidRDefault="00981326" w:rsidP="00A15ED9">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rsidR="00981326" w:rsidRPr="00D53761" w:rsidRDefault="00981326" w:rsidP="00A15ED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9A23E4">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A15ED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4E6690">
              <w:trPr>
                <w:trHeight w:val="1349"/>
              </w:trPr>
              <w:tc>
                <w:tcPr>
                  <w:tcW w:w="10210" w:type="dxa"/>
                  <w:shd w:val="clear" w:color="auto" w:fill="F2F2F2" w:themeFill="background1" w:themeFillShade="F2"/>
                  <w:vAlign w:val="center"/>
                </w:tcPr>
                <w:p w:rsidR="00981326" w:rsidRPr="00D53761" w:rsidRDefault="00981326" w:rsidP="00A15ED9">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rsidR="00981326" w:rsidRPr="00D53761" w:rsidRDefault="00981326" w:rsidP="00A15ED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9A23E4">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A15ED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421523">
        <w:trPr>
          <w:trHeight w:val="925"/>
        </w:trPr>
        <w:tc>
          <w:tcPr>
            <w:tcW w:w="10350"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9A23E4">
              <w:rPr>
                <w:rFonts w:ascii="Open Sans" w:hAnsi="Open Sans" w:cs="Open Sans"/>
                <w:b/>
                <w:sz w:val="20"/>
                <w:szCs w:val="20"/>
              </w:rPr>
              <w:t>X</w:t>
            </w:r>
            <w:r w:rsidRPr="00D53761">
              <w:rPr>
                <w:rFonts w:ascii="Open Sans" w:hAnsi="Open Sans" w:cs="Open Sans"/>
                <w:b/>
                <w:sz w:val="20"/>
                <w:szCs w:val="20"/>
              </w:rPr>
              <w:t>___     No _____</w:t>
            </w:r>
          </w:p>
        </w:tc>
      </w:tr>
      <w:tr w:rsidR="00981326" w:rsidRPr="00D53761" w:rsidTr="00981326">
        <w:trPr>
          <w:trHeight w:val="1358"/>
        </w:trPr>
        <w:tc>
          <w:tcPr>
            <w:tcW w:w="13883" w:type="dxa"/>
            <w:gridSpan w:val="2"/>
          </w:tcPr>
          <w:p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rsidR="009A23E4" w:rsidRPr="009A23E4" w:rsidRDefault="009A23E4" w:rsidP="00DB101C">
            <w:pPr>
              <w:rPr>
                <w:rFonts w:ascii="Open Sans" w:hAnsi="Open Sans" w:cs="Open Sans"/>
                <w:sz w:val="20"/>
                <w:szCs w:val="20"/>
              </w:rPr>
            </w:pPr>
            <w:r>
              <w:rPr>
                <w:rFonts w:ascii="Open Sans" w:hAnsi="Open Sans" w:cs="Open Sans"/>
                <w:sz w:val="20"/>
                <w:szCs w:val="20"/>
              </w:rPr>
              <w:t xml:space="preserve">Material </w:t>
            </w:r>
            <w:r w:rsidR="00DB101C">
              <w:rPr>
                <w:rFonts w:ascii="Open Sans" w:hAnsi="Open Sans" w:cs="Open Sans"/>
                <w:sz w:val="20"/>
                <w:szCs w:val="20"/>
              </w:rPr>
              <w:t>found in the Real World Applications &amp; Connections sections are rigor and incorporate</w:t>
            </w:r>
            <w:r>
              <w:rPr>
                <w:rFonts w:ascii="Open Sans" w:hAnsi="Open Sans" w:cs="Open Sans"/>
                <w:sz w:val="20"/>
                <w:szCs w:val="20"/>
              </w:rPr>
              <w:t xml:space="preserve"> extensive problem solving while</w:t>
            </w:r>
            <w:r w:rsidR="00DB101C">
              <w:rPr>
                <w:rFonts w:ascii="Open Sans" w:hAnsi="Open Sans" w:cs="Open Sans"/>
                <w:sz w:val="20"/>
                <w:szCs w:val="20"/>
              </w:rPr>
              <w:t xml:space="preserve"> </w:t>
            </w:r>
            <w:r>
              <w:rPr>
                <w:rFonts w:ascii="Open Sans" w:hAnsi="Open Sans" w:cs="Open Sans"/>
                <w:sz w:val="20"/>
                <w:szCs w:val="20"/>
              </w:rPr>
              <w:t xml:space="preserve">giving </w:t>
            </w:r>
            <w:r w:rsidR="00DB101C">
              <w:rPr>
                <w:rFonts w:ascii="Open Sans" w:hAnsi="Open Sans" w:cs="Open Sans"/>
                <w:sz w:val="20"/>
                <w:szCs w:val="20"/>
              </w:rPr>
              <w:t xml:space="preserve">students </w:t>
            </w:r>
            <w:r>
              <w:rPr>
                <w:rFonts w:ascii="Open Sans" w:hAnsi="Open Sans" w:cs="Open Sans"/>
                <w:sz w:val="20"/>
                <w:szCs w:val="20"/>
              </w:rPr>
              <w:t xml:space="preserve">opportunities for critical thinking throughout the text.  </w:t>
            </w:r>
          </w:p>
        </w:tc>
      </w:tr>
    </w:tbl>
    <w:p w:rsidR="00D53761" w:rsidRPr="00D53761" w:rsidRDefault="00D53761" w:rsidP="00C92378">
      <w:pPr>
        <w:spacing w:after="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rsidTr="004E6690">
        <w:trPr>
          <w:trHeight w:val="267"/>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rsidTr="004E6690">
        <w:trPr>
          <w:trHeight w:val="323"/>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rsidTr="004E6690">
        <w:trPr>
          <w:trHeight w:val="2807"/>
        </w:trPr>
        <w:tc>
          <w:tcPr>
            <w:tcW w:w="13860" w:type="dxa"/>
            <w:gridSpan w:val="2"/>
          </w:tcPr>
          <w:p w:rsidR="00D53761" w:rsidRPr="00D53761" w:rsidRDefault="00D53761" w:rsidP="00D53761">
            <w:pPr>
              <w:rPr>
                <w:rFonts w:ascii="Open Sans" w:hAnsi="Open Sans" w:cs="Open Sans"/>
                <w:sz w:val="20"/>
                <w:szCs w:val="20"/>
              </w:rPr>
            </w:pPr>
            <w:bookmarkStart w:id="0" w:name="_GoBack"/>
            <w:bookmarkEnd w:id="0"/>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rsidTr="004E6690">
              <w:trPr>
                <w:trHeight w:val="1007"/>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C92378">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4E6690">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C92378">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4E6690">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C92378">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4E6690">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C92378">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rsidR="00D53761" w:rsidRPr="00D53761" w:rsidRDefault="00D53761" w:rsidP="00D53761">
            <w:pPr>
              <w:rPr>
                <w:rFonts w:ascii="Open Sans" w:hAnsi="Open Sans" w:cs="Open Sans"/>
                <w:sz w:val="20"/>
                <w:szCs w:val="20"/>
              </w:rPr>
            </w:pPr>
          </w:p>
        </w:tc>
      </w:tr>
      <w:tr w:rsidR="00D53761" w:rsidRPr="00D53761" w:rsidTr="004E6690">
        <w:trPr>
          <w:trHeight w:val="1043"/>
        </w:trPr>
        <w:tc>
          <w:tcPr>
            <w:tcW w:w="10350" w:type="dxa"/>
            <w:shd w:val="clear" w:color="auto" w:fill="F2F2F2" w:themeFill="background1" w:themeFillShade="F2"/>
            <w:vAlign w:val="center"/>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tc>
        <w:tc>
          <w:tcPr>
            <w:tcW w:w="3510" w:type="dxa"/>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rsidR="00D53761" w:rsidRPr="00D53761" w:rsidRDefault="00D53761" w:rsidP="00D53761">
            <w:pPr>
              <w:jc w:val="center"/>
              <w:rPr>
                <w:rFonts w:ascii="Open Sans" w:hAnsi="Open Sans" w:cs="Open Sans"/>
                <w:b/>
                <w:sz w:val="20"/>
                <w:szCs w:val="20"/>
              </w:rPr>
            </w:pPr>
          </w:p>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C92378">
              <w:rPr>
                <w:rFonts w:ascii="Open Sans" w:hAnsi="Open Sans" w:cs="Open Sans"/>
                <w:b/>
                <w:sz w:val="20"/>
                <w:szCs w:val="20"/>
              </w:rPr>
              <w:t>X</w:t>
            </w:r>
            <w:r w:rsidRPr="00D53761">
              <w:rPr>
                <w:rFonts w:ascii="Open Sans" w:hAnsi="Open Sans" w:cs="Open Sans"/>
                <w:b/>
                <w:sz w:val="20"/>
                <w:szCs w:val="20"/>
              </w:rPr>
              <w:t>___     No _____</w:t>
            </w:r>
          </w:p>
        </w:tc>
      </w:tr>
      <w:tr w:rsidR="00D53761" w:rsidRPr="00D53761" w:rsidTr="004E6690">
        <w:trPr>
          <w:trHeight w:val="2159"/>
        </w:trPr>
        <w:tc>
          <w:tcPr>
            <w:tcW w:w="13860" w:type="dxa"/>
            <w:gridSpan w:val="2"/>
          </w:tcPr>
          <w:p w:rsid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t>Justification/Notes</w:t>
            </w:r>
          </w:p>
          <w:p w:rsidR="00C92378" w:rsidRPr="00B80873" w:rsidRDefault="00B80873" w:rsidP="00B80873">
            <w:pPr>
              <w:keepNext/>
              <w:outlineLvl w:val="4"/>
              <w:rPr>
                <w:rFonts w:ascii="Open Sans" w:hAnsi="Open Sans" w:cs="Open Sans"/>
                <w:sz w:val="20"/>
                <w:szCs w:val="20"/>
              </w:rPr>
            </w:pPr>
            <w:r>
              <w:rPr>
                <w:rFonts w:ascii="Open Sans" w:hAnsi="Open Sans" w:cs="Open Sans"/>
                <w:sz w:val="20"/>
                <w:szCs w:val="20"/>
              </w:rPr>
              <w:t xml:space="preserve">Material in the </w:t>
            </w:r>
            <w:r w:rsidR="009A23E4">
              <w:rPr>
                <w:rFonts w:ascii="Open Sans" w:hAnsi="Open Sans" w:cs="Open Sans"/>
                <w:sz w:val="20"/>
                <w:szCs w:val="20"/>
              </w:rPr>
              <w:t>textbook awards</w:t>
            </w:r>
            <w:r>
              <w:rPr>
                <w:rFonts w:ascii="Open Sans" w:hAnsi="Open Sans" w:cs="Open Sans"/>
                <w:sz w:val="20"/>
                <w:szCs w:val="20"/>
              </w:rPr>
              <w:t xml:space="preserve"> </w:t>
            </w:r>
            <w:r w:rsidR="001B5232">
              <w:rPr>
                <w:rFonts w:ascii="Open Sans" w:hAnsi="Open Sans" w:cs="Open Sans"/>
                <w:sz w:val="20"/>
                <w:szCs w:val="20"/>
              </w:rPr>
              <w:t>exemplary</w:t>
            </w:r>
            <w:r>
              <w:rPr>
                <w:rFonts w:ascii="Open Sans" w:hAnsi="Open Sans" w:cs="Open Sans"/>
                <w:sz w:val="20"/>
                <w:szCs w:val="20"/>
              </w:rPr>
              <w:t xml:space="preserve"> opportunities for postsecondary and career pathways. Highly recommend this textbook to be used for the Accounting 1 course.</w:t>
            </w:r>
          </w:p>
        </w:tc>
      </w:tr>
    </w:tbl>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rsidTr="004E6690">
        <w:trPr>
          <w:trHeight w:val="1384"/>
        </w:trPr>
        <w:tc>
          <w:tcPr>
            <w:tcW w:w="1035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Yes __</w:t>
            </w:r>
            <w:r w:rsidR="004E10B0">
              <w:rPr>
                <w:rFonts w:ascii="Open Sans" w:hAnsi="Open Sans" w:cs="Open Sans"/>
                <w:b/>
                <w:sz w:val="20"/>
                <w:szCs w:val="20"/>
              </w:rPr>
              <w:t>X</w:t>
            </w:r>
            <w:r w:rsidRPr="00D53761">
              <w:rPr>
                <w:rFonts w:ascii="Open Sans" w:hAnsi="Open Sans" w:cs="Open Sans"/>
                <w:b/>
                <w:sz w:val="20"/>
                <w:szCs w:val="20"/>
              </w:rPr>
              <w:t>___       No _____</w:t>
            </w:r>
          </w:p>
        </w:tc>
      </w:tr>
    </w:tbl>
    <w:p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rsidTr="004E6690">
        <w:tc>
          <w:tcPr>
            <w:tcW w:w="1386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rsidTr="004E6690">
        <w:tc>
          <w:tcPr>
            <w:tcW w:w="13860" w:type="dxa"/>
          </w:tcPr>
          <w:p w:rsidR="00D53761" w:rsidRPr="00D53761" w:rsidRDefault="00D53761" w:rsidP="00D53761">
            <w:pPr>
              <w:contextualSpacing/>
              <w:rPr>
                <w:rFonts w:ascii="Open Sans" w:hAnsi="Open Sans" w:cs="Open Sans"/>
                <w:sz w:val="20"/>
                <w:szCs w:val="20"/>
              </w:rPr>
            </w:pPr>
          </w:p>
          <w:p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rsidR="00D53761" w:rsidRPr="00D53761" w:rsidRDefault="00D53761" w:rsidP="00D53761">
            <w:pPr>
              <w:contextualSpacing/>
              <w:rPr>
                <w:rFonts w:ascii="Open Sans" w:hAnsi="Open Sans" w:cs="Open Sans"/>
                <w:sz w:val="20"/>
                <w:szCs w:val="20"/>
              </w:rPr>
            </w:pPr>
          </w:p>
          <w:p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rsidR="00D53761" w:rsidRPr="00D53761" w:rsidRDefault="00D53761" w:rsidP="00D53761">
            <w:pPr>
              <w:contextualSpacing/>
              <w:rPr>
                <w:rFonts w:ascii="Open Sans" w:hAnsi="Open Sans" w:cs="Open Sans"/>
                <w:sz w:val="20"/>
                <w:szCs w:val="20"/>
              </w:rPr>
            </w:pP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ind w:left="72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II(1). ADDITIONAL ALIGNMENT CRITERIA</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4E6690">
        <w:trPr>
          <w:trHeight w:val="1736"/>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D3716D">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Pr="00D53761" w:rsidRDefault="008A750D" w:rsidP="005D398E">
            <w:pPr>
              <w:contextualSpacing/>
              <w:rPr>
                <w:rFonts w:ascii="Open Sans" w:hAnsi="Open Sans" w:cs="Open Sans"/>
                <w:sz w:val="20"/>
                <w:szCs w:val="20"/>
              </w:rPr>
            </w:pPr>
            <w:r>
              <w:rPr>
                <w:rFonts w:ascii="Open Sans" w:hAnsi="Open Sans" w:cs="Open Sans"/>
                <w:sz w:val="20"/>
                <w:szCs w:val="20"/>
              </w:rPr>
              <w:t>M</w:t>
            </w:r>
            <w:r w:rsidR="00D3716D">
              <w:rPr>
                <w:rFonts w:ascii="Open Sans" w:hAnsi="Open Sans" w:cs="Open Sans"/>
                <w:sz w:val="20"/>
                <w:szCs w:val="20"/>
              </w:rPr>
              <w:t xml:space="preserve">aterials are aligned to relevant national and/or industry standards as noted </w:t>
            </w:r>
            <w:r w:rsidR="005D398E">
              <w:rPr>
                <w:rFonts w:ascii="Open Sans" w:hAnsi="Open Sans" w:cs="Open Sans"/>
                <w:sz w:val="20"/>
                <w:szCs w:val="20"/>
              </w:rPr>
              <w:t>through lessons, projects, assessments throughout the text.</w:t>
            </w:r>
            <w:r w:rsidR="00D3716D">
              <w:rPr>
                <w:rFonts w:ascii="Open Sans" w:hAnsi="Open Sans" w:cs="Open Sans"/>
                <w:sz w:val="20"/>
                <w:szCs w:val="20"/>
              </w:rPr>
              <w:t xml:space="preserve"> </w:t>
            </w:r>
          </w:p>
        </w:tc>
      </w:tr>
      <w:tr w:rsidR="00D53761" w:rsidRPr="00D53761" w:rsidTr="004E6690">
        <w:trPr>
          <w:trHeight w:val="1979"/>
        </w:trPr>
        <w:tc>
          <w:tcPr>
            <w:tcW w:w="8730" w:type="dxa"/>
            <w:vAlign w:val="center"/>
          </w:tcPr>
          <w:p w:rsidR="00D53761" w:rsidRPr="00D53761" w:rsidRDefault="00D53761" w:rsidP="00124855">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D3716D">
              <w:rPr>
                <w:rFonts w:ascii="Open Sans" w:hAnsi="Open Sans" w:cs="Open Sans"/>
                <w:b/>
                <w:sz w:val="20"/>
                <w:szCs w:val="20"/>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8A750D" w:rsidP="00D3716D">
            <w:pPr>
              <w:contextualSpacing/>
              <w:rPr>
                <w:rFonts w:ascii="Open Sans" w:hAnsi="Open Sans" w:cs="Open Sans"/>
                <w:sz w:val="20"/>
                <w:szCs w:val="20"/>
              </w:rPr>
            </w:pPr>
            <w:r>
              <w:rPr>
                <w:rFonts w:ascii="Open Sans" w:hAnsi="Open Sans" w:cs="Open Sans"/>
                <w:sz w:val="20"/>
                <w:szCs w:val="20"/>
              </w:rPr>
              <w:t>M</w:t>
            </w:r>
            <w:r w:rsidR="00D3716D">
              <w:rPr>
                <w:rFonts w:ascii="Open Sans" w:hAnsi="Open Sans" w:cs="Open Sans"/>
                <w:sz w:val="20"/>
                <w:szCs w:val="20"/>
              </w:rPr>
              <w:t xml:space="preserve">aterials are aligned to discipline-specific content as noted in Differentiating instruction: Intrapersonal Learning </w:t>
            </w:r>
            <w:r w:rsidR="00D641D1">
              <w:rPr>
                <w:rFonts w:ascii="Open Sans" w:hAnsi="Open Sans" w:cs="Open Sans"/>
                <w:sz w:val="20"/>
                <w:szCs w:val="20"/>
              </w:rPr>
              <w:t xml:space="preserve">&amp; Visual-Spatial Learning </w:t>
            </w:r>
            <w:r w:rsidR="00D3716D">
              <w:rPr>
                <w:rFonts w:ascii="Open Sans" w:hAnsi="Open Sans" w:cs="Open Sans"/>
                <w:sz w:val="20"/>
                <w:szCs w:val="20"/>
              </w:rPr>
              <w:t>sections</w:t>
            </w:r>
          </w:p>
        </w:tc>
      </w:tr>
      <w:tr w:rsidR="00D53761" w:rsidRPr="00D53761" w:rsidTr="004E6690">
        <w:trPr>
          <w:trHeight w:val="1979"/>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sidR="00415672">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2     </w:t>
            </w:r>
            <w:r w:rsidRPr="00B817E1">
              <w:rPr>
                <w:rFonts w:ascii="Open Sans" w:hAnsi="Open Sans" w:cs="Open Sans"/>
                <w:b/>
                <w:sz w:val="20"/>
                <w:szCs w:val="20"/>
              </w:rPr>
              <w:t xml:space="preserve"> 1</w:t>
            </w:r>
            <w:r w:rsidRPr="00D53761">
              <w:rPr>
                <w:rFonts w:ascii="Open Sans" w:hAnsi="Open Sans" w:cs="Open Sans"/>
                <w:sz w:val="20"/>
                <w:szCs w:val="20"/>
              </w:rPr>
              <w:t xml:space="preserve">    </w:t>
            </w:r>
            <w:r w:rsidRPr="00B817E1">
              <w:rPr>
                <w:rFonts w:ascii="Open Sans" w:hAnsi="Open Sans" w:cs="Open Sans"/>
                <w:b/>
                <w:sz w:val="20"/>
                <w:szCs w:val="20"/>
              </w:rPr>
              <w:t xml:space="preserve">  </w:t>
            </w:r>
            <w:r w:rsidRPr="00B817E1">
              <w:rPr>
                <w:rFonts w:ascii="Open Sans" w:hAnsi="Open Sans" w:cs="Open Sans"/>
                <w:sz w:val="20"/>
                <w:szCs w:val="20"/>
              </w:rPr>
              <w:t>0</w:t>
            </w:r>
          </w:p>
        </w:tc>
        <w:tc>
          <w:tcPr>
            <w:tcW w:w="2988" w:type="dxa"/>
            <w:shd w:val="clear" w:color="auto" w:fill="FFFFFF" w:themeFill="background1"/>
            <w:vAlign w:val="center"/>
          </w:tcPr>
          <w:p w:rsidR="00D53761" w:rsidRPr="00D53761" w:rsidRDefault="005D398E" w:rsidP="000F0C12">
            <w:pPr>
              <w:contextualSpacing/>
              <w:rPr>
                <w:rFonts w:ascii="Open Sans" w:hAnsi="Open Sans" w:cs="Open Sans"/>
                <w:sz w:val="20"/>
                <w:szCs w:val="20"/>
              </w:rPr>
            </w:pPr>
            <w:r>
              <w:rPr>
                <w:rFonts w:ascii="Open Sans" w:hAnsi="Open Sans" w:cs="Open Sans"/>
                <w:sz w:val="20"/>
                <w:szCs w:val="20"/>
              </w:rPr>
              <w:t>Nothing was found that connects material to professional organizations</w:t>
            </w:r>
            <w:r w:rsidR="00B817E1">
              <w:rPr>
                <w:rFonts w:ascii="Open Sans" w:hAnsi="Open Sans" w:cs="Open Sans"/>
                <w:sz w:val="20"/>
                <w:szCs w:val="20"/>
              </w:rPr>
              <w:t xml:space="preserve"> except </w:t>
            </w:r>
            <w:r w:rsidR="0055413B">
              <w:rPr>
                <w:rFonts w:ascii="Open Sans" w:hAnsi="Open Sans" w:cs="Open Sans"/>
                <w:sz w:val="20"/>
                <w:szCs w:val="20"/>
              </w:rPr>
              <w:t xml:space="preserve">a chart referring to </w:t>
            </w:r>
            <w:r w:rsidR="00B817E1">
              <w:rPr>
                <w:rFonts w:ascii="Open Sans" w:hAnsi="Open Sans" w:cs="Open Sans"/>
                <w:sz w:val="20"/>
                <w:szCs w:val="20"/>
              </w:rPr>
              <w:t>Certified Public Accountant (CPA).</w:t>
            </w:r>
          </w:p>
        </w:tc>
      </w:tr>
    </w:tbl>
    <w:p w:rsidR="00D53761" w:rsidRPr="00D53761" w:rsidRDefault="00D53761" w:rsidP="00D53761">
      <w:pPr>
        <w:spacing w:after="0" w:line="240" w:lineRule="auto"/>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rPr>
          <w:trHeight w:val="350"/>
        </w:trPr>
        <w:tc>
          <w:tcPr>
            <w:tcW w:w="8730" w:type="dxa"/>
            <w:shd w:val="clear" w:color="auto" w:fill="F2F2F2" w:themeFill="background1" w:themeFillShade="F2"/>
            <w:vAlign w:val="center"/>
          </w:tcPr>
          <w:p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II(2).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4E6690">
        <w:trPr>
          <w:trHeight w:val="1664"/>
        </w:trPr>
        <w:tc>
          <w:tcPr>
            <w:tcW w:w="8730" w:type="dxa"/>
            <w:vAlign w:val="center"/>
          </w:tcPr>
          <w:p w:rsidR="00D53761" w:rsidRPr="00D53761" w:rsidRDefault="00D53761" w:rsidP="00D53761">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D3716D">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Default="00D53761" w:rsidP="00D53761">
            <w:pPr>
              <w:contextualSpacing/>
              <w:rPr>
                <w:rFonts w:ascii="Open Sans" w:hAnsi="Open Sans" w:cs="Open Sans"/>
                <w:sz w:val="20"/>
                <w:szCs w:val="20"/>
              </w:rPr>
            </w:pPr>
          </w:p>
          <w:p w:rsidR="000F0C12" w:rsidRPr="00D53761" w:rsidRDefault="000F0C12" w:rsidP="00D53761">
            <w:pPr>
              <w:contextualSpacing/>
              <w:rPr>
                <w:rFonts w:ascii="Open Sans" w:hAnsi="Open Sans" w:cs="Open Sans"/>
                <w:sz w:val="20"/>
                <w:szCs w:val="20"/>
              </w:rPr>
            </w:pPr>
            <w:r>
              <w:rPr>
                <w:rFonts w:ascii="Open Sans" w:hAnsi="Open Sans" w:cs="Open Sans"/>
                <w:sz w:val="20"/>
                <w:szCs w:val="20"/>
              </w:rPr>
              <w:t xml:space="preserve">Connections are made within course between knowledge and skills as noted </w:t>
            </w:r>
            <w:r w:rsidR="008A750D">
              <w:rPr>
                <w:rFonts w:ascii="Open Sans" w:hAnsi="Open Sans" w:cs="Open Sans"/>
                <w:sz w:val="20"/>
                <w:szCs w:val="20"/>
              </w:rPr>
              <w:t>“</w:t>
            </w:r>
            <w:r w:rsidR="00645254">
              <w:rPr>
                <w:rFonts w:ascii="Open Sans" w:hAnsi="Open Sans" w:cs="Open Sans"/>
                <w:sz w:val="20"/>
                <w:szCs w:val="20"/>
              </w:rPr>
              <w:t>Assess Yourself in Vision of Careers</w:t>
            </w:r>
            <w:r w:rsidR="008A750D">
              <w:rPr>
                <w:rFonts w:ascii="Open Sans" w:hAnsi="Open Sans" w:cs="Open Sans"/>
                <w:sz w:val="20"/>
                <w:szCs w:val="20"/>
              </w:rPr>
              <w:t xml:space="preserve">” </w:t>
            </w:r>
            <w:r w:rsidR="00645254">
              <w:rPr>
                <w:rFonts w:ascii="Open Sans" w:hAnsi="Open Sans" w:cs="Open Sans"/>
                <w:sz w:val="20"/>
                <w:szCs w:val="20"/>
              </w:rPr>
              <w:t xml:space="preserve">section </w:t>
            </w:r>
          </w:p>
        </w:tc>
      </w:tr>
      <w:tr w:rsidR="00D53761" w:rsidRPr="00D53761" w:rsidTr="004E6690">
        <w:trPr>
          <w:trHeight w:val="1979"/>
        </w:trPr>
        <w:tc>
          <w:tcPr>
            <w:tcW w:w="8730" w:type="dxa"/>
            <w:vAlign w:val="center"/>
          </w:tcPr>
          <w:p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0F0C12">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0F0C12" w:rsidP="00D53761">
            <w:pPr>
              <w:contextualSpacing/>
              <w:rPr>
                <w:rFonts w:ascii="Open Sans" w:hAnsi="Open Sans" w:cs="Open Sans"/>
                <w:sz w:val="20"/>
                <w:szCs w:val="20"/>
              </w:rPr>
            </w:pPr>
            <w:r>
              <w:rPr>
                <w:rFonts w:ascii="Open Sans" w:hAnsi="Open Sans" w:cs="Open Sans"/>
                <w:sz w:val="20"/>
                <w:szCs w:val="20"/>
              </w:rPr>
              <w:t xml:space="preserve">Materials are vertically coherent with previous courses and connections are clear as noted in </w:t>
            </w:r>
            <w:r w:rsidR="00D641D1">
              <w:rPr>
                <w:rFonts w:ascii="Open Sans" w:hAnsi="Open Sans" w:cs="Open Sans"/>
                <w:sz w:val="20"/>
                <w:szCs w:val="20"/>
              </w:rPr>
              <w:t>21</w:t>
            </w:r>
            <w:r w:rsidR="00D641D1" w:rsidRPr="00D641D1">
              <w:rPr>
                <w:rFonts w:ascii="Open Sans" w:hAnsi="Open Sans" w:cs="Open Sans"/>
                <w:sz w:val="20"/>
                <w:szCs w:val="20"/>
                <w:vertAlign w:val="superscript"/>
              </w:rPr>
              <w:t>st</w:t>
            </w:r>
            <w:r w:rsidR="00D641D1">
              <w:rPr>
                <w:rFonts w:ascii="Open Sans" w:hAnsi="Open Sans" w:cs="Open Sans"/>
                <w:sz w:val="20"/>
                <w:szCs w:val="20"/>
              </w:rPr>
              <w:t xml:space="preserve"> Century Skills sections</w:t>
            </w:r>
          </w:p>
        </w:tc>
      </w:tr>
      <w:tr w:rsidR="00D53761" w:rsidRPr="00D53761" w:rsidTr="004E6690">
        <w:trPr>
          <w:trHeight w:val="1781"/>
        </w:trPr>
        <w:tc>
          <w:tcPr>
            <w:tcW w:w="8730" w:type="dxa"/>
            <w:vAlign w:val="center"/>
          </w:tcPr>
          <w:p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645254">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645254" w:rsidP="00D53761">
            <w:pPr>
              <w:contextualSpacing/>
              <w:rPr>
                <w:rFonts w:ascii="Open Sans" w:hAnsi="Open Sans" w:cs="Open Sans"/>
                <w:sz w:val="20"/>
                <w:szCs w:val="20"/>
              </w:rPr>
            </w:pPr>
            <w:r>
              <w:rPr>
                <w:rFonts w:ascii="Open Sans" w:hAnsi="Open Sans" w:cs="Open Sans"/>
                <w:sz w:val="20"/>
                <w:szCs w:val="20"/>
              </w:rPr>
              <w:t>Materials reflect the standards and are clearly aimed to help students meet the standards throughout each lesson, unit, activity and assessment.</w:t>
            </w:r>
          </w:p>
        </w:tc>
      </w:tr>
    </w:tbl>
    <w:p w:rsidR="00D53761" w:rsidRDefault="00D53761" w:rsidP="00D53761">
      <w:pPr>
        <w:spacing w:after="0"/>
        <w:rPr>
          <w:rFonts w:ascii="Open Sans" w:hAnsi="Open Sans" w:cs="Open Sans"/>
          <w:sz w:val="20"/>
          <w:szCs w:val="20"/>
        </w:rPr>
      </w:pPr>
    </w:p>
    <w:p w:rsidR="008A750D" w:rsidRDefault="008A750D" w:rsidP="00D53761">
      <w:pPr>
        <w:spacing w:after="0"/>
        <w:rPr>
          <w:rFonts w:ascii="Open Sans" w:hAnsi="Open Sans" w:cs="Open Sans"/>
          <w:sz w:val="20"/>
          <w:szCs w:val="20"/>
        </w:rPr>
      </w:pPr>
    </w:p>
    <w:p w:rsidR="008A750D" w:rsidRDefault="008A750D" w:rsidP="00D53761">
      <w:pPr>
        <w:spacing w:after="0"/>
        <w:rPr>
          <w:rFonts w:ascii="Open Sans" w:hAnsi="Open Sans" w:cs="Open Sans"/>
          <w:sz w:val="20"/>
          <w:szCs w:val="20"/>
        </w:rPr>
      </w:pPr>
    </w:p>
    <w:p w:rsidR="008A750D" w:rsidRDefault="008A750D" w:rsidP="00D53761">
      <w:pPr>
        <w:spacing w:after="0"/>
        <w:rPr>
          <w:rFonts w:ascii="Open Sans" w:hAnsi="Open Sans" w:cs="Open Sans"/>
          <w:sz w:val="20"/>
          <w:szCs w:val="20"/>
        </w:rPr>
      </w:pPr>
    </w:p>
    <w:p w:rsidR="008A750D" w:rsidRDefault="008A750D" w:rsidP="00D53761">
      <w:pPr>
        <w:spacing w:after="0"/>
        <w:rPr>
          <w:rFonts w:ascii="Open Sans" w:hAnsi="Open Sans" w:cs="Open Sans"/>
          <w:sz w:val="20"/>
          <w:szCs w:val="20"/>
        </w:rPr>
      </w:pPr>
    </w:p>
    <w:p w:rsidR="008A750D" w:rsidRPr="00D53761" w:rsidRDefault="008A750D"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II(3). TEACHER SUPPORTS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4E6690">
        <w:trPr>
          <w:trHeight w:val="1502"/>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645254">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Default="00D53761" w:rsidP="00D53761">
            <w:pPr>
              <w:contextualSpacing/>
              <w:rPr>
                <w:rFonts w:ascii="Open Sans" w:hAnsi="Open Sans" w:cs="Open Sans"/>
                <w:sz w:val="20"/>
                <w:szCs w:val="20"/>
              </w:rPr>
            </w:pPr>
          </w:p>
          <w:p w:rsidR="00645254" w:rsidRPr="00D53761" w:rsidRDefault="00645254" w:rsidP="00D53761">
            <w:pPr>
              <w:contextualSpacing/>
              <w:rPr>
                <w:rFonts w:ascii="Open Sans" w:hAnsi="Open Sans" w:cs="Open Sans"/>
                <w:sz w:val="20"/>
                <w:szCs w:val="20"/>
              </w:rPr>
            </w:pPr>
            <w:r>
              <w:rPr>
                <w:rFonts w:ascii="Open Sans" w:hAnsi="Open Sans" w:cs="Open Sans"/>
                <w:sz w:val="20"/>
                <w:szCs w:val="20"/>
              </w:rPr>
              <w:t xml:space="preserve">The pacing guide for this text is outstanding, thorough, and gives an array of lessons, </w:t>
            </w:r>
            <w:r w:rsidR="00D641D1">
              <w:rPr>
                <w:rFonts w:ascii="Open Sans" w:hAnsi="Open Sans" w:cs="Open Sans"/>
                <w:sz w:val="20"/>
                <w:szCs w:val="20"/>
              </w:rPr>
              <w:t>applications;</w:t>
            </w:r>
            <w:r w:rsidR="00FE2CEF">
              <w:rPr>
                <w:rFonts w:ascii="Open Sans" w:hAnsi="Open Sans" w:cs="Open Sans"/>
                <w:sz w:val="20"/>
                <w:szCs w:val="20"/>
              </w:rPr>
              <w:t xml:space="preserve"> </w:t>
            </w:r>
            <w:r>
              <w:rPr>
                <w:rFonts w:ascii="Open Sans" w:hAnsi="Open Sans" w:cs="Open Sans"/>
                <w:sz w:val="20"/>
                <w:szCs w:val="20"/>
              </w:rPr>
              <w:t>projects, instructional strategies</w:t>
            </w:r>
            <w:r w:rsidR="008A750D">
              <w:rPr>
                <w:rFonts w:ascii="Open Sans" w:hAnsi="Open Sans" w:cs="Open Sans"/>
                <w:sz w:val="20"/>
                <w:szCs w:val="20"/>
              </w:rPr>
              <w:t>, etc.</w:t>
            </w:r>
            <w:r>
              <w:rPr>
                <w:rFonts w:ascii="Open Sans" w:hAnsi="Open Sans" w:cs="Open Sans"/>
                <w:sz w:val="20"/>
                <w:szCs w:val="20"/>
              </w:rPr>
              <w:t xml:space="preserve"> go above &amp; beyond.</w:t>
            </w:r>
          </w:p>
        </w:tc>
      </w:tr>
      <w:tr w:rsidR="00D53761" w:rsidRPr="00D53761" w:rsidTr="004E6690">
        <w:trPr>
          <w:trHeight w:val="1376"/>
        </w:trPr>
        <w:tc>
          <w:tcPr>
            <w:tcW w:w="8730" w:type="dxa"/>
            <w:vAlign w:val="center"/>
          </w:tcPr>
          <w:p w:rsidR="00D53761" w:rsidRPr="00D53761" w:rsidRDefault="00D53761" w:rsidP="00D53761">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8A750D">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D53761" w:rsidRPr="00D53761" w:rsidRDefault="008A750D" w:rsidP="00D53761">
            <w:pPr>
              <w:contextualSpacing/>
              <w:rPr>
                <w:rFonts w:ascii="Open Sans" w:hAnsi="Open Sans" w:cs="Open Sans"/>
                <w:sz w:val="20"/>
                <w:szCs w:val="20"/>
              </w:rPr>
            </w:pPr>
            <w:r>
              <w:rPr>
                <w:rFonts w:ascii="Open Sans" w:hAnsi="Open Sans" w:cs="Open Sans"/>
                <w:sz w:val="20"/>
                <w:szCs w:val="20"/>
              </w:rPr>
              <w:t xml:space="preserve">Materials include mastery of content that entails Higher order thinking, problem solving as evident in </w:t>
            </w:r>
            <w:r w:rsidR="0027457D">
              <w:rPr>
                <w:rFonts w:ascii="Open Sans" w:hAnsi="Open Sans" w:cs="Open Sans"/>
                <w:sz w:val="20"/>
                <w:szCs w:val="20"/>
              </w:rPr>
              <w:t>Concept Check, Critical Thinking, Problems</w:t>
            </w:r>
          </w:p>
        </w:tc>
      </w:tr>
      <w:tr w:rsidR="00D53761" w:rsidRPr="00D53761" w:rsidTr="004E6690">
        <w:trPr>
          <w:trHeight w:val="1376"/>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8A750D">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D53761" w:rsidRPr="00D53761" w:rsidRDefault="00E63964" w:rsidP="00FD1354">
            <w:pPr>
              <w:contextualSpacing/>
              <w:rPr>
                <w:rFonts w:ascii="Open Sans" w:hAnsi="Open Sans" w:cs="Open Sans"/>
                <w:sz w:val="20"/>
                <w:szCs w:val="20"/>
              </w:rPr>
            </w:pPr>
            <w:r>
              <w:rPr>
                <w:rFonts w:ascii="Open Sans" w:hAnsi="Open Sans" w:cs="Open Sans"/>
                <w:sz w:val="20"/>
                <w:szCs w:val="20"/>
              </w:rPr>
              <w:t xml:space="preserve">Materials include </w:t>
            </w:r>
            <w:r w:rsidR="00FD1354">
              <w:rPr>
                <w:rFonts w:ascii="Open Sans" w:hAnsi="Open Sans" w:cs="Open Sans"/>
                <w:sz w:val="20"/>
                <w:szCs w:val="20"/>
              </w:rPr>
              <w:t xml:space="preserve">opportunities for teachers to enhance their knowledge through excellent quality professional development through Mini-clip Vocabulary libraries </w:t>
            </w:r>
            <w:r w:rsidR="00FE2CEF">
              <w:rPr>
                <w:rFonts w:ascii="Open Sans" w:hAnsi="Open Sans" w:cs="Open Sans"/>
                <w:sz w:val="20"/>
                <w:szCs w:val="20"/>
              </w:rPr>
              <w:t xml:space="preserve"> </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II(4). USABILITY</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4E6690">
        <w:trPr>
          <w:trHeight w:val="1502"/>
        </w:trPr>
        <w:tc>
          <w:tcPr>
            <w:tcW w:w="8730" w:type="dxa"/>
            <w:vAlign w:val="center"/>
          </w:tcPr>
          <w:p w:rsidR="00D53761" w:rsidRPr="00D53761" w:rsidRDefault="00D53761" w:rsidP="00D53761">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E63964">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D53761" w:rsidRPr="00D53761" w:rsidRDefault="00E63964" w:rsidP="00D641D1">
            <w:pPr>
              <w:contextualSpacing/>
              <w:rPr>
                <w:rFonts w:ascii="Open Sans" w:hAnsi="Open Sans" w:cs="Open Sans"/>
                <w:sz w:val="20"/>
                <w:szCs w:val="20"/>
              </w:rPr>
            </w:pPr>
            <w:r>
              <w:rPr>
                <w:rFonts w:ascii="Open Sans" w:hAnsi="Open Sans" w:cs="Open Sans"/>
                <w:sz w:val="20"/>
                <w:szCs w:val="20"/>
              </w:rPr>
              <w:t xml:space="preserve">Materials include </w:t>
            </w:r>
            <w:r w:rsidR="00D641D1">
              <w:rPr>
                <w:rFonts w:ascii="Open Sans" w:hAnsi="Open Sans" w:cs="Open Sans"/>
                <w:sz w:val="20"/>
                <w:szCs w:val="20"/>
              </w:rPr>
              <w:t>a variety of formats and media which includes video, multimedia platforms,</w:t>
            </w:r>
            <w:r w:rsidR="00B132E1">
              <w:rPr>
                <w:rFonts w:ascii="Open Sans" w:hAnsi="Open Sans" w:cs="Open Sans"/>
                <w:sz w:val="20"/>
                <w:szCs w:val="20"/>
              </w:rPr>
              <w:t xml:space="preserve"> graphics, charts, etc.</w:t>
            </w:r>
            <w:r w:rsidR="00D641D1">
              <w:rPr>
                <w:rFonts w:ascii="Open Sans" w:hAnsi="Open Sans" w:cs="Open Sans"/>
                <w:sz w:val="20"/>
                <w:szCs w:val="20"/>
              </w:rPr>
              <w:t xml:space="preserve"> </w:t>
            </w:r>
          </w:p>
        </w:tc>
      </w:tr>
      <w:tr w:rsidR="00D53761" w:rsidRPr="00D53761" w:rsidTr="004E6690">
        <w:trPr>
          <w:trHeight w:val="1115"/>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sidR="006F3C74">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E63964">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D53761" w:rsidRPr="00D53761" w:rsidRDefault="00E63964" w:rsidP="0068451D">
            <w:pPr>
              <w:contextualSpacing/>
              <w:rPr>
                <w:rFonts w:ascii="Open Sans" w:hAnsi="Open Sans" w:cs="Open Sans"/>
                <w:sz w:val="20"/>
                <w:szCs w:val="20"/>
              </w:rPr>
            </w:pPr>
            <w:r>
              <w:rPr>
                <w:rFonts w:ascii="Open Sans" w:hAnsi="Open Sans" w:cs="Open Sans"/>
                <w:sz w:val="20"/>
                <w:szCs w:val="20"/>
              </w:rPr>
              <w:t xml:space="preserve">Materials </w:t>
            </w:r>
            <w:r w:rsidR="0068451D">
              <w:rPr>
                <w:rFonts w:ascii="Open Sans" w:hAnsi="Open Sans" w:cs="Open Sans"/>
                <w:sz w:val="20"/>
                <w:szCs w:val="20"/>
              </w:rPr>
              <w:t xml:space="preserve">are clear, easy to read and </w:t>
            </w:r>
            <w:r w:rsidR="00B132E1">
              <w:rPr>
                <w:rFonts w:ascii="Open Sans" w:hAnsi="Open Sans" w:cs="Open Sans"/>
                <w:sz w:val="20"/>
                <w:szCs w:val="20"/>
              </w:rPr>
              <w:t xml:space="preserve">the </w:t>
            </w:r>
            <w:r w:rsidR="0068451D">
              <w:rPr>
                <w:rFonts w:ascii="Open Sans" w:hAnsi="Open Sans" w:cs="Open Sans"/>
                <w:sz w:val="20"/>
                <w:szCs w:val="20"/>
              </w:rPr>
              <w:t>design</w:t>
            </w:r>
            <w:r w:rsidR="00B132E1">
              <w:rPr>
                <w:rFonts w:ascii="Open Sans" w:hAnsi="Open Sans" w:cs="Open Sans"/>
                <w:sz w:val="20"/>
                <w:szCs w:val="20"/>
              </w:rPr>
              <w:t xml:space="preserve"> and graphics are</w:t>
            </w:r>
            <w:r w:rsidR="0027457D">
              <w:rPr>
                <w:rFonts w:ascii="Open Sans" w:hAnsi="Open Sans" w:cs="Open Sans"/>
                <w:sz w:val="20"/>
                <w:szCs w:val="20"/>
              </w:rPr>
              <w:t xml:space="preserve"> absolutely awesome!</w:t>
            </w:r>
          </w:p>
        </w:tc>
      </w:tr>
      <w:tr w:rsidR="00D53761" w:rsidRPr="00D53761" w:rsidTr="004E6690">
        <w:trPr>
          <w:trHeight w:val="1376"/>
        </w:trPr>
        <w:tc>
          <w:tcPr>
            <w:tcW w:w="8730" w:type="dxa"/>
            <w:vAlign w:val="center"/>
          </w:tcPr>
          <w:p w:rsidR="00D53761" w:rsidRPr="00D53761" w:rsidRDefault="00D53761" w:rsidP="00D53761">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E63964">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Pr="00D53761" w:rsidRDefault="00E63964" w:rsidP="00D53761">
            <w:pPr>
              <w:contextualSpacing/>
              <w:rPr>
                <w:rFonts w:ascii="Open Sans" w:hAnsi="Open Sans" w:cs="Open Sans"/>
                <w:sz w:val="20"/>
                <w:szCs w:val="20"/>
              </w:rPr>
            </w:pPr>
            <w:r>
              <w:rPr>
                <w:rFonts w:ascii="Open Sans" w:hAnsi="Open Sans" w:cs="Open Sans"/>
                <w:sz w:val="20"/>
                <w:szCs w:val="20"/>
              </w:rPr>
              <w:t xml:space="preserve">Material include supports for all learners as evident in the English Learners, </w:t>
            </w:r>
            <w:r w:rsidR="00B132E1">
              <w:rPr>
                <w:rFonts w:ascii="Open Sans" w:hAnsi="Open Sans" w:cs="Open Sans"/>
                <w:sz w:val="20"/>
                <w:szCs w:val="20"/>
              </w:rPr>
              <w:t>Visual-Spatial Learning</w:t>
            </w:r>
          </w:p>
        </w:tc>
      </w:tr>
      <w:tr w:rsidR="00D53761" w:rsidRPr="00D53761" w:rsidTr="004E6690">
        <w:trPr>
          <w:trHeight w:val="1376"/>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457DCE">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Pr="00D53761" w:rsidRDefault="0027457D" w:rsidP="00D53761">
            <w:pPr>
              <w:contextualSpacing/>
              <w:rPr>
                <w:rFonts w:ascii="Open Sans" w:hAnsi="Open Sans" w:cs="Open Sans"/>
                <w:sz w:val="20"/>
                <w:szCs w:val="20"/>
              </w:rPr>
            </w:pPr>
            <w:r>
              <w:rPr>
                <w:rFonts w:ascii="Open Sans" w:hAnsi="Open Sans" w:cs="Open Sans"/>
                <w:sz w:val="20"/>
                <w:szCs w:val="20"/>
              </w:rPr>
              <w:t xml:space="preserve"> Materials are culturally sensitive to all users as evident Cultural Differences in the 21</w:t>
            </w:r>
            <w:r w:rsidRPr="0027457D">
              <w:rPr>
                <w:rFonts w:ascii="Open Sans" w:hAnsi="Open Sans" w:cs="Open Sans"/>
                <w:sz w:val="20"/>
                <w:szCs w:val="20"/>
                <w:vertAlign w:val="superscript"/>
              </w:rPr>
              <w:t>st</w:t>
            </w:r>
            <w:r>
              <w:rPr>
                <w:rFonts w:ascii="Open Sans" w:hAnsi="Open Sans" w:cs="Open Sans"/>
                <w:sz w:val="20"/>
                <w:szCs w:val="20"/>
              </w:rPr>
              <w:t xml:space="preserve"> Century Skills sections.</w:t>
            </w:r>
          </w:p>
        </w:tc>
      </w:tr>
    </w:tbl>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r w:rsidRPr="00D53761">
        <w:rPr>
          <w:rFonts w:ascii="Open Sans" w:hAnsi="Open Sans" w:cs="Open Sans"/>
          <w:sz w:val="20"/>
          <w:szCs w:val="20"/>
        </w:rPr>
        <w:br/>
      </w:r>
    </w:p>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II(5). ASSESSMENTS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4E6690">
        <w:trPr>
          <w:trHeight w:val="1502"/>
        </w:trPr>
        <w:tc>
          <w:tcPr>
            <w:tcW w:w="8730" w:type="dxa"/>
            <w:vAlign w:val="center"/>
          </w:tcPr>
          <w:p w:rsidR="00D53761" w:rsidRPr="00D53761" w:rsidRDefault="00D53761" w:rsidP="00D53761">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D641D1">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Pr="00D53761" w:rsidRDefault="0027457D" w:rsidP="00D53761">
            <w:pPr>
              <w:contextualSpacing/>
              <w:rPr>
                <w:rFonts w:ascii="Open Sans" w:hAnsi="Open Sans" w:cs="Open Sans"/>
                <w:sz w:val="20"/>
                <w:szCs w:val="20"/>
              </w:rPr>
            </w:pPr>
            <w:r>
              <w:rPr>
                <w:rFonts w:ascii="Open Sans" w:hAnsi="Open Sans" w:cs="Open Sans"/>
                <w:sz w:val="20"/>
                <w:szCs w:val="20"/>
              </w:rPr>
              <w:t xml:space="preserve">Materials include aligned </w:t>
            </w:r>
            <w:r w:rsidR="00B132E1">
              <w:rPr>
                <w:rFonts w:ascii="Open Sans" w:hAnsi="Open Sans" w:cs="Open Sans"/>
                <w:sz w:val="20"/>
                <w:szCs w:val="20"/>
              </w:rPr>
              <w:t xml:space="preserve"> assessments as evident in Essential Questions, Vocabulary Check, Conceptual Check, throughout the chapter and end of chapter: Standardized Test &amp; Problems</w:t>
            </w:r>
          </w:p>
        </w:tc>
      </w:tr>
      <w:tr w:rsidR="00D53761" w:rsidRPr="00D53761" w:rsidTr="004E6690">
        <w:trPr>
          <w:trHeight w:val="1115"/>
        </w:trPr>
        <w:tc>
          <w:tcPr>
            <w:tcW w:w="8730" w:type="dxa"/>
            <w:vAlign w:val="center"/>
          </w:tcPr>
          <w:p w:rsidR="00D53761" w:rsidRPr="00D53761" w:rsidRDefault="00D53761" w:rsidP="00D53761">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D641D1">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Default="00D53761" w:rsidP="00D53761">
            <w:pPr>
              <w:contextualSpacing/>
              <w:rPr>
                <w:rFonts w:ascii="Open Sans" w:hAnsi="Open Sans" w:cs="Open Sans"/>
                <w:sz w:val="20"/>
                <w:szCs w:val="20"/>
              </w:rPr>
            </w:pPr>
          </w:p>
          <w:p w:rsidR="00501911" w:rsidRPr="00D53761" w:rsidRDefault="00501911" w:rsidP="00D53761">
            <w:pPr>
              <w:contextualSpacing/>
              <w:rPr>
                <w:rFonts w:ascii="Open Sans" w:hAnsi="Open Sans" w:cs="Open Sans"/>
                <w:sz w:val="20"/>
                <w:szCs w:val="20"/>
              </w:rPr>
            </w:pPr>
            <w:r>
              <w:rPr>
                <w:rFonts w:ascii="Open Sans" w:hAnsi="Open Sans" w:cs="Open Sans"/>
                <w:sz w:val="20"/>
                <w:szCs w:val="20"/>
              </w:rPr>
              <w:t xml:space="preserve">Material offer an array of student progress measures throughout the text.   </w:t>
            </w:r>
          </w:p>
        </w:tc>
      </w:tr>
      <w:tr w:rsidR="00D53761" w:rsidRPr="00D53761" w:rsidTr="004E6690">
        <w:trPr>
          <w:trHeight w:val="1376"/>
        </w:trPr>
        <w:tc>
          <w:tcPr>
            <w:tcW w:w="8730" w:type="dxa"/>
            <w:vAlign w:val="center"/>
          </w:tcPr>
          <w:p w:rsidR="00D53761" w:rsidRPr="00D53761" w:rsidRDefault="00D53761" w:rsidP="00D53761">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D641D1">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Pr="00D53761" w:rsidRDefault="00501911" w:rsidP="00D53761">
            <w:pPr>
              <w:contextualSpacing/>
              <w:rPr>
                <w:rFonts w:ascii="Open Sans" w:hAnsi="Open Sans" w:cs="Open Sans"/>
                <w:sz w:val="20"/>
                <w:szCs w:val="20"/>
              </w:rPr>
            </w:pPr>
            <w:r>
              <w:rPr>
                <w:rFonts w:ascii="Open Sans" w:hAnsi="Open Sans" w:cs="Open Sans"/>
                <w:sz w:val="20"/>
                <w:szCs w:val="20"/>
              </w:rPr>
              <w:t>Materials include assessment accommodations for diverse learners as noted in Differentiated Instruction: Visual Spatial Learning and Professional development Mini-clips</w:t>
            </w:r>
            <w:r w:rsidR="00010838">
              <w:rPr>
                <w:rFonts w:ascii="Open Sans" w:hAnsi="Open Sans" w:cs="Open Sans"/>
                <w:sz w:val="20"/>
                <w:szCs w:val="20"/>
              </w:rPr>
              <w:t>.</w:t>
            </w:r>
          </w:p>
        </w:tc>
      </w:tr>
    </w:tbl>
    <w:p w:rsidR="00D53761" w:rsidRDefault="00D53761" w:rsidP="00D53761">
      <w:pPr>
        <w:spacing w:after="0"/>
        <w:rPr>
          <w:rFonts w:ascii="Open Sans" w:hAnsi="Open Sans" w:cs="Open Sans"/>
          <w:sz w:val="20"/>
          <w:szCs w:val="20"/>
        </w:rPr>
      </w:pPr>
    </w:p>
    <w:p w:rsidR="00D641D1" w:rsidRDefault="00D641D1" w:rsidP="00D53761">
      <w:pPr>
        <w:spacing w:after="0"/>
        <w:rPr>
          <w:rFonts w:ascii="Open Sans" w:hAnsi="Open Sans" w:cs="Open Sans"/>
          <w:sz w:val="20"/>
          <w:szCs w:val="20"/>
        </w:rPr>
      </w:pPr>
    </w:p>
    <w:p w:rsidR="00D641D1" w:rsidRDefault="00D641D1" w:rsidP="00D53761">
      <w:pPr>
        <w:spacing w:after="0"/>
        <w:rPr>
          <w:rFonts w:ascii="Open Sans" w:hAnsi="Open Sans" w:cs="Open Sans"/>
          <w:sz w:val="20"/>
          <w:szCs w:val="20"/>
        </w:rPr>
      </w:pPr>
    </w:p>
    <w:p w:rsidR="00D641D1" w:rsidRDefault="00D641D1" w:rsidP="00D53761">
      <w:pPr>
        <w:spacing w:after="0"/>
        <w:rPr>
          <w:rFonts w:ascii="Open Sans" w:hAnsi="Open Sans" w:cs="Open Sans"/>
          <w:sz w:val="20"/>
          <w:szCs w:val="20"/>
        </w:rPr>
      </w:pPr>
    </w:p>
    <w:p w:rsidR="00D641D1" w:rsidRDefault="00D641D1" w:rsidP="00D53761">
      <w:pPr>
        <w:spacing w:after="0"/>
        <w:rPr>
          <w:rFonts w:ascii="Open Sans" w:hAnsi="Open Sans" w:cs="Open Sans"/>
          <w:sz w:val="20"/>
          <w:szCs w:val="20"/>
        </w:rPr>
      </w:pPr>
    </w:p>
    <w:p w:rsidR="00D641D1" w:rsidRDefault="00D641D1" w:rsidP="00D53761">
      <w:pPr>
        <w:spacing w:after="0"/>
        <w:rPr>
          <w:rFonts w:ascii="Open Sans" w:hAnsi="Open Sans" w:cs="Open Sans"/>
          <w:sz w:val="20"/>
          <w:szCs w:val="20"/>
        </w:rPr>
      </w:pPr>
    </w:p>
    <w:p w:rsidR="00D641D1" w:rsidRDefault="00D641D1" w:rsidP="00D53761">
      <w:pPr>
        <w:spacing w:after="0"/>
        <w:rPr>
          <w:rFonts w:ascii="Open Sans" w:hAnsi="Open Sans" w:cs="Open Sans"/>
          <w:sz w:val="20"/>
          <w:szCs w:val="20"/>
        </w:rPr>
      </w:pPr>
    </w:p>
    <w:p w:rsidR="00D641D1" w:rsidRDefault="00D641D1" w:rsidP="00D53761">
      <w:pPr>
        <w:spacing w:after="0"/>
        <w:rPr>
          <w:rFonts w:ascii="Open Sans" w:hAnsi="Open Sans" w:cs="Open Sans"/>
          <w:sz w:val="20"/>
          <w:szCs w:val="20"/>
        </w:rPr>
      </w:pPr>
    </w:p>
    <w:p w:rsidR="00D641D1" w:rsidRPr="00D53761" w:rsidRDefault="00D641D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rsidTr="004E6690">
        <w:trPr>
          <w:trHeight w:val="395"/>
        </w:trPr>
        <w:tc>
          <w:tcPr>
            <w:tcW w:w="13158" w:type="dxa"/>
            <w:shd w:val="clear" w:color="auto" w:fill="F2F2F2" w:themeFill="background1" w:themeFillShade="F2"/>
          </w:tcPr>
          <w:p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rsidR="00D53761" w:rsidRPr="00D53761" w:rsidRDefault="00D53761" w:rsidP="00D53761">
            <w:pPr>
              <w:rPr>
                <w:rFonts w:ascii="Open Sans" w:hAnsi="Open Sans" w:cs="Open Sans"/>
                <w:b/>
                <w:sz w:val="20"/>
                <w:szCs w:val="20"/>
              </w:rPr>
            </w:pPr>
          </w:p>
          <w:p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rsidTr="004E6690">
        <w:trPr>
          <w:trHeight w:val="395"/>
        </w:trPr>
        <w:tc>
          <w:tcPr>
            <w:tcW w:w="8730" w:type="dxa"/>
            <w:shd w:val="thinReverseDiagStripe" w:color="D9D9D9" w:themeColor="background1" w:themeShade="D9" w:fill="auto"/>
            <w:vAlign w:val="center"/>
          </w:tcPr>
          <w:p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4E6690">
        <w:trPr>
          <w:trHeight w:val="1259"/>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rsidTr="004E6690">
        <w:trPr>
          <w:trHeight w:val="1115"/>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rsidTr="004E6690">
        <w:trPr>
          <w:trHeight w:val="395"/>
        </w:trPr>
        <w:tc>
          <w:tcPr>
            <w:tcW w:w="8730" w:type="dxa"/>
            <w:shd w:val="clear" w:color="auto" w:fill="F2F2F2" w:themeFill="background1" w:themeFillShade="F2"/>
            <w:vAlign w:val="center"/>
          </w:tcPr>
          <w:p w:rsidR="0078544F" w:rsidRDefault="0078544F" w:rsidP="00D53761">
            <w:pPr>
              <w:rPr>
                <w:rFonts w:ascii="Open Sans" w:eastAsia="Times New Roman" w:hAnsi="Open Sans" w:cs="Open Sans"/>
                <w:b/>
                <w:sz w:val="20"/>
                <w:szCs w:val="20"/>
              </w:rPr>
            </w:pPr>
          </w:p>
          <w:p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4E6690">
        <w:trPr>
          <w:trHeight w:val="1259"/>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i/>
                <w:sz w:val="20"/>
                <w:szCs w:val="20"/>
              </w:rPr>
            </w:pPr>
          </w:p>
        </w:tc>
      </w:tr>
      <w:tr w:rsidR="00D53761" w:rsidRPr="00D53761" w:rsidTr="004E6690">
        <w:trPr>
          <w:trHeight w:val="1115"/>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sz w:val="20"/>
                <w:szCs w:val="20"/>
              </w:rPr>
            </w:pPr>
          </w:p>
        </w:tc>
      </w:tr>
    </w:tbl>
    <w:p w:rsidR="00D53761" w:rsidRPr="00D53761" w:rsidRDefault="00D53761" w:rsidP="00D53761">
      <w:pPr>
        <w:rPr>
          <w:rFonts w:ascii="Open Sans" w:hAnsi="Open Sans" w:cs="Open Sans"/>
          <w:sz w:val="20"/>
          <w:szCs w:val="20"/>
        </w:rPr>
      </w:pPr>
    </w:p>
    <w:sectPr w:rsidR="00D53761" w:rsidRPr="00D53761" w:rsidSect="00D62A0C">
      <w:footerReference w:type="default" r:id="rId9"/>
      <w:pgSz w:w="15840" w:h="12240" w:orient="landscape"/>
      <w:pgMar w:top="1296"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6F6" w:rsidRDefault="003966F6" w:rsidP="007628D2">
      <w:pPr>
        <w:spacing w:after="0" w:line="240" w:lineRule="auto"/>
      </w:pPr>
      <w:r>
        <w:separator/>
      </w:r>
    </w:p>
  </w:endnote>
  <w:endnote w:type="continuationSeparator" w:id="0">
    <w:p w:rsidR="003966F6" w:rsidRDefault="003966F6" w:rsidP="00762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57D" w:rsidRDefault="0027457D">
    <w:pPr>
      <w:pStyle w:val="Footer"/>
    </w:pPr>
    <w:r>
      <w:t>McGraw Hill_5910 Glencoe Accounting I_</w:t>
    </w:r>
    <w:r>
      <w:rPr>
        <w:rFonts w:ascii="Open Sans" w:hAnsi="Open Sans" w:cs="Open Sans"/>
        <w:sz w:val="18"/>
        <w:szCs w:val="18"/>
      </w:rPr>
      <w:t>978-0-02-140088-1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6F6" w:rsidRDefault="003966F6" w:rsidP="007628D2">
      <w:pPr>
        <w:spacing w:after="0" w:line="240" w:lineRule="auto"/>
      </w:pPr>
      <w:r>
        <w:separator/>
      </w:r>
    </w:p>
  </w:footnote>
  <w:footnote w:type="continuationSeparator" w:id="0">
    <w:p w:rsidR="003966F6" w:rsidRDefault="003966F6" w:rsidP="007628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1"/>
  </w:num>
  <w:num w:numId="2">
    <w:abstractNumId w:val="3"/>
  </w:num>
  <w:num w:numId="3">
    <w:abstractNumId w:val="10"/>
  </w:num>
  <w:num w:numId="4">
    <w:abstractNumId w:val="4"/>
  </w:num>
  <w:num w:numId="5">
    <w:abstractNumId w:val="1"/>
  </w:num>
  <w:num w:numId="6">
    <w:abstractNumId w:val="12"/>
  </w:num>
  <w:num w:numId="7">
    <w:abstractNumId w:val="9"/>
  </w:num>
  <w:num w:numId="8">
    <w:abstractNumId w:val="13"/>
  </w:num>
  <w:num w:numId="9">
    <w:abstractNumId w:val="14"/>
  </w:num>
  <w:num w:numId="10">
    <w:abstractNumId w:val="6"/>
  </w:num>
  <w:num w:numId="11">
    <w:abstractNumId w:val="8"/>
  </w:num>
  <w:num w:numId="12">
    <w:abstractNumId w:val="2"/>
  </w:num>
  <w:num w:numId="13">
    <w:abstractNumId w:val="5"/>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10838"/>
    <w:rsid w:val="00014266"/>
    <w:rsid w:val="000573D4"/>
    <w:rsid w:val="00060868"/>
    <w:rsid w:val="000663D5"/>
    <w:rsid w:val="00072127"/>
    <w:rsid w:val="000845EB"/>
    <w:rsid w:val="000E3170"/>
    <w:rsid w:val="000F0C12"/>
    <w:rsid w:val="00115038"/>
    <w:rsid w:val="0011573F"/>
    <w:rsid w:val="00124855"/>
    <w:rsid w:val="001514F7"/>
    <w:rsid w:val="001602D8"/>
    <w:rsid w:val="001A0833"/>
    <w:rsid w:val="001A4FF2"/>
    <w:rsid w:val="001B02DE"/>
    <w:rsid w:val="001B5232"/>
    <w:rsid w:val="001B5E52"/>
    <w:rsid w:val="001D3855"/>
    <w:rsid w:val="001D76AF"/>
    <w:rsid w:val="00237515"/>
    <w:rsid w:val="00260E30"/>
    <w:rsid w:val="0027457D"/>
    <w:rsid w:val="00293E02"/>
    <w:rsid w:val="002C798F"/>
    <w:rsid w:val="002D0902"/>
    <w:rsid w:val="002F3A71"/>
    <w:rsid w:val="003965B7"/>
    <w:rsid w:val="003966F6"/>
    <w:rsid w:val="003B77D6"/>
    <w:rsid w:val="0040229B"/>
    <w:rsid w:val="004079F5"/>
    <w:rsid w:val="00415672"/>
    <w:rsid w:val="00421523"/>
    <w:rsid w:val="0043492C"/>
    <w:rsid w:val="00457DCE"/>
    <w:rsid w:val="00465233"/>
    <w:rsid w:val="00473800"/>
    <w:rsid w:val="004E10B0"/>
    <w:rsid w:val="004E6690"/>
    <w:rsid w:val="004F3F83"/>
    <w:rsid w:val="00501911"/>
    <w:rsid w:val="0055413B"/>
    <w:rsid w:val="005D398E"/>
    <w:rsid w:val="005D7F02"/>
    <w:rsid w:val="006240A2"/>
    <w:rsid w:val="00642569"/>
    <w:rsid w:val="00645254"/>
    <w:rsid w:val="00665349"/>
    <w:rsid w:val="0068451D"/>
    <w:rsid w:val="006A1A1A"/>
    <w:rsid w:val="006B2D51"/>
    <w:rsid w:val="006D23A5"/>
    <w:rsid w:val="006E29B8"/>
    <w:rsid w:val="006E539D"/>
    <w:rsid w:val="006F3C74"/>
    <w:rsid w:val="007125FD"/>
    <w:rsid w:val="0071376B"/>
    <w:rsid w:val="00730420"/>
    <w:rsid w:val="00730F27"/>
    <w:rsid w:val="007628D2"/>
    <w:rsid w:val="007728F3"/>
    <w:rsid w:val="0078544F"/>
    <w:rsid w:val="007910BC"/>
    <w:rsid w:val="0079761C"/>
    <w:rsid w:val="007C21F4"/>
    <w:rsid w:val="008323C3"/>
    <w:rsid w:val="008417B4"/>
    <w:rsid w:val="00871B0B"/>
    <w:rsid w:val="00896A67"/>
    <w:rsid w:val="008A0F17"/>
    <w:rsid w:val="008A750D"/>
    <w:rsid w:val="008B526F"/>
    <w:rsid w:val="008C4C6B"/>
    <w:rsid w:val="008C71E0"/>
    <w:rsid w:val="008C7DB3"/>
    <w:rsid w:val="008F0203"/>
    <w:rsid w:val="00911CDD"/>
    <w:rsid w:val="009460EE"/>
    <w:rsid w:val="00962CFC"/>
    <w:rsid w:val="009774E9"/>
    <w:rsid w:val="00981326"/>
    <w:rsid w:val="009A23E4"/>
    <w:rsid w:val="009D2F65"/>
    <w:rsid w:val="009E30A6"/>
    <w:rsid w:val="00A15ED9"/>
    <w:rsid w:val="00A32DD7"/>
    <w:rsid w:val="00A66616"/>
    <w:rsid w:val="00A6790B"/>
    <w:rsid w:val="00AB027A"/>
    <w:rsid w:val="00AB444A"/>
    <w:rsid w:val="00B132E1"/>
    <w:rsid w:val="00B31E0B"/>
    <w:rsid w:val="00B33754"/>
    <w:rsid w:val="00B355E2"/>
    <w:rsid w:val="00B55389"/>
    <w:rsid w:val="00B564D1"/>
    <w:rsid w:val="00B80873"/>
    <w:rsid w:val="00B8163C"/>
    <w:rsid w:val="00B817E1"/>
    <w:rsid w:val="00B96664"/>
    <w:rsid w:val="00B9770E"/>
    <w:rsid w:val="00BD2346"/>
    <w:rsid w:val="00BD417F"/>
    <w:rsid w:val="00C033C2"/>
    <w:rsid w:val="00C25F66"/>
    <w:rsid w:val="00C3750F"/>
    <w:rsid w:val="00C4526C"/>
    <w:rsid w:val="00C526FF"/>
    <w:rsid w:val="00C71378"/>
    <w:rsid w:val="00C7549F"/>
    <w:rsid w:val="00C92378"/>
    <w:rsid w:val="00CB4B30"/>
    <w:rsid w:val="00CE0E9C"/>
    <w:rsid w:val="00CF1BC0"/>
    <w:rsid w:val="00D11A14"/>
    <w:rsid w:val="00D12E97"/>
    <w:rsid w:val="00D3716D"/>
    <w:rsid w:val="00D53761"/>
    <w:rsid w:val="00D62A0C"/>
    <w:rsid w:val="00D641D1"/>
    <w:rsid w:val="00D6435B"/>
    <w:rsid w:val="00D73280"/>
    <w:rsid w:val="00DB101C"/>
    <w:rsid w:val="00DE024E"/>
    <w:rsid w:val="00DF7998"/>
    <w:rsid w:val="00E41B12"/>
    <w:rsid w:val="00E45E61"/>
    <w:rsid w:val="00E5125A"/>
    <w:rsid w:val="00E63964"/>
    <w:rsid w:val="00E70F53"/>
    <w:rsid w:val="00E83135"/>
    <w:rsid w:val="00EB1010"/>
    <w:rsid w:val="00ED3FD4"/>
    <w:rsid w:val="00EF49A7"/>
    <w:rsid w:val="00EF5194"/>
    <w:rsid w:val="00F30CEA"/>
    <w:rsid w:val="00F403F2"/>
    <w:rsid w:val="00F54597"/>
    <w:rsid w:val="00F81825"/>
    <w:rsid w:val="00F92547"/>
    <w:rsid w:val="00FD1354"/>
    <w:rsid w:val="00FE2CEF"/>
    <w:rsid w:val="00FF5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E5B52F-B3DC-4E7F-82F8-696DEFF8D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6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Header">
    <w:name w:val="header"/>
    <w:basedOn w:val="Normal"/>
    <w:link w:val="HeaderChar"/>
    <w:uiPriority w:val="99"/>
    <w:semiHidden/>
    <w:unhideWhenUsed/>
    <w:rsid w:val="007628D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628D2"/>
  </w:style>
  <w:style w:type="paragraph" w:styleId="Footer">
    <w:name w:val="footer"/>
    <w:basedOn w:val="Normal"/>
    <w:link w:val="FooterChar"/>
    <w:uiPriority w:val="99"/>
    <w:semiHidden/>
    <w:unhideWhenUsed/>
    <w:rsid w:val="007628D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628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94501-FAC9-426B-892F-11B8B13E7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3910</Words>
  <Characters>22289</Characters>
  <Application>Microsoft Office Word</Application>
  <DocSecurity>4</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Candi Norwood</dc:creator>
  <cp:lastModifiedBy>Rachel Brew</cp:lastModifiedBy>
  <cp:revision>2</cp:revision>
  <cp:lastPrinted>2016-06-14T21:25:00Z</cp:lastPrinted>
  <dcterms:created xsi:type="dcterms:W3CDTF">2018-08-23T13:20:00Z</dcterms:created>
  <dcterms:modified xsi:type="dcterms:W3CDTF">2018-08-23T13:20:00Z</dcterms:modified>
</cp:coreProperties>
</file>