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anchor>
        </w:drawing>
      </w:r>
      <w:r w:rsidRPr="00D53761">
        <w:rPr>
          <w:b/>
          <w:sz w:val="28"/>
        </w:rPr>
        <w:t>TENNESSEE CAREER AND TECHNICAL EDUCATION TEXTBOOK SCREENING INSTRUMENT,</w:t>
      </w:r>
    </w:p>
    <w:p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3176"/>
      </w:tblGrid>
      <w:tr w:rsidR="00D53761" w:rsidRPr="00D53761" w:rsidTr="008C353D">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8C353D">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sidRPr="00F61CEA">
              <w:rPr>
                <w:rFonts w:ascii="Open Sans" w:eastAsia="Times New Roman" w:hAnsi="Open Sans" w:cs="Open Sans"/>
                <w:b/>
                <w:sz w:val="18"/>
                <w:szCs w:val="18"/>
                <w:highlight w:val="yellow"/>
              </w:rPr>
              <w:t xml:space="preserve">BUSINESS </w:t>
            </w:r>
            <w:r w:rsidR="00E442F2" w:rsidRPr="00F61CEA">
              <w:rPr>
                <w:rFonts w:ascii="Open Sans" w:eastAsia="Times New Roman" w:hAnsi="Open Sans" w:cs="Open Sans"/>
                <w:b/>
                <w:sz w:val="18"/>
                <w:szCs w:val="18"/>
                <w:highlight w:val="yellow"/>
              </w:rPr>
              <w:t>ECONOMICS</w:t>
            </w:r>
            <w:r w:rsidR="000845EB" w:rsidRPr="00F61CEA">
              <w:rPr>
                <w:rFonts w:ascii="Open Sans" w:eastAsia="Times New Roman" w:hAnsi="Open Sans" w:cs="Open Sans"/>
                <w:b/>
                <w:sz w:val="18"/>
                <w:szCs w:val="18"/>
                <w:highlight w:val="yellow"/>
              </w:rPr>
              <w:t xml:space="preserve"> (</w:t>
            </w:r>
            <w:r w:rsidRPr="00F61CEA">
              <w:rPr>
                <w:rFonts w:ascii="Open Sans" w:eastAsia="Times New Roman" w:hAnsi="Open Sans" w:cs="Open Sans"/>
                <w:b/>
                <w:sz w:val="18"/>
                <w:szCs w:val="18"/>
                <w:highlight w:val="yellow"/>
              </w:rPr>
              <w:t>5888</w:t>
            </w:r>
            <w:r w:rsidR="000845EB" w:rsidRPr="00F61CEA">
              <w:rPr>
                <w:rFonts w:ascii="Open Sans" w:eastAsia="Times New Roman" w:hAnsi="Open Sans" w:cs="Open Sans"/>
                <w:b/>
                <w:sz w:val="18"/>
                <w:szCs w:val="18"/>
                <w:highlight w:val="yellow"/>
              </w:rPr>
              <w:t>)</w:t>
            </w:r>
            <w:r w:rsidR="000845EB" w:rsidRPr="00E70F53">
              <w:rPr>
                <w:rFonts w:ascii="Open Sans" w:eastAsia="Times New Roman" w:hAnsi="Open Sans" w:cs="Open Sans"/>
                <w:b/>
                <w:sz w:val="18"/>
                <w:szCs w:val="18"/>
              </w:rPr>
              <w:t xml:space="preserve">        </w:t>
            </w:r>
          </w:p>
          <w:p w:rsidR="00C033C2" w:rsidRDefault="00E442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000845EB" w:rsidRPr="00E70F53">
              <w:rPr>
                <w:rFonts w:ascii="Open Sans" w:eastAsia="Times New Roman" w:hAnsi="Open Sans" w:cs="Open Sans"/>
                <w:b/>
                <w:sz w:val="18"/>
                <w:szCs w:val="18"/>
              </w:rPr>
              <w:t xml:space="preserve"> </w:t>
            </w:r>
            <w:r w:rsidR="00FC5A98">
              <w:rPr>
                <w:rFonts w:ascii="Open Sans" w:eastAsia="Times New Roman" w:hAnsi="Open Sans" w:cs="Open Sans"/>
                <w:b/>
                <w:sz w:val="18"/>
                <w:szCs w:val="18"/>
              </w:rPr>
              <w:t>(5892</w:t>
            </w:r>
            <w:r w:rsidR="000845EB" w:rsidRPr="00E70F53">
              <w:rPr>
                <w:rFonts w:ascii="Open Sans" w:eastAsia="Times New Roman" w:hAnsi="Open Sans" w:cs="Open Sans"/>
                <w:b/>
                <w:sz w:val="18"/>
                <w:szCs w:val="18"/>
              </w:rPr>
              <w:t xml:space="preserve">)         </w:t>
            </w:r>
          </w:p>
          <w:p w:rsidR="00D53761" w:rsidRPr="00D53761" w:rsidRDefault="00D53761" w:rsidP="00E442F2">
            <w:pPr>
              <w:rPr>
                <w:rFonts w:ascii="Open Sans" w:eastAsia="Times New Roman" w:hAnsi="Open Sans" w:cs="Open Sans"/>
                <w:b/>
                <w:i/>
                <w:sz w:val="18"/>
                <w:szCs w:val="18"/>
              </w:rPr>
            </w:pPr>
          </w:p>
        </w:tc>
      </w:tr>
      <w:tr w:rsidR="004079F5" w:rsidRPr="00D53761" w:rsidTr="008C353D">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3158"/>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w:t>
            </w:r>
            <w:r w:rsidR="00FE45FA">
              <w:rPr>
                <w:rFonts w:ascii="Open Sans" w:hAnsi="Open Sans" w:cs="Open Sans"/>
                <w:sz w:val="18"/>
                <w:szCs w:val="18"/>
              </w:rPr>
              <w:t xml:space="preserve">Business Economics  </w:t>
            </w:r>
            <w:r w:rsidR="00981326" w:rsidRPr="00D53761">
              <w:rPr>
                <w:rFonts w:ascii="Open Sans" w:hAnsi="Open Sans" w:cs="Open Sans"/>
                <w:sz w:val="18"/>
                <w:szCs w:val="18"/>
              </w:rPr>
              <w:t>_</w:t>
            </w:r>
            <w:r w:rsidR="000E3170">
              <w:rPr>
                <w:rFonts w:ascii="Open Sans" w:hAnsi="Open Sans" w:cs="Open Sans"/>
                <w:sz w:val="18"/>
                <w:szCs w:val="18"/>
              </w:rPr>
              <w:t>_</w:t>
            </w:r>
            <w:r w:rsidR="00FE45FA">
              <w:rPr>
                <w:rFonts w:ascii="Open Sans" w:hAnsi="Open Sans" w:cs="Open Sans"/>
                <w:sz w:val="18"/>
                <w:szCs w:val="18"/>
              </w:rPr>
              <w:t>978-1-61459-596-0</w:t>
            </w:r>
            <w:r w:rsidR="000E3170">
              <w:rPr>
                <w:rFonts w:ascii="Open Sans" w:hAnsi="Open Sans" w:cs="Open Sans"/>
                <w:sz w:val="18"/>
                <w:szCs w:val="18"/>
              </w:rPr>
              <w:t>________________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___</w:t>
            </w:r>
            <w:r w:rsidR="00FE45FA">
              <w:rPr>
                <w:rFonts w:ascii="Open Sans" w:hAnsi="Open Sans" w:cs="Open Sans"/>
                <w:sz w:val="18"/>
                <w:szCs w:val="18"/>
              </w:rPr>
              <w:t>5898</w:t>
            </w:r>
            <w:r w:rsidR="000E3170">
              <w:rPr>
                <w:rFonts w:ascii="Open Sans" w:hAnsi="Open Sans" w:cs="Open Sans"/>
                <w:sz w:val="18"/>
                <w:szCs w:val="18"/>
              </w:rPr>
              <w:t>_______</w:t>
            </w:r>
            <w:r w:rsidR="00FE45FA">
              <w:rPr>
                <w:rFonts w:ascii="Open Sans" w:hAnsi="Open Sans" w:cs="Open Sans"/>
                <w:sz w:val="18"/>
                <w:szCs w:val="18"/>
              </w:rPr>
              <w:t>_________</w:t>
            </w:r>
          </w:p>
          <w:p w:rsidR="00981326" w:rsidRPr="00D53761" w:rsidRDefault="00981326" w:rsidP="00981326">
            <w:pPr>
              <w:rPr>
                <w:rFonts w:ascii="Open Sans" w:hAnsi="Open Sans" w:cs="Open Sans"/>
                <w:sz w:val="18"/>
                <w:szCs w:val="18"/>
              </w:rPr>
            </w:pPr>
          </w:p>
          <w:p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w:t>
            </w:r>
            <w:r w:rsidR="00FE45FA">
              <w:rPr>
                <w:rFonts w:ascii="Open Sans" w:hAnsi="Open Sans" w:cs="Open Sans"/>
                <w:sz w:val="18"/>
                <w:szCs w:val="18"/>
              </w:rPr>
              <w:t>_____</w:t>
            </w:r>
            <w:r w:rsidRPr="00D53761">
              <w:rPr>
                <w:rFonts w:ascii="Open Sans" w:hAnsi="Open Sans" w:cs="Open Sans"/>
                <w:sz w:val="18"/>
                <w:szCs w:val="18"/>
              </w:rPr>
              <w:t>_</w:t>
            </w:r>
            <w:r w:rsidR="00FE45FA">
              <w:rPr>
                <w:rFonts w:ascii="Open Sans" w:hAnsi="Open Sans" w:cs="Open Sans"/>
                <w:sz w:val="18"/>
                <w:szCs w:val="18"/>
              </w:rPr>
              <w:t>CEV</w:t>
            </w:r>
            <w:r w:rsidRPr="00D53761">
              <w:rPr>
                <w:rFonts w:ascii="Open Sans" w:hAnsi="Open Sans" w:cs="Open Sans"/>
                <w:sz w:val="18"/>
                <w:szCs w:val="18"/>
              </w:rPr>
              <w:t>__</w:t>
            </w:r>
            <w:r w:rsidR="00FE45FA">
              <w:rPr>
                <w:rFonts w:ascii="Open Sans" w:hAnsi="Open Sans" w:cs="Open Sans"/>
                <w:sz w:val="18"/>
                <w:szCs w:val="18"/>
              </w:rPr>
              <w:t>Multimedia</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w:t>
            </w:r>
            <w:r w:rsidR="00FE45FA">
              <w:rPr>
                <w:rFonts w:ascii="Open Sans" w:hAnsi="Open Sans" w:cs="Open Sans"/>
                <w:sz w:val="18"/>
                <w:szCs w:val="18"/>
              </w:rPr>
              <w:t>2018</w:t>
            </w:r>
            <w:r w:rsidR="000E3170">
              <w:rPr>
                <w:rFonts w:ascii="Open Sans" w:hAnsi="Open Sans" w:cs="Open Sans"/>
                <w:sz w:val="18"/>
                <w:szCs w:val="18"/>
              </w:rPr>
              <w:t>______________________</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E442F2" w:rsidP="001A0833">
            <w:r>
              <w:t>These courses are for elective credit and supplement learning in the areas of business, marketing,  and finance.</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7E6B27">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1D4015">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1D4015">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7E6B27">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1D4015">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6706C0" w:rsidP="00062703">
            <w:pPr>
              <w:rPr>
                <w:rFonts w:ascii="Open Sans" w:hAnsi="Open Sans" w:cs="Open Sans"/>
                <w:sz w:val="20"/>
                <w:szCs w:val="20"/>
              </w:rPr>
            </w:pPr>
            <w:r>
              <w:rPr>
                <w:rFonts w:ascii="Open Sans" w:hAnsi="Open Sans" w:cs="Open Sans"/>
                <w:sz w:val="20"/>
                <w:szCs w:val="20"/>
              </w:rPr>
              <w:t xml:space="preserve">This textbook (Material) </w:t>
            </w:r>
            <w:r w:rsidR="00642569">
              <w:rPr>
                <w:rFonts w:ascii="Open Sans" w:hAnsi="Open Sans" w:cs="Open Sans"/>
                <w:sz w:val="20"/>
                <w:szCs w:val="20"/>
              </w:rPr>
              <w:t>meet</w:t>
            </w:r>
            <w:r>
              <w:rPr>
                <w:rFonts w:ascii="Open Sans" w:hAnsi="Open Sans" w:cs="Open Sans"/>
                <w:sz w:val="20"/>
                <w:szCs w:val="20"/>
              </w:rPr>
              <w:t>s</w:t>
            </w:r>
            <w:r w:rsidR="00642569">
              <w:rPr>
                <w:rFonts w:ascii="Open Sans" w:hAnsi="Open Sans" w:cs="Open Sans"/>
                <w:sz w:val="20"/>
                <w:szCs w:val="20"/>
              </w:rPr>
              <w:t xml:space="preserve"> the mandatory 80 percent alignment to course standards in Business </w:t>
            </w:r>
            <w:r w:rsidR="00062703">
              <w:rPr>
                <w:rFonts w:ascii="Open Sans" w:hAnsi="Open Sans" w:cs="Open Sans"/>
                <w:sz w:val="20"/>
                <w:szCs w:val="20"/>
              </w:rPr>
              <w:t>Economics</w:t>
            </w:r>
            <w:r w:rsidR="00642569">
              <w:rPr>
                <w:rFonts w:ascii="Open Sans" w:hAnsi="Open Sans" w:cs="Open Sans"/>
                <w:sz w:val="20"/>
                <w:szCs w:val="20"/>
              </w:rPr>
              <w:t>.</w:t>
            </w:r>
            <w:r>
              <w:rPr>
                <w:rFonts w:ascii="Open Sans" w:hAnsi="Open Sans" w:cs="Open Sans"/>
                <w:sz w:val="20"/>
                <w:szCs w:val="20"/>
              </w:rPr>
              <w:t xml:space="preserve"> However, some of the Power</w:t>
            </w:r>
            <w:r w:rsidR="00F55364">
              <w:rPr>
                <w:rFonts w:ascii="Open Sans" w:hAnsi="Open Sans" w:cs="Open Sans"/>
                <w:sz w:val="20"/>
                <w:szCs w:val="20"/>
              </w:rPr>
              <w:t xml:space="preserve"> </w:t>
            </w:r>
            <w:r>
              <w:rPr>
                <w:rFonts w:ascii="Open Sans" w:hAnsi="Open Sans" w:cs="Open Sans"/>
                <w:sz w:val="20"/>
                <w:szCs w:val="20"/>
              </w:rPr>
              <w:t>Points are too wordy and</w:t>
            </w:r>
            <w:r w:rsidR="00A34C78">
              <w:rPr>
                <w:rFonts w:ascii="Open Sans" w:hAnsi="Open Sans" w:cs="Open Sans"/>
                <w:sz w:val="20"/>
                <w:szCs w:val="20"/>
              </w:rPr>
              <w:t xml:space="preserve"> could be more effective incorporated</w:t>
            </w:r>
            <w:r>
              <w:rPr>
                <w:rFonts w:ascii="Open Sans" w:hAnsi="Open Sans" w:cs="Open Sans"/>
                <w:sz w:val="20"/>
                <w:szCs w:val="20"/>
              </w:rPr>
              <w:t xml:space="preserve"> in</w:t>
            </w:r>
            <w:r w:rsidR="00A34C78">
              <w:rPr>
                <w:rFonts w:ascii="Open Sans" w:hAnsi="Open Sans" w:cs="Open Sans"/>
                <w:sz w:val="20"/>
                <w:szCs w:val="20"/>
              </w:rPr>
              <w:t>to</w:t>
            </w:r>
            <w:r>
              <w:rPr>
                <w:rFonts w:ascii="Open Sans" w:hAnsi="Open Sans" w:cs="Open Sans"/>
                <w:sz w:val="20"/>
                <w:szCs w:val="20"/>
              </w:rPr>
              <w:t xml:space="preserve"> a video.</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595DEE">
      <w:pPr>
        <w:spacing w:after="0" w:line="240" w:lineRule="auto"/>
        <w:rPr>
          <w:rFonts w:ascii="Open Sans" w:eastAsia="Times New Roman" w:hAnsi="Open Sans" w:cs="Open Sans"/>
          <w:sz w:val="20"/>
          <w:szCs w:val="20"/>
        </w:rPr>
      </w:pPr>
    </w:p>
    <w:p w:rsidR="00595DEE" w:rsidRDefault="00595DEE" w:rsidP="00595DEE">
      <w:pPr>
        <w:spacing w:after="0" w:line="240" w:lineRule="auto"/>
        <w:rPr>
          <w:rFonts w:ascii="Open Sans" w:eastAsia="Times New Roman" w:hAnsi="Open Sans" w:cs="Open Sans"/>
          <w:b/>
          <w:sz w:val="18"/>
          <w:szCs w:val="18"/>
        </w:rPr>
      </w:pPr>
    </w:p>
    <w:p w:rsidR="00595DEE" w:rsidRDefault="00595DEE" w:rsidP="00595DEE">
      <w:pPr>
        <w:spacing w:after="0" w:line="240" w:lineRule="auto"/>
        <w:rPr>
          <w:rFonts w:ascii="Open Sans" w:eastAsia="Times New Roman" w:hAnsi="Open Sans" w:cs="Open Sans"/>
          <w:b/>
          <w:sz w:val="18"/>
          <w:szCs w:val="18"/>
        </w:rPr>
      </w:pPr>
    </w:p>
    <w:p w:rsidR="005F0B53" w:rsidRDefault="005F0B53" w:rsidP="00F30CEA">
      <w:pPr>
        <w:rPr>
          <w:rFonts w:ascii="Open Sans" w:eastAsia="Times New Roman" w:hAnsi="Open Sans" w:cs="Open Sans"/>
          <w:sz w:val="20"/>
          <w:szCs w:val="20"/>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FC5A98">
        <w:rPr>
          <w:rFonts w:ascii="Open Sans" w:eastAsia="Times New Roman" w:hAnsi="Open Sans" w:cs="Open Sans"/>
          <w:b/>
          <w:sz w:val="18"/>
          <w:szCs w:val="18"/>
        </w:rPr>
        <w:t>ECONOMICS (5898</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EB196A">
        <w:tc>
          <w:tcPr>
            <w:tcW w:w="12950" w:type="dxa"/>
            <w:gridSpan w:val="4"/>
            <w:shd w:val="clear" w:color="auto" w:fill="F2F2F2" w:themeFill="background1" w:themeFillShade="F2"/>
          </w:tcPr>
          <w:p w:rsidR="00F30CEA" w:rsidRPr="00F30CEA" w:rsidRDefault="00F30CEA" w:rsidP="00EB196A">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EB196A">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EB196A">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FC5A98" w:rsidP="00F30CEA">
            <w:pPr>
              <w:pStyle w:val="ListParagraph"/>
              <w:numPr>
                <w:ilvl w:val="0"/>
                <w:numId w:val="12"/>
              </w:numPr>
              <w:rPr>
                <w:rFonts w:ascii="Open Sans" w:eastAsia="Times New Roman" w:hAnsi="Open Sans" w:cs="Open Sans"/>
                <w:sz w:val="20"/>
                <w:szCs w:val="20"/>
              </w:rPr>
            </w:pPr>
            <w:r>
              <w:t>The student will develop and apply concepts related to human relations, safety, career development, communications and leadership skills for a global workplace. The student will: 1.1 Demonstrate sensitivity to personal, societal, corporate, and governmental responsibility to community and global issues. 1.2 Demonstrate the interpersonal, teamwork, and leadership skills needed to function in diverse business settings, including the global marketplace. 1.3 Communicate effectively as writers, listeners, and speakers in diverse social and business settings. 1.4 Apply the critical-thinking and soft skills needed to function in students’ multiple roles as citizens, consumers, workers, managers, business owners, and directors of their own futures. 1.5 Analyze and follow policies for managing legal and ethical issues in organizations and in a technology-based society. 1.6 Investigate the life-long learning skills that foster flexible career paths and confidence in adapting to a workplace that demands constant retooling. 1.7 Assess personal skills, abilities, aptitudes, and personal strengths and weaknesses as they relate to career exploration and apply knowledge gained from individual assessment to research and develop an individual career plan. 1.8 Examine the goals and principles of Future Business Leaders of America. 1.9 Investigate online and office safety procedures and pass a written safety examination with 100% accuracy. 1.10 Demonstrate parliamentary procedure through office staff/chapter organizational meetings. 1.11 Apply appropriate typography concepts to industry documents.</w:t>
            </w:r>
          </w:p>
        </w:tc>
        <w:tc>
          <w:tcPr>
            <w:tcW w:w="630" w:type="dxa"/>
          </w:tcPr>
          <w:p w:rsidR="00F30CEA" w:rsidRDefault="00FE45FA"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BF6557" w:rsidRDefault="00FE45FA" w:rsidP="00FE45FA">
            <w:pPr>
              <w:rPr>
                <w:rFonts w:ascii="Open Sans" w:eastAsia="Times New Roman" w:hAnsi="Open Sans" w:cs="Open Sans"/>
                <w:sz w:val="20"/>
                <w:szCs w:val="20"/>
              </w:rPr>
            </w:pPr>
            <w:r>
              <w:rPr>
                <w:rFonts w:ascii="Open Sans" w:eastAsia="Times New Roman" w:hAnsi="Open Sans" w:cs="Open Sans"/>
                <w:sz w:val="20"/>
                <w:szCs w:val="20"/>
              </w:rPr>
              <w:t xml:space="preserve">Material meets the requirement for this standard. </w:t>
            </w:r>
            <w:r w:rsidR="00BF6557">
              <w:rPr>
                <w:rFonts w:ascii="Open Sans" w:eastAsia="Times New Roman" w:hAnsi="Open Sans" w:cs="Open Sans"/>
                <w:sz w:val="20"/>
                <w:szCs w:val="20"/>
              </w:rPr>
              <w:t xml:space="preserve">Workplace etiquette video, </w:t>
            </w:r>
            <w:r w:rsidR="006706C0">
              <w:rPr>
                <w:rFonts w:ascii="Open Sans" w:eastAsia="Times New Roman" w:hAnsi="Open Sans" w:cs="Open Sans"/>
                <w:sz w:val="20"/>
                <w:szCs w:val="20"/>
              </w:rPr>
              <w:t>Exploring C</w:t>
            </w:r>
            <w:r w:rsidR="00707652">
              <w:rPr>
                <w:rFonts w:ascii="Open Sans" w:eastAsia="Times New Roman" w:hAnsi="Open Sans" w:cs="Open Sans"/>
                <w:sz w:val="20"/>
                <w:szCs w:val="20"/>
              </w:rPr>
              <w:t xml:space="preserve">areers video (multiple careers). </w:t>
            </w:r>
            <w:r w:rsidR="006706C0">
              <w:rPr>
                <w:rFonts w:ascii="Open Sans" w:eastAsia="Times New Roman" w:hAnsi="Open Sans" w:cs="Open Sans"/>
                <w:sz w:val="20"/>
                <w:szCs w:val="20"/>
              </w:rPr>
              <w:t xml:space="preserve">Jobs &amp; Careers, </w:t>
            </w:r>
            <w:r w:rsidR="00707652">
              <w:rPr>
                <w:rFonts w:ascii="Open Sans" w:eastAsia="Times New Roman" w:hAnsi="Open Sans" w:cs="Open Sans"/>
                <w:sz w:val="20"/>
                <w:szCs w:val="20"/>
              </w:rPr>
              <w:t>Employability Skills PowerPoint (Professionalism, Ethics, Critical Thinking, etc). Activities (Etiquette Do’s &amp; Don’ts, Career Connections, Critical &amp; Creative, etc).</w:t>
            </w:r>
          </w:p>
          <w:p w:rsidR="00707652" w:rsidRDefault="00707652" w:rsidP="00FE45FA">
            <w:pPr>
              <w:rPr>
                <w:rFonts w:ascii="Open Sans" w:eastAsia="Times New Roman" w:hAnsi="Open Sans" w:cs="Open Sans"/>
                <w:sz w:val="20"/>
                <w:szCs w:val="20"/>
              </w:rPr>
            </w:pPr>
            <w:r>
              <w:rPr>
                <w:rFonts w:ascii="Open Sans" w:eastAsia="Times New Roman" w:hAnsi="Open Sans" w:cs="Open Sans"/>
                <w:sz w:val="20"/>
                <w:szCs w:val="20"/>
              </w:rPr>
              <w:t>Examples:  Giving scenarios and tasking students to list steps to problem solve.</w:t>
            </w:r>
          </w:p>
          <w:p w:rsidR="006706C0" w:rsidRDefault="006706C0" w:rsidP="00FE45FA">
            <w:pPr>
              <w:rPr>
                <w:rFonts w:ascii="Open Sans" w:eastAsia="Times New Roman" w:hAnsi="Open Sans" w:cs="Open Sans"/>
                <w:sz w:val="20"/>
                <w:szCs w:val="20"/>
              </w:rPr>
            </w:pPr>
            <w:r>
              <w:rPr>
                <w:rFonts w:ascii="Open Sans" w:eastAsia="Times New Roman" w:hAnsi="Open Sans" w:cs="Open Sans"/>
                <w:sz w:val="20"/>
                <w:szCs w:val="20"/>
              </w:rPr>
              <w:t>Maintaining Employment (working in teams to resolve issues)</w:t>
            </w:r>
          </w:p>
          <w:p w:rsidR="00B96805" w:rsidRDefault="006706C0" w:rsidP="00B96805">
            <w:pPr>
              <w:rPr>
                <w:rFonts w:ascii="Open Sans" w:eastAsia="Times New Roman" w:hAnsi="Open Sans" w:cs="Open Sans"/>
                <w:sz w:val="20"/>
                <w:szCs w:val="20"/>
              </w:rPr>
            </w:pPr>
            <w:r>
              <w:rPr>
                <w:rFonts w:ascii="Open Sans" w:eastAsia="Times New Roman" w:hAnsi="Open Sans" w:cs="Open Sans"/>
                <w:sz w:val="20"/>
                <w:szCs w:val="20"/>
              </w:rPr>
              <w:t>CTSO PowerPoint explaining the goals, purpose, and expectations &amp; duties of being a member, CTSO.</w:t>
            </w:r>
            <w:r w:rsidR="00B96805">
              <w:rPr>
                <w:rFonts w:ascii="Open Sans" w:eastAsia="Times New Roman" w:hAnsi="Open Sans" w:cs="Open Sans"/>
                <w:sz w:val="20"/>
                <w:szCs w:val="20"/>
              </w:rPr>
              <w:t xml:space="preserve"> Parliamentary Procedures video (innovative &amp; outstanding). Motion timelines activities were very appropriate</w:t>
            </w:r>
          </w:p>
          <w:p w:rsidR="006706C0" w:rsidRDefault="006706C0" w:rsidP="00FE45FA">
            <w:pPr>
              <w:rPr>
                <w:rFonts w:ascii="Open Sans" w:eastAsia="Times New Roman" w:hAnsi="Open Sans" w:cs="Open Sans"/>
                <w:sz w:val="20"/>
                <w:szCs w:val="20"/>
              </w:rPr>
            </w:pPr>
          </w:p>
          <w:p w:rsidR="006706C0" w:rsidRDefault="006706C0" w:rsidP="00FE45FA">
            <w:pPr>
              <w:rPr>
                <w:rFonts w:ascii="Open Sans" w:eastAsia="Times New Roman" w:hAnsi="Open Sans" w:cs="Open Sans"/>
                <w:sz w:val="20"/>
                <w:szCs w:val="20"/>
              </w:rPr>
            </w:pPr>
          </w:p>
        </w:tc>
      </w:tr>
      <w:tr w:rsidR="00F30CEA" w:rsidTr="00CF1BC0">
        <w:tc>
          <w:tcPr>
            <w:tcW w:w="7555" w:type="dxa"/>
          </w:tcPr>
          <w:p w:rsidR="00F30CEA" w:rsidRPr="00F436F5" w:rsidRDefault="005A7152" w:rsidP="005A7152">
            <w:pPr>
              <w:pStyle w:val="ListParagraph"/>
              <w:numPr>
                <w:ilvl w:val="0"/>
                <w:numId w:val="12"/>
              </w:numPr>
              <w:rPr>
                <w:rFonts w:ascii="Open Sans" w:eastAsia="Times New Roman" w:hAnsi="Open Sans" w:cs="Open Sans"/>
                <w:sz w:val="20"/>
                <w:szCs w:val="20"/>
              </w:rPr>
            </w:pPr>
            <w:r>
              <w:t>Students will analyze the basic economic systems in relation to scarcity, choice, and opportunity costs. The student will: 2.1 Apply the concepts of basic economics. 2.2 Differentiate between economic systems. 2.3 Analyze economic problems and goals of society. 2.4 Analyze the economic problem of scarcity. 2.5 Assess the importance of natural resources and their relationship to economic decision making.</w:t>
            </w:r>
          </w:p>
          <w:p w:rsidR="00F436F5" w:rsidRDefault="00F436F5" w:rsidP="00F436F5">
            <w:pPr>
              <w:rPr>
                <w:rFonts w:ascii="Open Sans" w:eastAsia="Times New Roman" w:hAnsi="Open Sans" w:cs="Open Sans"/>
                <w:sz w:val="20"/>
                <w:szCs w:val="20"/>
              </w:rPr>
            </w:pPr>
          </w:p>
          <w:p w:rsidR="00F436F5" w:rsidRDefault="00F436F5" w:rsidP="00F436F5">
            <w:pPr>
              <w:rPr>
                <w:rFonts w:ascii="Open Sans" w:eastAsia="Times New Roman" w:hAnsi="Open Sans" w:cs="Open Sans"/>
                <w:sz w:val="20"/>
                <w:szCs w:val="20"/>
              </w:rPr>
            </w:pPr>
          </w:p>
          <w:p w:rsidR="00F436F5" w:rsidRPr="00F436F5" w:rsidRDefault="00F436F5" w:rsidP="00F436F5">
            <w:pPr>
              <w:rPr>
                <w:rFonts w:ascii="Open Sans" w:eastAsia="Times New Roman" w:hAnsi="Open Sans" w:cs="Open Sans"/>
                <w:sz w:val="20"/>
                <w:szCs w:val="20"/>
              </w:rPr>
            </w:pPr>
          </w:p>
        </w:tc>
        <w:tc>
          <w:tcPr>
            <w:tcW w:w="630" w:type="dxa"/>
          </w:tcPr>
          <w:p w:rsidR="00F30CEA" w:rsidRDefault="00050C9D"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0F2892" w:rsidP="00B96805">
            <w:pPr>
              <w:rPr>
                <w:rFonts w:ascii="Open Sans" w:eastAsia="Times New Roman" w:hAnsi="Open Sans" w:cs="Open Sans"/>
                <w:sz w:val="20"/>
                <w:szCs w:val="20"/>
              </w:rPr>
            </w:pPr>
            <w:r>
              <w:rPr>
                <w:rFonts w:ascii="Open Sans" w:eastAsia="Times New Roman" w:hAnsi="Open Sans" w:cs="Open Sans"/>
                <w:sz w:val="20"/>
                <w:szCs w:val="20"/>
              </w:rPr>
              <w:t xml:space="preserve">Material meets the requirement for this standard. </w:t>
            </w:r>
            <w:r w:rsidR="006706C0">
              <w:rPr>
                <w:rFonts w:ascii="Open Sans" w:eastAsia="Times New Roman" w:hAnsi="Open Sans" w:cs="Open Sans"/>
                <w:sz w:val="20"/>
                <w:szCs w:val="20"/>
              </w:rPr>
              <w:t>Economic</w:t>
            </w:r>
            <w:r w:rsidR="00707652">
              <w:rPr>
                <w:rFonts w:ascii="Open Sans" w:eastAsia="Times New Roman" w:hAnsi="Open Sans" w:cs="Open Sans"/>
                <w:sz w:val="20"/>
                <w:szCs w:val="20"/>
              </w:rPr>
              <w:t xml:space="preserve"> PowerPoint</w:t>
            </w:r>
            <w:r w:rsidR="006706C0">
              <w:rPr>
                <w:rFonts w:ascii="Open Sans" w:eastAsia="Times New Roman" w:hAnsi="Open Sans" w:cs="Open Sans"/>
                <w:sz w:val="20"/>
                <w:szCs w:val="20"/>
              </w:rPr>
              <w:t>. Activities such as</w:t>
            </w:r>
            <w:r w:rsidR="00B96805">
              <w:rPr>
                <w:rFonts w:ascii="Open Sans" w:eastAsia="Times New Roman" w:hAnsi="Open Sans" w:cs="Open Sans"/>
                <w:sz w:val="20"/>
                <w:szCs w:val="20"/>
              </w:rPr>
              <w:t xml:space="preserve"> Business Cycles, Economic Indicators included rigor, relevant material necessary to meet the criteria.</w:t>
            </w:r>
          </w:p>
        </w:tc>
      </w:tr>
      <w:tr w:rsidR="00F30CEA" w:rsidTr="00CF1BC0">
        <w:tc>
          <w:tcPr>
            <w:tcW w:w="7555" w:type="dxa"/>
          </w:tcPr>
          <w:p w:rsidR="00F30CEA" w:rsidRPr="00F30CEA" w:rsidRDefault="005A7152" w:rsidP="00F30CEA">
            <w:pPr>
              <w:pStyle w:val="ListParagraph"/>
              <w:numPr>
                <w:ilvl w:val="0"/>
                <w:numId w:val="12"/>
              </w:numPr>
              <w:rPr>
                <w:rFonts w:ascii="Open Sans" w:eastAsia="Times New Roman" w:hAnsi="Open Sans" w:cs="Open Sans"/>
                <w:sz w:val="20"/>
                <w:szCs w:val="20"/>
              </w:rPr>
            </w:pPr>
            <w:r>
              <w:t>Students will analyze the role of business in a free enterprise system. The student will: 3.1 Connect concepts as they apply to the role of business in a free enterprise system. 3.2 Analyze types of business organizations. 3.3 Apply the concepts of buying and selling of stock. 3.4 Analyze effects of competition and monopoly on a free enterprise system. 3.5 Apply the concepts of production. 3.6 Analyze characteristics of marketing. 3.7 Differentiate between factors of production. 3.8 Explain the phenomena in terms of the law of supply and demand. 3.9 Formulate and analyze knowledge/understanding of elasticity of demand. 3.10 Analyze the role of unions in the economy.</w:t>
            </w:r>
          </w:p>
        </w:tc>
        <w:tc>
          <w:tcPr>
            <w:tcW w:w="630" w:type="dxa"/>
          </w:tcPr>
          <w:p w:rsidR="00050C9D" w:rsidRDefault="00050C9D" w:rsidP="00EB196A">
            <w:pPr>
              <w:rPr>
                <w:rFonts w:ascii="Open Sans" w:eastAsia="Times New Roman" w:hAnsi="Open Sans" w:cs="Open Sans"/>
                <w:sz w:val="20"/>
                <w:szCs w:val="20"/>
              </w:rPr>
            </w:pPr>
            <w:r>
              <w:rPr>
                <w:rFonts w:ascii="Open Sans" w:eastAsia="Times New Roman" w:hAnsi="Open Sans" w:cs="Open Sans"/>
                <w:sz w:val="20"/>
                <w:szCs w:val="20"/>
              </w:rPr>
              <w:t>X</w:t>
            </w:r>
          </w:p>
          <w:p w:rsidR="00F30CEA" w:rsidRPr="00050C9D" w:rsidRDefault="00F30CEA" w:rsidP="00050C9D">
            <w:pPr>
              <w:rPr>
                <w:rFonts w:ascii="Open Sans" w:eastAsia="Times New Roman" w:hAnsi="Open Sans" w:cs="Open Sans"/>
                <w:sz w:val="20"/>
                <w:szCs w:val="20"/>
              </w:rPr>
            </w:pP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0F2892" w:rsidP="00425B04">
            <w:pPr>
              <w:rPr>
                <w:rFonts w:ascii="Open Sans" w:eastAsia="Times New Roman" w:hAnsi="Open Sans" w:cs="Open Sans"/>
                <w:sz w:val="20"/>
                <w:szCs w:val="20"/>
              </w:rPr>
            </w:pPr>
            <w:r>
              <w:rPr>
                <w:rFonts w:ascii="Open Sans" w:eastAsia="Times New Roman" w:hAnsi="Open Sans" w:cs="Open Sans"/>
                <w:sz w:val="20"/>
                <w:szCs w:val="20"/>
              </w:rPr>
              <w:t xml:space="preserve">Material meets the requirement for this standard. </w:t>
            </w:r>
            <w:r w:rsidR="00425B04">
              <w:rPr>
                <w:rFonts w:ascii="Open Sans" w:eastAsia="Times New Roman" w:hAnsi="Open Sans" w:cs="Open Sans"/>
                <w:sz w:val="20"/>
                <w:szCs w:val="20"/>
              </w:rPr>
              <w:t xml:space="preserve">Competition &amp; Free Enterprise, Business Ownership &amp; Registration, Government’s Role in Business Power Points included easy flow, appropriate-sized font, graphs. Supply &amp; Demand Activity incorporated rigor &amp; relevance to meet this criteria.  </w:t>
            </w:r>
          </w:p>
        </w:tc>
      </w:tr>
      <w:tr w:rsidR="00F30CEA" w:rsidTr="00CF1BC0">
        <w:tc>
          <w:tcPr>
            <w:tcW w:w="7555" w:type="dxa"/>
          </w:tcPr>
          <w:p w:rsidR="00F30CEA" w:rsidRPr="00F30CEA" w:rsidRDefault="005A7152" w:rsidP="005A7152">
            <w:pPr>
              <w:pStyle w:val="ListParagraph"/>
              <w:numPr>
                <w:ilvl w:val="0"/>
                <w:numId w:val="12"/>
              </w:numPr>
              <w:rPr>
                <w:rFonts w:ascii="Open Sans" w:eastAsia="Times New Roman" w:hAnsi="Open Sans" w:cs="Open Sans"/>
                <w:sz w:val="20"/>
                <w:szCs w:val="20"/>
              </w:rPr>
            </w:pPr>
            <w:r>
              <w:t>Students will analyze the role of the individual in a free enterprise system. The student will: 4.1 Connect concepts as they apply to the individual’s role in a free enterprise system. 4.2 Apply concepts demonstrating the elements of personal and fiscal responsibility. 4.3 Critique and analyze types of savings plans. 4.4 Investigate and analyze the appropriate use of credit. 4.5 Differentiate between the most common forms of insurance and formulate a personal needs assessment.</w:t>
            </w:r>
          </w:p>
        </w:tc>
        <w:tc>
          <w:tcPr>
            <w:tcW w:w="630" w:type="dxa"/>
          </w:tcPr>
          <w:p w:rsidR="00F30CEA" w:rsidRDefault="00050C9D"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6706C0" w:rsidP="00EB196A">
            <w:pPr>
              <w:rPr>
                <w:rFonts w:ascii="Open Sans" w:eastAsia="Times New Roman" w:hAnsi="Open Sans" w:cs="Open Sans"/>
                <w:sz w:val="20"/>
                <w:szCs w:val="20"/>
              </w:rPr>
            </w:pPr>
            <w:r>
              <w:rPr>
                <w:rFonts w:ascii="Open Sans" w:eastAsia="Times New Roman" w:hAnsi="Open Sans" w:cs="Open Sans"/>
                <w:sz w:val="20"/>
                <w:szCs w:val="20"/>
              </w:rPr>
              <w:t>Material meets the requirement for this standard.</w:t>
            </w:r>
            <w:r w:rsidR="00F55364">
              <w:rPr>
                <w:rFonts w:ascii="Open Sans" w:eastAsia="Times New Roman" w:hAnsi="Open Sans" w:cs="Open Sans"/>
                <w:sz w:val="20"/>
                <w:szCs w:val="20"/>
              </w:rPr>
              <w:t xml:space="preserve"> Budgeting, Saving &amp; Investment Strategies Power Points</w:t>
            </w:r>
          </w:p>
        </w:tc>
      </w:tr>
      <w:tr w:rsidR="00F30CEA" w:rsidTr="00CF1BC0">
        <w:tc>
          <w:tcPr>
            <w:tcW w:w="7555" w:type="dxa"/>
          </w:tcPr>
          <w:p w:rsidR="00F30CEA" w:rsidRPr="00F30CEA" w:rsidRDefault="005A7152" w:rsidP="00F30CEA">
            <w:pPr>
              <w:pStyle w:val="ListParagraph"/>
              <w:numPr>
                <w:ilvl w:val="0"/>
                <w:numId w:val="12"/>
              </w:numPr>
              <w:rPr>
                <w:rFonts w:ascii="Open Sans" w:eastAsia="Times New Roman" w:hAnsi="Open Sans" w:cs="Open Sans"/>
                <w:sz w:val="20"/>
                <w:szCs w:val="20"/>
              </w:rPr>
            </w:pPr>
            <w:r>
              <w:t>Students will analyze the role of government in a free enterprise system. The student will: 5.1 Connect concepts related to government’s role in a free enterprise system. 5.2 Formulate and analyze the components of gross national product (GNP), gross domestic product (GDP) and national income. 5.3 Investigate and differentiate the types of taxes. 5.4 Analyze the concept of governmental distribution of wealth. 5.5 Analyze cause/effect of inflation and recession. 5.6 Investigate and analyze the impact of the American financial structure, including banking and monetary policy. 5.7 Investigate and analyze governmental policies and their economic consequences at the national, state and local levels</w:t>
            </w:r>
          </w:p>
        </w:tc>
        <w:tc>
          <w:tcPr>
            <w:tcW w:w="630" w:type="dxa"/>
          </w:tcPr>
          <w:p w:rsidR="00F30CEA" w:rsidRDefault="000F2892"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55364" w:rsidRDefault="006706C0" w:rsidP="00F55364">
            <w:pPr>
              <w:rPr>
                <w:rFonts w:ascii="Open Sans" w:eastAsia="Times New Roman" w:hAnsi="Open Sans" w:cs="Open Sans"/>
                <w:sz w:val="20"/>
                <w:szCs w:val="20"/>
              </w:rPr>
            </w:pPr>
            <w:r>
              <w:rPr>
                <w:rFonts w:ascii="Open Sans" w:eastAsia="Times New Roman" w:hAnsi="Open Sans" w:cs="Open Sans"/>
                <w:sz w:val="20"/>
                <w:szCs w:val="20"/>
              </w:rPr>
              <w:t>Material meets the requirement for this standard</w:t>
            </w:r>
            <w:r w:rsidR="00F55364">
              <w:rPr>
                <w:rFonts w:ascii="Open Sans" w:eastAsia="Times New Roman" w:hAnsi="Open Sans" w:cs="Open Sans"/>
                <w:sz w:val="20"/>
                <w:szCs w:val="20"/>
              </w:rPr>
              <w:t xml:space="preserve">: </w:t>
            </w:r>
            <w:r w:rsidR="00CF716C">
              <w:rPr>
                <w:rFonts w:ascii="Open Sans" w:eastAsia="Times New Roman" w:hAnsi="Open Sans" w:cs="Open Sans"/>
                <w:sz w:val="20"/>
                <w:szCs w:val="20"/>
              </w:rPr>
              <w:t>Government’s Role in Business PowerPoint:</w:t>
            </w:r>
            <w:r w:rsidR="00F55364">
              <w:rPr>
                <w:rFonts w:ascii="Open Sans" w:eastAsia="Times New Roman" w:hAnsi="Open Sans" w:cs="Open Sans"/>
                <w:sz w:val="20"/>
                <w:szCs w:val="20"/>
              </w:rPr>
              <w:t xml:space="preserve"> Taxes (Slides #25-32)</w:t>
            </w:r>
          </w:p>
          <w:p w:rsidR="00CF716C" w:rsidRDefault="00F55364" w:rsidP="00CF716C">
            <w:pPr>
              <w:rPr>
                <w:rFonts w:ascii="Open Sans" w:eastAsia="Times New Roman" w:hAnsi="Open Sans" w:cs="Open Sans"/>
                <w:sz w:val="20"/>
                <w:szCs w:val="20"/>
              </w:rPr>
            </w:pPr>
            <w:r>
              <w:rPr>
                <w:rFonts w:ascii="Open Sans" w:eastAsia="Times New Roman" w:hAnsi="Open Sans" w:cs="Open Sans"/>
                <w:sz w:val="20"/>
                <w:szCs w:val="20"/>
              </w:rPr>
              <w:t>Banking &amp; Monetary Policy (Slides#68-77)</w:t>
            </w:r>
          </w:p>
          <w:p w:rsidR="00CF716C" w:rsidRDefault="00F55364" w:rsidP="00CF716C">
            <w:pPr>
              <w:rPr>
                <w:rFonts w:ascii="Open Sans" w:eastAsia="Times New Roman" w:hAnsi="Open Sans" w:cs="Open Sans"/>
                <w:sz w:val="20"/>
                <w:szCs w:val="20"/>
              </w:rPr>
            </w:pPr>
            <w:r>
              <w:rPr>
                <w:rFonts w:ascii="Open Sans" w:eastAsia="Times New Roman" w:hAnsi="Open Sans" w:cs="Open Sans"/>
                <w:sz w:val="20"/>
                <w:szCs w:val="20"/>
              </w:rPr>
              <w:t xml:space="preserve">Inflation PowerPoint: </w:t>
            </w:r>
            <w:r w:rsidR="00CF716C">
              <w:rPr>
                <w:rFonts w:ascii="Open Sans" w:eastAsia="Times New Roman" w:hAnsi="Open Sans" w:cs="Open Sans"/>
                <w:sz w:val="20"/>
                <w:szCs w:val="20"/>
              </w:rPr>
              <w:t>GDP (</w:t>
            </w:r>
            <w:r>
              <w:rPr>
                <w:rFonts w:ascii="Open Sans" w:eastAsia="Times New Roman" w:hAnsi="Open Sans" w:cs="Open Sans"/>
                <w:sz w:val="20"/>
                <w:szCs w:val="20"/>
              </w:rPr>
              <w:t>S</w:t>
            </w:r>
            <w:r w:rsidR="00CF716C">
              <w:rPr>
                <w:rFonts w:ascii="Open Sans" w:eastAsia="Times New Roman" w:hAnsi="Open Sans" w:cs="Open Sans"/>
                <w:sz w:val="20"/>
                <w:szCs w:val="20"/>
              </w:rPr>
              <w:t>lides #</w:t>
            </w:r>
            <w:r>
              <w:rPr>
                <w:rFonts w:ascii="Open Sans" w:eastAsia="Times New Roman" w:hAnsi="Open Sans" w:cs="Open Sans"/>
                <w:sz w:val="20"/>
                <w:szCs w:val="20"/>
              </w:rPr>
              <w:t>1-23)</w:t>
            </w:r>
            <w:r w:rsidR="00CF716C">
              <w:rPr>
                <w:rFonts w:ascii="Open Sans" w:eastAsia="Times New Roman" w:hAnsi="Open Sans" w:cs="Open Sans"/>
                <w:sz w:val="20"/>
                <w:szCs w:val="20"/>
              </w:rPr>
              <w:t xml:space="preserve"> </w:t>
            </w:r>
          </w:p>
          <w:p w:rsidR="00F55364" w:rsidRDefault="00CF716C" w:rsidP="00CF716C">
            <w:pPr>
              <w:rPr>
                <w:rFonts w:ascii="Open Sans" w:eastAsia="Times New Roman" w:hAnsi="Open Sans" w:cs="Open Sans"/>
                <w:sz w:val="20"/>
                <w:szCs w:val="20"/>
              </w:rPr>
            </w:pPr>
            <w:r>
              <w:rPr>
                <w:rFonts w:ascii="Open Sans" w:eastAsia="Times New Roman" w:hAnsi="Open Sans" w:cs="Open Sans"/>
                <w:sz w:val="20"/>
                <w:szCs w:val="20"/>
              </w:rPr>
              <w:t>Inflation</w:t>
            </w:r>
            <w:r w:rsidR="00DF0F5F">
              <w:rPr>
                <w:rFonts w:ascii="Open Sans" w:eastAsia="Times New Roman" w:hAnsi="Open Sans" w:cs="Open Sans"/>
                <w:sz w:val="20"/>
                <w:szCs w:val="20"/>
              </w:rPr>
              <w:t xml:space="preserve"> (</w:t>
            </w:r>
            <w:r w:rsidR="00F55364">
              <w:rPr>
                <w:rFonts w:ascii="Open Sans" w:eastAsia="Times New Roman" w:hAnsi="Open Sans" w:cs="Open Sans"/>
                <w:sz w:val="20"/>
                <w:szCs w:val="20"/>
              </w:rPr>
              <w:t>Slides #24</w:t>
            </w:r>
            <w:r w:rsidR="00DF0F5F">
              <w:rPr>
                <w:rFonts w:ascii="Open Sans" w:eastAsia="Times New Roman" w:hAnsi="Open Sans" w:cs="Open Sans"/>
                <w:sz w:val="20"/>
                <w:szCs w:val="20"/>
              </w:rPr>
              <w:t>)</w:t>
            </w:r>
            <w:r w:rsidR="00F55364">
              <w:rPr>
                <w:rFonts w:ascii="Open Sans" w:eastAsia="Times New Roman" w:hAnsi="Open Sans" w:cs="Open Sans"/>
                <w:sz w:val="20"/>
                <w:szCs w:val="20"/>
              </w:rPr>
              <w:t xml:space="preserve">; </w:t>
            </w:r>
          </w:p>
          <w:p w:rsidR="00CF716C" w:rsidRDefault="00CF716C" w:rsidP="00F55364">
            <w:pPr>
              <w:rPr>
                <w:rFonts w:ascii="Open Sans" w:eastAsia="Times New Roman" w:hAnsi="Open Sans" w:cs="Open Sans"/>
                <w:sz w:val="20"/>
                <w:szCs w:val="20"/>
              </w:rPr>
            </w:pPr>
            <w:r>
              <w:rPr>
                <w:rFonts w:ascii="Open Sans" w:eastAsia="Times New Roman" w:hAnsi="Open Sans" w:cs="Open Sans"/>
                <w:sz w:val="20"/>
                <w:szCs w:val="20"/>
              </w:rPr>
              <w:t xml:space="preserve">Economic Consequences </w:t>
            </w:r>
          </w:p>
        </w:tc>
      </w:tr>
      <w:tr w:rsidR="00F30CEA" w:rsidTr="00CF1BC0">
        <w:tc>
          <w:tcPr>
            <w:tcW w:w="7555" w:type="dxa"/>
          </w:tcPr>
          <w:p w:rsidR="00F30CEA" w:rsidRPr="00F436F5" w:rsidRDefault="005A7152" w:rsidP="005A7152">
            <w:pPr>
              <w:pStyle w:val="ListParagraph"/>
              <w:numPr>
                <w:ilvl w:val="0"/>
                <w:numId w:val="12"/>
              </w:numPr>
              <w:rPr>
                <w:rFonts w:ascii="Open Sans" w:eastAsia="Times New Roman" w:hAnsi="Open Sans" w:cs="Open Sans"/>
                <w:sz w:val="20"/>
                <w:szCs w:val="20"/>
              </w:rPr>
            </w:pPr>
            <w:r>
              <w:t>Students will analyze economic concepts. The student will: 6.1 Connect concepts as they apply to international economics. 6.2 Investigate and analyze the effect of world trade on the United States economy. 6.3 Utilize business economic concepts to determine advantages/disadvantages of International trade, including the global impact. 6.4 Develop a logical argument for/against protective trade barriers. 6.5 Investigate the purpose of foreign aid. 6.6 Analyze the cause and effect of reliance on foreign aid.</w:t>
            </w:r>
          </w:p>
          <w:p w:rsidR="00F436F5" w:rsidRPr="00F436F5" w:rsidRDefault="00F436F5" w:rsidP="00F436F5">
            <w:pPr>
              <w:rPr>
                <w:rFonts w:ascii="Open Sans" w:eastAsia="Times New Roman" w:hAnsi="Open Sans" w:cs="Open Sans"/>
                <w:sz w:val="20"/>
                <w:szCs w:val="20"/>
              </w:rPr>
            </w:pPr>
          </w:p>
        </w:tc>
        <w:tc>
          <w:tcPr>
            <w:tcW w:w="630" w:type="dxa"/>
          </w:tcPr>
          <w:p w:rsidR="00F30CEA" w:rsidRDefault="006706C0"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F30CEA" w:rsidRDefault="00F30CEA" w:rsidP="00EB196A">
            <w:pPr>
              <w:rPr>
                <w:rFonts w:ascii="Open Sans" w:eastAsia="Times New Roman" w:hAnsi="Open Sans" w:cs="Open Sans"/>
                <w:sz w:val="20"/>
                <w:szCs w:val="20"/>
              </w:rPr>
            </w:pPr>
          </w:p>
        </w:tc>
        <w:tc>
          <w:tcPr>
            <w:tcW w:w="4135" w:type="dxa"/>
          </w:tcPr>
          <w:p w:rsidR="00F30CEA" w:rsidRDefault="006706C0" w:rsidP="00EB196A">
            <w:pPr>
              <w:rPr>
                <w:rFonts w:ascii="Open Sans" w:eastAsia="Times New Roman" w:hAnsi="Open Sans" w:cs="Open Sans"/>
                <w:sz w:val="20"/>
                <w:szCs w:val="20"/>
              </w:rPr>
            </w:pPr>
            <w:r>
              <w:rPr>
                <w:rFonts w:ascii="Open Sans" w:eastAsia="Times New Roman" w:hAnsi="Open Sans" w:cs="Open Sans"/>
                <w:sz w:val="20"/>
                <w:szCs w:val="20"/>
              </w:rPr>
              <w:t>Material meets the requirement for this standard</w:t>
            </w:r>
            <w:r w:rsidR="007366B8">
              <w:rPr>
                <w:rFonts w:ascii="Open Sans" w:eastAsia="Times New Roman" w:hAnsi="Open Sans" w:cs="Open Sans"/>
                <w:sz w:val="20"/>
                <w:szCs w:val="20"/>
              </w:rPr>
              <w:t xml:space="preserve"> (U.S. &amp; International Trade, International Trade &amp; Tariffs PowerPoints &amp; Activities)</w:t>
            </w:r>
          </w:p>
        </w:tc>
      </w:tr>
      <w:tr w:rsidR="001B5E52" w:rsidTr="00CF1BC0">
        <w:tc>
          <w:tcPr>
            <w:tcW w:w="7555" w:type="dxa"/>
          </w:tcPr>
          <w:p w:rsidR="001B5E52" w:rsidRDefault="005A7152" w:rsidP="00F30CEA">
            <w:pPr>
              <w:pStyle w:val="ListParagraph"/>
              <w:numPr>
                <w:ilvl w:val="0"/>
                <w:numId w:val="12"/>
              </w:numPr>
            </w:pPr>
            <w:r>
              <w:t>Students will analyze careers in business economics. The student will: 7.1 Analyze and synthesize opportunities for careers related to business economics. 7.2 Analyze current employment trends for careers related to business economics across industries.</w:t>
            </w:r>
          </w:p>
        </w:tc>
        <w:tc>
          <w:tcPr>
            <w:tcW w:w="630" w:type="dxa"/>
          </w:tcPr>
          <w:p w:rsidR="001B5E52" w:rsidRDefault="006706C0"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EB196A">
            <w:pPr>
              <w:rPr>
                <w:rFonts w:ascii="Open Sans" w:eastAsia="Times New Roman" w:hAnsi="Open Sans" w:cs="Open Sans"/>
                <w:sz w:val="20"/>
                <w:szCs w:val="20"/>
              </w:rPr>
            </w:pPr>
          </w:p>
        </w:tc>
        <w:tc>
          <w:tcPr>
            <w:tcW w:w="4135" w:type="dxa"/>
          </w:tcPr>
          <w:p w:rsidR="001B5E52" w:rsidRDefault="006706C0" w:rsidP="00EB196A">
            <w:pPr>
              <w:rPr>
                <w:rFonts w:ascii="Open Sans" w:eastAsia="Times New Roman" w:hAnsi="Open Sans" w:cs="Open Sans"/>
                <w:sz w:val="20"/>
                <w:szCs w:val="20"/>
              </w:rPr>
            </w:pPr>
            <w:r>
              <w:rPr>
                <w:rFonts w:ascii="Open Sans" w:eastAsia="Times New Roman" w:hAnsi="Open Sans" w:cs="Open Sans"/>
                <w:sz w:val="20"/>
                <w:szCs w:val="20"/>
              </w:rPr>
              <w:t>Material meets the requirement for this standard</w:t>
            </w:r>
            <w:r w:rsidR="00F55364">
              <w:rPr>
                <w:rFonts w:ascii="Open Sans" w:eastAsia="Times New Roman" w:hAnsi="Open Sans" w:cs="Open Sans"/>
                <w:sz w:val="20"/>
                <w:szCs w:val="20"/>
              </w:rPr>
              <w:t xml:space="preserve"> (Jobs &amp; Careers PowerPoint &amp; </w:t>
            </w:r>
            <w:r w:rsidR="00CF716C">
              <w:rPr>
                <w:rFonts w:ascii="Open Sans" w:eastAsia="Times New Roman" w:hAnsi="Open Sans" w:cs="Open Sans"/>
                <w:sz w:val="20"/>
                <w:szCs w:val="20"/>
              </w:rPr>
              <w:t>Acti</w:t>
            </w:r>
            <w:r w:rsidR="00F55364">
              <w:rPr>
                <w:rFonts w:ascii="Open Sans" w:eastAsia="Times New Roman" w:hAnsi="Open Sans" w:cs="Open Sans"/>
                <w:sz w:val="20"/>
                <w:szCs w:val="20"/>
              </w:rPr>
              <w:t>vities)</w:t>
            </w:r>
            <w:r w:rsidR="00CF716C">
              <w:rPr>
                <w:rFonts w:ascii="Open Sans" w:eastAsia="Times New Roman" w:hAnsi="Open Sans" w:cs="Open Sans"/>
                <w:sz w:val="20"/>
                <w:szCs w:val="20"/>
              </w:rPr>
              <w:t xml:space="preserve"> </w:t>
            </w:r>
          </w:p>
        </w:tc>
      </w:tr>
      <w:tr w:rsidR="001B5E52" w:rsidTr="002D4804">
        <w:trPr>
          <w:trHeight w:val="1520"/>
        </w:trPr>
        <w:tc>
          <w:tcPr>
            <w:tcW w:w="7555" w:type="dxa"/>
          </w:tcPr>
          <w:p w:rsidR="001B5E52" w:rsidRDefault="005A7152" w:rsidP="00F30CEA">
            <w:pPr>
              <w:pStyle w:val="ListParagraph"/>
              <w:numPr>
                <w:ilvl w:val="0"/>
                <w:numId w:val="12"/>
              </w:numPr>
            </w:pPr>
            <w:r>
              <w:t>Students will identify market structures/forms of competition found in the U.S. economy. The student will: 8.1 Analyze, compare and contrast perfect competition and monopolistic competition. 8.2 Analyze, compare, and contrast oligopoly and monopoly. 8.3 Connect government regulation to the creation of natural monopolies.</w:t>
            </w:r>
          </w:p>
        </w:tc>
        <w:tc>
          <w:tcPr>
            <w:tcW w:w="630" w:type="dxa"/>
          </w:tcPr>
          <w:p w:rsidR="001B5E52" w:rsidRDefault="006706C0" w:rsidP="00EB196A">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5E52" w:rsidRDefault="001B5E52" w:rsidP="00EB196A">
            <w:pPr>
              <w:rPr>
                <w:rFonts w:ascii="Open Sans" w:eastAsia="Times New Roman" w:hAnsi="Open Sans" w:cs="Open Sans"/>
                <w:sz w:val="20"/>
                <w:szCs w:val="20"/>
              </w:rPr>
            </w:pPr>
          </w:p>
        </w:tc>
        <w:tc>
          <w:tcPr>
            <w:tcW w:w="4135" w:type="dxa"/>
          </w:tcPr>
          <w:p w:rsidR="001B5E52" w:rsidRDefault="006706C0" w:rsidP="00EB196A">
            <w:pPr>
              <w:rPr>
                <w:rFonts w:ascii="Open Sans" w:eastAsia="Times New Roman" w:hAnsi="Open Sans" w:cs="Open Sans"/>
                <w:sz w:val="20"/>
                <w:szCs w:val="20"/>
              </w:rPr>
            </w:pPr>
            <w:r>
              <w:rPr>
                <w:rFonts w:ascii="Open Sans" w:eastAsia="Times New Roman" w:hAnsi="Open Sans" w:cs="Open Sans"/>
                <w:sz w:val="20"/>
                <w:szCs w:val="20"/>
              </w:rPr>
              <w:t>Material meets the requirement for this standard.</w:t>
            </w:r>
            <w:r w:rsidR="00CF716C">
              <w:rPr>
                <w:rFonts w:ascii="Open Sans" w:eastAsia="Times New Roman" w:hAnsi="Open Sans" w:cs="Open Sans"/>
                <w:sz w:val="20"/>
                <w:szCs w:val="20"/>
              </w:rPr>
              <w:t xml:space="preserve"> Government’s Role in Business PowerPoint (slides 7-8)</w:t>
            </w:r>
          </w:p>
        </w:tc>
      </w:tr>
    </w:tbl>
    <w:p w:rsidR="00072127" w:rsidRDefault="00072127" w:rsidP="00F30CEA">
      <w:pPr>
        <w:rPr>
          <w:rFonts w:ascii="Open Sans" w:eastAsia="Times New Roman" w:hAnsi="Open Sans" w:cs="Open Sans"/>
          <w:b/>
          <w:sz w:val="18"/>
          <w:szCs w:val="18"/>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bookmarkStart w:id="0" w:name="_GoBack"/>
            <w:bookmarkEnd w:id="0"/>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711D00">
              <w:trPr>
                <w:trHeight w:val="1304"/>
              </w:trPr>
              <w:tc>
                <w:tcPr>
                  <w:tcW w:w="10210" w:type="dxa"/>
                  <w:shd w:val="clear" w:color="auto" w:fill="F2F2F2" w:themeFill="background1" w:themeFillShade="F2"/>
                  <w:vAlign w:val="center"/>
                </w:tcPr>
                <w:p w:rsidR="00981326" w:rsidRPr="00D53761" w:rsidRDefault="00981326" w:rsidP="00BA4362">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BA436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BA436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160"/>
              </w:trPr>
              <w:tc>
                <w:tcPr>
                  <w:tcW w:w="10210" w:type="dxa"/>
                  <w:shd w:val="clear" w:color="auto" w:fill="F2F2F2" w:themeFill="background1" w:themeFillShade="F2"/>
                  <w:vAlign w:val="center"/>
                </w:tcPr>
                <w:p w:rsidR="00981326" w:rsidRPr="00D53761" w:rsidRDefault="00981326" w:rsidP="00BA4362">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349"/>
              </w:trPr>
              <w:tc>
                <w:tcPr>
                  <w:tcW w:w="10210" w:type="dxa"/>
                  <w:shd w:val="clear" w:color="auto" w:fill="F2F2F2" w:themeFill="background1" w:themeFillShade="F2"/>
                  <w:vAlign w:val="center"/>
                </w:tcPr>
                <w:p w:rsidR="00981326" w:rsidRPr="00D53761" w:rsidRDefault="00981326" w:rsidP="00BA4362">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BA4362">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D4015" w:rsidRPr="001D4015" w:rsidRDefault="001D4015" w:rsidP="001D4015">
            <w:pPr>
              <w:rPr>
                <w:rFonts w:ascii="Open Sans" w:hAnsi="Open Sans" w:cs="Open Sans"/>
                <w:sz w:val="20"/>
                <w:szCs w:val="20"/>
              </w:rPr>
            </w:pPr>
            <w:r>
              <w:rPr>
                <w:rFonts w:ascii="Open Sans" w:hAnsi="Open Sans" w:cs="Open Sans"/>
                <w:sz w:val="20"/>
                <w:szCs w:val="20"/>
              </w:rPr>
              <w:t xml:space="preserve">Material is aligned with the standards and incorporates rigor and relevance throughout. </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8C353D">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8C353D">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8C353D">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8C353D">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8C353D">
        <w:trPr>
          <w:trHeight w:val="1043"/>
        </w:trPr>
        <w:tc>
          <w:tcPr>
            <w:tcW w:w="10350" w:type="dxa"/>
            <w:shd w:val="clear" w:color="auto" w:fill="F2F2F2" w:themeFill="background1" w:themeFillShade="F2"/>
            <w:vAlign w:val="center"/>
          </w:tcPr>
          <w:p w:rsidR="00EB147F"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p w:rsidR="00D53761" w:rsidRPr="00EB147F" w:rsidRDefault="00D53761" w:rsidP="00EB147F">
            <w:pPr>
              <w:rPr>
                <w:rFonts w:ascii="Open Sans" w:hAnsi="Open Sans" w:cs="Open Sans"/>
                <w:sz w:val="20"/>
                <w:szCs w:val="20"/>
              </w:rPr>
            </w:pP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EB147F">
        <w:trPr>
          <w:trHeight w:val="1070"/>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1D4015" w:rsidRPr="001D4015" w:rsidRDefault="001D4015" w:rsidP="00D53761">
            <w:pPr>
              <w:keepNext/>
              <w:outlineLvl w:val="4"/>
              <w:rPr>
                <w:rFonts w:ascii="Open Sans" w:hAnsi="Open Sans" w:cs="Open Sans"/>
                <w:sz w:val="20"/>
                <w:szCs w:val="20"/>
              </w:rPr>
            </w:pPr>
            <w:r>
              <w:rPr>
                <w:rFonts w:ascii="Open Sans" w:hAnsi="Open Sans" w:cs="Open Sans"/>
                <w:sz w:val="20"/>
                <w:szCs w:val="20"/>
              </w:rPr>
              <w:t>Material for this course meets the standards to prepare students for post-secondary and careers</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8C353D">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1D4015">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8C353D">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8C353D">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EB147F" w:rsidRDefault="00EB147F" w:rsidP="00EB147F">
      <w:pPr>
        <w:spacing w:after="0"/>
        <w:contextualSpacing/>
        <w:rPr>
          <w:rFonts w:ascii="Open Sans" w:hAnsi="Open Sans" w:cs="Open Sans"/>
          <w:sz w:val="20"/>
          <w:szCs w:val="20"/>
        </w:rPr>
      </w:pPr>
    </w:p>
    <w:p w:rsidR="00EB147F" w:rsidRPr="00D53761" w:rsidRDefault="00EB147F"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EB147F">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9673A9" w:rsidRPr="00D53761" w:rsidTr="00EB147F">
        <w:trPr>
          <w:trHeight w:val="1736"/>
        </w:trPr>
        <w:tc>
          <w:tcPr>
            <w:tcW w:w="8730" w:type="dxa"/>
            <w:vAlign w:val="center"/>
          </w:tcPr>
          <w:p w:rsidR="009673A9" w:rsidRPr="00D53761" w:rsidRDefault="009673A9"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9673A9" w:rsidRPr="00D53761" w:rsidRDefault="009673A9" w:rsidP="00D53761">
            <w:pPr>
              <w:contextualSpacing/>
              <w:jc w:val="center"/>
              <w:rPr>
                <w:rFonts w:ascii="Open Sans" w:hAnsi="Open Sans" w:cs="Open Sans"/>
                <w:sz w:val="20"/>
                <w:szCs w:val="20"/>
              </w:rPr>
            </w:pPr>
            <w:r w:rsidRPr="00D0130A">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tcPr>
          <w:p w:rsidR="009673A9" w:rsidRDefault="009673A9" w:rsidP="00ED6271">
            <w:pPr>
              <w:contextualSpacing/>
              <w:rPr>
                <w:rFonts w:ascii="Open Sans" w:hAnsi="Open Sans" w:cs="Open Sans"/>
                <w:sz w:val="20"/>
                <w:szCs w:val="20"/>
              </w:rPr>
            </w:pPr>
          </w:p>
          <w:p w:rsidR="009673A9" w:rsidRPr="00D53761" w:rsidRDefault="009673A9" w:rsidP="009673A9">
            <w:pPr>
              <w:contextualSpacing/>
              <w:rPr>
                <w:rFonts w:ascii="Open Sans" w:hAnsi="Open Sans" w:cs="Open Sans"/>
                <w:sz w:val="20"/>
                <w:szCs w:val="20"/>
              </w:rPr>
            </w:pPr>
            <w:r>
              <w:rPr>
                <w:rFonts w:ascii="Open Sans" w:hAnsi="Open Sans" w:cs="Open Sans"/>
                <w:sz w:val="20"/>
                <w:szCs w:val="20"/>
              </w:rPr>
              <w:t>Relevant material noted in  Lesson Plan under Lesson Links: U.S Department of Labor; U.S. Occupational Safety &amp; Hazard Administration</w:t>
            </w:r>
          </w:p>
        </w:tc>
      </w:tr>
      <w:tr w:rsidR="009673A9" w:rsidRPr="00D53761" w:rsidTr="00EB147F">
        <w:trPr>
          <w:trHeight w:val="1979"/>
        </w:trPr>
        <w:tc>
          <w:tcPr>
            <w:tcW w:w="8730" w:type="dxa"/>
            <w:vAlign w:val="center"/>
          </w:tcPr>
          <w:p w:rsidR="009673A9" w:rsidRPr="00D53761" w:rsidRDefault="009673A9"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9673A9" w:rsidRPr="00D53761" w:rsidRDefault="009673A9" w:rsidP="00D53761">
            <w:pPr>
              <w:contextualSpacing/>
              <w:jc w:val="center"/>
              <w:rPr>
                <w:rFonts w:ascii="Open Sans" w:hAnsi="Open Sans" w:cs="Open Sans"/>
                <w:sz w:val="20"/>
                <w:szCs w:val="20"/>
              </w:rPr>
            </w:pPr>
            <w:r w:rsidRPr="00D0130A">
              <w:rPr>
                <w:rFonts w:ascii="Arial Black" w:hAnsi="Arial Black" w:cs="Open Sans"/>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9673A9" w:rsidRPr="00D53761" w:rsidRDefault="009673A9" w:rsidP="00ED6271">
            <w:pPr>
              <w:contextualSpacing/>
              <w:rPr>
                <w:rFonts w:ascii="Open Sans" w:hAnsi="Open Sans" w:cs="Open Sans"/>
                <w:sz w:val="20"/>
                <w:szCs w:val="20"/>
              </w:rPr>
            </w:pPr>
            <w:r>
              <w:rPr>
                <w:rFonts w:ascii="Open Sans" w:hAnsi="Open Sans" w:cs="Open Sans"/>
                <w:sz w:val="20"/>
                <w:szCs w:val="20"/>
              </w:rPr>
              <w:t xml:space="preserve">Material in Lesson Plan does not address differentiated instruction </w:t>
            </w:r>
          </w:p>
        </w:tc>
      </w:tr>
      <w:tr w:rsidR="009673A9" w:rsidRPr="00D53761" w:rsidTr="00EB147F">
        <w:trPr>
          <w:trHeight w:val="1979"/>
        </w:trPr>
        <w:tc>
          <w:tcPr>
            <w:tcW w:w="8730" w:type="dxa"/>
            <w:vAlign w:val="center"/>
          </w:tcPr>
          <w:p w:rsidR="009673A9" w:rsidRPr="00D53761" w:rsidRDefault="009673A9"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9673A9" w:rsidRPr="00D53761" w:rsidRDefault="009673A9" w:rsidP="00D53761">
            <w:pPr>
              <w:contextualSpacing/>
              <w:jc w:val="center"/>
              <w:rPr>
                <w:rFonts w:ascii="Open Sans" w:hAnsi="Open Sans" w:cs="Open Sans"/>
                <w:sz w:val="20"/>
                <w:szCs w:val="20"/>
              </w:rPr>
            </w:pPr>
            <w:r w:rsidRPr="00B46C04">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9673A9" w:rsidRDefault="009673A9" w:rsidP="00ED6271">
            <w:pPr>
              <w:contextualSpacing/>
              <w:rPr>
                <w:rFonts w:ascii="Open Sans" w:hAnsi="Open Sans" w:cs="Open Sans"/>
                <w:sz w:val="20"/>
                <w:szCs w:val="20"/>
              </w:rPr>
            </w:pPr>
            <w:r>
              <w:rPr>
                <w:rFonts w:ascii="Open Sans" w:hAnsi="Open Sans" w:cs="Open Sans"/>
                <w:sz w:val="20"/>
                <w:szCs w:val="20"/>
              </w:rPr>
              <w:t>Relevant material noted in  Lesson Plan under Career &amp; Technical Student Organizations:  Business Professional of America;</w:t>
            </w:r>
          </w:p>
          <w:p w:rsidR="009673A9" w:rsidRPr="00D53761" w:rsidRDefault="009673A9" w:rsidP="00ED6271">
            <w:pPr>
              <w:contextualSpacing/>
              <w:rPr>
                <w:rFonts w:ascii="Open Sans" w:hAnsi="Open Sans" w:cs="Open Sans"/>
                <w:sz w:val="20"/>
                <w:szCs w:val="20"/>
              </w:rPr>
            </w:pPr>
            <w:r>
              <w:rPr>
                <w:rFonts w:ascii="Open Sans" w:hAnsi="Open Sans" w:cs="Open Sans"/>
                <w:sz w:val="20"/>
                <w:szCs w:val="20"/>
              </w:rPr>
              <w:t>Future Business Leaders of America (FBLA)</w:t>
            </w:r>
            <w:r w:rsidR="001709F8">
              <w:rPr>
                <w:rFonts w:ascii="Open Sans" w:hAnsi="Open Sans" w:cs="Open Sans"/>
                <w:sz w:val="20"/>
                <w:szCs w:val="20"/>
              </w:rPr>
              <w:t>; DECA</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B46C04" w:rsidRPr="00D53761" w:rsidTr="008C353D">
        <w:trPr>
          <w:trHeight w:val="1664"/>
        </w:trPr>
        <w:tc>
          <w:tcPr>
            <w:tcW w:w="8730" w:type="dxa"/>
            <w:vAlign w:val="center"/>
          </w:tcPr>
          <w:p w:rsidR="00B46C04" w:rsidRPr="00D53761" w:rsidRDefault="00B46C04"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B46C04" w:rsidRPr="00D53761" w:rsidRDefault="00B46C04" w:rsidP="00D53761">
            <w:pPr>
              <w:contextualSpacing/>
              <w:jc w:val="center"/>
              <w:rPr>
                <w:rFonts w:ascii="Open Sans" w:hAnsi="Open Sans" w:cs="Open Sans"/>
                <w:sz w:val="20"/>
                <w:szCs w:val="20"/>
              </w:rPr>
            </w:pPr>
            <w:r w:rsidRPr="00D0130A">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B46C04" w:rsidRDefault="00B46C04" w:rsidP="00ED6271">
            <w:pPr>
              <w:contextualSpacing/>
              <w:rPr>
                <w:rFonts w:ascii="Open Sans" w:hAnsi="Open Sans" w:cs="Open Sans"/>
                <w:sz w:val="20"/>
                <w:szCs w:val="20"/>
              </w:rPr>
            </w:pPr>
          </w:p>
          <w:p w:rsidR="00B46C04" w:rsidRPr="00D53761" w:rsidRDefault="00B46C04" w:rsidP="00ED6271">
            <w:pPr>
              <w:contextualSpacing/>
              <w:rPr>
                <w:rFonts w:ascii="Open Sans" w:hAnsi="Open Sans" w:cs="Open Sans"/>
                <w:sz w:val="20"/>
                <w:szCs w:val="20"/>
              </w:rPr>
            </w:pPr>
            <w:r>
              <w:rPr>
                <w:rFonts w:ascii="Open Sans" w:hAnsi="Open Sans" w:cs="Open Sans"/>
                <w:sz w:val="20"/>
                <w:szCs w:val="20"/>
              </w:rPr>
              <w:t>As noted in  Lesson Plan under Horizontal Alignment in core-subject areas of Math, Language Arts, Social Studies, Science</w:t>
            </w:r>
          </w:p>
        </w:tc>
      </w:tr>
      <w:tr w:rsidR="00B46C04" w:rsidRPr="00D53761" w:rsidTr="008C353D">
        <w:trPr>
          <w:trHeight w:val="1979"/>
        </w:trPr>
        <w:tc>
          <w:tcPr>
            <w:tcW w:w="8730" w:type="dxa"/>
            <w:vAlign w:val="center"/>
          </w:tcPr>
          <w:p w:rsidR="00B46C04" w:rsidRPr="00D53761" w:rsidRDefault="00B46C04"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B46C04" w:rsidRPr="00D53761" w:rsidRDefault="00B46C04" w:rsidP="00D53761">
            <w:pPr>
              <w:contextualSpacing/>
              <w:jc w:val="center"/>
              <w:rPr>
                <w:rFonts w:ascii="Open Sans" w:hAnsi="Open Sans" w:cs="Open Sans"/>
                <w:sz w:val="20"/>
                <w:szCs w:val="20"/>
              </w:rPr>
            </w:pPr>
            <w:r w:rsidRPr="00D0130A">
              <w:rPr>
                <w:rFonts w:ascii="Arial Black" w:hAnsi="Arial Black" w:cs="Open Sans"/>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B46C04" w:rsidRPr="00D53761" w:rsidRDefault="00B46C04" w:rsidP="00411D49">
            <w:pPr>
              <w:contextualSpacing/>
              <w:rPr>
                <w:rFonts w:ascii="Open Sans" w:hAnsi="Open Sans" w:cs="Open Sans"/>
                <w:sz w:val="20"/>
                <w:szCs w:val="20"/>
              </w:rPr>
            </w:pPr>
            <w:r>
              <w:rPr>
                <w:rFonts w:ascii="Open Sans" w:hAnsi="Open Sans" w:cs="Open Sans"/>
                <w:sz w:val="20"/>
                <w:szCs w:val="20"/>
              </w:rPr>
              <w:t xml:space="preserve">As noted in Lesson Plan stated in the Objectives connections to previous courses are covered (i.e. </w:t>
            </w:r>
            <w:r w:rsidR="00411D49">
              <w:rPr>
                <w:rFonts w:ascii="Open Sans" w:hAnsi="Open Sans" w:cs="Open Sans"/>
                <w:sz w:val="20"/>
                <w:szCs w:val="20"/>
              </w:rPr>
              <w:t xml:space="preserve">Workplace Safety covered </w:t>
            </w:r>
            <w:r>
              <w:rPr>
                <w:rFonts w:ascii="Open Sans" w:hAnsi="Open Sans" w:cs="Open Sans"/>
                <w:sz w:val="20"/>
                <w:szCs w:val="20"/>
              </w:rPr>
              <w:t xml:space="preserve">in </w:t>
            </w:r>
            <w:r w:rsidR="00411D49">
              <w:rPr>
                <w:rFonts w:ascii="Open Sans" w:hAnsi="Open Sans" w:cs="Open Sans"/>
                <w:sz w:val="20"/>
                <w:szCs w:val="20"/>
              </w:rPr>
              <w:t>all Career Technical c</w:t>
            </w:r>
            <w:r>
              <w:rPr>
                <w:rFonts w:ascii="Open Sans" w:hAnsi="Open Sans" w:cs="Open Sans"/>
                <w:sz w:val="20"/>
                <w:szCs w:val="20"/>
              </w:rPr>
              <w:t xml:space="preserve">ourse) </w:t>
            </w:r>
          </w:p>
        </w:tc>
      </w:tr>
      <w:tr w:rsidR="00B46C04" w:rsidRPr="00D53761" w:rsidTr="008C353D">
        <w:trPr>
          <w:trHeight w:val="1781"/>
        </w:trPr>
        <w:tc>
          <w:tcPr>
            <w:tcW w:w="8730" w:type="dxa"/>
            <w:vAlign w:val="center"/>
          </w:tcPr>
          <w:p w:rsidR="00B46C04" w:rsidRPr="00D53761" w:rsidRDefault="00B46C04"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B46C04" w:rsidRPr="00D53761" w:rsidRDefault="00B46C04" w:rsidP="00D53761">
            <w:pPr>
              <w:contextualSpacing/>
              <w:jc w:val="center"/>
              <w:rPr>
                <w:rFonts w:ascii="Open Sans" w:hAnsi="Open Sans" w:cs="Open Sans"/>
                <w:sz w:val="20"/>
                <w:szCs w:val="20"/>
              </w:rPr>
            </w:pPr>
            <w:r w:rsidRPr="00B46C04">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B46C04" w:rsidRPr="00D53761" w:rsidRDefault="00B46C04" w:rsidP="00ED6271">
            <w:pPr>
              <w:contextualSpacing/>
              <w:rPr>
                <w:rFonts w:ascii="Open Sans" w:hAnsi="Open Sans" w:cs="Open Sans"/>
                <w:sz w:val="20"/>
                <w:szCs w:val="20"/>
              </w:rPr>
            </w:pPr>
            <w:r>
              <w:rPr>
                <w:rFonts w:ascii="Open Sans" w:hAnsi="Open Sans" w:cs="Open Sans"/>
                <w:sz w:val="20"/>
                <w:szCs w:val="20"/>
              </w:rPr>
              <w:t xml:space="preserve">Content progressions reflect the progressions as seen in the standards and are clearly aimed at helping students meet the standards. </w:t>
            </w:r>
          </w:p>
        </w:tc>
      </w:tr>
    </w:tbl>
    <w:p w:rsidR="00D53761" w:rsidRDefault="00D53761" w:rsidP="00D53761">
      <w:pPr>
        <w:spacing w:after="0"/>
        <w:rPr>
          <w:rFonts w:ascii="Open Sans" w:hAnsi="Open Sans" w:cs="Open Sans"/>
          <w:sz w:val="20"/>
          <w:szCs w:val="20"/>
        </w:rPr>
      </w:pPr>
    </w:p>
    <w:p w:rsidR="00EB147F" w:rsidRDefault="00EB147F" w:rsidP="00D53761">
      <w:pPr>
        <w:spacing w:after="0"/>
        <w:rPr>
          <w:rFonts w:ascii="Open Sans" w:hAnsi="Open Sans" w:cs="Open Sans"/>
          <w:sz w:val="20"/>
          <w:szCs w:val="20"/>
        </w:rPr>
      </w:pPr>
    </w:p>
    <w:p w:rsidR="00EB147F" w:rsidRDefault="00EB147F" w:rsidP="00D53761">
      <w:pPr>
        <w:spacing w:after="0"/>
        <w:rPr>
          <w:rFonts w:ascii="Open Sans" w:hAnsi="Open Sans" w:cs="Open Sans"/>
          <w:sz w:val="20"/>
          <w:szCs w:val="20"/>
        </w:rPr>
      </w:pPr>
    </w:p>
    <w:p w:rsidR="00EB147F" w:rsidRDefault="00EB147F" w:rsidP="00D53761">
      <w:pPr>
        <w:spacing w:after="0"/>
        <w:rPr>
          <w:rFonts w:ascii="Open Sans" w:hAnsi="Open Sans" w:cs="Open Sans"/>
          <w:sz w:val="20"/>
          <w:szCs w:val="20"/>
        </w:rPr>
      </w:pPr>
    </w:p>
    <w:p w:rsidR="00EB147F" w:rsidRPr="00D53761" w:rsidRDefault="00EB147F"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25313F" w:rsidRPr="00D53761" w:rsidTr="008C353D">
        <w:trPr>
          <w:trHeight w:val="1502"/>
        </w:trPr>
        <w:tc>
          <w:tcPr>
            <w:tcW w:w="8730" w:type="dxa"/>
            <w:vAlign w:val="center"/>
          </w:tcPr>
          <w:p w:rsidR="0025313F" w:rsidRPr="00D53761" w:rsidRDefault="0025313F"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D0130A">
              <w:rPr>
                <w:rFonts w:ascii="Arial Black" w:hAnsi="Arial Black" w:cs="Open Sans"/>
                <w:sz w:val="20"/>
                <w:szCs w:val="20"/>
              </w:rPr>
              <w:t>2</w:t>
            </w:r>
            <w:r w:rsidRPr="00D53761">
              <w:rPr>
                <w:rFonts w:ascii="Open Sans" w:hAnsi="Open Sans" w:cs="Open Sans"/>
                <w:sz w:val="20"/>
                <w:szCs w:val="20"/>
              </w:rPr>
              <w:t xml:space="preserve">      1      0</w:t>
            </w:r>
          </w:p>
        </w:tc>
        <w:tc>
          <w:tcPr>
            <w:tcW w:w="2988" w:type="dxa"/>
          </w:tcPr>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Material supports teachers in planning as noted in Lesson Plan: Printable Resources, Interactive Activities, Career Connections, Lab Activities, &amp; Projects</w:t>
            </w:r>
          </w:p>
        </w:tc>
      </w:tr>
      <w:tr w:rsidR="0025313F" w:rsidRPr="00D53761" w:rsidTr="008C353D">
        <w:trPr>
          <w:trHeight w:val="1376"/>
        </w:trPr>
        <w:tc>
          <w:tcPr>
            <w:tcW w:w="8730" w:type="dxa"/>
            <w:vAlign w:val="center"/>
          </w:tcPr>
          <w:p w:rsidR="0025313F" w:rsidRPr="00D53761" w:rsidRDefault="0025313F"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Material supports this item: Lab Activities: Business Category &amp; ISO.</w:t>
            </w:r>
          </w:p>
        </w:tc>
      </w:tr>
      <w:tr w:rsidR="0025313F" w:rsidRPr="00D53761" w:rsidTr="008C353D">
        <w:trPr>
          <w:trHeight w:val="1376"/>
        </w:trPr>
        <w:tc>
          <w:tcPr>
            <w:tcW w:w="8730" w:type="dxa"/>
            <w:vAlign w:val="center"/>
          </w:tcPr>
          <w:p w:rsidR="0025313F" w:rsidRPr="00D53761" w:rsidRDefault="0025313F"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25313F">
              <w:rPr>
                <w:rFonts w:ascii="Open Sans" w:hAnsi="Open Sans" w:cs="Open Sans"/>
                <w:b/>
                <w:sz w:val="20"/>
                <w:szCs w:val="20"/>
              </w:rPr>
              <w:t xml:space="preserve">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No Independent study regarding professional development was found in teacher materials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25313F" w:rsidRPr="00D53761" w:rsidTr="008C353D">
        <w:trPr>
          <w:trHeight w:val="1502"/>
        </w:trPr>
        <w:tc>
          <w:tcPr>
            <w:tcW w:w="8730" w:type="dxa"/>
            <w:vAlign w:val="center"/>
          </w:tcPr>
          <w:p w:rsidR="0025313F" w:rsidRPr="00D53761" w:rsidRDefault="0025313F"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An array of media materials was found (i.e. videos, Power Points, Internet links, etc.)</w:t>
            </w:r>
          </w:p>
        </w:tc>
      </w:tr>
      <w:tr w:rsidR="0025313F" w:rsidRPr="00D53761" w:rsidTr="008C353D">
        <w:trPr>
          <w:trHeight w:val="1115"/>
        </w:trPr>
        <w:tc>
          <w:tcPr>
            <w:tcW w:w="8730" w:type="dxa"/>
            <w:vAlign w:val="center"/>
          </w:tcPr>
          <w:p w:rsidR="0025313F" w:rsidRPr="00D53761" w:rsidRDefault="0025313F"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Material is appropriate, clear and easy to read by the user.</w:t>
            </w:r>
          </w:p>
        </w:tc>
      </w:tr>
      <w:tr w:rsidR="0025313F" w:rsidRPr="00D53761" w:rsidTr="008C353D">
        <w:trPr>
          <w:trHeight w:val="1376"/>
        </w:trPr>
        <w:tc>
          <w:tcPr>
            <w:tcW w:w="8730" w:type="dxa"/>
            <w:vAlign w:val="center"/>
          </w:tcPr>
          <w:p w:rsidR="0025313F" w:rsidRPr="00D53761" w:rsidRDefault="0025313F"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25313F">
              <w:rPr>
                <w:rFonts w:ascii="Open Sans" w:hAnsi="Open Sans" w:cs="Open Sans"/>
                <w:b/>
                <w:sz w:val="20"/>
                <w:szCs w:val="20"/>
              </w:rPr>
              <w:t>0</w:t>
            </w:r>
          </w:p>
        </w:tc>
        <w:tc>
          <w:tcPr>
            <w:tcW w:w="2988" w:type="dxa"/>
          </w:tcPr>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 xml:space="preserve">No mentioned of support to diverse-learning abilities or language </w:t>
            </w:r>
          </w:p>
        </w:tc>
      </w:tr>
      <w:tr w:rsidR="0025313F" w:rsidRPr="00D53761" w:rsidTr="008C353D">
        <w:trPr>
          <w:trHeight w:val="1376"/>
        </w:trPr>
        <w:tc>
          <w:tcPr>
            <w:tcW w:w="8730" w:type="dxa"/>
            <w:vAlign w:val="center"/>
          </w:tcPr>
          <w:p w:rsidR="0025313F" w:rsidRPr="00D53761" w:rsidRDefault="0025313F"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 xml:space="preserve">Material includes culturally- sensitive instruction and includes examples of a diverse population </w:t>
            </w: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25313F" w:rsidRPr="00D53761" w:rsidTr="008C353D">
        <w:trPr>
          <w:trHeight w:val="1502"/>
        </w:trPr>
        <w:tc>
          <w:tcPr>
            <w:tcW w:w="8730" w:type="dxa"/>
            <w:vAlign w:val="center"/>
          </w:tcPr>
          <w:p w:rsidR="0025313F" w:rsidRPr="00D53761" w:rsidRDefault="0025313F"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Assessments are given regularly throughout the lesson in a variety of ways (online and hard copy).</w:t>
            </w:r>
          </w:p>
        </w:tc>
      </w:tr>
      <w:tr w:rsidR="0025313F" w:rsidRPr="00D53761" w:rsidTr="008C353D">
        <w:trPr>
          <w:trHeight w:val="1115"/>
        </w:trPr>
        <w:tc>
          <w:tcPr>
            <w:tcW w:w="8730" w:type="dxa"/>
            <w:vAlign w:val="center"/>
          </w:tcPr>
          <w:p w:rsidR="0025313F" w:rsidRPr="00D53761" w:rsidRDefault="0025313F"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Assessments are given but unable to see elements of all listed here</w:t>
            </w:r>
          </w:p>
        </w:tc>
      </w:tr>
      <w:tr w:rsidR="0025313F" w:rsidRPr="00D53761" w:rsidTr="008C353D">
        <w:trPr>
          <w:trHeight w:val="1376"/>
        </w:trPr>
        <w:tc>
          <w:tcPr>
            <w:tcW w:w="8730" w:type="dxa"/>
            <w:vAlign w:val="center"/>
          </w:tcPr>
          <w:p w:rsidR="0025313F" w:rsidRPr="00D53761" w:rsidRDefault="0025313F"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25313F" w:rsidRPr="00D53761" w:rsidRDefault="0025313F" w:rsidP="00D53761">
            <w:pPr>
              <w:contextualSpacing/>
              <w:jc w:val="center"/>
              <w:rPr>
                <w:rFonts w:ascii="Open Sans" w:hAnsi="Open Sans" w:cs="Open Sans"/>
                <w:sz w:val="20"/>
                <w:szCs w:val="20"/>
              </w:rPr>
            </w:pPr>
            <w:r w:rsidRPr="0025313F">
              <w:rPr>
                <w:rFonts w:ascii="Open Sans" w:hAnsi="Open Sans" w:cs="Open Sans"/>
                <w:sz w:val="20"/>
                <w:szCs w:val="20"/>
              </w:rPr>
              <w:t>2</w:t>
            </w:r>
            <w:r w:rsidRPr="0025313F">
              <w:rPr>
                <w:rFonts w:ascii="Open Sans" w:hAnsi="Open Sans" w:cs="Open Sans"/>
                <w:b/>
                <w:sz w:val="20"/>
                <w:szCs w:val="20"/>
              </w:rPr>
              <w:t xml:space="preserve"> </w:t>
            </w:r>
            <w:r w:rsidRPr="00D53761">
              <w:rPr>
                <w:rFonts w:ascii="Open Sans" w:hAnsi="Open Sans" w:cs="Open Sans"/>
                <w:sz w:val="20"/>
                <w:szCs w:val="20"/>
              </w:rPr>
              <w:t xml:space="preserve">     1      </w:t>
            </w:r>
            <w:r w:rsidRPr="0025313F">
              <w:rPr>
                <w:rFonts w:ascii="Open Sans" w:hAnsi="Open Sans" w:cs="Open Sans"/>
                <w:b/>
                <w:sz w:val="20"/>
                <w:szCs w:val="20"/>
              </w:rPr>
              <w:t>0</w:t>
            </w:r>
          </w:p>
        </w:tc>
        <w:tc>
          <w:tcPr>
            <w:tcW w:w="2988" w:type="dxa"/>
          </w:tcPr>
          <w:p w:rsidR="0025313F" w:rsidRDefault="0025313F" w:rsidP="00ED6271">
            <w:pPr>
              <w:contextualSpacing/>
              <w:rPr>
                <w:rFonts w:ascii="Open Sans" w:hAnsi="Open Sans" w:cs="Open Sans"/>
                <w:sz w:val="20"/>
                <w:szCs w:val="20"/>
              </w:rPr>
            </w:pPr>
          </w:p>
          <w:p w:rsidR="0025313F" w:rsidRPr="00D53761" w:rsidRDefault="0025313F" w:rsidP="00ED6271">
            <w:pPr>
              <w:contextualSpacing/>
              <w:rPr>
                <w:rFonts w:ascii="Open Sans" w:hAnsi="Open Sans" w:cs="Open Sans"/>
                <w:sz w:val="20"/>
                <w:szCs w:val="20"/>
              </w:rPr>
            </w:pPr>
            <w:r>
              <w:rPr>
                <w:rFonts w:ascii="Open Sans" w:hAnsi="Open Sans" w:cs="Open Sans"/>
                <w:sz w:val="20"/>
                <w:szCs w:val="20"/>
              </w:rPr>
              <w:t xml:space="preserve">No evidence of accommodations for diverse learners </w:t>
            </w:r>
          </w:p>
        </w:tc>
      </w:tr>
    </w:tbl>
    <w:p w:rsidR="00D53761" w:rsidRDefault="00D53761" w:rsidP="00D53761">
      <w:pPr>
        <w:spacing w:after="0"/>
        <w:rPr>
          <w:rFonts w:ascii="Open Sans" w:hAnsi="Open Sans" w:cs="Open Sans"/>
          <w:sz w:val="20"/>
          <w:szCs w:val="20"/>
        </w:rPr>
      </w:pPr>
    </w:p>
    <w:p w:rsidR="00EB147F" w:rsidRDefault="00EB147F" w:rsidP="00D53761">
      <w:pPr>
        <w:spacing w:after="0"/>
        <w:rPr>
          <w:rFonts w:ascii="Open Sans" w:hAnsi="Open Sans" w:cs="Open Sans"/>
          <w:sz w:val="20"/>
          <w:szCs w:val="20"/>
        </w:rPr>
      </w:pPr>
    </w:p>
    <w:p w:rsidR="0025313F" w:rsidRDefault="0025313F" w:rsidP="00D53761">
      <w:pPr>
        <w:spacing w:after="0"/>
        <w:rPr>
          <w:rFonts w:ascii="Open Sans" w:hAnsi="Open Sans" w:cs="Open Sans"/>
          <w:sz w:val="20"/>
          <w:szCs w:val="20"/>
        </w:rPr>
      </w:pPr>
    </w:p>
    <w:p w:rsidR="0025313F" w:rsidRDefault="0025313F" w:rsidP="00D53761">
      <w:pPr>
        <w:spacing w:after="0"/>
        <w:rPr>
          <w:rFonts w:ascii="Open Sans" w:hAnsi="Open Sans" w:cs="Open Sans"/>
          <w:sz w:val="20"/>
          <w:szCs w:val="20"/>
        </w:rPr>
      </w:pPr>
    </w:p>
    <w:p w:rsidR="0025313F" w:rsidRDefault="0025313F" w:rsidP="00D53761">
      <w:pPr>
        <w:spacing w:after="0"/>
        <w:rPr>
          <w:rFonts w:ascii="Open Sans" w:hAnsi="Open Sans" w:cs="Open Sans"/>
          <w:sz w:val="20"/>
          <w:szCs w:val="20"/>
        </w:rPr>
      </w:pPr>
    </w:p>
    <w:p w:rsidR="00EB147F" w:rsidRDefault="00EB147F" w:rsidP="00D53761">
      <w:pPr>
        <w:spacing w:after="0"/>
        <w:rPr>
          <w:rFonts w:ascii="Open Sans" w:hAnsi="Open Sans" w:cs="Open Sans"/>
          <w:sz w:val="20"/>
          <w:szCs w:val="20"/>
        </w:rPr>
      </w:pPr>
    </w:p>
    <w:p w:rsidR="00EB147F" w:rsidRPr="00D53761" w:rsidRDefault="00EB147F"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8C353D">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8C353D">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8C353D">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595DEE">
      <w:footerReference w:type="default" r:id="rId9"/>
      <w:pgSz w:w="15840" w:h="12240" w:orient="landscape"/>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ED2" w:rsidRDefault="00C16ED2" w:rsidP="007A7C16">
      <w:pPr>
        <w:spacing w:after="0" w:line="240" w:lineRule="auto"/>
      </w:pPr>
      <w:r>
        <w:separator/>
      </w:r>
    </w:p>
  </w:endnote>
  <w:endnote w:type="continuationSeparator" w:id="0">
    <w:p w:rsidR="00C16ED2" w:rsidRDefault="00C16ED2" w:rsidP="007A7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C16" w:rsidRDefault="007A7C16">
    <w:pPr>
      <w:pStyle w:val="Footer"/>
    </w:pPr>
    <w:r>
      <w:t>CEV Multimedia_5898_BusEconomics_978-1-61459-596-0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ED2" w:rsidRDefault="00C16ED2" w:rsidP="007A7C16">
      <w:pPr>
        <w:spacing w:after="0" w:line="240" w:lineRule="auto"/>
      </w:pPr>
      <w:r>
        <w:separator/>
      </w:r>
    </w:p>
  </w:footnote>
  <w:footnote w:type="continuationSeparator" w:id="0">
    <w:p w:rsidR="00C16ED2" w:rsidRDefault="00C16ED2" w:rsidP="007A7C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50C9D"/>
    <w:rsid w:val="00062703"/>
    <w:rsid w:val="00072127"/>
    <w:rsid w:val="000845EB"/>
    <w:rsid w:val="000E3170"/>
    <w:rsid w:val="000F2892"/>
    <w:rsid w:val="00115038"/>
    <w:rsid w:val="0011573F"/>
    <w:rsid w:val="00124855"/>
    <w:rsid w:val="001602D8"/>
    <w:rsid w:val="001709F8"/>
    <w:rsid w:val="001901A5"/>
    <w:rsid w:val="001A0833"/>
    <w:rsid w:val="001B02DE"/>
    <w:rsid w:val="001B5E52"/>
    <w:rsid w:val="001D4015"/>
    <w:rsid w:val="00226274"/>
    <w:rsid w:val="00251375"/>
    <w:rsid w:val="0025313F"/>
    <w:rsid w:val="002D0902"/>
    <w:rsid w:val="002D4804"/>
    <w:rsid w:val="00370D9D"/>
    <w:rsid w:val="003965B7"/>
    <w:rsid w:val="003D3072"/>
    <w:rsid w:val="004079F5"/>
    <w:rsid w:val="00411D49"/>
    <w:rsid w:val="00415672"/>
    <w:rsid w:val="00421523"/>
    <w:rsid w:val="00425B04"/>
    <w:rsid w:val="0043492C"/>
    <w:rsid w:val="004474D6"/>
    <w:rsid w:val="00465233"/>
    <w:rsid w:val="00473800"/>
    <w:rsid w:val="004C22EA"/>
    <w:rsid w:val="00595DEE"/>
    <w:rsid w:val="005A7152"/>
    <w:rsid w:val="005D7F02"/>
    <w:rsid w:val="005F0B53"/>
    <w:rsid w:val="006240A2"/>
    <w:rsid w:val="00642569"/>
    <w:rsid w:val="006706C0"/>
    <w:rsid w:val="006A1A1A"/>
    <w:rsid w:val="006B2D51"/>
    <w:rsid w:val="006D23A5"/>
    <w:rsid w:val="006D78B6"/>
    <w:rsid w:val="006F3C74"/>
    <w:rsid w:val="00707652"/>
    <w:rsid w:val="007125FD"/>
    <w:rsid w:val="00730420"/>
    <w:rsid w:val="007366B8"/>
    <w:rsid w:val="007728F3"/>
    <w:rsid w:val="0078544F"/>
    <w:rsid w:val="007A7C16"/>
    <w:rsid w:val="007C21F4"/>
    <w:rsid w:val="00841701"/>
    <w:rsid w:val="00871B0B"/>
    <w:rsid w:val="008B526F"/>
    <w:rsid w:val="008C4C6B"/>
    <w:rsid w:val="008C71E0"/>
    <w:rsid w:val="008C7DB3"/>
    <w:rsid w:val="008E25C9"/>
    <w:rsid w:val="008F0203"/>
    <w:rsid w:val="00911CDD"/>
    <w:rsid w:val="009673A9"/>
    <w:rsid w:val="00981326"/>
    <w:rsid w:val="009E3752"/>
    <w:rsid w:val="009F6E44"/>
    <w:rsid w:val="00A34C78"/>
    <w:rsid w:val="00A43243"/>
    <w:rsid w:val="00A852D4"/>
    <w:rsid w:val="00AB444A"/>
    <w:rsid w:val="00B31E0B"/>
    <w:rsid w:val="00B43601"/>
    <w:rsid w:val="00B46C04"/>
    <w:rsid w:val="00B564D1"/>
    <w:rsid w:val="00B96805"/>
    <w:rsid w:val="00B9770E"/>
    <w:rsid w:val="00BA4362"/>
    <w:rsid w:val="00BF6557"/>
    <w:rsid w:val="00C033C2"/>
    <w:rsid w:val="00C16ED2"/>
    <w:rsid w:val="00C25F66"/>
    <w:rsid w:val="00C3750F"/>
    <w:rsid w:val="00C4526C"/>
    <w:rsid w:val="00CE0E9C"/>
    <w:rsid w:val="00CF1BC0"/>
    <w:rsid w:val="00CF716C"/>
    <w:rsid w:val="00D0130A"/>
    <w:rsid w:val="00D11A14"/>
    <w:rsid w:val="00D53761"/>
    <w:rsid w:val="00D73280"/>
    <w:rsid w:val="00D90CB5"/>
    <w:rsid w:val="00DE024E"/>
    <w:rsid w:val="00DF0F5F"/>
    <w:rsid w:val="00DF7998"/>
    <w:rsid w:val="00E442F2"/>
    <w:rsid w:val="00E45E61"/>
    <w:rsid w:val="00E70F53"/>
    <w:rsid w:val="00EB1010"/>
    <w:rsid w:val="00EB147F"/>
    <w:rsid w:val="00ED2286"/>
    <w:rsid w:val="00ED3FD4"/>
    <w:rsid w:val="00EF5194"/>
    <w:rsid w:val="00F30CEA"/>
    <w:rsid w:val="00F436F5"/>
    <w:rsid w:val="00F54597"/>
    <w:rsid w:val="00F55364"/>
    <w:rsid w:val="00F61CEA"/>
    <w:rsid w:val="00F73FD1"/>
    <w:rsid w:val="00FC5A98"/>
    <w:rsid w:val="00FE4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285278-85AC-4F02-AC1F-BEAB723A6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4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Header">
    <w:name w:val="header"/>
    <w:basedOn w:val="Normal"/>
    <w:link w:val="HeaderChar"/>
    <w:uiPriority w:val="99"/>
    <w:semiHidden/>
    <w:unhideWhenUsed/>
    <w:rsid w:val="007A7C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7C16"/>
  </w:style>
  <w:style w:type="paragraph" w:styleId="Footer">
    <w:name w:val="footer"/>
    <w:basedOn w:val="Normal"/>
    <w:link w:val="FooterChar"/>
    <w:uiPriority w:val="99"/>
    <w:semiHidden/>
    <w:unhideWhenUsed/>
    <w:rsid w:val="007A7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7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D36B7-4790-41FC-9BBF-EC10A0AFC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3352</Words>
  <Characters>19111</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 Norwood</dc:creator>
  <cp:lastModifiedBy>Rachel Brew</cp:lastModifiedBy>
  <cp:revision>2</cp:revision>
  <cp:lastPrinted>2016-06-14T21:25:00Z</cp:lastPrinted>
  <dcterms:created xsi:type="dcterms:W3CDTF">2018-08-23T13:25:00Z</dcterms:created>
  <dcterms:modified xsi:type="dcterms:W3CDTF">2018-08-23T13:25:00Z</dcterms:modified>
</cp:coreProperties>
</file>