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4E9E13" w14:textId="77777777" w:rsidR="0099343A" w:rsidRDefault="0099343A" w:rsidP="00D53761">
      <w:pPr>
        <w:spacing w:after="0" w:line="240" w:lineRule="auto"/>
        <w:jc w:val="center"/>
        <w:rPr>
          <w:b/>
          <w:sz w:val="28"/>
        </w:rPr>
      </w:pPr>
    </w:p>
    <w:p w14:paraId="43D73261" w14:textId="22A1D3FF" w:rsidR="00D53761" w:rsidRPr="00D53761" w:rsidRDefault="00D53761" w:rsidP="00D53761">
      <w:pPr>
        <w:spacing w:after="0" w:line="240" w:lineRule="auto"/>
        <w:jc w:val="center"/>
        <w:rPr>
          <w:b/>
          <w:i/>
          <w:sz w:val="28"/>
        </w:rPr>
      </w:pPr>
      <w:r>
        <w:rPr>
          <w:noProof/>
        </w:rPr>
        <w:drawing>
          <wp:anchor distT="0" distB="0" distL="114300" distR="114300" simplePos="0" relativeHeight="251660288" behindDoc="0" locked="0" layoutInCell="1" allowOverlap="1" wp14:anchorId="48DC41D6" wp14:editId="44D68762">
            <wp:simplePos x="0" y="0"/>
            <wp:positionH relativeFrom="column">
              <wp:posOffset>-436907</wp:posOffset>
            </wp:positionH>
            <wp:positionV relativeFrom="paragraph">
              <wp:posOffset>-595878</wp:posOffset>
            </wp:positionV>
            <wp:extent cx="1351280" cy="734060"/>
            <wp:effectExtent l="0" t="0" r="127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Dept-of-Education-ColorPMS1-300x163.png"/>
                    <pic:cNvPicPr/>
                  </pic:nvPicPr>
                  <pic:blipFill>
                    <a:blip r:embed="rId6">
                      <a:extLst>
                        <a:ext uri="{28A0092B-C50C-407E-A947-70E740481C1C}">
                          <a14:useLocalDpi xmlns:a14="http://schemas.microsoft.com/office/drawing/2010/main" val="0"/>
                        </a:ext>
                      </a:extLst>
                    </a:blip>
                    <a:stretch>
                      <a:fillRect/>
                    </a:stretch>
                  </pic:blipFill>
                  <pic:spPr>
                    <a:xfrm>
                      <a:off x="0" y="0"/>
                      <a:ext cx="1351280" cy="734060"/>
                    </a:xfrm>
                    <a:prstGeom prst="rect">
                      <a:avLst/>
                    </a:prstGeom>
                  </pic:spPr>
                </pic:pic>
              </a:graphicData>
            </a:graphic>
            <wp14:sizeRelH relativeFrom="page">
              <wp14:pctWidth>0</wp14:pctWidth>
            </wp14:sizeRelH>
            <wp14:sizeRelV relativeFrom="page">
              <wp14:pctHeight>0</wp14:pctHeight>
            </wp14:sizeRelV>
          </wp:anchor>
        </w:drawing>
      </w:r>
      <w:r w:rsidRPr="00D53761">
        <w:rPr>
          <w:b/>
          <w:sz w:val="28"/>
        </w:rPr>
        <w:t>TENNESSEE CAREER AND TECHNICAL EDUCATION TEXTBOOK SCREENING INSTRUMENT,</w:t>
      </w:r>
    </w:p>
    <w:p w14:paraId="31B49112" w14:textId="77777777" w:rsidR="00EF5194" w:rsidRPr="00EF5194" w:rsidRDefault="00B9770E" w:rsidP="00E442F2">
      <w:pPr>
        <w:spacing w:after="0" w:line="240" w:lineRule="auto"/>
        <w:jc w:val="center"/>
        <w:rPr>
          <w:b/>
          <w:sz w:val="28"/>
        </w:rPr>
      </w:pPr>
      <w:r>
        <w:rPr>
          <w:b/>
          <w:sz w:val="28"/>
        </w:rPr>
        <w:t xml:space="preserve"> </w:t>
      </w:r>
      <w:r w:rsidR="00E442F2">
        <w:rPr>
          <w:b/>
          <w:sz w:val="28"/>
        </w:rPr>
        <w:t>BUSINESS AND MARKETING ELECTIVES</w:t>
      </w:r>
    </w:p>
    <w:p w14:paraId="772E1B07" w14:textId="77777777" w:rsidR="00D53761" w:rsidRPr="00D53761" w:rsidRDefault="00D53761" w:rsidP="00D53761">
      <w:pPr>
        <w:spacing w:after="0" w:line="240" w:lineRule="auto"/>
        <w:jc w:val="center"/>
        <w:rPr>
          <w:b/>
          <w:sz w:val="28"/>
        </w:rPr>
      </w:pPr>
    </w:p>
    <w:tbl>
      <w:tblPr>
        <w:tblStyle w:val="TableGrid"/>
        <w:tblW w:w="0" w:type="auto"/>
        <w:tblLook w:val="04A0" w:firstRow="1" w:lastRow="0" w:firstColumn="1" w:lastColumn="0" w:noHBand="0" w:noVBand="1"/>
      </w:tblPr>
      <w:tblGrid>
        <w:gridCol w:w="12950"/>
      </w:tblGrid>
      <w:tr w:rsidR="00D53761" w:rsidRPr="00D53761" w14:paraId="4875B164" w14:textId="77777777" w:rsidTr="008C353D">
        <w:tc>
          <w:tcPr>
            <w:tcW w:w="13176" w:type="dxa"/>
            <w:shd w:val="clear" w:color="auto" w:fill="F2F2F2" w:themeFill="background1" w:themeFillShade="F2"/>
          </w:tcPr>
          <w:p w14:paraId="3ECFE44A" w14:textId="77777777" w:rsidR="00D53761" w:rsidRPr="00D53761" w:rsidRDefault="00D53761" w:rsidP="00D53761">
            <w:pPr>
              <w:rPr>
                <w:rFonts w:ascii="Open Sans" w:eastAsia="Times New Roman" w:hAnsi="Open Sans" w:cs="Open Sans"/>
                <w:b/>
                <w:sz w:val="18"/>
                <w:szCs w:val="18"/>
              </w:rPr>
            </w:pPr>
            <w:r w:rsidRPr="00D53761">
              <w:rPr>
                <w:rFonts w:ascii="Open Sans" w:eastAsia="Times New Roman" w:hAnsi="Open Sans" w:cs="Open Sans"/>
                <w:b/>
                <w:sz w:val="18"/>
                <w:szCs w:val="18"/>
              </w:rPr>
              <w:t>BEFORE YOU BEGIN</w:t>
            </w:r>
          </w:p>
        </w:tc>
      </w:tr>
      <w:tr w:rsidR="00D53761" w:rsidRPr="00D53761" w14:paraId="49F402E3" w14:textId="77777777" w:rsidTr="008C353D">
        <w:tc>
          <w:tcPr>
            <w:tcW w:w="13176" w:type="dxa"/>
          </w:tcPr>
          <w:p w14:paraId="6623203E" w14:textId="77777777" w:rsidR="00D53761" w:rsidRPr="00D53761" w:rsidRDefault="00D53761" w:rsidP="00D53761">
            <w:pPr>
              <w:rPr>
                <w:rFonts w:ascii="Open Sans" w:eastAsia="Times New Roman" w:hAnsi="Open Sans" w:cs="Open Sans"/>
                <w:sz w:val="18"/>
                <w:szCs w:val="18"/>
              </w:rPr>
            </w:pPr>
          </w:p>
          <w:p w14:paraId="6C98DF56" w14:textId="77777777"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 xml:space="preserve">ALIGNMENT TO THE TENNESSEE CAREER AND TECHNICAL EDUCATION STANDARDS: </w:t>
            </w:r>
          </w:p>
          <w:p w14:paraId="3FBCC6E6" w14:textId="77777777" w:rsidR="00D53761" w:rsidRPr="00D53761" w:rsidRDefault="00D53761" w:rsidP="00D53761">
            <w:pPr>
              <w:rPr>
                <w:rFonts w:ascii="Open Sans" w:eastAsia="Times New Roman" w:hAnsi="Open Sans" w:cs="Open Sans"/>
                <w:sz w:val="18"/>
                <w:szCs w:val="18"/>
              </w:rPr>
            </w:pPr>
          </w:p>
          <w:p w14:paraId="48274BAF" w14:textId="77777777"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 xml:space="preserve">Tennessee’s Career and Technical Education Standards (hereafter, “the standards”) represent a significant shift in the definition of student proficiency within career and technical education environments. Evaluators of materials should understand that the standards replace the proficiency frameworks of years past in three major respects: </w:t>
            </w:r>
          </w:p>
          <w:p w14:paraId="268F4228" w14:textId="77777777" w:rsidR="00D53761" w:rsidRPr="00D53761" w:rsidRDefault="00D53761" w:rsidP="00D53761">
            <w:pPr>
              <w:rPr>
                <w:rFonts w:ascii="Open Sans" w:eastAsia="Times New Roman" w:hAnsi="Open Sans" w:cs="Open Sans"/>
                <w:sz w:val="18"/>
                <w:szCs w:val="18"/>
              </w:rPr>
            </w:pPr>
          </w:p>
          <w:p w14:paraId="60E9BA3E" w14:textId="77777777" w:rsidR="00D53761" w:rsidRPr="003965B7"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A shift to clear, specific, and measurable expectations for student learning. The standards articulate deep knowledge and skill attainment, departing from the competency-based structure of years past.</w:t>
            </w:r>
          </w:p>
          <w:p w14:paraId="019AC1D5" w14:textId="77777777" w:rsidR="000E3170"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 xml:space="preserve">Increased focus on rigor in literacy and mathematics within technical contexts. </w:t>
            </w:r>
          </w:p>
          <w:p w14:paraId="290AABAC" w14:textId="77777777" w:rsidR="00D53761" w:rsidRPr="003965B7" w:rsidRDefault="00D53761" w:rsidP="003965B7">
            <w:pPr>
              <w:pStyle w:val="ListParagraph"/>
              <w:numPr>
                <w:ilvl w:val="0"/>
                <w:numId w:val="11"/>
              </w:numPr>
              <w:rPr>
                <w:rFonts w:ascii="Open Sans" w:eastAsia="Times New Roman" w:hAnsi="Open Sans" w:cs="Open Sans"/>
                <w:sz w:val="18"/>
                <w:szCs w:val="18"/>
              </w:rPr>
            </w:pPr>
            <w:r w:rsidRPr="003965B7">
              <w:rPr>
                <w:rFonts w:ascii="Open Sans" w:eastAsia="Times New Roman" w:hAnsi="Open Sans" w:cs="Open Sans"/>
                <w:sz w:val="18"/>
                <w:szCs w:val="18"/>
              </w:rPr>
              <w:t>Sequential progression of knowledge and skills within and across courses. The new standards build on each other both within course content and across course levels, arranged within programs of study that culminate in capstone and/or work-based learning experiences for students.</w:t>
            </w:r>
          </w:p>
          <w:p w14:paraId="1968AE2B" w14:textId="77777777" w:rsidR="00D53761" w:rsidRPr="00D53761" w:rsidRDefault="00D53761" w:rsidP="00D53761">
            <w:pPr>
              <w:rPr>
                <w:rFonts w:ascii="Open Sans" w:eastAsia="Times New Roman" w:hAnsi="Open Sans" w:cs="Open Sans"/>
                <w:sz w:val="18"/>
                <w:szCs w:val="18"/>
              </w:rPr>
            </w:pPr>
          </w:p>
          <w:p w14:paraId="5FEE6DF1" w14:textId="77777777" w:rsidR="00D53761" w:rsidRPr="00D53761" w:rsidRDefault="00D53761" w:rsidP="00D53761">
            <w:pPr>
              <w:rPr>
                <w:rFonts w:ascii="Open Sans" w:eastAsia="Times New Roman" w:hAnsi="Open Sans" w:cs="Open Sans"/>
                <w:sz w:val="18"/>
                <w:szCs w:val="18"/>
              </w:rPr>
            </w:pPr>
            <w:r w:rsidRPr="00D53761">
              <w:rPr>
                <w:rFonts w:ascii="Open Sans" w:eastAsia="Times New Roman" w:hAnsi="Open Sans" w:cs="Open Sans"/>
                <w:sz w:val="18"/>
                <w:szCs w:val="18"/>
              </w:rPr>
              <w:t>Evaluators of materials must be well versed in the standards for the course(s) aligned to the materials in question, how the content fits into the progressions in the content standards, and the expectations of the standards with respect to conceptual understanding, fluency, and technical application</w:t>
            </w:r>
            <w:r w:rsidR="006A1A1A">
              <w:rPr>
                <w:rFonts w:ascii="Open Sans" w:eastAsia="Times New Roman" w:hAnsi="Open Sans" w:cs="Open Sans"/>
                <w:sz w:val="18"/>
                <w:szCs w:val="18"/>
              </w:rPr>
              <w:t xml:space="preserve">. </w:t>
            </w:r>
            <w:r w:rsidRPr="00D53761">
              <w:rPr>
                <w:rFonts w:ascii="Open Sans" w:eastAsia="Times New Roman" w:hAnsi="Open Sans" w:cs="Open Sans"/>
                <w:sz w:val="18"/>
                <w:szCs w:val="18"/>
              </w:rPr>
              <w:t xml:space="preserve">Aligned courses in the </w:t>
            </w:r>
            <w:r w:rsidR="00115038">
              <w:rPr>
                <w:rFonts w:ascii="Open Sans" w:eastAsia="Times New Roman" w:hAnsi="Open Sans" w:cs="Open Sans"/>
                <w:sz w:val="18"/>
                <w:szCs w:val="18"/>
              </w:rPr>
              <w:t>Business Management &amp; Administration</w:t>
            </w:r>
            <w:r w:rsidR="000845EB">
              <w:rPr>
                <w:rFonts w:ascii="Open Sans" w:eastAsia="Times New Roman" w:hAnsi="Open Sans" w:cs="Open Sans"/>
                <w:sz w:val="18"/>
                <w:szCs w:val="18"/>
              </w:rPr>
              <w:t xml:space="preserve"> </w:t>
            </w:r>
            <w:r w:rsidR="00871B0B">
              <w:rPr>
                <w:rFonts w:ascii="Open Sans" w:eastAsia="Times New Roman" w:hAnsi="Open Sans" w:cs="Open Sans"/>
                <w:sz w:val="18"/>
                <w:szCs w:val="18"/>
              </w:rPr>
              <w:t>Career Cluster</w:t>
            </w:r>
            <w:r w:rsidRPr="00D53761">
              <w:rPr>
                <w:rFonts w:ascii="Open Sans" w:eastAsia="Times New Roman" w:hAnsi="Open Sans" w:cs="Open Sans"/>
                <w:sz w:val="18"/>
                <w:szCs w:val="18"/>
              </w:rPr>
              <w:t>:</w:t>
            </w:r>
          </w:p>
          <w:p w14:paraId="58FC8F3A" w14:textId="77777777" w:rsidR="00D53761" w:rsidRPr="00D53761" w:rsidRDefault="00D53761" w:rsidP="00D53761">
            <w:pPr>
              <w:rPr>
                <w:rFonts w:ascii="Open Sans" w:eastAsia="Times New Roman" w:hAnsi="Open Sans" w:cs="Open Sans"/>
                <w:b/>
                <w:sz w:val="18"/>
                <w:szCs w:val="18"/>
              </w:rPr>
            </w:pPr>
          </w:p>
          <w:p w14:paraId="6C0F8FF7" w14:textId="77777777" w:rsidR="00E70F53" w:rsidRPr="00E70F53" w:rsidRDefault="00E442F2" w:rsidP="00E70F53">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PERSONAL FINANCE</w:t>
            </w:r>
            <w:r w:rsidR="00E70F53"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5901</w:t>
            </w:r>
            <w:r w:rsidR="00E70F53" w:rsidRPr="00E70F53">
              <w:rPr>
                <w:rFonts w:ascii="Open Sans" w:eastAsia="Times New Roman" w:hAnsi="Open Sans" w:cs="Open Sans"/>
                <w:b/>
                <w:sz w:val="18"/>
                <w:szCs w:val="18"/>
              </w:rPr>
              <w:t xml:space="preserve">)                                      </w:t>
            </w:r>
          </w:p>
          <w:p w14:paraId="2C12E626" w14:textId="77777777" w:rsidR="00115038" w:rsidRDefault="00115038" w:rsidP="000845EB">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 xml:space="preserve">BUSINESS </w:t>
            </w:r>
            <w:r w:rsidR="00E442F2">
              <w:rPr>
                <w:rFonts w:ascii="Open Sans" w:eastAsia="Times New Roman" w:hAnsi="Open Sans" w:cs="Open Sans"/>
                <w:b/>
                <w:sz w:val="18"/>
                <w:szCs w:val="18"/>
              </w:rPr>
              <w:t>ECONOMICS</w:t>
            </w:r>
            <w:r w:rsidR="000845EB"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5888</w:t>
            </w:r>
            <w:r w:rsidR="000845EB" w:rsidRPr="00E70F53">
              <w:rPr>
                <w:rFonts w:ascii="Open Sans" w:eastAsia="Times New Roman" w:hAnsi="Open Sans" w:cs="Open Sans"/>
                <w:b/>
                <w:sz w:val="18"/>
                <w:szCs w:val="18"/>
              </w:rPr>
              <w:t xml:space="preserve">)        </w:t>
            </w:r>
          </w:p>
          <w:p w14:paraId="6C141D8A" w14:textId="77777777" w:rsidR="00C033C2" w:rsidRDefault="00E442F2" w:rsidP="000845EB">
            <w:pPr>
              <w:spacing w:after="200" w:line="276" w:lineRule="auto"/>
              <w:rPr>
                <w:rFonts w:ascii="Open Sans" w:eastAsia="Times New Roman" w:hAnsi="Open Sans" w:cs="Open Sans"/>
                <w:b/>
                <w:sz w:val="18"/>
                <w:szCs w:val="18"/>
              </w:rPr>
            </w:pPr>
            <w:r>
              <w:rPr>
                <w:rFonts w:ascii="Open Sans" w:eastAsia="Times New Roman" w:hAnsi="Open Sans" w:cs="Open Sans"/>
                <w:b/>
                <w:sz w:val="18"/>
                <w:szCs w:val="18"/>
              </w:rPr>
              <w:t>AMERICAN BUSINESS LEGAL</w:t>
            </w:r>
            <w:r w:rsidR="000845EB" w:rsidRPr="00E70F53">
              <w:rPr>
                <w:rFonts w:ascii="Open Sans" w:eastAsia="Times New Roman" w:hAnsi="Open Sans" w:cs="Open Sans"/>
                <w:b/>
                <w:sz w:val="18"/>
                <w:szCs w:val="18"/>
              </w:rPr>
              <w:t xml:space="preserve"> </w:t>
            </w:r>
            <w:r w:rsidR="00FC5A98">
              <w:rPr>
                <w:rFonts w:ascii="Open Sans" w:eastAsia="Times New Roman" w:hAnsi="Open Sans" w:cs="Open Sans"/>
                <w:b/>
                <w:sz w:val="18"/>
                <w:szCs w:val="18"/>
              </w:rPr>
              <w:t>(5892</w:t>
            </w:r>
            <w:r w:rsidR="000845EB" w:rsidRPr="00E70F53">
              <w:rPr>
                <w:rFonts w:ascii="Open Sans" w:eastAsia="Times New Roman" w:hAnsi="Open Sans" w:cs="Open Sans"/>
                <w:b/>
                <w:sz w:val="18"/>
                <w:szCs w:val="18"/>
              </w:rPr>
              <w:t xml:space="preserve">)         </w:t>
            </w:r>
          </w:p>
          <w:p w14:paraId="5ABE19E3" w14:textId="77777777" w:rsidR="00D53761" w:rsidRPr="00D53761" w:rsidRDefault="00D53761" w:rsidP="00E442F2">
            <w:pPr>
              <w:rPr>
                <w:rFonts w:ascii="Open Sans" w:eastAsia="Times New Roman" w:hAnsi="Open Sans" w:cs="Open Sans"/>
                <w:b/>
                <w:i/>
                <w:sz w:val="18"/>
                <w:szCs w:val="18"/>
              </w:rPr>
            </w:pPr>
          </w:p>
        </w:tc>
      </w:tr>
      <w:tr w:rsidR="004079F5" w:rsidRPr="00D53761" w14:paraId="27673460" w14:textId="77777777" w:rsidTr="008C353D">
        <w:tc>
          <w:tcPr>
            <w:tcW w:w="13176" w:type="dxa"/>
          </w:tcPr>
          <w:p w14:paraId="311FAE1C" w14:textId="77777777" w:rsidR="004079F5" w:rsidRPr="00D53761" w:rsidRDefault="004079F5" w:rsidP="00D53761">
            <w:pPr>
              <w:rPr>
                <w:rFonts w:ascii="Open Sans" w:eastAsia="Times New Roman" w:hAnsi="Open Sans" w:cs="Open Sans"/>
                <w:sz w:val="18"/>
                <w:szCs w:val="18"/>
              </w:rPr>
            </w:pPr>
          </w:p>
        </w:tc>
      </w:tr>
    </w:tbl>
    <w:tbl>
      <w:tblPr>
        <w:tblStyle w:val="TableGrid"/>
        <w:tblpPr w:leftFromText="180" w:rightFromText="180" w:vertAnchor="page" w:horzAnchor="margin" w:tblpY="7614"/>
        <w:tblW w:w="0" w:type="auto"/>
        <w:tblLook w:val="04A0" w:firstRow="1" w:lastRow="0" w:firstColumn="1" w:lastColumn="0" w:noHBand="0" w:noVBand="1"/>
      </w:tblPr>
      <w:tblGrid>
        <w:gridCol w:w="12950"/>
      </w:tblGrid>
      <w:tr w:rsidR="00981326" w:rsidRPr="00D53761" w14:paraId="6AD15020" w14:textId="77777777" w:rsidTr="00981326">
        <w:tc>
          <w:tcPr>
            <w:tcW w:w="13158" w:type="dxa"/>
            <w:shd w:val="clear" w:color="auto" w:fill="F2F2F2" w:themeFill="background1" w:themeFillShade="F2"/>
          </w:tcPr>
          <w:p w14:paraId="3D51164D" w14:textId="77777777" w:rsidR="00981326" w:rsidRPr="00D53761" w:rsidRDefault="00981326" w:rsidP="00981326">
            <w:pPr>
              <w:tabs>
                <w:tab w:val="left" w:pos="2280"/>
              </w:tabs>
              <w:rPr>
                <w:rFonts w:ascii="Open Sans" w:hAnsi="Open Sans" w:cs="Open Sans"/>
                <w:b/>
                <w:sz w:val="18"/>
                <w:szCs w:val="18"/>
              </w:rPr>
            </w:pPr>
            <w:r w:rsidRPr="00D53761">
              <w:rPr>
                <w:rFonts w:ascii="Open Sans" w:hAnsi="Open Sans" w:cs="Open Sans"/>
                <w:b/>
                <w:sz w:val="18"/>
                <w:szCs w:val="18"/>
              </w:rPr>
              <w:lastRenderedPageBreak/>
              <w:t>REVIEW</w:t>
            </w:r>
            <w:r w:rsidRPr="00D53761">
              <w:rPr>
                <w:rFonts w:ascii="Open Sans" w:hAnsi="Open Sans" w:cs="Open Sans"/>
                <w:b/>
                <w:sz w:val="18"/>
                <w:szCs w:val="18"/>
              </w:rPr>
              <w:tab/>
            </w:r>
          </w:p>
        </w:tc>
      </w:tr>
      <w:tr w:rsidR="00981326" w:rsidRPr="00D53761" w14:paraId="643B701F" w14:textId="77777777" w:rsidTr="00981326">
        <w:tc>
          <w:tcPr>
            <w:tcW w:w="13158" w:type="dxa"/>
          </w:tcPr>
          <w:p w14:paraId="7AFBD8C1" w14:textId="77777777" w:rsidR="00981326" w:rsidRPr="00D53761" w:rsidRDefault="00981326" w:rsidP="00981326">
            <w:pPr>
              <w:rPr>
                <w:rFonts w:ascii="Open Sans" w:hAnsi="Open Sans" w:cs="Open Sans"/>
                <w:sz w:val="18"/>
                <w:szCs w:val="18"/>
              </w:rPr>
            </w:pPr>
          </w:p>
          <w:p w14:paraId="2AB74B24" w14:textId="5712347E" w:rsidR="00981326" w:rsidRPr="00D53761" w:rsidRDefault="005D7F02" w:rsidP="00981326">
            <w:pPr>
              <w:rPr>
                <w:rFonts w:ascii="Open Sans" w:hAnsi="Open Sans" w:cs="Open Sans"/>
                <w:sz w:val="18"/>
                <w:szCs w:val="18"/>
              </w:rPr>
            </w:pPr>
            <w:r>
              <w:rPr>
                <w:rFonts w:ascii="Open Sans" w:hAnsi="Open Sans" w:cs="Open Sans"/>
                <w:sz w:val="18"/>
                <w:szCs w:val="18"/>
              </w:rPr>
              <w:t>Book Title and ISBN:</w:t>
            </w:r>
            <w:r w:rsidR="00981326" w:rsidRPr="00D53761">
              <w:rPr>
                <w:rFonts w:ascii="Open Sans" w:hAnsi="Open Sans" w:cs="Open Sans"/>
                <w:sz w:val="18"/>
                <w:szCs w:val="18"/>
              </w:rPr>
              <w:t xml:space="preserve"> </w:t>
            </w:r>
            <w:r w:rsidR="0099343A" w:rsidRPr="0099343A">
              <w:rPr>
                <w:rFonts w:ascii="Open Sans" w:hAnsi="Open Sans" w:cs="Open Sans"/>
                <w:b/>
                <w:sz w:val="18"/>
                <w:szCs w:val="18"/>
              </w:rPr>
              <w:t>iCEV Bus, Mrk, Fin, IT &amp; Media Site – Personal Finance  ISBN:  978-1-614549-598-</w:t>
            </w:r>
            <w:r w:rsidR="0099343A">
              <w:rPr>
                <w:rFonts w:ascii="Open Sans" w:hAnsi="Open Sans" w:cs="Open Sans"/>
                <w:sz w:val="18"/>
                <w:szCs w:val="18"/>
              </w:rPr>
              <w:t xml:space="preserve">4   Level(s)/Course(s): </w:t>
            </w:r>
            <w:r w:rsidR="0099343A" w:rsidRPr="0099343A">
              <w:rPr>
                <w:rFonts w:ascii="Open Sans" w:hAnsi="Open Sans" w:cs="Open Sans"/>
                <w:b/>
                <w:sz w:val="18"/>
                <w:szCs w:val="18"/>
              </w:rPr>
              <w:t>5901 Personal Finance</w:t>
            </w:r>
          </w:p>
          <w:p w14:paraId="54CA74A0" w14:textId="77777777" w:rsidR="00981326" w:rsidRPr="00D53761" w:rsidRDefault="00981326" w:rsidP="00981326">
            <w:pPr>
              <w:rPr>
                <w:rFonts w:ascii="Open Sans" w:hAnsi="Open Sans" w:cs="Open Sans"/>
                <w:sz w:val="18"/>
                <w:szCs w:val="18"/>
              </w:rPr>
            </w:pPr>
          </w:p>
          <w:p w14:paraId="07019EF2" w14:textId="112A0E4B" w:rsidR="00981326" w:rsidRPr="00D53761" w:rsidRDefault="0099343A" w:rsidP="00981326">
            <w:pPr>
              <w:rPr>
                <w:rFonts w:ascii="Open Sans" w:hAnsi="Open Sans" w:cs="Open Sans"/>
                <w:sz w:val="18"/>
                <w:szCs w:val="18"/>
              </w:rPr>
            </w:pPr>
            <w:r>
              <w:rPr>
                <w:rFonts w:ascii="Open Sans" w:hAnsi="Open Sans" w:cs="Open Sans"/>
                <w:sz w:val="18"/>
                <w:szCs w:val="18"/>
              </w:rPr>
              <w:t xml:space="preserve">Publisher: </w:t>
            </w:r>
            <w:r w:rsidRPr="0086669F">
              <w:rPr>
                <w:rFonts w:ascii="Open Sans" w:hAnsi="Open Sans" w:cs="Open Sans"/>
                <w:b/>
                <w:sz w:val="18"/>
                <w:szCs w:val="18"/>
              </w:rPr>
              <w:t>CEV Multimedia, Ltd.</w:t>
            </w:r>
            <w:r>
              <w:rPr>
                <w:rFonts w:ascii="Open Sans" w:hAnsi="Open Sans" w:cs="Open Sans"/>
                <w:sz w:val="18"/>
                <w:szCs w:val="18"/>
              </w:rPr>
              <w:t xml:space="preserve">  </w:t>
            </w:r>
            <w:r w:rsidR="005D7F02">
              <w:rPr>
                <w:rFonts w:ascii="Open Sans" w:hAnsi="Open Sans" w:cs="Open Sans"/>
                <w:sz w:val="18"/>
                <w:szCs w:val="18"/>
              </w:rPr>
              <w:t xml:space="preserve">Copyright </w:t>
            </w:r>
            <w:r>
              <w:rPr>
                <w:rFonts w:ascii="Open Sans" w:hAnsi="Open Sans" w:cs="Open Sans"/>
                <w:sz w:val="18"/>
                <w:szCs w:val="18"/>
              </w:rPr>
              <w:t xml:space="preserve">Year: </w:t>
            </w:r>
            <w:r w:rsidR="0086669F" w:rsidRPr="0086669F">
              <w:rPr>
                <w:rFonts w:ascii="Open Sans" w:hAnsi="Open Sans" w:cs="Open Sans"/>
                <w:b/>
                <w:sz w:val="18"/>
                <w:szCs w:val="18"/>
              </w:rPr>
              <w:t>2017</w:t>
            </w:r>
          </w:p>
        </w:tc>
      </w:tr>
    </w:tbl>
    <w:tbl>
      <w:tblPr>
        <w:tblStyle w:val="TableGrid"/>
        <w:tblpPr w:leftFromText="180" w:rightFromText="180" w:vertAnchor="page" w:horzAnchor="margin" w:tblpY="1127"/>
        <w:tblW w:w="0" w:type="auto"/>
        <w:tblLook w:val="04A0" w:firstRow="1" w:lastRow="0" w:firstColumn="1" w:lastColumn="0" w:noHBand="0" w:noVBand="1"/>
      </w:tblPr>
      <w:tblGrid>
        <w:gridCol w:w="12950"/>
      </w:tblGrid>
      <w:tr w:rsidR="001A0833" w:rsidRPr="00D53761" w14:paraId="2EC31D0E" w14:textId="77777777" w:rsidTr="001A0833">
        <w:tc>
          <w:tcPr>
            <w:tcW w:w="13158" w:type="dxa"/>
            <w:shd w:val="clear" w:color="auto" w:fill="F2F2F2" w:themeFill="background1" w:themeFillShade="F2"/>
          </w:tcPr>
          <w:p w14:paraId="574936AB" w14:textId="77777777" w:rsidR="001A0833" w:rsidRPr="00D53761" w:rsidRDefault="001A0833" w:rsidP="001A0833">
            <w:pPr>
              <w:rPr>
                <w:rFonts w:ascii="Open Sans" w:eastAsia="Times New Roman" w:hAnsi="Open Sans" w:cs="Open Sans"/>
                <w:b/>
                <w:sz w:val="18"/>
                <w:szCs w:val="18"/>
              </w:rPr>
            </w:pPr>
            <w:r w:rsidRPr="00D53761">
              <w:rPr>
                <w:rFonts w:ascii="Open Sans" w:eastAsia="Times New Roman" w:hAnsi="Open Sans" w:cs="Open Sans"/>
                <w:b/>
                <w:sz w:val="18"/>
                <w:szCs w:val="18"/>
              </w:rPr>
              <w:t>STATEMENT OF STUDENT PROFICIENCY</w:t>
            </w:r>
          </w:p>
        </w:tc>
      </w:tr>
      <w:tr w:rsidR="001A0833" w:rsidRPr="00D53761" w14:paraId="67EF9162" w14:textId="77777777" w:rsidTr="00911CDD">
        <w:trPr>
          <w:trHeight w:val="1896"/>
        </w:trPr>
        <w:tc>
          <w:tcPr>
            <w:tcW w:w="13158" w:type="dxa"/>
          </w:tcPr>
          <w:p w14:paraId="0E3E8140" w14:textId="77777777" w:rsidR="008F0203" w:rsidRDefault="00E442F2" w:rsidP="001A0833">
            <w:r>
              <w:t>These courses are for elective credit and supplement learning in the areas of business, marketing,  and finance.</w:t>
            </w:r>
          </w:p>
          <w:p w14:paraId="0EF11B97" w14:textId="77777777" w:rsidR="008F0203" w:rsidRDefault="008F0203" w:rsidP="001A0833"/>
          <w:p w14:paraId="52BC3131" w14:textId="77777777" w:rsidR="001A0833" w:rsidRPr="00D53761" w:rsidRDefault="001A0833" w:rsidP="001A0833">
            <w:pPr>
              <w:rPr>
                <w:rFonts w:ascii="Open Sans" w:eastAsia="Times New Roman" w:hAnsi="Open Sans" w:cs="Open Sans"/>
                <w:i/>
                <w:sz w:val="18"/>
                <w:szCs w:val="18"/>
              </w:rPr>
            </w:pPr>
            <w:r w:rsidRPr="00D53761">
              <w:rPr>
                <w:rFonts w:ascii="Open Sans" w:eastAsia="Times New Roman" w:hAnsi="Open Sans" w:cs="Open Sans"/>
                <w:sz w:val="18"/>
                <w:szCs w:val="18"/>
              </w:rPr>
              <w:t xml:space="preserve">Note to reviewers: </w:t>
            </w:r>
            <w:r w:rsidRPr="00D53761">
              <w:rPr>
                <w:rFonts w:ascii="Open Sans" w:eastAsia="Times New Roman" w:hAnsi="Open Sans" w:cs="Open Sans"/>
                <w:i/>
                <w:sz w:val="18"/>
                <w:szCs w:val="18"/>
              </w:rPr>
              <w:t xml:space="preserve">All materials reviewed as part of this application </w:t>
            </w:r>
            <w:r w:rsidRPr="00D53761">
              <w:rPr>
                <w:rFonts w:ascii="Open Sans" w:eastAsia="Times New Roman" w:hAnsi="Open Sans" w:cs="Open Sans"/>
                <w:i/>
                <w:sz w:val="18"/>
                <w:szCs w:val="18"/>
                <w:u w:val="single"/>
              </w:rPr>
              <w:t>must</w:t>
            </w:r>
            <w:r w:rsidRPr="00D53761">
              <w:rPr>
                <w:rFonts w:ascii="Open Sans" w:eastAsia="Times New Roman" w:hAnsi="Open Sans" w:cs="Open Sans"/>
                <w:i/>
                <w:sz w:val="18"/>
                <w:szCs w:val="18"/>
              </w:rPr>
              <w:t xml:space="preserve"> align to the statement of student proficiency provided above.</w:t>
            </w:r>
          </w:p>
          <w:p w14:paraId="18B80DA1" w14:textId="77777777" w:rsidR="001A0833" w:rsidRPr="00D53761" w:rsidRDefault="001A0833" w:rsidP="001A0833">
            <w:pPr>
              <w:rPr>
                <w:rFonts w:ascii="Open Sans" w:hAnsi="Open Sans" w:cs="Open Sans"/>
                <w:sz w:val="20"/>
                <w:szCs w:val="20"/>
              </w:rPr>
            </w:pPr>
          </w:p>
        </w:tc>
      </w:tr>
    </w:tbl>
    <w:tbl>
      <w:tblPr>
        <w:tblStyle w:val="TableGrid"/>
        <w:tblpPr w:leftFromText="180" w:rightFromText="180" w:vertAnchor="page" w:horzAnchor="margin" w:tblpY="3570"/>
        <w:tblW w:w="0" w:type="auto"/>
        <w:tblLook w:val="04A0" w:firstRow="1" w:lastRow="0" w:firstColumn="1" w:lastColumn="0" w:noHBand="0" w:noVBand="1"/>
      </w:tblPr>
      <w:tblGrid>
        <w:gridCol w:w="12950"/>
      </w:tblGrid>
      <w:tr w:rsidR="00911CDD" w:rsidRPr="00D53761" w14:paraId="357FFD5C" w14:textId="77777777" w:rsidTr="00911CDD">
        <w:tc>
          <w:tcPr>
            <w:tcW w:w="13158" w:type="dxa"/>
            <w:shd w:val="clear" w:color="auto" w:fill="F2F2F2" w:themeFill="background1" w:themeFillShade="F2"/>
          </w:tcPr>
          <w:p w14:paraId="6CA949C5" w14:textId="77777777" w:rsidR="00911CDD" w:rsidRPr="00D53761" w:rsidRDefault="00911CDD" w:rsidP="00911CDD">
            <w:pPr>
              <w:rPr>
                <w:rFonts w:ascii="Open Sans" w:eastAsia="Times New Roman" w:hAnsi="Open Sans" w:cs="Open Sans"/>
                <w:b/>
                <w:sz w:val="18"/>
                <w:szCs w:val="18"/>
              </w:rPr>
            </w:pPr>
            <w:r w:rsidRPr="00D53761">
              <w:rPr>
                <w:rFonts w:ascii="Open Sans" w:eastAsia="Times New Roman" w:hAnsi="Open Sans" w:cs="Open Sans"/>
                <w:b/>
                <w:sz w:val="18"/>
                <w:szCs w:val="18"/>
              </w:rPr>
              <w:t>ORGANIZATION OF THIS DOCUMENT</w:t>
            </w:r>
          </w:p>
        </w:tc>
      </w:tr>
      <w:tr w:rsidR="00911CDD" w:rsidRPr="00D53761" w14:paraId="42C46604" w14:textId="77777777" w:rsidTr="00911CDD">
        <w:tc>
          <w:tcPr>
            <w:tcW w:w="13158" w:type="dxa"/>
          </w:tcPr>
          <w:p w14:paraId="0A277064" w14:textId="77777777" w:rsidR="00911CDD" w:rsidRPr="00D53761" w:rsidRDefault="00911CDD" w:rsidP="00911CDD">
            <w:pPr>
              <w:rPr>
                <w:rFonts w:ascii="Open Sans" w:eastAsia="Times New Roman" w:hAnsi="Open Sans" w:cs="Open Sans"/>
                <w:sz w:val="18"/>
                <w:szCs w:val="18"/>
              </w:rPr>
            </w:pPr>
          </w:p>
          <w:p w14:paraId="260F681F"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 NON-NEGOTIABLE ALIGNMENT CRITERIA</w:t>
            </w:r>
          </w:p>
          <w:p w14:paraId="381A4527" w14:textId="77777777" w:rsidR="00911CDD" w:rsidRPr="00D53761" w:rsidRDefault="00911CDD" w:rsidP="00911CDD">
            <w:pPr>
              <w:rPr>
                <w:rFonts w:ascii="Open Sans" w:eastAsia="Times New Roman" w:hAnsi="Open Sans" w:cs="Open Sans"/>
                <w:sz w:val="18"/>
                <w:szCs w:val="18"/>
              </w:rPr>
            </w:pPr>
          </w:p>
          <w:p w14:paraId="62DBC57A"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 xml:space="preserve">All submissions must meet all of the non-negotiable criteria for each course before passing on to Section II. </w:t>
            </w:r>
          </w:p>
          <w:p w14:paraId="2433D122" w14:textId="77777777" w:rsidR="00911CDD" w:rsidRPr="00D53761" w:rsidRDefault="00911CDD" w:rsidP="00911CDD">
            <w:pPr>
              <w:rPr>
                <w:rFonts w:ascii="Open Sans" w:eastAsia="Times New Roman" w:hAnsi="Open Sans" w:cs="Open Sans"/>
                <w:sz w:val="18"/>
                <w:szCs w:val="18"/>
              </w:rPr>
            </w:pPr>
          </w:p>
          <w:p w14:paraId="72EAC9D5"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 ADDITIONAL ALIGNMENT CRITERIA AND INDICATORS OF QUALITY</w:t>
            </w:r>
          </w:p>
          <w:p w14:paraId="344DF155" w14:textId="77777777" w:rsidR="00911CDD" w:rsidRPr="00D53761" w:rsidRDefault="00911CDD" w:rsidP="00911CDD">
            <w:pPr>
              <w:rPr>
                <w:rFonts w:ascii="Open Sans" w:eastAsia="Times New Roman" w:hAnsi="Open Sans" w:cs="Open Sans"/>
                <w:sz w:val="18"/>
                <w:szCs w:val="18"/>
              </w:rPr>
            </w:pPr>
          </w:p>
          <w:p w14:paraId="2D301495"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 includes additional criteria for alignment to the standards as well as indicators of quality.</w:t>
            </w:r>
          </w:p>
          <w:p w14:paraId="289275A4" w14:textId="77777777" w:rsidR="00911CDD" w:rsidRPr="00D53761" w:rsidRDefault="00911CDD" w:rsidP="00911CDD">
            <w:pPr>
              <w:rPr>
                <w:rFonts w:ascii="Open Sans" w:eastAsia="Times New Roman" w:hAnsi="Open Sans" w:cs="Open Sans"/>
                <w:sz w:val="18"/>
                <w:szCs w:val="18"/>
              </w:rPr>
            </w:pPr>
          </w:p>
          <w:p w14:paraId="15B7E26E"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 xml:space="preserve">SECTION III: FOCUS AREA </w:t>
            </w:r>
            <w:r w:rsidRPr="00D53761">
              <w:rPr>
                <w:rFonts w:ascii="Open Sans" w:eastAsia="Times New Roman" w:hAnsi="Open Sans" w:cs="Open Sans"/>
                <w:i/>
                <w:sz w:val="18"/>
                <w:szCs w:val="18"/>
              </w:rPr>
              <w:t>(optional)</w:t>
            </w:r>
          </w:p>
          <w:p w14:paraId="4A76653C" w14:textId="77777777" w:rsidR="00911CDD" w:rsidRPr="00D53761" w:rsidRDefault="00911CDD" w:rsidP="00911CDD">
            <w:pPr>
              <w:rPr>
                <w:rFonts w:ascii="Open Sans" w:eastAsia="Times New Roman" w:hAnsi="Open Sans" w:cs="Open Sans"/>
                <w:sz w:val="18"/>
                <w:szCs w:val="18"/>
              </w:rPr>
            </w:pPr>
          </w:p>
          <w:p w14:paraId="3B168F61" w14:textId="77777777" w:rsidR="00911CDD" w:rsidRPr="00D53761" w:rsidRDefault="00911CDD" w:rsidP="00911CDD">
            <w:pPr>
              <w:rPr>
                <w:rFonts w:ascii="Open Sans" w:eastAsia="Times New Roman" w:hAnsi="Open Sans" w:cs="Open Sans"/>
                <w:sz w:val="18"/>
                <w:szCs w:val="18"/>
              </w:rPr>
            </w:pPr>
            <w:r w:rsidRPr="00D53761">
              <w:rPr>
                <w:rFonts w:ascii="Open Sans" w:eastAsia="Times New Roman" w:hAnsi="Open Sans" w:cs="Open Sans"/>
                <w:sz w:val="18"/>
                <w:szCs w:val="18"/>
              </w:rPr>
              <w:t>Section III allows reviewers to capture qualitative observations on an additional area of focus, if presented in the materials.</w:t>
            </w:r>
          </w:p>
          <w:p w14:paraId="6B875B3F" w14:textId="77777777" w:rsidR="00911CDD" w:rsidRPr="00D53761" w:rsidRDefault="00911CDD" w:rsidP="00911CDD">
            <w:pPr>
              <w:rPr>
                <w:rFonts w:ascii="Open Sans" w:eastAsia="Times New Roman" w:hAnsi="Open Sans" w:cs="Open Sans"/>
                <w:sz w:val="18"/>
                <w:szCs w:val="18"/>
              </w:rPr>
            </w:pPr>
          </w:p>
        </w:tc>
      </w:tr>
    </w:tbl>
    <w:p w14:paraId="038A711D" w14:textId="77777777" w:rsidR="00D53761" w:rsidRPr="00D53761" w:rsidRDefault="00D53761" w:rsidP="00D53761">
      <w:pPr>
        <w:rPr>
          <w:rFonts w:ascii="Open Sans" w:hAnsi="Open Sans" w:cs="Open Sans"/>
          <w:sz w:val="20"/>
          <w:szCs w:val="20"/>
        </w:rPr>
      </w:pPr>
    </w:p>
    <w:p w14:paraId="712207DA" w14:textId="77777777" w:rsidR="00D53761" w:rsidRPr="00D53761" w:rsidRDefault="00D53761" w:rsidP="00D53761">
      <w:pPr>
        <w:rPr>
          <w:rFonts w:ascii="Open Sans" w:hAnsi="Open Sans" w:cs="Open Sans"/>
          <w:sz w:val="20"/>
          <w:szCs w:val="20"/>
        </w:rPr>
      </w:pPr>
    </w:p>
    <w:p w14:paraId="41941761" w14:textId="77777777" w:rsidR="00D53761" w:rsidRPr="00D53761" w:rsidRDefault="00D53761" w:rsidP="00D53761">
      <w:pPr>
        <w:spacing w:after="0"/>
        <w:rPr>
          <w:rFonts w:ascii="Open Sans" w:hAnsi="Open Sans" w:cs="Open Sans"/>
          <w:sz w:val="20"/>
          <w:szCs w:val="20"/>
        </w:rPr>
      </w:pPr>
    </w:p>
    <w:tbl>
      <w:tblPr>
        <w:tblStyle w:val="TableGrid"/>
        <w:tblpPr w:leftFromText="180" w:rightFromText="180" w:vertAnchor="text" w:horzAnchor="margin" w:tblpXSpec="center" w:tblpY="-412"/>
        <w:tblW w:w="14109" w:type="dxa"/>
        <w:tblLook w:val="04A0" w:firstRow="1" w:lastRow="0" w:firstColumn="1" w:lastColumn="0" w:noHBand="0" w:noVBand="1"/>
      </w:tblPr>
      <w:tblGrid>
        <w:gridCol w:w="10548"/>
        <w:gridCol w:w="3561"/>
      </w:tblGrid>
      <w:tr w:rsidR="00981326" w:rsidRPr="00D53761" w14:paraId="2727C77D" w14:textId="77777777" w:rsidTr="00981326">
        <w:trPr>
          <w:trHeight w:val="267"/>
        </w:trPr>
        <w:tc>
          <w:tcPr>
            <w:tcW w:w="14109" w:type="dxa"/>
            <w:gridSpan w:val="2"/>
            <w:shd w:val="clear" w:color="auto" w:fill="F2F2F2" w:themeFill="background1" w:themeFillShade="F2"/>
          </w:tcPr>
          <w:p w14:paraId="6951AE57" w14:textId="77777777"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lastRenderedPageBreak/>
              <w:t>SECTION I(1):</w:t>
            </w:r>
          </w:p>
          <w:p w14:paraId="7D9A3218" w14:textId="77777777" w:rsidR="00981326" w:rsidRPr="00D53761" w:rsidRDefault="00981326" w:rsidP="00981326">
            <w:pPr>
              <w:rPr>
                <w:rFonts w:ascii="Open Sans" w:eastAsia="Times New Roman" w:hAnsi="Open Sans" w:cs="Open Sans"/>
                <w:b/>
                <w:sz w:val="20"/>
                <w:szCs w:val="20"/>
                <w:u w:val="single"/>
              </w:rPr>
            </w:pPr>
            <w:r w:rsidRPr="00D53761">
              <w:rPr>
                <w:rFonts w:ascii="Open Sans" w:eastAsia="Times New Roman" w:hAnsi="Open Sans" w:cs="Open Sans"/>
                <w:b/>
                <w:sz w:val="20"/>
                <w:szCs w:val="20"/>
                <w:u w:val="single"/>
              </w:rPr>
              <w:t>FOCUS:</w:t>
            </w:r>
          </w:p>
          <w:p w14:paraId="1F80B18A" w14:textId="77777777" w:rsidR="00981326" w:rsidRPr="00D53761" w:rsidRDefault="00981326" w:rsidP="00981326">
            <w:pPr>
              <w:rPr>
                <w:rFonts w:ascii="Open Sans" w:eastAsia="Times New Roman" w:hAnsi="Open Sans" w:cs="Open Sans"/>
                <w:sz w:val="20"/>
                <w:szCs w:val="20"/>
              </w:rPr>
            </w:pPr>
            <w:r w:rsidRPr="00D53761">
              <w:rPr>
                <w:rFonts w:ascii="Open Sans" w:eastAsia="Times New Roman" w:hAnsi="Open Sans" w:cs="Open Sans"/>
                <w:b/>
                <w:sz w:val="20"/>
                <w:szCs w:val="20"/>
              </w:rPr>
              <w:t>Students and teachers using the materials as designed devote the majority of time in each level to the course standards.*</w:t>
            </w:r>
          </w:p>
        </w:tc>
      </w:tr>
      <w:tr w:rsidR="00981326" w:rsidRPr="00D53761" w14:paraId="359B250F" w14:textId="77777777" w:rsidTr="00981326">
        <w:trPr>
          <w:trHeight w:val="267"/>
        </w:trPr>
        <w:tc>
          <w:tcPr>
            <w:tcW w:w="14109" w:type="dxa"/>
            <w:gridSpan w:val="2"/>
            <w:shd w:val="clear" w:color="auto" w:fill="F2F2F2" w:themeFill="background1" w:themeFillShade="F2"/>
          </w:tcPr>
          <w:p w14:paraId="3C1CBD68" w14:textId="77777777"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METRICS:</w:t>
            </w:r>
          </w:p>
        </w:tc>
      </w:tr>
      <w:tr w:rsidR="00981326" w:rsidRPr="00D53761" w14:paraId="3630C91A" w14:textId="77777777" w:rsidTr="00981326">
        <w:trPr>
          <w:trHeight w:val="4153"/>
        </w:trPr>
        <w:tc>
          <w:tcPr>
            <w:tcW w:w="14109" w:type="dxa"/>
            <w:gridSpan w:val="2"/>
          </w:tcPr>
          <w:tbl>
            <w:tblPr>
              <w:tblStyle w:val="TableGrid1"/>
              <w:tblpPr w:leftFromText="180" w:rightFromText="180" w:vertAnchor="page" w:horzAnchor="margin" w:tblpY="134"/>
              <w:tblOverlap w:val="never"/>
              <w:tblW w:w="4992" w:type="pct"/>
              <w:tblLook w:val="04A0" w:firstRow="1" w:lastRow="0" w:firstColumn="1" w:lastColumn="0" w:noHBand="0" w:noVBand="1"/>
            </w:tblPr>
            <w:tblGrid>
              <w:gridCol w:w="10407"/>
              <w:gridCol w:w="1738"/>
              <w:gridCol w:w="1716"/>
            </w:tblGrid>
            <w:tr w:rsidR="00981326" w:rsidRPr="00D53761" w14:paraId="628708C2" w14:textId="77777777" w:rsidTr="007E6B27">
              <w:trPr>
                <w:trHeight w:val="1007"/>
              </w:trPr>
              <w:tc>
                <w:tcPr>
                  <w:tcW w:w="3754" w:type="pct"/>
                  <w:shd w:val="clear" w:color="auto" w:fill="F2F2F2" w:themeFill="background1" w:themeFillShade="F2"/>
                  <w:vAlign w:val="center"/>
                </w:tcPr>
                <w:p w14:paraId="1BE987F8" w14:textId="77777777" w:rsidR="00981326" w:rsidRPr="00D53761" w:rsidRDefault="00981326" w:rsidP="0043492C">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In any single course level, materials are designed where there is 80%** ali</w:t>
                  </w:r>
                  <w:r w:rsidR="0043492C">
                    <w:rPr>
                      <w:rFonts w:ascii="Open Sans" w:hAnsi="Open Sans" w:cs="Open Sans"/>
                      <w:sz w:val="20"/>
                      <w:szCs w:val="20"/>
                    </w:rPr>
                    <w:t>gnment to the course standards</w:t>
                  </w:r>
                  <w:r w:rsidRPr="00D53761">
                    <w:rPr>
                      <w:rFonts w:ascii="Open Sans" w:hAnsi="Open Sans" w:cs="Open Sans"/>
                      <w:sz w:val="20"/>
                      <w:szCs w:val="20"/>
                    </w:rPr>
                    <w:t>.</w:t>
                  </w:r>
                </w:p>
              </w:tc>
              <w:tc>
                <w:tcPr>
                  <w:tcW w:w="627" w:type="pct"/>
                  <w:shd w:val="clear" w:color="auto" w:fill="F2F2F2" w:themeFill="background1" w:themeFillShade="F2"/>
                  <w:vAlign w:val="center"/>
                </w:tcPr>
                <w:p w14:paraId="6911EE90" w14:textId="67A1AD5A" w:rsidR="00981326" w:rsidRPr="00D53761" w:rsidRDefault="008B1DCC" w:rsidP="00981326">
                  <w:pPr>
                    <w:jc w:val="center"/>
                    <w:rPr>
                      <w:rFonts w:ascii="Open Sans" w:hAnsi="Open Sans" w:cs="Open Sans"/>
                      <w:b/>
                      <w:sz w:val="20"/>
                      <w:szCs w:val="20"/>
                    </w:rPr>
                  </w:pPr>
                  <w:r>
                    <w:rPr>
                      <w:rFonts w:ascii="Open Sans" w:hAnsi="Open Sans" w:cs="Open Sans"/>
                      <w:b/>
                      <w:sz w:val="20"/>
                      <w:szCs w:val="20"/>
                    </w:rPr>
                    <w:t>Yes xxx</w:t>
                  </w:r>
                </w:p>
              </w:tc>
              <w:tc>
                <w:tcPr>
                  <w:tcW w:w="619" w:type="pct"/>
                  <w:shd w:val="clear" w:color="auto" w:fill="F2F2F2" w:themeFill="background1" w:themeFillShade="F2"/>
                  <w:vAlign w:val="center"/>
                </w:tcPr>
                <w:p w14:paraId="6FF9F05D" w14:textId="77777777"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___</w:t>
                  </w:r>
                  <w:r w:rsidR="00D11A14">
                    <w:rPr>
                      <w:rFonts w:ascii="Open Sans" w:hAnsi="Open Sans" w:cs="Open Sans"/>
                      <w:b/>
                      <w:sz w:val="20"/>
                      <w:szCs w:val="20"/>
                    </w:rPr>
                    <w:t>_</w:t>
                  </w:r>
                  <w:r w:rsidRPr="00D53761">
                    <w:rPr>
                      <w:rFonts w:ascii="Open Sans" w:hAnsi="Open Sans" w:cs="Open Sans"/>
                      <w:b/>
                      <w:sz w:val="20"/>
                      <w:szCs w:val="20"/>
                    </w:rPr>
                    <w:t>__</w:t>
                  </w:r>
                </w:p>
              </w:tc>
            </w:tr>
            <w:tr w:rsidR="00981326" w:rsidRPr="00D53761" w14:paraId="212BBB11" w14:textId="77777777" w:rsidTr="007E6B27">
              <w:trPr>
                <w:trHeight w:val="962"/>
              </w:trPr>
              <w:tc>
                <w:tcPr>
                  <w:tcW w:w="3754" w:type="pct"/>
                  <w:shd w:val="clear" w:color="auto" w:fill="F2F2F2" w:themeFill="background1" w:themeFillShade="F2"/>
                  <w:vAlign w:val="center"/>
                </w:tcPr>
                <w:p w14:paraId="7167E6BF" w14:textId="77777777"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All materials are appropriate for the designated course level, both in terms of content and in terms of language. For materials spanning multiple course levels and/or grade bands, content is presented at the appropriate grain size (i.e., level of detail) commensurate to expectations in the standard.</w:t>
                  </w:r>
                </w:p>
              </w:tc>
              <w:tc>
                <w:tcPr>
                  <w:tcW w:w="627" w:type="pct"/>
                  <w:shd w:val="clear" w:color="auto" w:fill="F2F2F2" w:themeFill="background1" w:themeFillShade="F2"/>
                  <w:vAlign w:val="center"/>
                </w:tcPr>
                <w:p w14:paraId="3A0C1949" w14:textId="40270546" w:rsidR="00981326" w:rsidRPr="00D53761" w:rsidRDefault="008B1DCC" w:rsidP="00D11A14">
                  <w:pPr>
                    <w:keepNext/>
                    <w:jc w:val="center"/>
                    <w:outlineLvl w:val="0"/>
                    <w:rPr>
                      <w:rFonts w:ascii="Open Sans" w:hAnsi="Open Sans" w:cs="Open Sans"/>
                      <w:b/>
                      <w:sz w:val="20"/>
                      <w:szCs w:val="20"/>
                    </w:rPr>
                  </w:pPr>
                  <w:r>
                    <w:rPr>
                      <w:rFonts w:ascii="Open Sans" w:hAnsi="Open Sans" w:cs="Open Sans"/>
                      <w:b/>
                      <w:sz w:val="20"/>
                      <w:szCs w:val="20"/>
                    </w:rPr>
                    <w:t>Yes xxx</w:t>
                  </w:r>
                </w:p>
              </w:tc>
              <w:tc>
                <w:tcPr>
                  <w:tcW w:w="619" w:type="pct"/>
                  <w:shd w:val="clear" w:color="auto" w:fill="F2F2F2" w:themeFill="background1" w:themeFillShade="F2"/>
                  <w:vAlign w:val="center"/>
                </w:tcPr>
                <w:p w14:paraId="7D32CE92" w14:textId="77777777"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14:paraId="7B226289" w14:textId="77777777" w:rsidTr="007E6B27">
              <w:trPr>
                <w:trHeight w:val="962"/>
              </w:trPr>
              <w:tc>
                <w:tcPr>
                  <w:tcW w:w="3754" w:type="pct"/>
                  <w:shd w:val="clear" w:color="auto" w:fill="F2F2F2" w:themeFill="background1" w:themeFillShade="F2"/>
                  <w:vAlign w:val="center"/>
                </w:tcPr>
                <w:p w14:paraId="25B430C0" w14:textId="77777777"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 xml:space="preserve">Materials focus equally on the </w:t>
                  </w:r>
                  <w:r w:rsidRPr="00D53761">
                    <w:rPr>
                      <w:rFonts w:ascii="Open Sans" w:hAnsi="Open Sans" w:cs="Open Sans"/>
                      <w:i/>
                      <w:sz w:val="20"/>
                      <w:szCs w:val="20"/>
                    </w:rPr>
                    <w:t>conceptual knowledge</w:t>
                  </w:r>
                  <w:r w:rsidRPr="00D53761">
                    <w:rPr>
                      <w:rFonts w:ascii="Open Sans" w:hAnsi="Open Sans" w:cs="Open Sans"/>
                      <w:sz w:val="20"/>
                      <w:szCs w:val="20"/>
                    </w:rPr>
                    <w:t xml:space="preserve"> as well as the </w:t>
                  </w:r>
                  <w:r w:rsidRPr="00D53761">
                    <w:rPr>
                      <w:rFonts w:ascii="Open Sans" w:hAnsi="Open Sans" w:cs="Open Sans"/>
                      <w:i/>
                      <w:sz w:val="20"/>
                      <w:szCs w:val="20"/>
                    </w:rPr>
                    <w:t>technical skill</w:t>
                  </w:r>
                  <w:r w:rsidRPr="00D53761">
                    <w:rPr>
                      <w:rFonts w:ascii="Open Sans" w:hAnsi="Open Sans" w:cs="Open Sans"/>
                      <w:sz w:val="20"/>
                      <w:szCs w:val="20"/>
                    </w:rPr>
                    <w:t xml:space="preserve"> outlined in the standards.</w:t>
                  </w:r>
                </w:p>
              </w:tc>
              <w:tc>
                <w:tcPr>
                  <w:tcW w:w="627" w:type="pct"/>
                  <w:shd w:val="clear" w:color="auto" w:fill="F2F2F2" w:themeFill="background1" w:themeFillShade="F2"/>
                  <w:vAlign w:val="center"/>
                </w:tcPr>
                <w:p w14:paraId="0CBF0AB9" w14:textId="0FBEAA88" w:rsidR="00981326" w:rsidRPr="00D53761" w:rsidRDefault="008B1DCC" w:rsidP="00642569">
                  <w:pPr>
                    <w:keepNext/>
                    <w:jc w:val="center"/>
                    <w:outlineLvl w:val="0"/>
                    <w:rPr>
                      <w:rFonts w:ascii="Open Sans" w:hAnsi="Open Sans" w:cs="Open Sans"/>
                      <w:b/>
                      <w:sz w:val="20"/>
                      <w:szCs w:val="20"/>
                    </w:rPr>
                  </w:pPr>
                  <w:r>
                    <w:rPr>
                      <w:rFonts w:ascii="Open Sans" w:hAnsi="Open Sans" w:cs="Open Sans"/>
                      <w:b/>
                      <w:sz w:val="20"/>
                      <w:szCs w:val="20"/>
                    </w:rPr>
                    <w:t>Yes xxx</w:t>
                  </w:r>
                </w:p>
              </w:tc>
              <w:tc>
                <w:tcPr>
                  <w:tcW w:w="619" w:type="pct"/>
                  <w:shd w:val="clear" w:color="auto" w:fill="F2F2F2" w:themeFill="background1" w:themeFillShade="F2"/>
                  <w:vAlign w:val="center"/>
                </w:tcPr>
                <w:p w14:paraId="180B0DF0" w14:textId="77777777"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w:t>
                  </w:r>
                  <w:r w:rsidR="00D11A14">
                    <w:rPr>
                      <w:rFonts w:ascii="Open Sans" w:hAnsi="Open Sans" w:cs="Open Sans"/>
                      <w:b/>
                      <w:sz w:val="20"/>
                      <w:szCs w:val="20"/>
                    </w:rPr>
                    <w:t>_</w:t>
                  </w:r>
                  <w:r w:rsidRPr="00D53761">
                    <w:rPr>
                      <w:rFonts w:ascii="Open Sans" w:hAnsi="Open Sans" w:cs="Open Sans"/>
                      <w:b/>
                      <w:sz w:val="20"/>
                      <w:szCs w:val="20"/>
                    </w:rPr>
                    <w:t>___</w:t>
                  </w:r>
                </w:p>
              </w:tc>
            </w:tr>
            <w:tr w:rsidR="00981326" w:rsidRPr="00D53761" w14:paraId="429DBDB7" w14:textId="77777777" w:rsidTr="007E6B27">
              <w:trPr>
                <w:trHeight w:val="890"/>
              </w:trPr>
              <w:tc>
                <w:tcPr>
                  <w:tcW w:w="3754" w:type="pct"/>
                  <w:shd w:val="clear" w:color="auto" w:fill="F2F2F2" w:themeFill="background1" w:themeFillShade="F2"/>
                  <w:vAlign w:val="center"/>
                </w:tcPr>
                <w:p w14:paraId="712B245E" w14:textId="77777777" w:rsidR="00981326" w:rsidRPr="00D53761" w:rsidRDefault="00981326" w:rsidP="00981326">
                  <w:pPr>
                    <w:numPr>
                      <w:ilvl w:val="0"/>
                      <w:numId w:val="2"/>
                    </w:numPr>
                    <w:ind w:left="499" w:hanging="450"/>
                    <w:contextualSpacing/>
                    <w:rPr>
                      <w:rFonts w:ascii="Open Sans" w:hAnsi="Open Sans" w:cs="Open Sans"/>
                      <w:sz w:val="20"/>
                      <w:szCs w:val="20"/>
                    </w:rPr>
                  </w:pPr>
                  <w:r w:rsidRPr="00D53761">
                    <w:rPr>
                      <w:rFonts w:ascii="Open Sans" w:hAnsi="Open Sans" w:cs="Open Sans"/>
                      <w:sz w:val="20"/>
                      <w:szCs w:val="20"/>
                    </w:rPr>
                    <w:t>Topics do not deviate from the content outlined in the course standards. Topics may go “above and beyond” stated learning expectations, but not in a manner that distracts from the focus on specific knowledge and skills as determined by the standards.</w:t>
                  </w:r>
                </w:p>
              </w:tc>
              <w:tc>
                <w:tcPr>
                  <w:tcW w:w="627" w:type="pct"/>
                  <w:shd w:val="clear" w:color="auto" w:fill="F2F2F2" w:themeFill="background1" w:themeFillShade="F2"/>
                  <w:vAlign w:val="center"/>
                </w:tcPr>
                <w:p w14:paraId="1F1F1B11" w14:textId="36FE57CE" w:rsidR="00981326" w:rsidRPr="00D53761" w:rsidRDefault="008B1DCC" w:rsidP="00981326">
                  <w:pPr>
                    <w:keepNext/>
                    <w:jc w:val="center"/>
                    <w:outlineLvl w:val="0"/>
                    <w:rPr>
                      <w:rFonts w:ascii="Open Sans" w:hAnsi="Open Sans" w:cs="Open Sans"/>
                      <w:b/>
                      <w:sz w:val="20"/>
                      <w:szCs w:val="20"/>
                    </w:rPr>
                  </w:pPr>
                  <w:r>
                    <w:rPr>
                      <w:rFonts w:ascii="Open Sans" w:hAnsi="Open Sans" w:cs="Open Sans"/>
                      <w:b/>
                      <w:sz w:val="20"/>
                      <w:szCs w:val="20"/>
                    </w:rPr>
                    <w:t>Yes xxx</w:t>
                  </w:r>
                </w:p>
              </w:tc>
              <w:tc>
                <w:tcPr>
                  <w:tcW w:w="619" w:type="pct"/>
                  <w:shd w:val="clear" w:color="auto" w:fill="F2F2F2" w:themeFill="background1" w:themeFillShade="F2"/>
                  <w:vAlign w:val="center"/>
                </w:tcPr>
                <w:p w14:paraId="075E2AD4" w14:textId="77777777" w:rsidR="00981326" w:rsidRPr="00D53761" w:rsidRDefault="00981326" w:rsidP="00D11A14">
                  <w:pPr>
                    <w:jc w:val="center"/>
                    <w:rPr>
                      <w:rFonts w:ascii="Open Sans" w:hAnsi="Open Sans" w:cs="Open Sans"/>
                      <w:b/>
                      <w:sz w:val="20"/>
                      <w:szCs w:val="20"/>
                    </w:rPr>
                  </w:pPr>
                  <w:r w:rsidRPr="00D53761">
                    <w:rPr>
                      <w:rFonts w:ascii="Open Sans" w:hAnsi="Open Sans" w:cs="Open Sans"/>
                      <w:b/>
                      <w:sz w:val="20"/>
                      <w:szCs w:val="20"/>
                    </w:rPr>
                    <w:t>No __</w:t>
                  </w:r>
                  <w:r w:rsidR="00D11A14">
                    <w:rPr>
                      <w:rFonts w:ascii="Open Sans" w:hAnsi="Open Sans" w:cs="Open Sans"/>
                      <w:b/>
                      <w:sz w:val="20"/>
                      <w:szCs w:val="20"/>
                    </w:rPr>
                    <w:t>_</w:t>
                  </w:r>
                  <w:r w:rsidRPr="00D53761">
                    <w:rPr>
                      <w:rFonts w:ascii="Open Sans" w:hAnsi="Open Sans" w:cs="Open Sans"/>
                      <w:b/>
                      <w:sz w:val="20"/>
                      <w:szCs w:val="20"/>
                    </w:rPr>
                    <w:t>__</w:t>
                  </w:r>
                </w:p>
              </w:tc>
            </w:tr>
          </w:tbl>
          <w:p w14:paraId="3883DFE3" w14:textId="77777777" w:rsidR="00981326" w:rsidRPr="00D53761" w:rsidRDefault="00981326" w:rsidP="00981326">
            <w:pPr>
              <w:tabs>
                <w:tab w:val="left" w:pos="1065"/>
              </w:tabs>
              <w:rPr>
                <w:rFonts w:ascii="Open Sans" w:hAnsi="Open Sans" w:cs="Open Sans"/>
                <w:sz w:val="20"/>
                <w:szCs w:val="20"/>
              </w:rPr>
            </w:pPr>
          </w:p>
        </w:tc>
      </w:tr>
      <w:tr w:rsidR="00981326" w:rsidRPr="00D53761" w14:paraId="4CB2E544" w14:textId="77777777" w:rsidTr="00981326">
        <w:trPr>
          <w:trHeight w:val="1075"/>
        </w:trPr>
        <w:tc>
          <w:tcPr>
            <w:tcW w:w="10548" w:type="dxa"/>
            <w:shd w:val="clear" w:color="auto" w:fill="F2F2F2" w:themeFill="background1" w:themeFillShade="F2"/>
            <w:vAlign w:val="center"/>
          </w:tcPr>
          <w:p w14:paraId="089FC8C9" w14:textId="77777777" w:rsidR="00981326" w:rsidRPr="00D53761" w:rsidRDefault="00981326" w:rsidP="00981326">
            <w:pPr>
              <w:rPr>
                <w:rFonts w:ascii="Open Sans" w:eastAsia="Times New Roman" w:hAnsi="Open Sans" w:cs="Open Sans"/>
                <w:b/>
                <w:sz w:val="20"/>
                <w:szCs w:val="20"/>
              </w:rPr>
            </w:pPr>
            <w:r w:rsidRPr="00D53761">
              <w:rPr>
                <w:rFonts w:ascii="Open Sans" w:eastAsia="Times New Roman" w:hAnsi="Open Sans" w:cs="Open Sans"/>
                <w:b/>
                <w:sz w:val="20"/>
                <w:szCs w:val="20"/>
              </w:rPr>
              <w:t>To be aligned to the Tennessee Standards, materials for each level must attend to all four indicators of Focus. All four indicators must be marked Yes.</w:t>
            </w:r>
          </w:p>
        </w:tc>
        <w:tc>
          <w:tcPr>
            <w:tcW w:w="3561" w:type="dxa"/>
            <w:shd w:val="clear" w:color="auto" w:fill="F2F2F2" w:themeFill="background1" w:themeFillShade="F2"/>
            <w:vAlign w:val="center"/>
          </w:tcPr>
          <w:p w14:paraId="74E66E6E" w14:textId="77777777"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Meet?</w:t>
            </w:r>
          </w:p>
          <w:p w14:paraId="472760A1" w14:textId="150C512C" w:rsidR="00981326" w:rsidRPr="00D53761" w:rsidRDefault="008B1DCC" w:rsidP="00D11A14">
            <w:pPr>
              <w:keepNext/>
              <w:jc w:val="center"/>
              <w:outlineLvl w:val="0"/>
              <w:rPr>
                <w:rFonts w:ascii="Open Sans" w:hAnsi="Open Sans" w:cs="Open Sans"/>
                <w:b/>
                <w:sz w:val="20"/>
                <w:szCs w:val="20"/>
              </w:rPr>
            </w:pPr>
            <w:r>
              <w:rPr>
                <w:rFonts w:ascii="Open Sans" w:hAnsi="Open Sans" w:cs="Open Sans"/>
                <w:b/>
                <w:sz w:val="20"/>
                <w:szCs w:val="20"/>
              </w:rPr>
              <w:t>Yes xxx</w:t>
            </w:r>
            <w:r w:rsidR="00981326" w:rsidRPr="00D53761">
              <w:rPr>
                <w:rFonts w:ascii="Open Sans" w:hAnsi="Open Sans" w:cs="Open Sans"/>
                <w:b/>
                <w:sz w:val="20"/>
                <w:szCs w:val="20"/>
              </w:rPr>
              <w:t xml:space="preserve">    No __</w:t>
            </w:r>
            <w:r w:rsidR="00D11A14">
              <w:rPr>
                <w:rFonts w:ascii="Open Sans" w:hAnsi="Open Sans" w:cs="Open Sans"/>
                <w:b/>
                <w:sz w:val="20"/>
                <w:szCs w:val="20"/>
              </w:rPr>
              <w:t>_</w:t>
            </w:r>
            <w:r w:rsidR="00981326" w:rsidRPr="00D53761">
              <w:rPr>
                <w:rFonts w:ascii="Open Sans" w:hAnsi="Open Sans" w:cs="Open Sans"/>
                <w:b/>
                <w:sz w:val="20"/>
                <w:szCs w:val="20"/>
              </w:rPr>
              <w:t>__</w:t>
            </w:r>
          </w:p>
        </w:tc>
      </w:tr>
      <w:tr w:rsidR="00981326" w:rsidRPr="00D53761" w14:paraId="506B2D26" w14:textId="77777777" w:rsidTr="00981326">
        <w:trPr>
          <w:trHeight w:val="1612"/>
        </w:trPr>
        <w:tc>
          <w:tcPr>
            <w:tcW w:w="14109" w:type="dxa"/>
            <w:gridSpan w:val="2"/>
          </w:tcPr>
          <w:p w14:paraId="0612474F" w14:textId="77777777" w:rsidR="00981326" w:rsidRDefault="00981326" w:rsidP="00981326">
            <w:pPr>
              <w:rPr>
                <w:rFonts w:ascii="Open Sans" w:hAnsi="Open Sans" w:cs="Open Sans"/>
                <w:b/>
                <w:sz w:val="20"/>
                <w:szCs w:val="20"/>
              </w:rPr>
            </w:pPr>
            <w:r w:rsidRPr="00D53761">
              <w:rPr>
                <w:rFonts w:ascii="Open Sans" w:hAnsi="Open Sans" w:cs="Open Sans"/>
                <w:b/>
                <w:sz w:val="20"/>
                <w:szCs w:val="20"/>
              </w:rPr>
              <w:t>Justification/Notes</w:t>
            </w:r>
          </w:p>
          <w:p w14:paraId="064660DE" w14:textId="77777777" w:rsidR="0011573F" w:rsidRDefault="0011573F" w:rsidP="00981326">
            <w:pPr>
              <w:rPr>
                <w:rFonts w:ascii="Open Sans" w:hAnsi="Open Sans" w:cs="Open Sans"/>
                <w:b/>
                <w:sz w:val="20"/>
                <w:szCs w:val="20"/>
              </w:rPr>
            </w:pPr>
          </w:p>
          <w:p w14:paraId="54FEDCD8" w14:textId="72BD2FE8" w:rsidR="0011573F" w:rsidRPr="00642569" w:rsidRDefault="0099343A" w:rsidP="00981326">
            <w:pPr>
              <w:rPr>
                <w:rFonts w:ascii="Open Sans" w:hAnsi="Open Sans" w:cs="Open Sans"/>
                <w:sz w:val="20"/>
                <w:szCs w:val="20"/>
              </w:rPr>
            </w:pPr>
            <w:r>
              <w:rPr>
                <w:rFonts w:ascii="Open Sans" w:hAnsi="Open Sans" w:cs="Open Sans"/>
                <w:sz w:val="20"/>
                <w:szCs w:val="20"/>
              </w:rPr>
              <w:t xml:space="preserve">This textbook does </w:t>
            </w:r>
            <w:r w:rsidR="00642569">
              <w:rPr>
                <w:rFonts w:ascii="Open Sans" w:hAnsi="Open Sans" w:cs="Open Sans"/>
                <w:sz w:val="20"/>
                <w:szCs w:val="20"/>
              </w:rPr>
              <w:t>meet the mandatory 80 percent alignment to course stan</w:t>
            </w:r>
            <w:r>
              <w:rPr>
                <w:rFonts w:ascii="Open Sans" w:hAnsi="Open Sans" w:cs="Open Sans"/>
                <w:sz w:val="20"/>
                <w:szCs w:val="20"/>
              </w:rPr>
              <w:t>dards in Personal Finance</w:t>
            </w:r>
            <w:r w:rsidR="00642569">
              <w:rPr>
                <w:rFonts w:ascii="Open Sans" w:hAnsi="Open Sans" w:cs="Open Sans"/>
                <w:sz w:val="20"/>
                <w:szCs w:val="20"/>
              </w:rPr>
              <w:t>.</w:t>
            </w:r>
          </w:p>
        </w:tc>
      </w:tr>
    </w:tbl>
    <w:p w14:paraId="3AAFED1C" w14:textId="77777777" w:rsidR="00D53761" w:rsidRPr="00D53761" w:rsidRDefault="00D53761" w:rsidP="00D53761">
      <w:pPr>
        <w:spacing w:after="0" w:line="240" w:lineRule="auto"/>
        <w:rPr>
          <w:rFonts w:ascii="Open Sans" w:eastAsia="Times New Roman" w:hAnsi="Open Sans" w:cs="Open Sans"/>
          <w:sz w:val="16"/>
          <w:szCs w:val="16"/>
        </w:rPr>
      </w:pPr>
      <w:r w:rsidRPr="00D53761">
        <w:rPr>
          <w:rFonts w:ascii="Open Sans" w:eastAsia="Times New Roman" w:hAnsi="Open Sans" w:cs="Open Sans"/>
          <w:sz w:val="16"/>
          <w:szCs w:val="16"/>
        </w:rPr>
        <w:t xml:space="preserve">*For the purposes of this document, Tennessee CTE students are considered to be enrolled in course “levels” (i.e., Level 1, Level 2, Level 3, and Level 4) due to variation in the </w:t>
      </w:r>
      <w:r w:rsidRPr="00D53761">
        <w:rPr>
          <w:rFonts w:ascii="Open Sans" w:eastAsia="Times New Roman" w:hAnsi="Open Sans" w:cs="Open Sans"/>
          <w:i/>
          <w:sz w:val="16"/>
          <w:szCs w:val="16"/>
        </w:rPr>
        <w:t xml:space="preserve">grade </w:t>
      </w:r>
      <w:r w:rsidRPr="00D53761">
        <w:rPr>
          <w:rFonts w:ascii="Open Sans" w:eastAsia="Times New Roman" w:hAnsi="Open Sans" w:cs="Open Sans"/>
          <w:sz w:val="16"/>
          <w:szCs w:val="16"/>
        </w:rPr>
        <w:t xml:space="preserve">level at which students may take a course. For example, a tenth-grade student may be enrolled in a Level 1 course. For this reason, reviewers are asked to evaluate materials on the basis of their alignment to particular </w:t>
      </w:r>
      <w:r w:rsidRPr="00D53761">
        <w:rPr>
          <w:rFonts w:ascii="Open Sans" w:eastAsia="Times New Roman" w:hAnsi="Open Sans" w:cs="Open Sans"/>
          <w:i/>
          <w:sz w:val="16"/>
          <w:szCs w:val="16"/>
        </w:rPr>
        <w:t>course levels</w:t>
      </w:r>
      <w:r w:rsidRPr="00D53761">
        <w:rPr>
          <w:rFonts w:ascii="Open Sans" w:eastAsia="Times New Roman" w:hAnsi="Open Sans" w:cs="Open Sans"/>
          <w:sz w:val="16"/>
          <w:szCs w:val="16"/>
        </w:rPr>
        <w:t xml:space="preserve">, not </w:t>
      </w:r>
      <w:r w:rsidRPr="00D53761">
        <w:rPr>
          <w:rFonts w:ascii="Open Sans" w:eastAsia="Times New Roman" w:hAnsi="Open Sans" w:cs="Open Sans"/>
          <w:i/>
          <w:sz w:val="16"/>
          <w:szCs w:val="16"/>
        </w:rPr>
        <w:t>grade</w:t>
      </w:r>
      <w:r w:rsidRPr="00D53761">
        <w:rPr>
          <w:rFonts w:ascii="Open Sans" w:eastAsia="Times New Roman" w:hAnsi="Open Sans" w:cs="Open Sans"/>
          <w:sz w:val="16"/>
          <w:szCs w:val="16"/>
        </w:rPr>
        <w:t xml:space="preserve"> </w:t>
      </w:r>
      <w:r w:rsidRPr="00D53761">
        <w:rPr>
          <w:rFonts w:ascii="Open Sans" w:eastAsia="Times New Roman" w:hAnsi="Open Sans" w:cs="Open Sans"/>
          <w:i/>
          <w:sz w:val="16"/>
          <w:szCs w:val="16"/>
        </w:rPr>
        <w:t>levels</w:t>
      </w:r>
      <w:r w:rsidRPr="00D53761">
        <w:rPr>
          <w:rFonts w:ascii="Open Sans" w:eastAsia="Times New Roman" w:hAnsi="Open Sans" w:cs="Open Sans"/>
          <w:sz w:val="16"/>
          <w:szCs w:val="16"/>
        </w:rPr>
        <w:t xml:space="preserve"> or </w:t>
      </w:r>
      <w:r w:rsidRPr="00D53761">
        <w:rPr>
          <w:rFonts w:ascii="Open Sans" w:eastAsia="Times New Roman" w:hAnsi="Open Sans" w:cs="Open Sans"/>
          <w:i/>
          <w:sz w:val="16"/>
          <w:szCs w:val="16"/>
        </w:rPr>
        <w:t>grade bands</w:t>
      </w:r>
      <w:r w:rsidRPr="00D53761">
        <w:rPr>
          <w:rFonts w:ascii="Open Sans" w:eastAsia="Times New Roman" w:hAnsi="Open Sans" w:cs="Open Sans"/>
          <w:sz w:val="16"/>
          <w:szCs w:val="16"/>
        </w:rPr>
        <w:t>.</w:t>
      </w:r>
    </w:p>
    <w:p w14:paraId="0A283101" w14:textId="77777777" w:rsidR="00D53761" w:rsidRDefault="00D53761" w:rsidP="00D53761">
      <w:pPr>
        <w:spacing w:after="0" w:line="240" w:lineRule="auto"/>
        <w:rPr>
          <w:rFonts w:ascii="Open Sans" w:eastAsia="Times New Roman" w:hAnsi="Open Sans" w:cs="Open Sans"/>
          <w:sz w:val="20"/>
          <w:szCs w:val="20"/>
        </w:rPr>
      </w:pPr>
      <w:r w:rsidRPr="00D53761">
        <w:rPr>
          <w:rFonts w:ascii="Open Sans" w:eastAsia="Times New Roman" w:hAnsi="Open Sans" w:cs="Open Sans"/>
          <w:color w:val="000000"/>
          <w:sz w:val="16"/>
          <w:szCs w:val="16"/>
        </w:rPr>
        <w:t>**</w:t>
      </w:r>
      <w:r w:rsidRPr="00D53761">
        <w:rPr>
          <w:rFonts w:ascii="Open Sans" w:eastAsia="Times New Roman" w:hAnsi="Open Sans" w:cs="Open Sans"/>
          <w:color w:val="000000"/>
          <w:sz w:val="16"/>
          <w:szCs w:val="16"/>
          <w:u w:val="single"/>
        </w:rPr>
        <w:t>This percentage is a guide. Reviewers should not attempt to compute percentages based on counting pages or counting lessons</w:t>
      </w:r>
      <w:r w:rsidRPr="00D53761">
        <w:rPr>
          <w:rFonts w:ascii="Open Sans" w:eastAsia="Times New Roman" w:hAnsi="Open Sans" w:cs="Open Sans"/>
          <w:color w:val="000000"/>
          <w:sz w:val="16"/>
          <w:szCs w:val="16"/>
        </w:rPr>
        <w:t>.</w:t>
      </w:r>
      <w:r w:rsidRPr="00D53761">
        <w:rPr>
          <w:rFonts w:ascii="Open Sans" w:eastAsia="Times New Roman" w:hAnsi="Open Sans" w:cs="Open Sans"/>
          <w:b/>
          <w:color w:val="000000"/>
          <w:sz w:val="16"/>
          <w:szCs w:val="16"/>
        </w:rPr>
        <w:t xml:space="preserve"> </w:t>
      </w:r>
      <w:r w:rsidRPr="00D53761">
        <w:rPr>
          <w:rFonts w:ascii="Open Sans" w:eastAsia="Times New Roman" w:hAnsi="Open Sans" w:cs="Open Sans"/>
          <w:color w:val="000000"/>
          <w:sz w:val="16"/>
          <w:szCs w:val="16"/>
        </w:rPr>
        <w:t xml:space="preserve">Reviewers </w:t>
      </w:r>
      <w:r w:rsidRPr="00D53761">
        <w:rPr>
          <w:rFonts w:ascii="Open Sans" w:eastAsia="Times New Roman" w:hAnsi="Open Sans" w:cs="Open Sans"/>
          <w:sz w:val="16"/>
          <w:szCs w:val="16"/>
        </w:rPr>
        <w:t>will use their professional judgment to determine how students are meant to spend their time to determine focus and provide evidence for their decision</w:t>
      </w:r>
      <w:r w:rsidRPr="00D53761">
        <w:rPr>
          <w:rFonts w:ascii="Open Sans" w:eastAsia="Times New Roman" w:hAnsi="Open Sans" w:cs="Open Sans"/>
          <w:sz w:val="20"/>
          <w:szCs w:val="20"/>
        </w:rPr>
        <w:t>.</w:t>
      </w:r>
    </w:p>
    <w:p w14:paraId="42ECA112" w14:textId="77777777" w:rsidR="005D7F02" w:rsidRDefault="005D7F02" w:rsidP="00D53761">
      <w:pPr>
        <w:spacing w:after="0" w:line="240" w:lineRule="auto"/>
        <w:rPr>
          <w:rFonts w:ascii="Open Sans" w:eastAsia="Times New Roman" w:hAnsi="Open Sans" w:cs="Open Sans"/>
          <w:sz w:val="20"/>
          <w:szCs w:val="20"/>
        </w:rPr>
      </w:pPr>
    </w:p>
    <w:p w14:paraId="0AEC01BD" w14:textId="77777777" w:rsidR="005D7F02" w:rsidRDefault="005D7F02" w:rsidP="00D53761">
      <w:pPr>
        <w:spacing w:after="0" w:line="240" w:lineRule="auto"/>
        <w:rPr>
          <w:rFonts w:ascii="Open Sans" w:eastAsia="Times New Roman" w:hAnsi="Open Sans" w:cs="Open Sans"/>
          <w:sz w:val="20"/>
          <w:szCs w:val="20"/>
        </w:rPr>
      </w:pPr>
    </w:p>
    <w:p w14:paraId="1B0B6D1B" w14:textId="77777777" w:rsidR="00F30CEA" w:rsidRDefault="00E442F2" w:rsidP="00D53761">
      <w:pPr>
        <w:spacing w:after="0" w:line="240" w:lineRule="auto"/>
        <w:rPr>
          <w:rFonts w:ascii="Open Sans" w:eastAsia="Times New Roman" w:hAnsi="Open Sans" w:cs="Open Sans"/>
          <w:sz w:val="20"/>
          <w:szCs w:val="20"/>
        </w:rPr>
      </w:pPr>
      <w:r>
        <w:rPr>
          <w:rFonts w:ascii="Open Sans" w:eastAsia="Times New Roman" w:hAnsi="Open Sans" w:cs="Open Sans"/>
          <w:b/>
          <w:sz w:val="18"/>
          <w:szCs w:val="18"/>
        </w:rPr>
        <w:lastRenderedPageBreak/>
        <w:t>PERSONAL FINANCE</w:t>
      </w:r>
      <w:r w:rsidR="00F30CEA" w:rsidRPr="00E70F53">
        <w:rPr>
          <w:rFonts w:ascii="Open Sans" w:eastAsia="Times New Roman" w:hAnsi="Open Sans" w:cs="Open Sans"/>
          <w:b/>
          <w:sz w:val="18"/>
          <w:szCs w:val="18"/>
        </w:rPr>
        <w:t xml:space="preserve"> (</w:t>
      </w:r>
      <w:r>
        <w:rPr>
          <w:rFonts w:ascii="Open Sans" w:eastAsia="Times New Roman" w:hAnsi="Open Sans" w:cs="Open Sans"/>
          <w:b/>
          <w:sz w:val="18"/>
          <w:szCs w:val="18"/>
        </w:rPr>
        <w:t>5901</w:t>
      </w:r>
      <w:r w:rsidR="00F30CEA" w:rsidRPr="00E70F53">
        <w:rPr>
          <w:rFonts w:ascii="Open Sans" w:eastAsia="Times New Roman" w:hAnsi="Open Sans" w:cs="Open Sans"/>
          <w:b/>
          <w:sz w:val="18"/>
          <w:szCs w:val="18"/>
        </w:rPr>
        <w:t>)</w:t>
      </w:r>
    </w:p>
    <w:tbl>
      <w:tblPr>
        <w:tblStyle w:val="TableGrid"/>
        <w:tblW w:w="0" w:type="auto"/>
        <w:tblLook w:val="04A0" w:firstRow="1" w:lastRow="0" w:firstColumn="1" w:lastColumn="0" w:noHBand="0" w:noVBand="1"/>
      </w:tblPr>
      <w:tblGrid>
        <w:gridCol w:w="7555"/>
        <w:gridCol w:w="630"/>
        <w:gridCol w:w="630"/>
        <w:gridCol w:w="4135"/>
      </w:tblGrid>
      <w:tr w:rsidR="005D7F02" w14:paraId="6AA83DCF" w14:textId="77777777" w:rsidTr="00F30CEA">
        <w:tc>
          <w:tcPr>
            <w:tcW w:w="12950" w:type="dxa"/>
            <w:gridSpan w:val="4"/>
            <w:shd w:val="clear" w:color="auto" w:fill="F2F2F2" w:themeFill="background1" w:themeFillShade="F2"/>
          </w:tcPr>
          <w:p w14:paraId="20655630" w14:textId="77777777" w:rsidR="005D7F02" w:rsidRPr="00F30CEA" w:rsidRDefault="005D7F02" w:rsidP="005D7F02">
            <w:pPr>
              <w:jc w:val="center"/>
              <w:rPr>
                <w:rFonts w:ascii="Open Sans" w:eastAsia="Times New Roman" w:hAnsi="Open Sans" w:cs="Open Sans"/>
                <w:b/>
                <w:sz w:val="20"/>
                <w:szCs w:val="20"/>
              </w:rPr>
            </w:pPr>
            <w:r w:rsidRPr="00F30CEA">
              <w:rPr>
                <w:rFonts w:ascii="Open Sans" w:eastAsia="Times New Roman" w:hAnsi="Open Sans" w:cs="Open Sans"/>
                <w:b/>
                <w:sz w:val="20"/>
                <w:szCs w:val="20"/>
              </w:rPr>
              <w:t>Evidence of 80% Alignment with Standards</w:t>
            </w:r>
          </w:p>
        </w:tc>
      </w:tr>
      <w:tr w:rsidR="005D7F02" w14:paraId="411ED2EC" w14:textId="77777777" w:rsidTr="00CF1BC0">
        <w:tc>
          <w:tcPr>
            <w:tcW w:w="7555" w:type="dxa"/>
            <w:shd w:val="clear" w:color="auto" w:fill="F2F2F2" w:themeFill="background1" w:themeFillShade="F2"/>
          </w:tcPr>
          <w:p w14:paraId="53582E40" w14:textId="77777777" w:rsidR="005D7F02" w:rsidRPr="00F30CEA" w:rsidRDefault="005D7F02" w:rsidP="00D53761">
            <w:pPr>
              <w:rPr>
                <w:rFonts w:ascii="Open Sans" w:eastAsia="Times New Roman" w:hAnsi="Open Sans" w:cs="Open Sans"/>
                <w:b/>
                <w:sz w:val="20"/>
                <w:szCs w:val="20"/>
              </w:rPr>
            </w:pPr>
            <w:r w:rsidRPr="00F30CEA">
              <w:rPr>
                <w:rFonts w:ascii="Open Sans" w:eastAsia="Times New Roman" w:hAnsi="Open Sans" w:cs="Open Sans"/>
                <w:b/>
                <w:sz w:val="20"/>
                <w:szCs w:val="20"/>
              </w:rPr>
              <w:t>Standard</w:t>
            </w:r>
          </w:p>
        </w:tc>
        <w:tc>
          <w:tcPr>
            <w:tcW w:w="630" w:type="dxa"/>
            <w:shd w:val="clear" w:color="auto" w:fill="F2F2F2" w:themeFill="background1" w:themeFillShade="F2"/>
          </w:tcPr>
          <w:p w14:paraId="78F33758" w14:textId="77777777" w:rsidR="005D7F02" w:rsidRPr="00F30CEA" w:rsidRDefault="00F30CEA" w:rsidP="00D53761">
            <w:pPr>
              <w:rPr>
                <w:rFonts w:ascii="Open Sans" w:eastAsia="Times New Roman" w:hAnsi="Open Sans" w:cs="Open Sans"/>
                <w:b/>
                <w:sz w:val="20"/>
                <w:szCs w:val="20"/>
              </w:rPr>
            </w:pPr>
            <w:r w:rsidRPr="00F30CEA">
              <w:rPr>
                <w:rFonts w:ascii="Open Sans" w:eastAsia="Times New Roman" w:hAnsi="Open Sans" w:cs="Open Sans"/>
                <w:b/>
                <w:sz w:val="20"/>
                <w:szCs w:val="20"/>
              </w:rPr>
              <w:t>Yes</w:t>
            </w:r>
          </w:p>
        </w:tc>
        <w:tc>
          <w:tcPr>
            <w:tcW w:w="630" w:type="dxa"/>
            <w:shd w:val="clear" w:color="auto" w:fill="F2F2F2" w:themeFill="background1" w:themeFillShade="F2"/>
          </w:tcPr>
          <w:p w14:paraId="259F32F7" w14:textId="77777777" w:rsidR="005D7F02" w:rsidRPr="00F30CEA" w:rsidRDefault="00F30CEA" w:rsidP="00D53761">
            <w:pPr>
              <w:rPr>
                <w:rFonts w:ascii="Open Sans" w:eastAsia="Times New Roman" w:hAnsi="Open Sans" w:cs="Open Sans"/>
                <w:b/>
                <w:sz w:val="20"/>
                <w:szCs w:val="20"/>
              </w:rPr>
            </w:pPr>
            <w:r w:rsidRPr="00F30CEA">
              <w:rPr>
                <w:rFonts w:ascii="Open Sans" w:eastAsia="Times New Roman" w:hAnsi="Open Sans" w:cs="Open Sans"/>
                <w:b/>
                <w:sz w:val="20"/>
                <w:szCs w:val="20"/>
              </w:rPr>
              <w:t>No</w:t>
            </w:r>
          </w:p>
        </w:tc>
        <w:tc>
          <w:tcPr>
            <w:tcW w:w="4135" w:type="dxa"/>
          </w:tcPr>
          <w:p w14:paraId="6772FB47" w14:textId="77777777" w:rsidR="005D7F02" w:rsidRDefault="00F30CEA" w:rsidP="00D53761">
            <w:pPr>
              <w:rPr>
                <w:rFonts w:ascii="Open Sans" w:eastAsia="Times New Roman" w:hAnsi="Open Sans" w:cs="Open Sans"/>
                <w:sz w:val="20"/>
                <w:szCs w:val="20"/>
              </w:rPr>
            </w:pPr>
            <w:r w:rsidRPr="00F30CEA">
              <w:rPr>
                <w:rFonts w:ascii="Open Sans" w:eastAsia="Times New Roman" w:hAnsi="Open Sans" w:cs="Open Sans"/>
                <w:b/>
                <w:sz w:val="20"/>
                <w:szCs w:val="20"/>
                <w:shd w:val="clear" w:color="auto" w:fill="F2F2F2" w:themeFill="background1" w:themeFillShade="F2"/>
              </w:rPr>
              <w:t>Evidence (e.g. page numbers and/or examples of inclusion</w:t>
            </w:r>
            <w:r>
              <w:rPr>
                <w:rFonts w:ascii="Open Sans" w:eastAsia="Times New Roman" w:hAnsi="Open Sans" w:cs="Open Sans"/>
                <w:sz w:val="20"/>
                <w:szCs w:val="20"/>
              </w:rPr>
              <w:t>)</w:t>
            </w:r>
          </w:p>
        </w:tc>
      </w:tr>
      <w:tr w:rsidR="005D7F02" w14:paraId="29C44C2D" w14:textId="77777777" w:rsidTr="00CF1BC0">
        <w:tc>
          <w:tcPr>
            <w:tcW w:w="7555" w:type="dxa"/>
          </w:tcPr>
          <w:p w14:paraId="568E7270" w14:textId="77777777" w:rsidR="005D7F02" w:rsidRPr="001B02DE" w:rsidRDefault="00E442F2" w:rsidP="001B02DE">
            <w:pPr>
              <w:pStyle w:val="ListParagraph"/>
              <w:numPr>
                <w:ilvl w:val="0"/>
                <w:numId w:val="13"/>
              </w:numPr>
              <w:rPr>
                <w:rFonts w:ascii="Open Sans" w:eastAsia="Times New Roman" w:hAnsi="Open Sans" w:cs="Open Sans"/>
                <w:sz w:val="20"/>
                <w:szCs w:val="20"/>
              </w:rPr>
            </w:pPr>
            <w:r>
              <w:t>Define the concept of personal finance and explain the importance of personal financial planning using information sources such as instructional materials, news articles, blogs from reputable sources, personal narratives, and industry publications.</w:t>
            </w:r>
          </w:p>
        </w:tc>
        <w:tc>
          <w:tcPr>
            <w:tcW w:w="630" w:type="dxa"/>
          </w:tcPr>
          <w:p w14:paraId="31C91033" w14:textId="1A170546" w:rsidR="005D7F02" w:rsidRDefault="0099343A" w:rsidP="00D53761">
            <w:pPr>
              <w:rPr>
                <w:rFonts w:ascii="Open Sans" w:eastAsia="Times New Roman" w:hAnsi="Open Sans" w:cs="Open Sans"/>
                <w:sz w:val="20"/>
                <w:szCs w:val="20"/>
              </w:rPr>
            </w:pPr>
            <w:r>
              <w:rPr>
                <w:rFonts w:ascii="Open Sans" w:eastAsia="Times New Roman" w:hAnsi="Open Sans" w:cs="Open Sans"/>
                <w:sz w:val="20"/>
                <w:szCs w:val="20"/>
              </w:rPr>
              <w:t>xxx</w:t>
            </w:r>
          </w:p>
        </w:tc>
        <w:tc>
          <w:tcPr>
            <w:tcW w:w="630" w:type="dxa"/>
          </w:tcPr>
          <w:p w14:paraId="097F4262" w14:textId="77777777" w:rsidR="005D7F02" w:rsidRDefault="005D7F02" w:rsidP="00D53761">
            <w:pPr>
              <w:rPr>
                <w:rFonts w:ascii="Open Sans" w:eastAsia="Times New Roman" w:hAnsi="Open Sans" w:cs="Open Sans"/>
                <w:sz w:val="20"/>
                <w:szCs w:val="20"/>
              </w:rPr>
            </w:pPr>
          </w:p>
        </w:tc>
        <w:tc>
          <w:tcPr>
            <w:tcW w:w="4135" w:type="dxa"/>
          </w:tcPr>
          <w:p w14:paraId="29A76FC4" w14:textId="716FDF6F" w:rsidR="00C45422" w:rsidRDefault="00C45422" w:rsidP="00D53761">
            <w:pPr>
              <w:rPr>
                <w:rFonts w:ascii="Open Sans" w:eastAsia="Times New Roman" w:hAnsi="Open Sans" w:cs="Open Sans"/>
                <w:sz w:val="20"/>
                <w:szCs w:val="20"/>
              </w:rPr>
            </w:pPr>
            <w:r>
              <w:rPr>
                <w:rFonts w:ascii="Open Sans" w:eastAsia="Times New Roman" w:hAnsi="Open Sans" w:cs="Open Sans"/>
                <w:sz w:val="20"/>
                <w:szCs w:val="20"/>
              </w:rPr>
              <w:t xml:space="preserve">PF </w:t>
            </w:r>
            <w:r w:rsidR="00192898">
              <w:rPr>
                <w:rFonts w:ascii="Open Sans" w:eastAsia="Times New Roman" w:hAnsi="Open Sans" w:cs="Open Sans"/>
                <w:sz w:val="20"/>
                <w:szCs w:val="20"/>
              </w:rPr>
              <w:t xml:space="preserve">is not specifically defined, but the </w:t>
            </w:r>
            <w:r>
              <w:rPr>
                <w:rFonts w:ascii="Open Sans" w:eastAsia="Times New Roman" w:hAnsi="Open Sans" w:cs="Open Sans"/>
                <w:sz w:val="20"/>
                <w:szCs w:val="20"/>
              </w:rPr>
              <w:t>definition and importance is stress throughout the different lessons.</w:t>
            </w:r>
          </w:p>
          <w:p w14:paraId="6BDB93D7" w14:textId="1A004F95" w:rsidR="00C45422" w:rsidRDefault="00C45422" w:rsidP="00D53761">
            <w:pPr>
              <w:rPr>
                <w:rFonts w:ascii="Open Sans" w:eastAsia="Times New Roman" w:hAnsi="Open Sans" w:cs="Open Sans"/>
                <w:sz w:val="20"/>
                <w:szCs w:val="20"/>
              </w:rPr>
            </w:pPr>
            <w:r>
              <w:rPr>
                <w:rFonts w:ascii="Open Sans" w:eastAsia="Times New Roman" w:hAnsi="Open Sans" w:cs="Open Sans"/>
                <w:sz w:val="20"/>
                <w:szCs w:val="20"/>
              </w:rPr>
              <w:t>PF Planning – all units</w:t>
            </w:r>
          </w:p>
          <w:p w14:paraId="34F3AA54" w14:textId="77777777" w:rsidR="005D7F02" w:rsidRDefault="00824923" w:rsidP="00824923">
            <w:pPr>
              <w:rPr>
                <w:rFonts w:ascii="Open Sans" w:eastAsia="Times New Roman" w:hAnsi="Open Sans" w:cs="Open Sans"/>
                <w:sz w:val="20"/>
                <w:szCs w:val="20"/>
              </w:rPr>
            </w:pPr>
            <w:r>
              <w:rPr>
                <w:rFonts w:ascii="Open Sans" w:eastAsia="Times New Roman" w:hAnsi="Open Sans" w:cs="Open Sans"/>
                <w:sz w:val="20"/>
                <w:szCs w:val="20"/>
              </w:rPr>
              <w:t>Projects – Money Mgmt Tools; Welcome to Life</w:t>
            </w:r>
          </w:p>
          <w:p w14:paraId="5227834E" w14:textId="77777777" w:rsidR="00824923" w:rsidRDefault="00824923" w:rsidP="00824923">
            <w:pPr>
              <w:rPr>
                <w:rFonts w:ascii="Open Sans" w:eastAsia="Times New Roman" w:hAnsi="Open Sans" w:cs="Open Sans"/>
                <w:sz w:val="20"/>
                <w:szCs w:val="20"/>
              </w:rPr>
            </w:pPr>
            <w:r>
              <w:rPr>
                <w:rFonts w:ascii="Open Sans" w:eastAsia="Times New Roman" w:hAnsi="Open Sans" w:cs="Open Sans"/>
                <w:sz w:val="20"/>
                <w:szCs w:val="20"/>
              </w:rPr>
              <w:t>Creating a Personal Budget – all units</w:t>
            </w:r>
          </w:p>
          <w:p w14:paraId="72225282" w14:textId="49D6D7F4" w:rsidR="00824923" w:rsidRDefault="00824923" w:rsidP="00824923">
            <w:pPr>
              <w:rPr>
                <w:rFonts w:ascii="Open Sans" w:eastAsia="Times New Roman" w:hAnsi="Open Sans" w:cs="Open Sans"/>
                <w:sz w:val="20"/>
                <w:szCs w:val="20"/>
              </w:rPr>
            </w:pPr>
          </w:p>
        </w:tc>
      </w:tr>
      <w:tr w:rsidR="005D7F02" w14:paraId="446560F0" w14:textId="77777777" w:rsidTr="00CF1BC0">
        <w:tc>
          <w:tcPr>
            <w:tcW w:w="7555" w:type="dxa"/>
          </w:tcPr>
          <w:p w14:paraId="6AAB1311" w14:textId="77777777" w:rsidR="005D7F02" w:rsidRPr="001B02DE" w:rsidRDefault="00E442F2" w:rsidP="001B02DE">
            <w:pPr>
              <w:pStyle w:val="ListParagraph"/>
              <w:numPr>
                <w:ilvl w:val="0"/>
                <w:numId w:val="13"/>
              </w:numPr>
              <w:rPr>
                <w:rFonts w:ascii="Open Sans" w:eastAsia="Times New Roman" w:hAnsi="Open Sans" w:cs="Open Sans"/>
                <w:sz w:val="20"/>
                <w:szCs w:val="20"/>
              </w:rPr>
            </w:pPr>
            <w:r>
              <w:t>Write long-term (over 5 years), mid-term (1 - 5 years), and short-term (a year or less) personal financial goals, defining desired education, career, and earning milestones and saving and spending plans. Evaluate factors that may influence the goals, including family responsibilities, individual values, and economic conditions.</w:t>
            </w:r>
          </w:p>
        </w:tc>
        <w:tc>
          <w:tcPr>
            <w:tcW w:w="630" w:type="dxa"/>
          </w:tcPr>
          <w:p w14:paraId="40076046" w14:textId="52C55184" w:rsidR="005D7F02" w:rsidRDefault="00C45422" w:rsidP="00D53761">
            <w:pPr>
              <w:rPr>
                <w:rFonts w:ascii="Open Sans" w:eastAsia="Times New Roman" w:hAnsi="Open Sans" w:cs="Open Sans"/>
                <w:sz w:val="20"/>
                <w:szCs w:val="20"/>
              </w:rPr>
            </w:pPr>
            <w:r>
              <w:rPr>
                <w:rFonts w:ascii="Open Sans" w:eastAsia="Times New Roman" w:hAnsi="Open Sans" w:cs="Open Sans"/>
                <w:sz w:val="20"/>
                <w:szCs w:val="20"/>
              </w:rPr>
              <w:t>xxx</w:t>
            </w:r>
          </w:p>
        </w:tc>
        <w:tc>
          <w:tcPr>
            <w:tcW w:w="630" w:type="dxa"/>
          </w:tcPr>
          <w:p w14:paraId="760522E3" w14:textId="77777777" w:rsidR="005D7F02" w:rsidRDefault="005D7F02" w:rsidP="00D53761">
            <w:pPr>
              <w:rPr>
                <w:rFonts w:ascii="Open Sans" w:eastAsia="Times New Roman" w:hAnsi="Open Sans" w:cs="Open Sans"/>
                <w:sz w:val="20"/>
                <w:szCs w:val="20"/>
              </w:rPr>
            </w:pPr>
          </w:p>
        </w:tc>
        <w:tc>
          <w:tcPr>
            <w:tcW w:w="4135" w:type="dxa"/>
          </w:tcPr>
          <w:p w14:paraId="3C3386E8" w14:textId="519939BF" w:rsidR="00A3063C" w:rsidRDefault="00A3063C" w:rsidP="00D53761">
            <w:pPr>
              <w:rPr>
                <w:rFonts w:ascii="Open Sans" w:eastAsia="Times New Roman" w:hAnsi="Open Sans" w:cs="Open Sans"/>
                <w:sz w:val="20"/>
                <w:szCs w:val="20"/>
              </w:rPr>
            </w:pPr>
            <w:r>
              <w:rPr>
                <w:rFonts w:ascii="Open Sans" w:eastAsia="Times New Roman" w:hAnsi="Open Sans" w:cs="Open Sans"/>
                <w:sz w:val="20"/>
                <w:szCs w:val="20"/>
              </w:rPr>
              <w:t>PF Planning – all units</w:t>
            </w:r>
          </w:p>
          <w:p w14:paraId="7E4945C0" w14:textId="1CAAE5A8" w:rsidR="00A3063C" w:rsidRDefault="00A3063C" w:rsidP="00D53761">
            <w:pPr>
              <w:rPr>
                <w:rFonts w:ascii="Open Sans" w:eastAsia="Times New Roman" w:hAnsi="Open Sans" w:cs="Open Sans"/>
                <w:sz w:val="20"/>
                <w:szCs w:val="20"/>
              </w:rPr>
            </w:pPr>
            <w:r>
              <w:rPr>
                <w:rFonts w:ascii="Open Sans" w:eastAsia="Times New Roman" w:hAnsi="Open Sans" w:cs="Open Sans"/>
                <w:sz w:val="20"/>
                <w:szCs w:val="20"/>
              </w:rPr>
              <w:t>Goals: slides 5-7; 10</w:t>
            </w:r>
          </w:p>
          <w:p w14:paraId="63390D4F" w14:textId="41B63CA8" w:rsidR="00A3063C" w:rsidRDefault="00A3063C" w:rsidP="00D53761">
            <w:pPr>
              <w:rPr>
                <w:rFonts w:ascii="Open Sans" w:eastAsia="Times New Roman" w:hAnsi="Open Sans" w:cs="Open Sans"/>
                <w:sz w:val="20"/>
                <w:szCs w:val="20"/>
              </w:rPr>
            </w:pPr>
            <w:r>
              <w:rPr>
                <w:rFonts w:ascii="Open Sans" w:eastAsia="Times New Roman" w:hAnsi="Open Sans" w:cs="Open Sans"/>
                <w:sz w:val="20"/>
                <w:szCs w:val="20"/>
              </w:rPr>
              <w:t>Budget: slides 12-16</w:t>
            </w:r>
          </w:p>
          <w:p w14:paraId="3EFEF066" w14:textId="4F4A3610" w:rsidR="00A3063C" w:rsidRDefault="00A3063C" w:rsidP="00D53761">
            <w:pPr>
              <w:rPr>
                <w:rFonts w:ascii="Open Sans" w:eastAsia="Times New Roman" w:hAnsi="Open Sans" w:cs="Open Sans"/>
                <w:sz w:val="20"/>
                <w:szCs w:val="20"/>
              </w:rPr>
            </w:pPr>
            <w:r>
              <w:rPr>
                <w:rFonts w:ascii="Open Sans" w:eastAsia="Times New Roman" w:hAnsi="Open Sans" w:cs="Open Sans"/>
                <w:sz w:val="20"/>
                <w:szCs w:val="20"/>
              </w:rPr>
              <w:t>Creating a personal budget – all units</w:t>
            </w:r>
          </w:p>
          <w:p w14:paraId="6D08E152" w14:textId="222F916C" w:rsidR="007D3451" w:rsidRDefault="007D3451" w:rsidP="00D53761">
            <w:pPr>
              <w:rPr>
                <w:rFonts w:ascii="Open Sans" w:eastAsia="Times New Roman" w:hAnsi="Open Sans" w:cs="Open Sans"/>
                <w:sz w:val="20"/>
                <w:szCs w:val="20"/>
              </w:rPr>
            </w:pPr>
            <w:r>
              <w:rPr>
                <w:rFonts w:ascii="Open Sans" w:eastAsia="Times New Roman" w:hAnsi="Open Sans" w:cs="Open Sans"/>
                <w:sz w:val="20"/>
                <w:szCs w:val="20"/>
              </w:rPr>
              <w:t>Budgeting: slides 5-25; 52-58</w:t>
            </w:r>
          </w:p>
          <w:p w14:paraId="037DCE2F" w14:textId="0B37F23E" w:rsidR="007D3451" w:rsidRDefault="007D3451" w:rsidP="00D53761">
            <w:pPr>
              <w:rPr>
                <w:rFonts w:ascii="Open Sans" w:eastAsia="Times New Roman" w:hAnsi="Open Sans" w:cs="Open Sans"/>
                <w:sz w:val="20"/>
                <w:szCs w:val="20"/>
              </w:rPr>
            </w:pPr>
            <w:r>
              <w:rPr>
                <w:rFonts w:ascii="Open Sans" w:eastAsia="Times New Roman" w:hAnsi="Open Sans" w:cs="Open Sans"/>
                <w:sz w:val="20"/>
                <w:szCs w:val="20"/>
              </w:rPr>
              <w:t>Goals: Slides 34-51</w:t>
            </w:r>
          </w:p>
          <w:p w14:paraId="7C54ED04" w14:textId="26D99B50" w:rsidR="001D4D4E" w:rsidRDefault="001D4D4E" w:rsidP="00D53761">
            <w:pPr>
              <w:rPr>
                <w:rFonts w:ascii="Open Sans" w:eastAsia="Times New Roman" w:hAnsi="Open Sans" w:cs="Open Sans"/>
                <w:sz w:val="20"/>
                <w:szCs w:val="20"/>
              </w:rPr>
            </w:pPr>
            <w:r>
              <w:rPr>
                <w:rFonts w:ascii="Open Sans" w:eastAsia="Times New Roman" w:hAnsi="Open Sans" w:cs="Open Sans"/>
                <w:sz w:val="20"/>
                <w:szCs w:val="20"/>
              </w:rPr>
              <w:t>Saving &amp; Investing: slides 37-44</w:t>
            </w:r>
          </w:p>
          <w:p w14:paraId="3E1846EA" w14:textId="60781BD8" w:rsidR="005D7F02" w:rsidRDefault="00F64DF3" w:rsidP="00D53761">
            <w:pPr>
              <w:rPr>
                <w:rFonts w:ascii="Open Sans" w:eastAsia="Times New Roman" w:hAnsi="Open Sans" w:cs="Open Sans"/>
                <w:sz w:val="20"/>
                <w:szCs w:val="20"/>
              </w:rPr>
            </w:pPr>
            <w:r>
              <w:rPr>
                <w:rFonts w:ascii="Open Sans" w:eastAsia="Times New Roman" w:hAnsi="Open Sans" w:cs="Open Sans"/>
                <w:sz w:val="20"/>
                <w:szCs w:val="20"/>
              </w:rPr>
              <w:t>Projects: Planning your Financial Future; Your Monthly Budget</w:t>
            </w:r>
          </w:p>
        </w:tc>
      </w:tr>
      <w:tr w:rsidR="005D7F02" w14:paraId="2638B2F7" w14:textId="77777777" w:rsidTr="00CF1BC0">
        <w:tc>
          <w:tcPr>
            <w:tcW w:w="7555" w:type="dxa"/>
          </w:tcPr>
          <w:p w14:paraId="0044C08A" w14:textId="77777777" w:rsidR="005D7F02" w:rsidRPr="001B02DE" w:rsidRDefault="00E442F2" w:rsidP="001B02DE">
            <w:pPr>
              <w:pStyle w:val="ListParagraph"/>
              <w:numPr>
                <w:ilvl w:val="0"/>
                <w:numId w:val="13"/>
              </w:numPr>
              <w:rPr>
                <w:rFonts w:ascii="Open Sans" w:eastAsia="Times New Roman" w:hAnsi="Open Sans" w:cs="Open Sans"/>
                <w:sz w:val="20"/>
                <w:szCs w:val="20"/>
              </w:rPr>
            </w:pPr>
            <w:r>
              <w:t>Develop a chart, table, or graphic to compare characteristics of various careers, such as alignment to personal interest and aptitude, education requirements, available positions, salaries, potential lifetime earnings, and employer benefits. Research and report (orally or in an explanatory text) the requirements for admission to and related costs of attending a specific postsecondary institution and how that will support education, career, and earning goals.</w:t>
            </w:r>
          </w:p>
        </w:tc>
        <w:tc>
          <w:tcPr>
            <w:tcW w:w="630" w:type="dxa"/>
          </w:tcPr>
          <w:p w14:paraId="689B3071" w14:textId="2FB5B068" w:rsidR="005D7F02" w:rsidRDefault="007D3451" w:rsidP="00D53761">
            <w:pPr>
              <w:rPr>
                <w:rFonts w:ascii="Open Sans" w:eastAsia="Times New Roman" w:hAnsi="Open Sans" w:cs="Open Sans"/>
                <w:sz w:val="20"/>
                <w:szCs w:val="20"/>
              </w:rPr>
            </w:pPr>
            <w:r>
              <w:rPr>
                <w:rFonts w:ascii="Open Sans" w:eastAsia="Times New Roman" w:hAnsi="Open Sans" w:cs="Open Sans"/>
                <w:sz w:val="20"/>
                <w:szCs w:val="20"/>
              </w:rPr>
              <w:t>xxx</w:t>
            </w:r>
          </w:p>
        </w:tc>
        <w:tc>
          <w:tcPr>
            <w:tcW w:w="630" w:type="dxa"/>
          </w:tcPr>
          <w:p w14:paraId="249E55BE" w14:textId="77777777" w:rsidR="005D7F02" w:rsidRDefault="005D7F02" w:rsidP="00D53761">
            <w:pPr>
              <w:rPr>
                <w:rFonts w:ascii="Open Sans" w:eastAsia="Times New Roman" w:hAnsi="Open Sans" w:cs="Open Sans"/>
                <w:sz w:val="20"/>
                <w:szCs w:val="20"/>
              </w:rPr>
            </w:pPr>
          </w:p>
        </w:tc>
        <w:tc>
          <w:tcPr>
            <w:tcW w:w="4135" w:type="dxa"/>
          </w:tcPr>
          <w:p w14:paraId="4FA78955" w14:textId="3DBC7633" w:rsidR="007D3451" w:rsidRDefault="007D3451" w:rsidP="00D53761">
            <w:pPr>
              <w:rPr>
                <w:rFonts w:ascii="Open Sans" w:eastAsia="Times New Roman" w:hAnsi="Open Sans" w:cs="Open Sans"/>
                <w:sz w:val="20"/>
                <w:szCs w:val="20"/>
              </w:rPr>
            </w:pPr>
            <w:r>
              <w:rPr>
                <w:rFonts w:ascii="Open Sans" w:eastAsia="Times New Roman" w:hAnsi="Open Sans" w:cs="Open Sans"/>
                <w:sz w:val="20"/>
                <w:szCs w:val="20"/>
              </w:rPr>
              <w:t>Jobs, Careers, &amp; Education – all units</w:t>
            </w:r>
          </w:p>
          <w:p w14:paraId="020F5507" w14:textId="2B24D9D7" w:rsidR="007D3451" w:rsidRDefault="007D3451" w:rsidP="00D53761">
            <w:pPr>
              <w:rPr>
                <w:rFonts w:ascii="Open Sans" w:eastAsia="Times New Roman" w:hAnsi="Open Sans" w:cs="Open Sans"/>
                <w:sz w:val="20"/>
                <w:szCs w:val="20"/>
              </w:rPr>
            </w:pPr>
            <w:r>
              <w:rPr>
                <w:rFonts w:ascii="Open Sans" w:eastAsia="Times New Roman" w:hAnsi="Open Sans" w:cs="Open Sans"/>
                <w:sz w:val="20"/>
                <w:szCs w:val="20"/>
              </w:rPr>
              <w:t>Careers: 83-89</w:t>
            </w:r>
          </w:p>
          <w:p w14:paraId="213D5D02" w14:textId="77777777" w:rsidR="007D3451" w:rsidRDefault="007D3451" w:rsidP="00D53761">
            <w:pPr>
              <w:rPr>
                <w:rFonts w:ascii="Open Sans" w:eastAsia="Times New Roman" w:hAnsi="Open Sans" w:cs="Open Sans"/>
                <w:sz w:val="20"/>
                <w:szCs w:val="20"/>
              </w:rPr>
            </w:pPr>
            <w:r>
              <w:rPr>
                <w:rFonts w:ascii="Open Sans" w:eastAsia="Times New Roman" w:hAnsi="Open Sans" w:cs="Open Sans"/>
                <w:sz w:val="20"/>
                <w:szCs w:val="20"/>
              </w:rPr>
              <w:t>Interest study: 110-119</w:t>
            </w:r>
          </w:p>
          <w:p w14:paraId="7F0B2DE3" w14:textId="16B5C5B2" w:rsidR="007D3451" w:rsidRDefault="00740C51" w:rsidP="00D53761">
            <w:pPr>
              <w:rPr>
                <w:rFonts w:ascii="Open Sans" w:eastAsia="Times New Roman" w:hAnsi="Open Sans" w:cs="Open Sans"/>
                <w:sz w:val="20"/>
                <w:szCs w:val="20"/>
              </w:rPr>
            </w:pPr>
            <w:r>
              <w:rPr>
                <w:rFonts w:ascii="Open Sans" w:eastAsia="Times New Roman" w:hAnsi="Open Sans" w:cs="Open Sans"/>
                <w:sz w:val="20"/>
                <w:szCs w:val="20"/>
              </w:rPr>
              <w:t>No self</w:t>
            </w:r>
            <w:r w:rsidR="00851928">
              <w:rPr>
                <w:rFonts w:ascii="Open Sans" w:eastAsia="Times New Roman" w:hAnsi="Open Sans" w:cs="Open Sans"/>
                <w:sz w:val="20"/>
                <w:szCs w:val="20"/>
              </w:rPr>
              <w:t>-</w:t>
            </w:r>
            <w:r>
              <w:rPr>
                <w:rFonts w:ascii="Open Sans" w:eastAsia="Times New Roman" w:hAnsi="Open Sans" w:cs="Open Sans"/>
                <w:sz w:val="20"/>
                <w:szCs w:val="20"/>
              </w:rPr>
              <w:t>a</w:t>
            </w:r>
            <w:r w:rsidR="007D3451">
              <w:rPr>
                <w:rFonts w:ascii="Open Sans" w:eastAsia="Times New Roman" w:hAnsi="Open Sans" w:cs="Open Sans"/>
                <w:sz w:val="20"/>
                <w:szCs w:val="20"/>
              </w:rPr>
              <w:t>ssessment</w:t>
            </w:r>
          </w:p>
          <w:p w14:paraId="303BC09A" w14:textId="28784BA9" w:rsidR="00851928" w:rsidRDefault="00851928" w:rsidP="00D53761">
            <w:pPr>
              <w:rPr>
                <w:rFonts w:ascii="Open Sans" w:eastAsia="Times New Roman" w:hAnsi="Open Sans" w:cs="Open Sans"/>
                <w:sz w:val="20"/>
                <w:szCs w:val="20"/>
              </w:rPr>
            </w:pPr>
            <w:r>
              <w:rPr>
                <w:rFonts w:ascii="Open Sans" w:eastAsia="Times New Roman" w:hAnsi="Open Sans" w:cs="Open Sans"/>
                <w:sz w:val="20"/>
                <w:szCs w:val="20"/>
              </w:rPr>
              <w:t>Cost of Education and T</w:t>
            </w:r>
            <w:r w:rsidR="007D3451">
              <w:rPr>
                <w:rFonts w:ascii="Open Sans" w:eastAsia="Times New Roman" w:hAnsi="Open Sans" w:cs="Open Sans"/>
                <w:sz w:val="20"/>
                <w:szCs w:val="20"/>
              </w:rPr>
              <w:t>raining</w:t>
            </w:r>
            <w:r>
              <w:rPr>
                <w:rFonts w:ascii="Open Sans" w:eastAsia="Times New Roman" w:hAnsi="Open Sans" w:cs="Open Sans"/>
                <w:sz w:val="20"/>
                <w:szCs w:val="20"/>
              </w:rPr>
              <w:t xml:space="preserve"> – all units</w:t>
            </w:r>
          </w:p>
          <w:p w14:paraId="092CB3D3" w14:textId="77777777" w:rsidR="00851928" w:rsidRDefault="00851928" w:rsidP="00D53761">
            <w:pPr>
              <w:rPr>
                <w:rFonts w:ascii="Open Sans" w:eastAsia="Times New Roman" w:hAnsi="Open Sans" w:cs="Open Sans"/>
                <w:sz w:val="20"/>
                <w:szCs w:val="20"/>
              </w:rPr>
            </w:pPr>
            <w:r>
              <w:rPr>
                <w:rFonts w:ascii="Open Sans" w:eastAsia="Times New Roman" w:hAnsi="Open Sans" w:cs="Open Sans"/>
                <w:sz w:val="20"/>
                <w:szCs w:val="20"/>
              </w:rPr>
              <w:t>Education Options: slides 5-22</w:t>
            </w:r>
          </w:p>
          <w:p w14:paraId="47E0DD6F" w14:textId="77777777" w:rsidR="005D7F02" w:rsidRDefault="00851928" w:rsidP="00D53761">
            <w:pPr>
              <w:rPr>
                <w:rFonts w:ascii="Open Sans" w:eastAsia="Times New Roman" w:hAnsi="Open Sans" w:cs="Open Sans"/>
                <w:sz w:val="20"/>
                <w:szCs w:val="20"/>
              </w:rPr>
            </w:pPr>
            <w:r>
              <w:rPr>
                <w:rFonts w:ascii="Open Sans" w:eastAsia="Times New Roman" w:hAnsi="Open Sans" w:cs="Open Sans"/>
                <w:sz w:val="20"/>
                <w:szCs w:val="20"/>
              </w:rPr>
              <w:t>Cost and Financing: slides 24-66</w:t>
            </w:r>
          </w:p>
          <w:p w14:paraId="694C1118" w14:textId="2905499B" w:rsidR="002B5CE2" w:rsidRDefault="002B5CE2" w:rsidP="00D53761">
            <w:pPr>
              <w:rPr>
                <w:rFonts w:ascii="Open Sans" w:eastAsia="Times New Roman" w:hAnsi="Open Sans" w:cs="Open Sans"/>
                <w:sz w:val="20"/>
                <w:szCs w:val="20"/>
              </w:rPr>
            </w:pPr>
            <w:r>
              <w:rPr>
                <w:rFonts w:ascii="Open Sans" w:eastAsia="Times New Roman" w:hAnsi="Open Sans" w:cs="Open Sans"/>
                <w:sz w:val="20"/>
                <w:szCs w:val="20"/>
              </w:rPr>
              <w:t>Projects: Career Paths &amp; Fields of Study; Postsecondary Education Costs</w:t>
            </w:r>
          </w:p>
        </w:tc>
      </w:tr>
      <w:tr w:rsidR="005D7F02" w14:paraId="569C6129" w14:textId="77777777" w:rsidTr="00CF1BC0">
        <w:tc>
          <w:tcPr>
            <w:tcW w:w="7555" w:type="dxa"/>
          </w:tcPr>
          <w:p w14:paraId="68368120" w14:textId="77777777" w:rsidR="005D7F02" w:rsidRPr="001B02DE" w:rsidRDefault="00E442F2" w:rsidP="001B02DE">
            <w:pPr>
              <w:pStyle w:val="ListParagraph"/>
              <w:numPr>
                <w:ilvl w:val="0"/>
                <w:numId w:val="13"/>
              </w:numPr>
              <w:rPr>
                <w:rFonts w:ascii="Open Sans" w:eastAsia="Times New Roman" w:hAnsi="Open Sans" w:cs="Open Sans"/>
                <w:sz w:val="20"/>
                <w:szCs w:val="20"/>
              </w:rPr>
            </w:pPr>
            <w:r>
              <w:t>Demonstrate an understanding of Free Application for Federal Student Aid (FAFSA) requirements to apply for postsecondary education financial aid by completing an application. Identify strategies for reducing the overall cost of postsecondary education, including the impact of scholarships, grants, work study, and other assistance.</w:t>
            </w:r>
          </w:p>
        </w:tc>
        <w:tc>
          <w:tcPr>
            <w:tcW w:w="630" w:type="dxa"/>
          </w:tcPr>
          <w:p w14:paraId="0E0488D6" w14:textId="7206CDB8" w:rsidR="005D7F02" w:rsidRDefault="00BD59FE" w:rsidP="00D53761">
            <w:pPr>
              <w:rPr>
                <w:rFonts w:ascii="Open Sans" w:eastAsia="Times New Roman" w:hAnsi="Open Sans" w:cs="Open Sans"/>
                <w:sz w:val="20"/>
                <w:szCs w:val="20"/>
              </w:rPr>
            </w:pPr>
            <w:r>
              <w:rPr>
                <w:rFonts w:ascii="Open Sans" w:eastAsia="Times New Roman" w:hAnsi="Open Sans" w:cs="Open Sans"/>
                <w:sz w:val="20"/>
                <w:szCs w:val="20"/>
              </w:rPr>
              <w:t>xxx</w:t>
            </w:r>
          </w:p>
        </w:tc>
        <w:tc>
          <w:tcPr>
            <w:tcW w:w="630" w:type="dxa"/>
          </w:tcPr>
          <w:p w14:paraId="5F0235E8" w14:textId="77777777" w:rsidR="005D7F02" w:rsidRDefault="005D7F02" w:rsidP="00D53761">
            <w:pPr>
              <w:rPr>
                <w:rFonts w:ascii="Open Sans" w:eastAsia="Times New Roman" w:hAnsi="Open Sans" w:cs="Open Sans"/>
                <w:sz w:val="20"/>
                <w:szCs w:val="20"/>
              </w:rPr>
            </w:pPr>
          </w:p>
        </w:tc>
        <w:tc>
          <w:tcPr>
            <w:tcW w:w="4135" w:type="dxa"/>
          </w:tcPr>
          <w:p w14:paraId="35D8E531" w14:textId="77777777" w:rsidR="00851928" w:rsidRDefault="00851928" w:rsidP="00D53761">
            <w:pPr>
              <w:rPr>
                <w:rFonts w:ascii="Open Sans" w:eastAsia="Times New Roman" w:hAnsi="Open Sans" w:cs="Open Sans"/>
                <w:sz w:val="20"/>
                <w:szCs w:val="20"/>
              </w:rPr>
            </w:pPr>
            <w:r>
              <w:rPr>
                <w:rFonts w:ascii="Open Sans" w:eastAsia="Times New Roman" w:hAnsi="Open Sans" w:cs="Open Sans"/>
                <w:sz w:val="20"/>
                <w:szCs w:val="20"/>
              </w:rPr>
              <w:t>Cost of Education and Training – all units</w:t>
            </w:r>
          </w:p>
          <w:p w14:paraId="5B8A9BA1" w14:textId="3E9E27F7" w:rsidR="00851928" w:rsidRDefault="00851928" w:rsidP="00D53761">
            <w:pPr>
              <w:rPr>
                <w:rFonts w:ascii="Open Sans" w:eastAsia="Times New Roman" w:hAnsi="Open Sans" w:cs="Open Sans"/>
                <w:sz w:val="20"/>
                <w:szCs w:val="20"/>
              </w:rPr>
            </w:pPr>
            <w:r>
              <w:rPr>
                <w:rFonts w:ascii="Open Sans" w:eastAsia="Times New Roman" w:hAnsi="Open Sans" w:cs="Open Sans"/>
                <w:sz w:val="20"/>
                <w:szCs w:val="20"/>
              </w:rPr>
              <w:t>Cost and Financing (including grants, loans, etc.): slides 24-66</w:t>
            </w:r>
          </w:p>
          <w:p w14:paraId="643143FC" w14:textId="77777777" w:rsidR="005D7F02" w:rsidRDefault="00851928" w:rsidP="00D53761">
            <w:pPr>
              <w:rPr>
                <w:rFonts w:ascii="Open Sans" w:eastAsia="Times New Roman" w:hAnsi="Open Sans" w:cs="Open Sans"/>
                <w:sz w:val="20"/>
                <w:szCs w:val="20"/>
              </w:rPr>
            </w:pPr>
            <w:r>
              <w:rPr>
                <w:rFonts w:ascii="Open Sans" w:eastAsia="Times New Roman" w:hAnsi="Open Sans" w:cs="Open Sans"/>
                <w:sz w:val="20"/>
                <w:szCs w:val="20"/>
              </w:rPr>
              <w:t>FAFSA slides: 38-49</w:t>
            </w:r>
          </w:p>
          <w:p w14:paraId="5EA9E156" w14:textId="77777777" w:rsidR="002B5CE2" w:rsidRDefault="002B5CE2" w:rsidP="00D53761">
            <w:pPr>
              <w:rPr>
                <w:rFonts w:ascii="Open Sans" w:eastAsia="Times New Roman" w:hAnsi="Open Sans" w:cs="Open Sans"/>
                <w:sz w:val="20"/>
                <w:szCs w:val="20"/>
              </w:rPr>
            </w:pPr>
            <w:r>
              <w:rPr>
                <w:rFonts w:ascii="Open Sans" w:eastAsia="Times New Roman" w:hAnsi="Open Sans" w:cs="Open Sans"/>
                <w:sz w:val="20"/>
                <w:szCs w:val="20"/>
              </w:rPr>
              <w:t>Student Handout: Postsecondary Education Costs</w:t>
            </w:r>
          </w:p>
          <w:p w14:paraId="72DB0003" w14:textId="7C6721F1" w:rsidR="002B5CE2" w:rsidRDefault="002B5CE2" w:rsidP="00D53761">
            <w:pPr>
              <w:rPr>
                <w:rFonts w:ascii="Open Sans" w:eastAsia="Times New Roman" w:hAnsi="Open Sans" w:cs="Open Sans"/>
                <w:sz w:val="20"/>
                <w:szCs w:val="20"/>
              </w:rPr>
            </w:pPr>
            <w:r>
              <w:rPr>
                <w:rFonts w:ascii="Open Sans" w:eastAsia="Times New Roman" w:hAnsi="Open Sans" w:cs="Open Sans"/>
                <w:sz w:val="20"/>
                <w:szCs w:val="20"/>
              </w:rPr>
              <w:t>Activity: FAFSA4Caster; Paying for Education</w:t>
            </w:r>
          </w:p>
        </w:tc>
      </w:tr>
      <w:tr w:rsidR="005D7F02" w14:paraId="6ECD5D72" w14:textId="77777777" w:rsidTr="00CF1BC0">
        <w:tc>
          <w:tcPr>
            <w:tcW w:w="7555" w:type="dxa"/>
          </w:tcPr>
          <w:p w14:paraId="4848354A" w14:textId="77777777" w:rsidR="005D7F02" w:rsidRPr="001B02DE" w:rsidRDefault="00E442F2" w:rsidP="001B02DE">
            <w:pPr>
              <w:pStyle w:val="ListParagraph"/>
              <w:numPr>
                <w:ilvl w:val="0"/>
                <w:numId w:val="13"/>
              </w:numPr>
              <w:rPr>
                <w:rFonts w:ascii="Open Sans" w:eastAsia="Times New Roman" w:hAnsi="Open Sans" w:cs="Open Sans"/>
                <w:sz w:val="20"/>
                <w:szCs w:val="20"/>
              </w:rPr>
            </w:pPr>
            <w:r>
              <w:t>Research multiple viewpoints that support or question the use of student loan debt in paying for postsecondary education. Assess the extent to which the reasoning and evidence presented support the author’s claim. Citing specific textual evidence, craft an argumentative essay that either supports or opposes the use of student loan debt, developing both claim(s) and counterclaim(s) fairly.</w:t>
            </w:r>
          </w:p>
        </w:tc>
        <w:tc>
          <w:tcPr>
            <w:tcW w:w="630" w:type="dxa"/>
          </w:tcPr>
          <w:p w14:paraId="15313818" w14:textId="6506CAA8" w:rsidR="005D7F02" w:rsidRDefault="005D7F02" w:rsidP="00D53761">
            <w:pPr>
              <w:rPr>
                <w:rFonts w:ascii="Open Sans" w:eastAsia="Times New Roman" w:hAnsi="Open Sans" w:cs="Open Sans"/>
                <w:sz w:val="20"/>
                <w:szCs w:val="20"/>
              </w:rPr>
            </w:pPr>
          </w:p>
        </w:tc>
        <w:tc>
          <w:tcPr>
            <w:tcW w:w="630" w:type="dxa"/>
          </w:tcPr>
          <w:p w14:paraId="1C41ACE4" w14:textId="27D71FE6" w:rsidR="005D7F02" w:rsidRDefault="008B1DCC" w:rsidP="00D53761">
            <w:pPr>
              <w:rPr>
                <w:rFonts w:ascii="Open Sans" w:eastAsia="Times New Roman" w:hAnsi="Open Sans" w:cs="Open Sans"/>
                <w:sz w:val="20"/>
                <w:szCs w:val="20"/>
              </w:rPr>
            </w:pPr>
            <w:r>
              <w:rPr>
                <w:rFonts w:ascii="Open Sans" w:eastAsia="Times New Roman" w:hAnsi="Open Sans" w:cs="Open Sans"/>
                <w:sz w:val="20"/>
                <w:szCs w:val="20"/>
              </w:rPr>
              <w:t>xxx</w:t>
            </w:r>
          </w:p>
        </w:tc>
        <w:tc>
          <w:tcPr>
            <w:tcW w:w="4135" w:type="dxa"/>
          </w:tcPr>
          <w:p w14:paraId="3BE66F1D" w14:textId="11906AF8" w:rsidR="00851928" w:rsidRDefault="00851928" w:rsidP="00D53761">
            <w:pPr>
              <w:rPr>
                <w:rFonts w:ascii="Open Sans" w:eastAsia="Times New Roman" w:hAnsi="Open Sans" w:cs="Open Sans"/>
                <w:sz w:val="20"/>
                <w:szCs w:val="20"/>
              </w:rPr>
            </w:pPr>
            <w:r>
              <w:rPr>
                <w:rFonts w:ascii="Open Sans" w:eastAsia="Times New Roman" w:hAnsi="Open Sans" w:cs="Open Sans"/>
                <w:sz w:val="20"/>
                <w:szCs w:val="20"/>
              </w:rPr>
              <w:t>Cost of Edu</w:t>
            </w:r>
            <w:r w:rsidR="00740C51">
              <w:rPr>
                <w:rFonts w:ascii="Open Sans" w:eastAsia="Times New Roman" w:hAnsi="Open Sans" w:cs="Open Sans"/>
                <w:sz w:val="20"/>
                <w:szCs w:val="20"/>
              </w:rPr>
              <w:t>cation and Trainin</w:t>
            </w:r>
            <w:r>
              <w:rPr>
                <w:rFonts w:ascii="Open Sans" w:eastAsia="Times New Roman" w:hAnsi="Open Sans" w:cs="Open Sans"/>
                <w:sz w:val="20"/>
                <w:szCs w:val="20"/>
              </w:rPr>
              <w:t>g – all units</w:t>
            </w:r>
          </w:p>
          <w:p w14:paraId="36CD429E" w14:textId="77777777" w:rsidR="005D7F02" w:rsidRDefault="00851928" w:rsidP="00D53761">
            <w:pPr>
              <w:rPr>
                <w:rFonts w:ascii="Open Sans" w:eastAsia="Times New Roman" w:hAnsi="Open Sans" w:cs="Open Sans"/>
                <w:sz w:val="20"/>
                <w:szCs w:val="20"/>
              </w:rPr>
            </w:pPr>
            <w:r>
              <w:rPr>
                <w:rFonts w:ascii="Open Sans" w:eastAsia="Times New Roman" w:hAnsi="Open Sans" w:cs="Open Sans"/>
                <w:sz w:val="20"/>
                <w:szCs w:val="20"/>
              </w:rPr>
              <w:t xml:space="preserve">Cost of Paying it back: 68-86 </w:t>
            </w:r>
          </w:p>
          <w:p w14:paraId="1E9254D6" w14:textId="5763C778" w:rsidR="002B5CE2" w:rsidRDefault="002B5CE2" w:rsidP="00D53761">
            <w:pPr>
              <w:rPr>
                <w:rFonts w:ascii="Open Sans" w:eastAsia="Times New Roman" w:hAnsi="Open Sans" w:cs="Open Sans"/>
                <w:sz w:val="20"/>
                <w:szCs w:val="20"/>
              </w:rPr>
            </w:pPr>
            <w:r>
              <w:rPr>
                <w:rFonts w:ascii="Open Sans" w:eastAsia="Times New Roman" w:hAnsi="Open Sans" w:cs="Open Sans"/>
                <w:sz w:val="20"/>
                <w:szCs w:val="20"/>
              </w:rPr>
              <w:t>Activity: Paying for Education</w:t>
            </w:r>
          </w:p>
        </w:tc>
      </w:tr>
      <w:tr w:rsidR="005D7F02" w14:paraId="0B1E2E55" w14:textId="77777777" w:rsidTr="00CF1BC0">
        <w:tc>
          <w:tcPr>
            <w:tcW w:w="7555" w:type="dxa"/>
          </w:tcPr>
          <w:p w14:paraId="5786D819" w14:textId="77777777" w:rsidR="005D7F02" w:rsidRPr="001B02DE" w:rsidRDefault="00E442F2" w:rsidP="001B02DE">
            <w:pPr>
              <w:pStyle w:val="ListParagraph"/>
              <w:numPr>
                <w:ilvl w:val="0"/>
                <w:numId w:val="13"/>
              </w:numPr>
              <w:rPr>
                <w:rFonts w:ascii="Open Sans" w:eastAsia="Times New Roman" w:hAnsi="Open Sans" w:cs="Open Sans"/>
                <w:sz w:val="20"/>
                <w:szCs w:val="20"/>
              </w:rPr>
            </w:pPr>
            <w:r>
              <w:t>Describe factors affecting take-home pay such as tax withholdings, benefits (e.g., insurance, 401k), and plan payroll deductions. Complete a 1040EZ or 1040A and a W-4 Employee’s Withholding Allowance paperwork, and analyze the W-2 Wage and Tax Statement for federal income tax purposes.</w:t>
            </w:r>
          </w:p>
        </w:tc>
        <w:tc>
          <w:tcPr>
            <w:tcW w:w="630" w:type="dxa"/>
          </w:tcPr>
          <w:p w14:paraId="6B1D1052" w14:textId="3A8EC84D" w:rsidR="005D7F02" w:rsidRDefault="00BD59FE" w:rsidP="00D53761">
            <w:pPr>
              <w:rPr>
                <w:rFonts w:ascii="Open Sans" w:eastAsia="Times New Roman" w:hAnsi="Open Sans" w:cs="Open Sans"/>
                <w:sz w:val="20"/>
                <w:szCs w:val="20"/>
              </w:rPr>
            </w:pPr>
            <w:r>
              <w:rPr>
                <w:rFonts w:ascii="Open Sans" w:eastAsia="Times New Roman" w:hAnsi="Open Sans" w:cs="Open Sans"/>
                <w:sz w:val="20"/>
                <w:szCs w:val="20"/>
              </w:rPr>
              <w:t>xxx</w:t>
            </w:r>
          </w:p>
        </w:tc>
        <w:tc>
          <w:tcPr>
            <w:tcW w:w="630" w:type="dxa"/>
          </w:tcPr>
          <w:p w14:paraId="55080071" w14:textId="77777777" w:rsidR="005D7F02" w:rsidRDefault="005D7F02" w:rsidP="00D53761">
            <w:pPr>
              <w:rPr>
                <w:rFonts w:ascii="Open Sans" w:eastAsia="Times New Roman" w:hAnsi="Open Sans" w:cs="Open Sans"/>
                <w:sz w:val="20"/>
                <w:szCs w:val="20"/>
              </w:rPr>
            </w:pPr>
          </w:p>
        </w:tc>
        <w:tc>
          <w:tcPr>
            <w:tcW w:w="4135" w:type="dxa"/>
          </w:tcPr>
          <w:p w14:paraId="24783B64" w14:textId="77777777" w:rsidR="00BD59FE" w:rsidRDefault="00BD59FE" w:rsidP="00D53761">
            <w:pPr>
              <w:rPr>
                <w:rFonts w:ascii="Open Sans" w:eastAsia="Times New Roman" w:hAnsi="Open Sans" w:cs="Open Sans"/>
                <w:sz w:val="20"/>
                <w:szCs w:val="20"/>
              </w:rPr>
            </w:pPr>
            <w:r>
              <w:rPr>
                <w:rFonts w:ascii="Open Sans" w:eastAsia="Times New Roman" w:hAnsi="Open Sans" w:cs="Open Sans"/>
                <w:sz w:val="20"/>
                <w:szCs w:val="20"/>
              </w:rPr>
              <w:t>Employment Compensation Components – all units</w:t>
            </w:r>
          </w:p>
          <w:p w14:paraId="60E7F4D6" w14:textId="77777777" w:rsidR="00BD59FE" w:rsidRDefault="00BD59FE" w:rsidP="00D53761">
            <w:pPr>
              <w:rPr>
                <w:rFonts w:ascii="Open Sans" w:eastAsia="Times New Roman" w:hAnsi="Open Sans" w:cs="Open Sans"/>
                <w:sz w:val="20"/>
                <w:szCs w:val="20"/>
              </w:rPr>
            </w:pPr>
            <w:r>
              <w:rPr>
                <w:rFonts w:ascii="Open Sans" w:eastAsia="Times New Roman" w:hAnsi="Open Sans" w:cs="Open Sans"/>
                <w:sz w:val="20"/>
                <w:szCs w:val="20"/>
              </w:rPr>
              <w:t>Benefits: 4-24</w:t>
            </w:r>
          </w:p>
          <w:p w14:paraId="514074C1" w14:textId="77777777" w:rsidR="00BD59FE" w:rsidRDefault="00BD59FE" w:rsidP="00D53761">
            <w:pPr>
              <w:rPr>
                <w:rFonts w:ascii="Open Sans" w:eastAsia="Times New Roman" w:hAnsi="Open Sans" w:cs="Open Sans"/>
                <w:sz w:val="20"/>
                <w:szCs w:val="20"/>
              </w:rPr>
            </w:pPr>
            <w:r>
              <w:rPr>
                <w:rFonts w:ascii="Open Sans" w:eastAsia="Times New Roman" w:hAnsi="Open Sans" w:cs="Open Sans"/>
                <w:sz w:val="20"/>
                <w:szCs w:val="20"/>
              </w:rPr>
              <w:t>Withholdings: 29-35</w:t>
            </w:r>
          </w:p>
          <w:p w14:paraId="257F4D82" w14:textId="77777777" w:rsidR="00BD59FE" w:rsidRDefault="00BD59FE" w:rsidP="00D53761">
            <w:pPr>
              <w:rPr>
                <w:rFonts w:ascii="Open Sans" w:eastAsia="Times New Roman" w:hAnsi="Open Sans" w:cs="Open Sans"/>
                <w:sz w:val="20"/>
                <w:szCs w:val="20"/>
              </w:rPr>
            </w:pPr>
            <w:r>
              <w:rPr>
                <w:rFonts w:ascii="Open Sans" w:eastAsia="Times New Roman" w:hAnsi="Open Sans" w:cs="Open Sans"/>
                <w:sz w:val="20"/>
                <w:szCs w:val="20"/>
              </w:rPr>
              <w:t>W4: 38</w:t>
            </w:r>
          </w:p>
          <w:p w14:paraId="5A3CD539" w14:textId="77777777" w:rsidR="00BD59FE" w:rsidRDefault="00BD59FE" w:rsidP="00D53761">
            <w:pPr>
              <w:rPr>
                <w:rFonts w:ascii="Open Sans" w:eastAsia="Times New Roman" w:hAnsi="Open Sans" w:cs="Open Sans"/>
                <w:sz w:val="20"/>
                <w:szCs w:val="20"/>
              </w:rPr>
            </w:pPr>
            <w:r>
              <w:rPr>
                <w:rFonts w:ascii="Open Sans" w:eastAsia="Times New Roman" w:hAnsi="Open Sans" w:cs="Open Sans"/>
                <w:sz w:val="20"/>
                <w:szCs w:val="20"/>
              </w:rPr>
              <w:t>I9: 38</w:t>
            </w:r>
          </w:p>
          <w:p w14:paraId="1E11B49E" w14:textId="77777777" w:rsidR="00BD59FE" w:rsidRDefault="00BD59FE" w:rsidP="00D53761">
            <w:pPr>
              <w:rPr>
                <w:rFonts w:ascii="Open Sans" w:eastAsia="Times New Roman" w:hAnsi="Open Sans" w:cs="Open Sans"/>
                <w:sz w:val="20"/>
                <w:szCs w:val="20"/>
              </w:rPr>
            </w:pPr>
            <w:r>
              <w:rPr>
                <w:rFonts w:ascii="Open Sans" w:eastAsia="Times New Roman" w:hAnsi="Open Sans" w:cs="Open Sans"/>
                <w:sz w:val="20"/>
                <w:szCs w:val="20"/>
              </w:rPr>
              <w:t>W2: 47-48</w:t>
            </w:r>
          </w:p>
          <w:p w14:paraId="4BE01516" w14:textId="77777777" w:rsidR="005D7F02" w:rsidRDefault="00BD59FE" w:rsidP="00D53761">
            <w:pPr>
              <w:rPr>
                <w:rFonts w:ascii="Open Sans" w:eastAsia="Times New Roman" w:hAnsi="Open Sans" w:cs="Open Sans"/>
                <w:sz w:val="20"/>
                <w:szCs w:val="20"/>
              </w:rPr>
            </w:pPr>
            <w:r>
              <w:rPr>
                <w:rFonts w:ascii="Open Sans" w:eastAsia="Times New Roman" w:hAnsi="Open Sans" w:cs="Open Sans"/>
                <w:sz w:val="20"/>
                <w:szCs w:val="20"/>
              </w:rPr>
              <w:t>1040: 47;49</w:t>
            </w:r>
          </w:p>
          <w:p w14:paraId="2F05C332" w14:textId="10706D25" w:rsidR="002B5CE2" w:rsidRDefault="006C72FF" w:rsidP="00D53761">
            <w:pPr>
              <w:rPr>
                <w:rFonts w:ascii="Open Sans" w:eastAsia="Times New Roman" w:hAnsi="Open Sans" w:cs="Open Sans"/>
                <w:sz w:val="20"/>
                <w:szCs w:val="20"/>
              </w:rPr>
            </w:pPr>
            <w:r>
              <w:rPr>
                <w:rFonts w:ascii="Open Sans" w:eastAsia="Times New Roman" w:hAnsi="Open Sans" w:cs="Open Sans"/>
                <w:sz w:val="20"/>
                <w:szCs w:val="20"/>
              </w:rPr>
              <w:t>Activity: Calculate Earnings; Form 1040A, 1040; Form W2; Form W4</w:t>
            </w:r>
          </w:p>
        </w:tc>
      </w:tr>
      <w:tr w:rsidR="001B02DE" w14:paraId="7AE7DAC5" w14:textId="77777777" w:rsidTr="00CF1BC0">
        <w:tc>
          <w:tcPr>
            <w:tcW w:w="7555" w:type="dxa"/>
          </w:tcPr>
          <w:p w14:paraId="1FE42C34" w14:textId="77777777" w:rsidR="001B02DE" w:rsidRDefault="006D78B6" w:rsidP="001B02DE">
            <w:pPr>
              <w:pStyle w:val="ListParagraph"/>
              <w:numPr>
                <w:ilvl w:val="0"/>
                <w:numId w:val="13"/>
              </w:numPr>
            </w:pPr>
            <w:r>
              <w:t>Create a personal balance sheet. Determine assets and liabilities and calculate net worth. Using research from local sources (such as newspapers, chambers of commerce, local government, and company websites), create a monthly personal budget. Cite specific textual evidence from findings when calculating earnings of a selected occupation and including accurately estimated household living expenses, taxes, potential savings, and an emergency fund.</w:t>
            </w:r>
          </w:p>
        </w:tc>
        <w:tc>
          <w:tcPr>
            <w:tcW w:w="630" w:type="dxa"/>
          </w:tcPr>
          <w:p w14:paraId="0F8078A5" w14:textId="08DCB84C" w:rsidR="001B02DE" w:rsidRDefault="00BD59FE" w:rsidP="00D53761">
            <w:pPr>
              <w:rPr>
                <w:rFonts w:ascii="Open Sans" w:eastAsia="Times New Roman" w:hAnsi="Open Sans" w:cs="Open Sans"/>
                <w:sz w:val="20"/>
                <w:szCs w:val="20"/>
              </w:rPr>
            </w:pPr>
            <w:r>
              <w:rPr>
                <w:rFonts w:ascii="Open Sans" w:eastAsia="Times New Roman" w:hAnsi="Open Sans" w:cs="Open Sans"/>
                <w:sz w:val="20"/>
                <w:szCs w:val="20"/>
              </w:rPr>
              <w:t>xxx</w:t>
            </w:r>
          </w:p>
        </w:tc>
        <w:tc>
          <w:tcPr>
            <w:tcW w:w="630" w:type="dxa"/>
          </w:tcPr>
          <w:p w14:paraId="4EA11CCB" w14:textId="77777777" w:rsidR="001B02DE" w:rsidRDefault="001B02DE" w:rsidP="00D53761">
            <w:pPr>
              <w:rPr>
                <w:rFonts w:ascii="Open Sans" w:eastAsia="Times New Roman" w:hAnsi="Open Sans" w:cs="Open Sans"/>
                <w:sz w:val="20"/>
                <w:szCs w:val="20"/>
              </w:rPr>
            </w:pPr>
          </w:p>
        </w:tc>
        <w:tc>
          <w:tcPr>
            <w:tcW w:w="4135" w:type="dxa"/>
          </w:tcPr>
          <w:p w14:paraId="3BCC2661" w14:textId="77777777" w:rsidR="00BD59FE" w:rsidRDefault="00BD59FE" w:rsidP="00D53761">
            <w:pPr>
              <w:rPr>
                <w:rFonts w:ascii="Open Sans" w:eastAsia="Times New Roman" w:hAnsi="Open Sans" w:cs="Open Sans"/>
                <w:sz w:val="20"/>
                <w:szCs w:val="20"/>
              </w:rPr>
            </w:pPr>
            <w:r>
              <w:rPr>
                <w:rFonts w:ascii="Open Sans" w:eastAsia="Times New Roman" w:hAnsi="Open Sans" w:cs="Open Sans"/>
                <w:sz w:val="20"/>
                <w:szCs w:val="20"/>
              </w:rPr>
              <w:t>Creating a Personal Budget – all units</w:t>
            </w:r>
          </w:p>
          <w:p w14:paraId="7A5D94DF" w14:textId="3ED9050E" w:rsidR="00BD59FE" w:rsidRDefault="00BD59FE" w:rsidP="00D53761">
            <w:pPr>
              <w:rPr>
                <w:rFonts w:ascii="Open Sans" w:eastAsia="Times New Roman" w:hAnsi="Open Sans" w:cs="Open Sans"/>
                <w:sz w:val="20"/>
                <w:szCs w:val="20"/>
              </w:rPr>
            </w:pPr>
            <w:r>
              <w:rPr>
                <w:rFonts w:ascii="Open Sans" w:eastAsia="Times New Roman" w:hAnsi="Open Sans" w:cs="Open Sans"/>
                <w:sz w:val="20"/>
                <w:szCs w:val="20"/>
              </w:rPr>
              <w:t>Assets, Liabilities, Net Worth: 29-32</w:t>
            </w:r>
          </w:p>
          <w:p w14:paraId="15779E4B" w14:textId="77777777" w:rsidR="00BD59FE" w:rsidRDefault="00BD59FE" w:rsidP="00BD59FE">
            <w:pPr>
              <w:rPr>
                <w:rFonts w:ascii="Open Sans" w:eastAsia="Times New Roman" w:hAnsi="Open Sans" w:cs="Open Sans"/>
                <w:sz w:val="20"/>
                <w:szCs w:val="20"/>
              </w:rPr>
            </w:pPr>
            <w:r>
              <w:rPr>
                <w:rFonts w:ascii="Open Sans" w:eastAsia="Times New Roman" w:hAnsi="Open Sans" w:cs="Open Sans"/>
                <w:sz w:val="20"/>
                <w:szCs w:val="20"/>
              </w:rPr>
              <w:t>Budgeting: slides 5-25; 52-58</w:t>
            </w:r>
          </w:p>
          <w:p w14:paraId="29006EA0" w14:textId="77777777" w:rsidR="00BD59FE" w:rsidRDefault="00BD59FE" w:rsidP="00BD59FE">
            <w:pPr>
              <w:rPr>
                <w:rFonts w:ascii="Open Sans" w:eastAsia="Times New Roman" w:hAnsi="Open Sans" w:cs="Open Sans"/>
                <w:sz w:val="20"/>
                <w:szCs w:val="20"/>
              </w:rPr>
            </w:pPr>
            <w:r>
              <w:rPr>
                <w:rFonts w:ascii="Open Sans" w:eastAsia="Times New Roman" w:hAnsi="Open Sans" w:cs="Open Sans"/>
                <w:sz w:val="20"/>
                <w:szCs w:val="20"/>
              </w:rPr>
              <w:t>Goals: Slides 34-51</w:t>
            </w:r>
          </w:p>
          <w:p w14:paraId="26A3CC65" w14:textId="4DB47A37" w:rsidR="00BD59FE" w:rsidRDefault="00F64DF3" w:rsidP="00D53761">
            <w:pPr>
              <w:rPr>
                <w:rFonts w:ascii="Open Sans" w:eastAsia="Times New Roman" w:hAnsi="Open Sans" w:cs="Open Sans"/>
                <w:sz w:val="20"/>
                <w:szCs w:val="20"/>
              </w:rPr>
            </w:pPr>
            <w:r>
              <w:rPr>
                <w:rFonts w:ascii="Open Sans" w:eastAsia="Times New Roman" w:hAnsi="Open Sans" w:cs="Open Sans"/>
                <w:sz w:val="20"/>
                <w:szCs w:val="20"/>
              </w:rPr>
              <w:t>Projects: Net Worth</w:t>
            </w:r>
            <w:r w:rsidR="006C72FF">
              <w:rPr>
                <w:rFonts w:ascii="Open Sans" w:eastAsia="Times New Roman" w:hAnsi="Open Sans" w:cs="Open Sans"/>
                <w:sz w:val="20"/>
                <w:szCs w:val="20"/>
              </w:rPr>
              <w:t>; Your Monthly Budget</w:t>
            </w:r>
          </w:p>
          <w:p w14:paraId="15DA8332" w14:textId="5F718329" w:rsidR="001B02DE" w:rsidRDefault="001B02DE" w:rsidP="00D53761">
            <w:pPr>
              <w:rPr>
                <w:rFonts w:ascii="Open Sans" w:eastAsia="Times New Roman" w:hAnsi="Open Sans" w:cs="Open Sans"/>
                <w:sz w:val="20"/>
                <w:szCs w:val="20"/>
              </w:rPr>
            </w:pPr>
          </w:p>
        </w:tc>
      </w:tr>
      <w:tr w:rsidR="001B02DE" w14:paraId="516C6444" w14:textId="77777777" w:rsidTr="00CF1BC0">
        <w:tc>
          <w:tcPr>
            <w:tcW w:w="7555" w:type="dxa"/>
          </w:tcPr>
          <w:p w14:paraId="2BC0ADF4" w14:textId="77777777" w:rsidR="001B02DE" w:rsidRDefault="006D78B6" w:rsidP="001B02DE">
            <w:pPr>
              <w:pStyle w:val="ListParagraph"/>
              <w:numPr>
                <w:ilvl w:val="0"/>
                <w:numId w:val="13"/>
              </w:numPr>
            </w:pPr>
            <w:r>
              <w:t>Understand the availability of consumer protection laws, agencies, and resources. Investigate the availability and reliability of resources to assist consumers in making buying decisions (include national, state, and local resources, as appropriate).</w:t>
            </w:r>
          </w:p>
        </w:tc>
        <w:tc>
          <w:tcPr>
            <w:tcW w:w="630" w:type="dxa"/>
          </w:tcPr>
          <w:p w14:paraId="19DE432F" w14:textId="3487906F" w:rsidR="001B02DE" w:rsidRDefault="00BD59FE" w:rsidP="00D53761">
            <w:pPr>
              <w:rPr>
                <w:rFonts w:ascii="Open Sans" w:eastAsia="Times New Roman" w:hAnsi="Open Sans" w:cs="Open Sans"/>
                <w:sz w:val="20"/>
                <w:szCs w:val="20"/>
              </w:rPr>
            </w:pPr>
            <w:r>
              <w:rPr>
                <w:rFonts w:ascii="Open Sans" w:eastAsia="Times New Roman" w:hAnsi="Open Sans" w:cs="Open Sans"/>
                <w:sz w:val="20"/>
                <w:szCs w:val="20"/>
              </w:rPr>
              <w:t>xxx</w:t>
            </w:r>
          </w:p>
        </w:tc>
        <w:tc>
          <w:tcPr>
            <w:tcW w:w="630" w:type="dxa"/>
          </w:tcPr>
          <w:p w14:paraId="7EC417DF" w14:textId="77777777" w:rsidR="001B02DE" w:rsidRDefault="001B02DE" w:rsidP="00D53761">
            <w:pPr>
              <w:rPr>
                <w:rFonts w:ascii="Open Sans" w:eastAsia="Times New Roman" w:hAnsi="Open Sans" w:cs="Open Sans"/>
                <w:sz w:val="20"/>
                <w:szCs w:val="20"/>
              </w:rPr>
            </w:pPr>
          </w:p>
        </w:tc>
        <w:tc>
          <w:tcPr>
            <w:tcW w:w="4135" w:type="dxa"/>
          </w:tcPr>
          <w:p w14:paraId="68DB1463" w14:textId="77777777" w:rsidR="00BD59FE" w:rsidRDefault="00BD59FE" w:rsidP="00D53761">
            <w:pPr>
              <w:rPr>
                <w:rFonts w:ascii="Open Sans" w:eastAsia="Times New Roman" w:hAnsi="Open Sans" w:cs="Open Sans"/>
                <w:sz w:val="20"/>
                <w:szCs w:val="20"/>
              </w:rPr>
            </w:pPr>
            <w:r>
              <w:rPr>
                <w:rFonts w:ascii="Open Sans" w:eastAsia="Times New Roman" w:hAnsi="Open Sans" w:cs="Open Sans"/>
                <w:sz w:val="20"/>
                <w:szCs w:val="20"/>
              </w:rPr>
              <w:t>Consumer Rights – all units</w:t>
            </w:r>
          </w:p>
          <w:p w14:paraId="610983A6" w14:textId="77777777" w:rsidR="00BD59FE" w:rsidRDefault="00BD59FE" w:rsidP="00D53761">
            <w:pPr>
              <w:rPr>
                <w:rFonts w:ascii="Open Sans" w:eastAsia="Times New Roman" w:hAnsi="Open Sans" w:cs="Open Sans"/>
                <w:sz w:val="20"/>
                <w:szCs w:val="20"/>
              </w:rPr>
            </w:pPr>
            <w:r>
              <w:rPr>
                <w:rFonts w:ascii="Open Sans" w:eastAsia="Times New Roman" w:hAnsi="Open Sans" w:cs="Open Sans"/>
                <w:sz w:val="20"/>
                <w:szCs w:val="20"/>
              </w:rPr>
              <w:t>Consumer rights: 1+17</w:t>
            </w:r>
          </w:p>
          <w:p w14:paraId="2582BA52" w14:textId="77777777" w:rsidR="00BD59FE" w:rsidRDefault="00BD59FE" w:rsidP="00D53761">
            <w:pPr>
              <w:rPr>
                <w:rFonts w:ascii="Open Sans" w:eastAsia="Times New Roman" w:hAnsi="Open Sans" w:cs="Open Sans"/>
                <w:sz w:val="20"/>
                <w:szCs w:val="20"/>
              </w:rPr>
            </w:pPr>
            <w:r>
              <w:rPr>
                <w:rFonts w:ascii="Open Sans" w:eastAsia="Times New Roman" w:hAnsi="Open Sans" w:cs="Open Sans"/>
                <w:sz w:val="20"/>
                <w:szCs w:val="20"/>
              </w:rPr>
              <w:t>FTC: 34</w:t>
            </w:r>
          </w:p>
          <w:p w14:paraId="7F60D785" w14:textId="77777777" w:rsidR="00BD59FE" w:rsidRDefault="00BD59FE" w:rsidP="00D53761">
            <w:pPr>
              <w:rPr>
                <w:rFonts w:ascii="Open Sans" w:eastAsia="Times New Roman" w:hAnsi="Open Sans" w:cs="Open Sans"/>
                <w:sz w:val="20"/>
                <w:szCs w:val="20"/>
              </w:rPr>
            </w:pPr>
            <w:r>
              <w:rPr>
                <w:rFonts w:ascii="Open Sans" w:eastAsia="Times New Roman" w:hAnsi="Open Sans" w:cs="Open Sans"/>
                <w:sz w:val="20"/>
                <w:szCs w:val="20"/>
              </w:rPr>
              <w:t>Consumer Protection Laws: 5-17</w:t>
            </w:r>
          </w:p>
          <w:p w14:paraId="79FF1F71" w14:textId="637CA000" w:rsidR="00BD59FE" w:rsidRDefault="00BD59FE" w:rsidP="00D53761">
            <w:pPr>
              <w:rPr>
                <w:rFonts w:ascii="Open Sans" w:eastAsia="Times New Roman" w:hAnsi="Open Sans" w:cs="Open Sans"/>
                <w:sz w:val="20"/>
                <w:szCs w:val="20"/>
              </w:rPr>
            </w:pPr>
            <w:r>
              <w:rPr>
                <w:rFonts w:ascii="Open Sans" w:eastAsia="Times New Roman" w:hAnsi="Open Sans" w:cs="Open Sans"/>
                <w:sz w:val="20"/>
                <w:szCs w:val="20"/>
              </w:rPr>
              <w:t>Consumer Decision Making: 49</w:t>
            </w:r>
          </w:p>
          <w:p w14:paraId="086DF381" w14:textId="4F5D49B3" w:rsidR="00BD59FE" w:rsidRDefault="00BD59FE" w:rsidP="00D53761">
            <w:pPr>
              <w:rPr>
                <w:rFonts w:ascii="Open Sans" w:eastAsia="Times New Roman" w:hAnsi="Open Sans" w:cs="Open Sans"/>
                <w:sz w:val="20"/>
                <w:szCs w:val="20"/>
              </w:rPr>
            </w:pPr>
            <w:r>
              <w:rPr>
                <w:rFonts w:ascii="Open Sans" w:eastAsia="Times New Roman" w:hAnsi="Open Sans" w:cs="Open Sans"/>
                <w:sz w:val="20"/>
                <w:szCs w:val="20"/>
              </w:rPr>
              <w:t>Borrowing Basics Unit- Borrowing Money unit:</w:t>
            </w:r>
          </w:p>
          <w:p w14:paraId="569D16B2" w14:textId="77777777" w:rsidR="00BD59FE" w:rsidRDefault="00BD59FE" w:rsidP="00D53761">
            <w:pPr>
              <w:rPr>
                <w:rFonts w:ascii="Open Sans" w:eastAsia="Times New Roman" w:hAnsi="Open Sans" w:cs="Open Sans"/>
                <w:sz w:val="20"/>
                <w:szCs w:val="20"/>
              </w:rPr>
            </w:pPr>
            <w:r>
              <w:rPr>
                <w:rFonts w:ascii="Open Sans" w:eastAsia="Times New Roman" w:hAnsi="Open Sans" w:cs="Open Sans"/>
                <w:sz w:val="20"/>
                <w:szCs w:val="20"/>
              </w:rPr>
              <w:t>Consumer Credit Laws: 34-37</w:t>
            </w:r>
          </w:p>
          <w:p w14:paraId="43D4AFE3" w14:textId="650A48F0" w:rsidR="001B02DE" w:rsidRDefault="001B02DE" w:rsidP="00D53761">
            <w:pPr>
              <w:rPr>
                <w:rFonts w:ascii="Open Sans" w:eastAsia="Times New Roman" w:hAnsi="Open Sans" w:cs="Open Sans"/>
                <w:sz w:val="20"/>
                <w:szCs w:val="20"/>
              </w:rPr>
            </w:pPr>
          </w:p>
        </w:tc>
      </w:tr>
      <w:tr w:rsidR="001B02DE" w14:paraId="7D7E684F" w14:textId="77777777" w:rsidTr="00CF1BC0">
        <w:tc>
          <w:tcPr>
            <w:tcW w:w="7555" w:type="dxa"/>
          </w:tcPr>
          <w:p w14:paraId="464F6583" w14:textId="77777777" w:rsidR="001B02DE" w:rsidRDefault="006D78B6" w:rsidP="001B02DE">
            <w:pPr>
              <w:pStyle w:val="ListParagraph"/>
              <w:numPr>
                <w:ilvl w:val="0"/>
                <w:numId w:val="13"/>
              </w:numPr>
            </w:pPr>
            <w:r>
              <w:t>Compare and contrast services and products available from financial service providers such as commercial banks, savings and loans, and credit unions. Identify the services that best support the personal financial goals. Craft an argumentative essay supported by evidence about selecting a specific financial account or service to best meet current and/or future financial goals</w:t>
            </w:r>
          </w:p>
        </w:tc>
        <w:tc>
          <w:tcPr>
            <w:tcW w:w="630" w:type="dxa"/>
          </w:tcPr>
          <w:p w14:paraId="6EF62023" w14:textId="4DC9BD0C" w:rsidR="001B02DE" w:rsidRDefault="00740C51" w:rsidP="00D53761">
            <w:pPr>
              <w:rPr>
                <w:rFonts w:ascii="Open Sans" w:eastAsia="Times New Roman" w:hAnsi="Open Sans" w:cs="Open Sans"/>
                <w:sz w:val="20"/>
                <w:szCs w:val="20"/>
              </w:rPr>
            </w:pPr>
            <w:r>
              <w:rPr>
                <w:rFonts w:ascii="Open Sans" w:eastAsia="Times New Roman" w:hAnsi="Open Sans" w:cs="Open Sans"/>
                <w:sz w:val="20"/>
                <w:szCs w:val="20"/>
              </w:rPr>
              <w:t>xxx</w:t>
            </w:r>
          </w:p>
        </w:tc>
        <w:tc>
          <w:tcPr>
            <w:tcW w:w="630" w:type="dxa"/>
          </w:tcPr>
          <w:p w14:paraId="733BDED7" w14:textId="77777777" w:rsidR="001B02DE" w:rsidRDefault="001B02DE" w:rsidP="00D53761">
            <w:pPr>
              <w:rPr>
                <w:rFonts w:ascii="Open Sans" w:eastAsia="Times New Roman" w:hAnsi="Open Sans" w:cs="Open Sans"/>
                <w:sz w:val="20"/>
                <w:szCs w:val="20"/>
              </w:rPr>
            </w:pPr>
          </w:p>
        </w:tc>
        <w:tc>
          <w:tcPr>
            <w:tcW w:w="4135" w:type="dxa"/>
          </w:tcPr>
          <w:p w14:paraId="5A3DABA8" w14:textId="77777777" w:rsidR="00052644" w:rsidRDefault="00052644" w:rsidP="00D53761">
            <w:pPr>
              <w:rPr>
                <w:rFonts w:ascii="Open Sans" w:eastAsia="Times New Roman" w:hAnsi="Open Sans" w:cs="Open Sans"/>
                <w:sz w:val="20"/>
                <w:szCs w:val="20"/>
              </w:rPr>
            </w:pPr>
            <w:r>
              <w:rPr>
                <w:rFonts w:ascii="Open Sans" w:eastAsia="Times New Roman" w:hAnsi="Open Sans" w:cs="Open Sans"/>
                <w:sz w:val="20"/>
                <w:szCs w:val="20"/>
              </w:rPr>
              <w:t xml:space="preserve">Banking Products &amp; Services – all </w:t>
            </w:r>
          </w:p>
          <w:p w14:paraId="33351EE1" w14:textId="19C8BCC8" w:rsidR="00052644" w:rsidRDefault="00052644" w:rsidP="00D53761">
            <w:pPr>
              <w:rPr>
                <w:rFonts w:ascii="Open Sans" w:eastAsia="Times New Roman" w:hAnsi="Open Sans" w:cs="Open Sans"/>
                <w:sz w:val="20"/>
                <w:szCs w:val="20"/>
              </w:rPr>
            </w:pPr>
            <w:r>
              <w:rPr>
                <w:rFonts w:ascii="Open Sans" w:eastAsia="Times New Roman" w:hAnsi="Open Sans" w:cs="Open Sans"/>
                <w:sz w:val="20"/>
                <w:szCs w:val="20"/>
              </w:rPr>
              <w:t>Financial Institutions: 27-45</w:t>
            </w:r>
          </w:p>
          <w:p w14:paraId="44FF040C" w14:textId="7A073FBF" w:rsidR="00052644" w:rsidRDefault="00052644" w:rsidP="00D53761">
            <w:pPr>
              <w:rPr>
                <w:rFonts w:ascii="Open Sans" w:eastAsia="Times New Roman" w:hAnsi="Open Sans" w:cs="Open Sans"/>
                <w:sz w:val="20"/>
                <w:szCs w:val="20"/>
              </w:rPr>
            </w:pPr>
            <w:r>
              <w:rPr>
                <w:rFonts w:ascii="Open Sans" w:eastAsia="Times New Roman" w:hAnsi="Open Sans" w:cs="Open Sans"/>
                <w:sz w:val="20"/>
                <w:szCs w:val="20"/>
              </w:rPr>
              <w:t>Depository: 28</w:t>
            </w:r>
          </w:p>
          <w:p w14:paraId="094BE5EC" w14:textId="529ECED9" w:rsidR="00052644" w:rsidRDefault="00052644" w:rsidP="00D53761">
            <w:pPr>
              <w:rPr>
                <w:rFonts w:ascii="Open Sans" w:eastAsia="Times New Roman" w:hAnsi="Open Sans" w:cs="Open Sans"/>
                <w:sz w:val="20"/>
                <w:szCs w:val="20"/>
              </w:rPr>
            </w:pPr>
            <w:r>
              <w:rPr>
                <w:rFonts w:ascii="Open Sans" w:eastAsia="Times New Roman" w:hAnsi="Open Sans" w:cs="Open Sans"/>
                <w:sz w:val="20"/>
                <w:szCs w:val="20"/>
              </w:rPr>
              <w:t>Commercial Banks: 29-30</w:t>
            </w:r>
          </w:p>
          <w:p w14:paraId="31724C80" w14:textId="4FFD597B" w:rsidR="00052644" w:rsidRDefault="00052644" w:rsidP="00D53761">
            <w:pPr>
              <w:rPr>
                <w:rFonts w:ascii="Open Sans" w:eastAsia="Times New Roman" w:hAnsi="Open Sans" w:cs="Open Sans"/>
                <w:sz w:val="20"/>
                <w:szCs w:val="20"/>
              </w:rPr>
            </w:pPr>
            <w:r>
              <w:rPr>
                <w:rFonts w:ascii="Open Sans" w:eastAsia="Times New Roman" w:hAnsi="Open Sans" w:cs="Open Sans"/>
                <w:sz w:val="20"/>
                <w:szCs w:val="20"/>
              </w:rPr>
              <w:t>Retail Banks: 31-32</w:t>
            </w:r>
          </w:p>
          <w:p w14:paraId="455E9761" w14:textId="38D31F8F" w:rsidR="00052644" w:rsidRDefault="00052644" w:rsidP="00D53761">
            <w:pPr>
              <w:rPr>
                <w:rFonts w:ascii="Open Sans" w:eastAsia="Times New Roman" w:hAnsi="Open Sans" w:cs="Open Sans"/>
                <w:sz w:val="20"/>
                <w:szCs w:val="20"/>
              </w:rPr>
            </w:pPr>
            <w:r>
              <w:rPr>
                <w:rFonts w:ascii="Open Sans" w:eastAsia="Times New Roman" w:hAnsi="Open Sans" w:cs="Open Sans"/>
                <w:sz w:val="20"/>
                <w:szCs w:val="20"/>
              </w:rPr>
              <w:t>Credit Union: 33-34</w:t>
            </w:r>
          </w:p>
          <w:p w14:paraId="166E7ECD" w14:textId="3E8970EB" w:rsidR="00052644" w:rsidRDefault="00052644" w:rsidP="00D53761">
            <w:pPr>
              <w:rPr>
                <w:rFonts w:ascii="Open Sans" w:eastAsia="Times New Roman" w:hAnsi="Open Sans" w:cs="Open Sans"/>
                <w:sz w:val="20"/>
                <w:szCs w:val="20"/>
              </w:rPr>
            </w:pPr>
            <w:r>
              <w:rPr>
                <w:rFonts w:ascii="Open Sans" w:eastAsia="Times New Roman" w:hAnsi="Open Sans" w:cs="Open Sans"/>
                <w:sz w:val="20"/>
                <w:szCs w:val="20"/>
              </w:rPr>
              <w:t>S&amp;L: 35-36</w:t>
            </w:r>
          </w:p>
          <w:p w14:paraId="39BDCA21" w14:textId="19BFCCAE" w:rsidR="00052644" w:rsidRDefault="00052644" w:rsidP="00D53761">
            <w:pPr>
              <w:rPr>
                <w:rFonts w:ascii="Open Sans" w:eastAsia="Times New Roman" w:hAnsi="Open Sans" w:cs="Open Sans"/>
                <w:sz w:val="20"/>
                <w:szCs w:val="20"/>
              </w:rPr>
            </w:pPr>
            <w:r>
              <w:rPr>
                <w:rFonts w:ascii="Open Sans" w:eastAsia="Times New Roman" w:hAnsi="Open Sans" w:cs="Open Sans"/>
                <w:sz w:val="20"/>
                <w:szCs w:val="20"/>
              </w:rPr>
              <w:t>Others: 37-45</w:t>
            </w:r>
          </w:p>
          <w:p w14:paraId="6E1BE3A9" w14:textId="0FDF1027" w:rsidR="00284EF7" w:rsidRDefault="00284EF7" w:rsidP="00D53761">
            <w:pPr>
              <w:rPr>
                <w:rFonts w:ascii="Open Sans" w:eastAsia="Times New Roman" w:hAnsi="Open Sans" w:cs="Open Sans"/>
                <w:sz w:val="20"/>
                <w:szCs w:val="20"/>
              </w:rPr>
            </w:pPr>
            <w:r>
              <w:rPr>
                <w:rFonts w:ascii="Open Sans" w:eastAsia="Times New Roman" w:hAnsi="Open Sans" w:cs="Open Sans"/>
                <w:sz w:val="20"/>
                <w:szCs w:val="20"/>
              </w:rPr>
              <w:t>Project: Which Do You Prefer</w:t>
            </w:r>
          </w:p>
          <w:p w14:paraId="5AE0CF52" w14:textId="676F0719" w:rsidR="001B02DE" w:rsidRDefault="001B02DE" w:rsidP="00D53761">
            <w:pPr>
              <w:rPr>
                <w:rFonts w:ascii="Open Sans" w:eastAsia="Times New Roman" w:hAnsi="Open Sans" w:cs="Open Sans"/>
                <w:sz w:val="20"/>
                <w:szCs w:val="20"/>
              </w:rPr>
            </w:pPr>
          </w:p>
        </w:tc>
      </w:tr>
      <w:tr w:rsidR="001B02DE" w14:paraId="48831C6C" w14:textId="77777777" w:rsidTr="00CF1BC0">
        <w:tc>
          <w:tcPr>
            <w:tcW w:w="7555" w:type="dxa"/>
          </w:tcPr>
          <w:p w14:paraId="757491A3" w14:textId="77777777" w:rsidR="001B02DE" w:rsidRDefault="006D78B6" w:rsidP="001B02DE">
            <w:pPr>
              <w:pStyle w:val="ListParagraph"/>
              <w:numPr>
                <w:ilvl w:val="0"/>
                <w:numId w:val="13"/>
              </w:numPr>
            </w:pPr>
            <w:r>
              <w:t>Compare and contrast the various sources and types of consumer credit, such as student loans, auto loans, store credit cards, and payday loans. Draw conclusions about the types of credit best suited for financing and/or purchasing various goods and services, defending claims with specific textual evidence.</w:t>
            </w:r>
          </w:p>
        </w:tc>
        <w:tc>
          <w:tcPr>
            <w:tcW w:w="630" w:type="dxa"/>
          </w:tcPr>
          <w:p w14:paraId="14040CA2" w14:textId="5598FA7C" w:rsidR="001B02DE" w:rsidRDefault="00740C51" w:rsidP="00D53761">
            <w:pPr>
              <w:rPr>
                <w:rFonts w:ascii="Open Sans" w:eastAsia="Times New Roman" w:hAnsi="Open Sans" w:cs="Open Sans"/>
                <w:sz w:val="20"/>
                <w:szCs w:val="20"/>
              </w:rPr>
            </w:pPr>
            <w:r>
              <w:rPr>
                <w:rFonts w:ascii="Open Sans" w:eastAsia="Times New Roman" w:hAnsi="Open Sans" w:cs="Open Sans"/>
                <w:sz w:val="20"/>
                <w:szCs w:val="20"/>
              </w:rPr>
              <w:t>xxx</w:t>
            </w:r>
          </w:p>
        </w:tc>
        <w:tc>
          <w:tcPr>
            <w:tcW w:w="630" w:type="dxa"/>
          </w:tcPr>
          <w:p w14:paraId="7A656469" w14:textId="77777777" w:rsidR="001B02DE" w:rsidRDefault="001B02DE" w:rsidP="00D53761">
            <w:pPr>
              <w:rPr>
                <w:rFonts w:ascii="Open Sans" w:eastAsia="Times New Roman" w:hAnsi="Open Sans" w:cs="Open Sans"/>
                <w:sz w:val="20"/>
                <w:szCs w:val="20"/>
              </w:rPr>
            </w:pPr>
          </w:p>
        </w:tc>
        <w:tc>
          <w:tcPr>
            <w:tcW w:w="4135" w:type="dxa"/>
          </w:tcPr>
          <w:p w14:paraId="4D5A44E0" w14:textId="77777777" w:rsidR="00052644" w:rsidRDefault="00052644" w:rsidP="00052644">
            <w:pPr>
              <w:rPr>
                <w:rFonts w:ascii="Open Sans" w:eastAsia="Times New Roman" w:hAnsi="Open Sans" w:cs="Open Sans"/>
                <w:sz w:val="20"/>
                <w:szCs w:val="20"/>
              </w:rPr>
            </w:pPr>
            <w:r>
              <w:rPr>
                <w:rFonts w:ascii="Open Sans" w:eastAsia="Times New Roman" w:hAnsi="Open Sans" w:cs="Open Sans"/>
                <w:sz w:val="20"/>
                <w:szCs w:val="20"/>
              </w:rPr>
              <w:t xml:space="preserve">Banking Products &amp; Services – all </w:t>
            </w:r>
          </w:p>
          <w:p w14:paraId="1B112D14" w14:textId="77777777" w:rsidR="00052644" w:rsidRDefault="00052644" w:rsidP="00052644">
            <w:pPr>
              <w:rPr>
                <w:rFonts w:ascii="Open Sans" w:eastAsia="Times New Roman" w:hAnsi="Open Sans" w:cs="Open Sans"/>
                <w:sz w:val="20"/>
                <w:szCs w:val="20"/>
              </w:rPr>
            </w:pPr>
            <w:r>
              <w:rPr>
                <w:rFonts w:ascii="Open Sans" w:eastAsia="Times New Roman" w:hAnsi="Open Sans" w:cs="Open Sans"/>
                <w:sz w:val="20"/>
                <w:szCs w:val="20"/>
              </w:rPr>
              <w:t>Checking: 9-12</w:t>
            </w:r>
          </w:p>
          <w:p w14:paraId="7CFB1AB9" w14:textId="77777777" w:rsidR="00052644" w:rsidRDefault="00052644" w:rsidP="00052644">
            <w:pPr>
              <w:rPr>
                <w:rFonts w:ascii="Open Sans" w:eastAsia="Times New Roman" w:hAnsi="Open Sans" w:cs="Open Sans"/>
                <w:sz w:val="20"/>
                <w:szCs w:val="20"/>
              </w:rPr>
            </w:pPr>
            <w:r>
              <w:rPr>
                <w:rFonts w:ascii="Open Sans" w:eastAsia="Times New Roman" w:hAnsi="Open Sans" w:cs="Open Sans"/>
                <w:sz w:val="20"/>
                <w:szCs w:val="20"/>
              </w:rPr>
              <w:t>Savings: 13-14</w:t>
            </w:r>
          </w:p>
          <w:p w14:paraId="483D2FD4" w14:textId="77777777" w:rsidR="00052644" w:rsidRDefault="00052644" w:rsidP="00052644">
            <w:pPr>
              <w:rPr>
                <w:rFonts w:ascii="Open Sans" w:eastAsia="Times New Roman" w:hAnsi="Open Sans" w:cs="Open Sans"/>
                <w:sz w:val="20"/>
                <w:szCs w:val="20"/>
              </w:rPr>
            </w:pPr>
            <w:r>
              <w:rPr>
                <w:rFonts w:ascii="Open Sans" w:eastAsia="Times New Roman" w:hAnsi="Open Sans" w:cs="Open Sans"/>
                <w:sz w:val="20"/>
                <w:szCs w:val="20"/>
              </w:rPr>
              <w:t>Loans: 15-19</w:t>
            </w:r>
          </w:p>
          <w:p w14:paraId="6E60C555" w14:textId="77777777" w:rsidR="00052644" w:rsidRDefault="00052644" w:rsidP="00052644">
            <w:pPr>
              <w:rPr>
                <w:rFonts w:ascii="Open Sans" w:eastAsia="Times New Roman" w:hAnsi="Open Sans" w:cs="Open Sans"/>
                <w:sz w:val="20"/>
                <w:szCs w:val="20"/>
              </w:rPr>
            </w:pPr>
            <w:r>
              <w:rPr>
                <w:rFonts w:ascii="Open Sans" w:eastAsia="Times New Roman" w:hAnsi="Open Sans" w:cs="Open Sans"/>
                <w:sz w:val="20"/>
                <w:szCs w:val="20"/>
              </w:rPr>
              <w:t>Debit: 20</w:t>
            </w:r>
          </w:p>
          <w:p w14:paraId="117F4E9C" w14:textId="68A0E027" w:rsidR="00052644" w:rsidRDefault="00052644" w:rsidP="00052644">
            <w:pPr>
              <w:rPr>
                <w:rFonts w:ascii="Open Sans" w:eastAsia="Times New Roman" w:hAnsi="Open Sans" w:cs="Open Sans"/>
                <w:sz w:val="20"/>
                <w:szCs w:val="20"/>
              </w:rPr>
            </w:pPr>
            <w:r>
              <w:rPr>
                <w:rFonts w:ascii="Open Sans" w:eastAsia="Times New Roman" w:hAnsi="Open Sans" w:cs="Open Sans"/>
                <w:sz w:val="20"/>
                <w:szCs w:val="20"/>
              </w:rPr>
              <w:t>Credit: 21</w:t>
            </w:r>
          </w:p>
          <w:p w14:paraId="7EC433DF" w14:textId="1F573065" w:rsidR="00052644" w:rsidRDefault="00052644" w:rsidP="00052644">
            <w:pPr>
              <w:rPr>
                <w:rFonts w:ascii="Open Sans" w:eastAsia="Times New Roman" w:hAnsi="Open Sans" w:cs="Open Sans"/>
                <w:sz w:val="20"/>
                <w:szCs w:val="20"/>
              </w:rPr>
            </w:pPr>
            <w:r>
              <w:rPr>
                <w:rFonts w:ascii="Open Sans" w:eastAsia="Times New Roman" w:hAnsi="Open Sans" w:cs="Open Sans"/>
                <w:sz w:val="20"/>
                <w:szCs w:val="20"/>
              </w:rPr>
              <w:t>Borrowing Basics- all units</w:t>
            </w:r>
          </w:p>
          <w:p w14:paraId="6EE86017" w14:textId="24A9DEED" w:rsidR="00052644" w:rsidRDefault="00052644" w:rsidP="00052644">
            <w:pPr>
              <w:rPr>
                <w:rFonts w:ascii="Open Sans" w:eastAsia="Times New Roman" w:hAnsi="Open Sans" w:cs="Open Sans"/>
                <w:sz w:val="20"/>
                <w:szCs w:val="20"/>
              </w:rPr>
            </w:pPr>
            <w:r>
              <w:rPr>
                <w:rFonts w:ascii="Open Sans" w:eastAsia="Times New Roman" w:hAnsi="Open Sans" w:cs="Open Sans"/>
                <w:sz w:val="20"/>
                <w:szCs w:val="20"/>
              </w:rPr>
              <w:t>Credit: 3-38</w:t>
            </w:r>
          </w:p>
          <w:p w14:paraId="23D9EFEF" w14:textId="1CD4F463" w:rsidR="00052644" w:rsidRDefault="00052644" w:rsidP="00052644">
            <w:pPr>
              <w:rPr>
                <w:rFonts w:ascii="Open Sans" w:eastAsia="Times New Roman" w:hAnsi="Open Sans" w:cs="Open Sans"/>
                <w:sz w:val="20"/>
                <w:szCs w:val="20"/>
              </w:rPr>
            </w:pPr>
            <w:r>
              <w:rPr>
                <w:rFonts w:ascii="Open Sans" w:eastAsia="Times New Roman" w:hAnsi="Open Sans" w:cs="Open Sans"/>
                <w:sz w:val="20"/>
                <w:szCs w:val="20"/>
              </w:rPr>
              <w:t>Loans: 40-48</w:t>
            </w:r>
          </w:p>
          <w:p w14:paraId="1ECA0DE0" w14:textId="6EFA0EA1" w:rsidR="001B02DE" w:rsidRDefault="001B02DE" w:rsidP="00D53761">
            <w:pPr>
              <w:rPr>
                <w:rFonts w:ascii="Open Sans" w:eastAsia="Times New Roman" w:hAnsi="Open Sans" w:cs="Open Sans"/>
                <w:sz w:val="20"/>
                <w:szCs w:val="20"/>
              </w:rPr>
            </w:pPr>
          </w:p>
        </w:tc>
      </w:tr>
      <w:tr w:rsidR="001B02DE" w14:paraId="7833B1A6" w14:textId="77777777" w:rsidTr="00CF1BC0">
        <w:tc>
          <w:tcPr>
            <w:tcW w:w="7555" w:type="dxa"/>
          </w:tcPr>
          <w:p w14:paraId="68E6311A" w14:textId="77777777" w:rsidR="001B02DE" w:rsidRDefault="006D78B6" w:rsidP="001B02DE">
            <w:pPr>
              <w:pStyle w:val="ListParagraph"/>
              <w:numPr>
                <w:ilvl w:val="0"/>
                <w:numId w:val="13"/>
              </w:numPr>
            </w:pPr>
            <w:r>
              <w:t>Citing information from at least one of the three major credit reporting agencies, describe credit reports and credit scores. Describe the relationship between consumers and credit reports/credit scores, discussing their importance and citing specific textual evidence from research. Analyze a sample credit report and interpret how the contents may affect the credit score. Explain how the credit score may impact borrowing opportunities and the cost of credit. Summarize specific activities used to maintain a good credit score.</w:t>
            </w:r>
          </w:p>
        </w:tc>
        <w:tc>
          <w:tcPr>
            <w:tcW w:w="630" w:type="dxa"/>
          </w:tcPr>
          <w:p w14:paraId="61F6926D" w14:textId="06F5CA2A" w:rsidR="001B02DE" w:rsidRDefault="00EF4B39" w:rsidP="00D53761">
            <w:pPr>
              <w:rPr>
                <w:rFonts w:ascii="Open Sans" w:eastAsia="Times New Roman" w:hAnsi="Open Sans" w:cs="Open Sans"/>
                <w:sz w:val="20"/>
                <w:szCs w:val="20"/>
              </w:rPr>
            </w:pPr>
            <w:r>
              <w:rPr>
                <w:rFonts w:ascii="Open Sans" w:eastAsia="Times New Roman" w:hAnsi="Open Sans" w:cs="Open Sans"/>
                <w:sz w:val="20"/>
                <w:szCs w:val="20"/>
              </w:rPr>
              <w:t>xxx</w:t>
            </w:r>
          </w:p>
        </w:tc>
        <w:tc>
          <w:tcPr>
            <w:tcW w:w="630" w:type="dxa"/>
          </w:tcPr>
          <w:p w14:paraId="4B5C5396" w14:textId="77777777" w:rsidR="001B02DE" w:rsidRDefault="001B02DE" w:rsidP="00D53761">
            <w:pPr>
              <w:rPr>
                <w:rFonts w:ascii="Open Sans" w:eastAsia="Times New Roman" w:hAnsi="Open Sans" w:cs="Open Sans"/>
                <w:sz w:val="20"/>
                <w:szCs w:val="20"/>
              </w:rPr>
            </w:pPr>
          </w:p>
        </w:tc>
        <w:tc>
          <w:tcPr>
            <w:tcW w:w="4135" w:type="dxa"/>
          </w:tcPr>
          <w:p w14:paraId="7CBFB8C7" w14:textId="77777777" w:rsidR="00EF4B39" w:rsidRDefault="00EF4B39" w:rsidP="00D53761">
            <w:pPr>
              <w:rPr>
                <w:rFonts w:ascii="Open Sans" w:eastAsia="Times New Roman" w:hAnsi="Open Sans" w:cs="Open Sans"/>
                <w:sz w:val="20"/>
                <w:szCs w:val="20"/>
              </w:rPr>
            </w:pPr>
            <w:r>
              <w:rPr>
                <w:rFonts w:ascii="Open Sans" w:eastAsia="Times New Roman" w:hAnsi="Open Sans" w:cs="Open Sans"/>
                <w:sz w:val="20"/>
                <w:szCs w:val="20"/>
              </w:rPr>
              <w:t>Borrowing Basics: 23-33</w:t>
            </w:r>
          </w:p>
          <w:p w14:paraId="6FAD10A5" w14:textId="77777777" w:rsidR="00EF4B39" w:rsidRDefault="00EF4B39" w:rsidP="00D53761">
            <w:pPr>
              <w:rPr>
                <w:rFonts w:ascii="Open Sans" w:eastAsia="Times New Roman" w:hAnsi="Open Sans" w:cs="Open Sans"/>
                <w:sz w:val="20"/>
                <w:szCs w:val="20"/>
              </w:rPr>
            </w:pPr>
            <w:r>
              <w:rPr>
                <w:rFonts w:ascii="Open Sans" w:eastAsia="Times New Roman" w:hAnsi="Open Sans" w:cs="Open Sans"/>
                <w:sz w:val="20"/>
                <w:szCs w:val="20"/>
              </w:rPr>
              <w:t>Credit Score: 23-24; 27</w:t>
            </w:r>
          </w:p>
          <w:p w14:paraId="1FEE0DDE" w14:textId="01573744" w:rsidR="00EF4B39" w:rsidRDefault="00EF4B39" w:rsidP="00D53761">
            <w:pPr>
              <w:rPr>
                <w:rFonts w:ascii="Open Sans" w:eastAsia="Times New Roman" w:hAnsi="Open Sans" w:cs="Open Sans"/>
                <w:sz w:val="20"/>
                <w:szCs w:val="20"/>
              </w:rPr>
            </w:pPr>
            <w:r>
              <w:rPr>
                <w:rFonts w:ascii="Open Sans" w:eastAsia="Times New Roman" w:hAnsi="Open Sans" w:cs="Open Sans"/>
                <w:sz w:val="20"/>
                <w:szCs w:val="20"/>
              </w:rPr>
              <w:t>Credit Report: 28-31</w:t>
            </w:r>
          </w:p>
          <w:p w14:paraId="09EFEA0C" w14:textId="0372F99E" w:rsidR="00EF4B39" w:rsidRDefault="00EF4B39" w:rsidP="00D53761">
            <w:pPr>
              <w:rPr>
                <w:rFonts w:ascii="Open Sans" w:eastAsia="Times New Roman" w:hAnsi="Open Sans" w:cs="Open Sans"/>
                <w:sz w:val="20"/>
                <w:szCs w:val="20"/>
              </w:rPr>
            </w:pPr>
            <w:r>
              <w:rPr>
                <w:rFonts w:ascii="Open Sans" w:eastAsia="Times New Roman" w:hAnsi="Open Sans" w:cs="Open Sans"/>
                <w:sz w:val="20"/>
                <w:szCs w:val="20"/>
              </w:rPr>
              <w:t>Credit Worthiness: 25-26</w:t>
            </w:r>
          </w:p>
          <w:p w14:paraId="52DF213E" w14:textId="100AC616" w:rsidR="00EF4B39" w:rsidRDefault="00EF4B39" w:rsidP="00D53761">
            <w:pPr>
              <w:rPr>
                <w:rFonts w:ascii="Open Sans" w:eastAsia="Times New Roman" w:hAnsi="Open Sans" w:cs="Open Sans"/>
                <w:sz w:val="20"/>
                <w:szCs w:val="20"/>
              </w:rPr>
            </w:pPr>
            <w:r>
              <w:rPr>
                <w:rFonts w:ascii="Open Sans" w:eastAsia="Times New Roman" w:hAnsi="Open Sans" w:cs="Open Sans"/>
                <w:sz w:val="20"/>
                <w:szCs w:val="20"/>
              </w:rPr>
              <w:t>Good Credit Management: 33</w:t>
            </w:r>
          </w:p>
          <w:p w14:paraId="2FFF823A" w14:textId="1B5AB179" w:rsidR="001B02DE" w:rsidRDefault="00EF4B39" w:rsidP="00D53761">
            <w:pPr>
              <w:rPr>
                <w:rFonts w:ascii="Open Sans" w:eastAsia="Times New Roman" w:hAnsi="Open Sans" w:cs="Open Sans"/>
                <w:sz w:val="20"/>
                <w:szCs w:val="20"/>
              </w:rPr>
            </w:pPr>
            <w:r>
              <w:rPr>
                <w:rFonts w:ascii="Open Sans" w:eastAsia="Times New Roman" w:hAnsi="Open Sans" w:cs="Open Sans"/>
                <w:sz w:val="20"/>
                <w:szCs w:val="20"/>
              </w:rPr>
              <w:t>Activity – Sample Credit Report</w:t>
            </w:r>
          </w:p>
        </w:tc>
      </w:tr>
      <w:tr w:rsidR="001B02DE" w14:paraId="6C2BEBD9" w14:textId="77777777" w:rsidTr="00CF1BC0">
        <w:tc>
          <w:tcPr>
            <w:tcW w:w="7555" w:type="dxa"/>
          </w:tcPr>
          <w:p w14:paraId="7233318D" w14:textId="77777777" w:rsidR="001B02DE" w:rsidRDefault="006D78B6" w:rsidP="001B02DE">
            <w:pPr>
              <w:pStyle w:val="ListParagraph"/>
              <w:numPr>
                <w:ilvl w:val="0"/>
                <w:numId w:val="13"/>
              </w:numPr>
            </w:pPr>
            <w:r>
              <w:t>Citing evidence found in credit applications, compare and contrast various types of credit and calculate the real cost of borrowing. Explain factors that can affect the approval process associated with each type. Identify typical information and procedures required in the credit application process. Analyze factors associated with the purchase of an automobile and defend a specific buying decision, including: a. Define and understand factors most often included in negotiations (such as cash vs. financing, inclusion of trade-in, etc.). b. Evaluate costs and benefits of different service contract and/or warranty options. c. Compare and contrast available financing options based on consumer characteristics and size of down payment</w:t>
            </w:r>
            <w:r w:rsidR="001B02DE">
              <w:t>.</w:t>
            </w:r>
          </w:p>
        </w:tc>
        <w:tc>
          <w:tcPr>
            <w:tcW w:w="630" w:type="dxa"/>
          </w:tcPr>
          <w:p w14:paraId="3100DEFE" w14:textId="77777777" w:rsidR="001B02DE" w:rsidRDefault="001B02DE" w:rsidP="00D53761">
            <w:pPr>
              <w:rPr>
                <w:rFonts w:ascii="Open Sans" w:eastAsia="Times New Roman" w:hAnsi="Open Sans" w:cs="Open Sans"/>
                <w:sz w:val="20"/>
                <w:szCs w:val="20"/>
              </w:rPr>
            </w:pPr>
          </w:p>
        </w:tc>
        <w:tc>
          <w:tcPr>
            <w:tcW w:w="630" w:type="dxa"/>
          </w:tcPr>
          <w:p w14:paraId="097777FD" w14:textId="07D9827F" w:rsidR="001B02DE" w:rsidRDefault="00262393" w:rsidP="00D53761">
            <w:pPr>
              <w:rPr>
                <w:rFonts w:ascii="Open Sans" w:eastAsia="Times New Roman" w:hAnsi="Open Sans" w:cs="Open Sans"/>
                <w:sz w:val="20"/>
                <w:szCs w:val="20"/>
              </w:rPr>
            </w:pPr>
            <w:r w:rsidRPr="008B1DCC">
              <w:rPr>
                <w:rFonts w:ascii="Open Sans" w:eastAsia="Times New Roman" w:hAnsi="Open Sans" w:cs="Open Sans"/>
                <w:sz w:val="20"/>
                <w:szCs w:val="20"/>
              </w:rPr>
              <w:t>xxx</w:t>
            </w:r>
          </w:p>
        </w:tc>
        <w:tc>
          <w:tcPr>
            <w:tcW w:w="4135" w:type="dxa"/>
          </w:tcPr>
          <w:p w14:paraId="348D20D0" w14:textId="77777777" w:rsidR="00EF4B39" w:rsidRDefault="00EF4B39" w:rsidP="00D53761">
            <w:pPr>
              <w:rPr>
                <w:rFonts w:ascii="Open Sans" w:eastAsia="Times New Roman" w:hAnsi="Open Sans" w:cs="Open Sans"/>
                <w:sz w:val="20"/>
                <w:szCs w:val="20"/>
              </w:rPr>
            </w:pPr>
            <w:r>
              <w:rPr>
                <w:rFonts w:ascii="Open Sans" w:eastAsia="Times New Roman" w:hAnsi="Open Sans" w:cs="Open Sans"/>
                <w:sz w:val="20"/>
                <w:szCs w:val="20"/>
              </w:rPr>
              <w:t>Borrowing Basics: all units</w:t>
            </w:r>
          </w:p>
          <w:p w14:paraId="30D0846A" w14:textId="77777777" w:rsidR="00262393" w:rsidRDefault="00262393" w:rsidP="00D53761">
            <w:pPr>
              <w:rPr>
                <w:rFonts w:ascii="Open Sans" w:eastAsia="Times New Roman" w:hAnsi="Open Sans" w:cs="Open Sans"/>
                <w:sz w:val="20"/>
                <w:szCs w:val="20"/>
              </w:rPr>
            </w:pPr>
            <w:r>
              <w:rPr>
                <w:rFonts w:ascii="Open Sans" w:eastAsia="Times New Roman" w:hAnsi="Open Sans" w:cs="Open Sans"/>
                <w:sz w:val="20"/>
                <w:szCs w:val="20"/>
              </w:rPr>
              <w:t>Components of Borrowing Money: 48</w:t>
            </w:r>
          </w:p>
          <w:p w14:paraId="5B52E241" w14:textId="77777777" w:rsidR="00262393" w:rsidRDefault="00262393" w:rsidP="00D53761">
            <w:pPr>
              <w:rPr>
                <w:rFonts w:ascii="Open Sans" w:eastAsia="Times New Roman" w:hAnsi="Open Sans" w:cs="Open Sans"/>
                <w:sz w:val="20"/>
                <w:szCs w:val="20"/>
              </w:rPr>
            </w:pPr>
            <w:r>
              <w:rPr>
                <w:rFonts w:ascii="Open Sans" w:eastAsia="Times New Roman" w:hAnsi="Open Sans" w:cs="Open Sans"/>
                <w:sz w:val="20"/>
                <w:szCs w:val="20"/>
              </w:rPr>
              <w:t>APR: 49</w:t>
            </w:r>
          </w:p>
          <w:p w14:paraId="17C35F36" w14:textId="77777777" w:rsidR="00262393" w:rsidRDefault="00262393" w:rsidP="00D53761">
            <w:pPr>
              <w:rPr>
                <w:rFonts w:ascii="Open Sans" w:eastAsia="Times New Roman" w:hAnsi="Open Sans" w:cs="Open Sans"/>
                <w:sz w:val="20"/>
                <w:szCs w:val="20"/>
              </w:rPr>
            </w:pPr>
            <w:r>
              <w:rPr>
                <w:rFonts w:ascii="Open Sans" w:eastAsia="Times New Roman" w:hAnsi="Open Sans" w:cs="Open Sans"/>
                <w:sz w:val="20"/>
                <w:szCs w:val="20"/>
              </w:rPr>
              <w:t>Fixed/Variable Interest: 50-52</w:t>
            </w:r>
          </w:p>
          <w:p w14:paraId="6A508122" w14:textId="4FC85161" w:rsidR="00262393" w:rsidRDefault="00262393" w:rsidP="00D53761">
            <w:pPr>
              <w:rPr>
                <w:rFonts w:ascii="Open Sans" w:eastAsia="Times New Roman" w:hAnsi="Open Sans" w:cs="Open Sans"/>
                <w:sz w:val="20"/>
                <w:szCs w:val="20"/>
              </w:rPr>
            </w:pPr>
            <w:r>
              <w:rPr>
                <w:rFonts w:ascii="Open Sans" w:eastAsia="Times New Roman" w:hAnsi="Open Sans" w:cs="Open Sans"/>
                <w:sz w:val="20"/>
                <w:szCs w:val="20"/>
              </w:rPr>
              <w:t>“Real Cost of Borrowing” minimal coverage</w:t>
            </w:r>
            <w:r w:rsidR="0039302B">
              <w:rPr>
                <w:rFonts w:ascii="Open Sans" w:eastAsia="Times New Roman" w:hAnsi="Open Sans" w:cs="Open Sans"/>
                <w:sz w:val="20"/>
                <w:szCs w:val="20"/>
              </w:rPr>
              <w:t xml:space="preserve"> </w:t>
            </w:r>
          </w:p>
          <w:p w14:paraId="454A3631" w14:textId="77777777" w:rsidR="00262393" w:rsidRDefault="00262393" w:rsidP="00D53761">
            <w:pPr>
              <w:rPr>
                <w:rFonts w:ascii="Open Sans" w:eastAsia="Times New Roman" w:hAnsi="Open Sans" w:cs="Open Sans"/>
                <w:sz w:val="20"/>
                <w:szCs w:val="20"/>
              </w:rPr>
            </w:pPr>
          </w:p>
          <w:p w14:paraId="284FC198" w14:textId="77777777" w:rsidR="00262393" w:rsidRDefault="00262393" w:rsidP="00D53761">
            <w:pPr>
              <w:rPr>
                <w:rFonts w:ascii="Open Sans" w:eastAsia="Times New Roman" w:hAnsi="Open Sans" w:cs="Open Sans"/>
                <w:sz w:val="20"/>
                <w:szCs w:val="20"/>
              </w:rPr>
            </w:pPr>
            <w:r>
              <w:rPr>
                <w:rFonts w:ascii="Open Sans" w:eastAsia="Times New Roman" w:hAnsi="Open Sans" w:cs="Open Sans"/>
                <w:sz w:val="20"/>
                <w:szCs w:val="20"/>
              </w:rPr>
              <w:t>Car Buying Basics:</w:t>
            </w:r>
          </w:p>
          <w:p w14:paraId="7CB936D9" w14:textId="7C2AAD8D" w:rsidR="00262393" w:rsidRDefault="00262393" w:rsidP="00D53761">
            <w:pPr>
              <w:rPr>
                <w:rFonts w:ascii="Open Sans" w:eastAsia="Times New Roman" w:hAnsi="Open Sans" w:cs="Open Sans"/>
                <w:sz w:val="20"/>
                <w:szCs w:val="20"/>
              </w:rPr>
            </w:pPr>
            <w:r>
              <w:rPr>
                <w:rFonts w:ascii="Open Sans" w:eastAsia="Times New Roman" w:hAnsi="Open Sans" w:cs="Open Sans"/>
                <w:sz w:val="20"/>
                <w:szCs w:val="20"/>
              </w:rPr>
              <w:t>Determining your Budget video</w:t>
            </w:r>
          </w:p>
          <w:p w14:paraId="4742E3DA" w14:textId="529DD82F" w:rsidR="001B02DE" w:rsidRDefault="00262393" w:rsidP="00D53761">
            <w:pPr>
              <w:rPr>
                <w:rFonts w:ascii="Open Sans" w:eastAsia="Times New Roman" w:hAnsi="Open Sans" w:cs="Open Sans"/>
                <w:sz w:val="20"/>
                <w:szCs w:val="20"/>
              </w:rPr>
            </w:pPr>
            <w:r>
              <w:rPr>
                <w:rFonts w:ascii="Open Sans" w:eastAsia="Times New Roman" w:hAnsi="Open Sans" w:cs="Open Sans"/>
                <w:sz w:val="20"/>
                <w:szCs w:val="20"/>
              </w:rPr>
              <w:t>Negotiating your Price video</w:t>
            </w:r>
          </w:p>
        </w:tc>
      </w:tr>
      <w:tr w:rsidR="00DE024E" w14:paraId="44DF7BD7" w14:textId="77777777" w:rsidTr="00CF1BC0">
        <w:tc>
          <w:tcPr>
            <w:tcW w:w="7555" w:type="dxa"/>
          </w:tcPr>
          <w:p w14:paraId="6C03D2E0" w14:textId="77777777" w:rsidR="00DE024E" w:rsidRDefault="00FC5A98" w:rsidP="001B02DE">
            <w:pPr>
              <w:pStyle w:val="ListParagraph"/>
              <w:numPr>
                <w:ilvl w:val="0"/>
                <w:numId w:val="13"/>
              </w:numPr>
            </w:pPr>
            <w:r>
              <w:t>Identify strategies for good use of credit and effective debt management to recognize the warning signs of impending debt problems. Illustrate the long-term consequences of accumulating debt and of filing for bankruptcy. Formulate a plan to eliminate debt and Page 4 determine the impact on a personal budget, citing specific textual evidence to defend elements of the plan.</w:t>
            </w:r>
          </w:p>
        </w:tc>
        <w:tc>
          <w:tcPr>
            <w:tcW w:w="630" w:type="dxa"/>
          </w:tcPr>
          <w:p w14:paraId="69BDBCB4" w14:textId="4A59C0C3" w:rsidR="00DE024E" w:rsidRDefault="00262393" w:rsidP="00D53761">
            <w:pPr>
              <w:rPr>
                <w:rFonts w:ascii="Open Sans" w:eastAsia="Times New Roman" w:hAnsi="Open Sans" w:cs="Open Sans"/>
                <w:sz w:val="20"/>
                <w:szCs w:val="20"/>
              </w:rPr>
            </w:pPr>
            <w:r>
              <w:rPr>
                <w:rFonts w:ascii="Open Sans" w:eastAsia="Times New Roman" w:hAnsi="Open Sans" w:cs="Open Sans"/>
                <w:sz w:val="20"/>
                <w:szCs w:val="20"/>
              </w:rPr>
              <w:t>xxx</w:t>
            </w:r>
          </w:p>
        </w:tc>
        <w:tc>
          <w:tcPr>
            <w:tcW w:w="630" w:type="dxa"/>
          </w:tcPr>
          <w:p w14:paraId="2EFD43CC" w14:textId="77777777" w:rsidR="00DE024E" w:rsidRDefault="00DE024E" w:rsidP="00D53761">
            <w:pPr>
              <w:rPr>
                <w:rFonts w:ascii="Open Sans" w:eastAsia="Times New Roman" w:hAnsi="Open Sans" w:cs="Open Sans"/>
                <w:sz w:val="20"/>
                <w:szCs w:val="20"/>
              </w:rPr>
            </w:pPr>
          </w:p>
        </w:tc>
        <w:tc>
          <w:tcPr>
            <w:tcW w:w="4135" w:type="dxa"/>
          </w:tcPr>
          <w:p w14:paraId="0DD92C00" w14:textId="77777777" w:rsidR="00617333" w:rsidRDefault="00617333" w:rsidP="00D53761">
            <w:pPr>
              <w:rPr>
                <w:rFonts w:ascii="Open Sans" w:eastAsia="Times New Roman" w:hAnsi="Open Sans" w:cs="Open Sans"/>
                <w:sz w:val="20"/>
                <w:szCs w:val="20"/>
              </w:rPr>
            </w:pPr>
            <w:r>
              <w:rPr>
                <w:rFonts w:ascii="Open Sans" w:eastAsia="Times New Roman" w:hAnsi="Open Sans" w:cs="Open Sans"/>
                <w:sz w:val="20"/>
                <w:szCs w:val="20"/>
              </w:rPr>
              <w:t>Borrowing Basics – all units</w:t>
            </w:r>
          </w:p>
          <w:p w14:paraId="4FD42DF2" w14:textId="77777777" w:rsidR="00617333" w:rsidRDefault="00617333" w:rsidP="00D53761">
            <w:pPr>
              <w:rPr>
                <w:rFonts w:ascii="Open Sans" w:eastAsia="Times New Roman" w:hAnsi="Open Sans" w:cs="Open Sans"/>
                <w:sz w:val="20"/>
                <w:szCs w:val="20"/>
              </w:rPr>
            </w:pPr>
            <w:r>
              <w:rPr>
                <w:rFonts w:ascii="Open Sans" w:eastAsia="Times New Roman" w:hAnsi="Open Sans" w:cs="Open Sans"/>
                <w:sz w:val="20"/>
                <w:szCs w:val="20"/>
              </w:rPr>
              <w:t>Good/Bad Borrowing: 69-72</w:t>
            </w:r>
          </w:p>
          <w:p w14:paraId="7FF06491" w14:textId="77777777" w:rsidR="00617333" w:rsidRDefault="00617333" w:rsidP="00D53761">
            <w:pPr>
              <w:rPr>
                <w:rFonts w:ascii="Open Sans" w:eastAsia="Times New Roman" w:hAnsi="Open Sans" w:cs="Open Sans"/>
                <w:sz w:val="20"/>
                <w:szCs w:val="20"/>
              </w:rPr>
            </w:pPr>
            <w:r>
              <w:rPr>
                <w:rFonts w:ascii="Open Sans" w:eastAsia="Times New Roman" w:hAnsi="Open Sans" w:cs="Open Sans"/>
                <w:sz w:val="20"/>
                <w:szCs w:val="20"/>
              </w:rPr>
              <w:t>Fixing bad credit: 73-75</w:t>
            </w:r>
          </w:p>
          <w:p w14:paraId="529C8CD0" w14:textId="77777777" w:rsidR="00617333" w:rsidRDefault="00617333" w:rsidP="00D53761">
            <w:pPr>
              <w:rPr>
                <w:rFonts w:ascii="Open Sans" w:eastAsia="Times New Roman" w:hAnsi="Open Sans" w:cs="Open Sans"/>
                <w:sz w:val="20"/>
                <w:szCs w:val="20"/>
              </w:rPr>
            </w:pPr>
            <w:r>
              <w:rPr>
                <w:rFonts w:ascii="Open Sans" w:eastAsia="Times New Roman" w:hAnsi="Open Sans" w:cs="Open Sans"/>
                <w:sz w:val="20"/>
                <w:szCs w:val="20"/>
              </w:rPr>
              <w:t>Debt &amp; Bankruptcy – all units</w:t>
            </w:r>
          </w:p>
          <w:p w14:paraId="0BD9B7AC" w14:textId="77777777" w:rsidR="00617333" w:rsidRDefault="00617333" w:rsidP="00D53761">
            <w:pPr>
              <w:rPr>
                <w:rFonts w:ascii="Open Sans" w:eastAsia="Times New Roman" w:hAnsi="Open Sans" w:cs="Open Sans"/>
                <w:sz w:val="20"/>
                <w:szCs w:val="20"/>
              </w:rPr>
            </w:pPr>
            <w:r>
              <w:rPr>
                <w:rFonts w:ascii="Open Sans" w:eastAsia="Times New Roman" w:hAnsi="Open Sans" w:cs="Open Sans"/>
                <w:sz w:val="20"/>
                <w:szCs w:val="20"/>
              </w:rPr>
              <w:t>Debt: 5-10</w:t>
            </w:r>
          </w:p>
          <w:p w14:paraId="09A44098" w14:textId="77777777" w:rsidR="00617333" w:rsidRDefault="00617333" w:rsidP="00D53761">
            <w:pPr>
              <w:rPr>
                <w:rFonts w:ascii="Open Sans" w:eastAsia="Times New Roman" w:hAnsi="Open Sans" w:cs="Open Sans"/>
                <w:sz w:val="20"/>
                <w:szCs w:val="20"/>
              </w:rPr>
            </w:pPr>
            <w:r>
              <w:rPr>
                <w:rFonts w:ascii="Open Sans" w:eastAsia="Times New Roman" w:hAnsi="Open Sans" w:cs="Open Sans"/>
                <w:sz w:val="20"/>
                <w:szCs w:val="20"/>
              </w:rPr>
              <w:t>Good/Bad Debt: 11-16</w:t>
            </w:r>
          </w:p>
          <w:p w14:paraId="568E5310" w14:textId="77777777" w:rsidR="00617333" w:rsidRDefault="00617333" w:rsidP="00D53761">
            <w:pPr>
              <w:rPr>
                <w:rFonts w:ascii="Open Sans" w:eastAsia="Times New Roman" w:hAnsi="Open Sans" w:cs="Open Sans"/>
                <w:sz w:val="20"/>
                <w:szCs w:val="20"/>
              </w:rPr>
            </w:pPr>
            <w:r>
              <w:rPr>
                <w:rFonts w:ascii="Open Sans" w:eastAsia="Times New Roman" w:hAnsi="Open Sans" w:cs="Open Sans"/>
                <w:sz w:val="20"/>
                <w:szCs w:val="20"/>
              </w:rPr>
              <w:t>Bankruptcy: 19-31</w:t>
            </w:r>
          </w:p>
          <w:p w14:paraId="3F26A42D" w14:textId="77777777" w:rsidR="00617333" w:rsidRDefault="00617333" w:rsidP="00D53761">
            <w:pPr>
              <w:rPr>
                <w:rFonts w:ascii="Open Sans" w:eastAsia="Times New Roman" w:hAnsi="Open Sans" w:cs="Open Sans"/>
                <w:sz w:val="20"/>
                <w:szCs w:val="20"/>
              </w:rPr>
            </w:pPr>
            <w:r>
              <w:rPr>
                <w:rFonts w:ascii="Open Sans" w:eastAsia="Times New Roman" w:hAnsi="Open Sans" w:cs="Open Sans"/>
                <w:sz w:val="20"/>
                <w:szCs w:val="20"/>
              </w:rPr>
              <w:t>Effects of bankruptcy: 25</w:t>
            </w:r>
          </w:p>
          <w:p w14:paraId="1BE62A70" w14:textId="77777777" w:rsidR="00617333" w:rsidRDefault="00617333" w:rsidP="00D53761">
            <w:pPr>
              <w:rPr>
                <w:rFonts w:ascii="Open Sans" w:eastAsia="Times New Roman" w:hAnsi="Open Sans" w:cs="Open Sans"/>
                <w:sz w:val="20"/>
                <w:szCs w:val="20"/>
              </w:rPr>
            </w:pPr>
            <w:r>
              <w:rPr>
                <w:rFonts w:ascii="Open Sans" w:eastAsia="Times New Roman" w:hAnsi="Open Sans" w:cs="Open Sans"/>
                <w:sz w:val="20"/>
                <w:szCs w:val="20"/>
              </w:rPr>
              <w:t>Avoid Debt: 33</w:t>
            </w:r>
          </w:p>
          <w:p w14:paraId="23DC8BA3" w14:textId="77777777" w:rsidR="00DE024E" w:rsidRDefault="00617333" w:rsidP="00D53761">
            <w:pPr>
              <w:rPr>
                <w:rFonts w:ascii="Open Sans" w:eastAsia="Times New Roman" w:hAnsi="Open Sans" w:cs="Open Sans"/>
                <w:sz w:val="20"/>
                <w:szCs w:val="20"/>
              </w:rPr>
            </w:pPr>
            <w:r>
              <w:rPr>
                <w:rFonts w:ascii="Open Sans" w:eastAsia="Times New Roman" w:hAnsi="Open Sans" w:cs="Open Sans"/>
                <w:sz w:val="20"/>
                <w:szCs w:val="20"/>
              </w:rPr>
              <w:t>Get out of Debt: 37-44</w:t>
            </w:r>
          </w:p>
          <w:p w14:paraId="451EACFF" w14:textId="4212A167" w:rsidR="00ED09B8" w:rsidRDefault="00ED09B8" w:rsidP="00D53761">
            <w:pPr>
              <w:rPr>
                <w:rFonts w:ascii="Open Sans" w:eastAsia="Times New Roman" w:hAnsi="Open Sans" w:cs="Open Sans"/>
                <w:sz w:val="20"/>
                <w:szCs w:val="20"/>
              </w:rPr>
            </w:pPr>
            <w:r>
              <w:rPr>
                <w:rFonts w:ascii="Open Sans" w:eastAsia="Times New Roman" w:hAnsi="Open Sans" w:cs="Open Sans"/>
                <w:sz w:val="20"/>
                <w:szCs w:val="20"/>
              </w:rPr>
              <w:t>Project: Debt Analysis</w:t>
            </w:r>
          </w:p>
        </w:tc>
      </w:tr>
      <w:tr w:rsidR="00DE024E" w14:paraId="77B894CB" w14:textId="77777777" w:rsidTr="00CF1BC0">
        <w:tc>
          <w:tcPr>
            <w:tcW w:w="7555" w:type="dxa"/>
          </w:tcPr>
          <w:p w14:paraId="4C9ED2B4" w14:textId="77777777" w:rsidR="00DE024E" w:rsidRDefault="00FC5A98" w:rsidP="001B02DE">
            <w:pPr>
              <w:pStyle w:val="ListParagraph"/>
              <w:numPr>
                <w:ilvl w:val="0"/>
                <w:numId w:val="13"/>
              </w:numPr>
            </w:pPr>
            <w:r>
              <w:t>Differentiate the benefits and costs associated with various types of insurance, such as health, life, property, and auto. Describe the risks associated with a lack of appropriate coverage in specific situations. Determine the role of insurance in personal financial planning to preserve and build wealth.</w:t>
            </w:r>
          </w:p>
        </w:tc>
        <w:tc>
          <w:tcPr>
            <w:tcW w:w="630" w:type="dxa"/>
          </w:tcPr>
          <w:p w14:paraId="040616F1" w14:textId="18A397EA" w:rsidR="00DE024E" w:rsidRDefault="00617333" w:rsidP="00D53761">
            <w:pPr>
              <w:rPr>
                <w:rFonts w:ascii="Open Sans" w:eastAsia="Times New Roman" w:hAnsi="Open Sans" w:cs="Open Sans"/>
                <w:sz w:val="20"/>
                <w:szCs w:val="20"/>
              </w:rPr>
            </w:pPr>
            <w:r>
              <w:rPr>
                <w:rFonts w:ascii="Open Sans" w:eastAsia="Times New Roman" w:hAnsi="Open Sans" w:cs="Open Sans"/>
                <w:sz w:val="20"/>
                <w:szCs w:val="20"/>
              </w:rPr>
              <w:t>xxx</w:t>
            </w:r>
          </w:p>
        </w:tc>
        <w:tc>
          <w:tcPr>
            <w:tcW w:w="630" w:type="dxa"/>
          </w:tcPr>
          <w:p w14:paraId="78AABCF7" w14:textId="77777777" w:rsidR="00DE024E" w:rsidRDefault="00DE024E" w:rsidP="00D53761">
            <w:pPr>
              <w:rPr>
                <w:rFonts w:ascii="Open Sans" w:eastAsia="Times New Roman" w:hAnsi="Open Sans" w:cs="Open Sans"/>
                <w:sz w:val="20"/>
                <w:szCs w:val="20"/>
              </w:rPr>
            </w:pPr>
          </w:p>
        </w:tc>
        <w:tc>
          <w:tcPr>
            <w:tcW w:w="4135" w:type="dxa"/>
          </w:tcPr>
          <w:p w14:paraId="2FB0D8D5" w14:textId="77777777" w:rsidR="00617333" w:rsidRDefault="00617333" w:rsidP="00D53761">
            <w:pPr>
              <w:rPr>
                <w:rFonts w:ascii="Open Sans" w:eastAsia="Times New Roman" w:hAnsi="Open Sans" w:cs="Open Sans"/>
                <w:sz w:val="20"/>
                <w:szCs w:val="20"/>
              </w:rPr>
            </w:pPr>
            <w:r>
              <w:rPr>
                <w:rFonts w:ascii="Open Sans" w:eastAsia="Times New Roman" w:hAnsi="Open Sans" w:cs="Open Sans"/>
                <w:sz w:val="20"/>
                <w:szCs w:val="20"/>
              </w:rPr>
              <w:t>Personal Risk Management – all units</w:t>
            </w:r>
          </w:p>
          <w:p w14:paraId="0975202C" w14:textId="77777777" w:rsidR="00617333" w:rsidRDefault="00617333" w:rsidP="00D53761">
            <w:pPr>
              <w:rPr>
                <w:rFonts w:ascii="Open Sans" w:eastAsia="Times New Roman" w:hAnsi="Open Sans" w:cs="Open Sans"/>
                <w:sz w:val="20"/>
                <w:szCs w:val="20"/>
              </w:rPr>
            </w:pPr>
            <w:r>
              <w:rPr>
                <w:rFonts w:ascii="Open Sans" w:eastAsia="Times New Roman" w:hAnsi="Open Sans" w:cs="Open Sans"/>
                <w:sz w:val="20"/>
                <w:szCs w:val="20"/>
              </w:rPr>
              <w:t>Risk: 5-13</w:t>
            </w:r>
          </w:p>
          <w:p w14:paraId="1E88F1FF" w14:textId="77777777" w:rsidR="00617333" w:rsidRDefault="00617333" w:rsidP="00D53761">
            <w:pPr>
              <w:rPr>
                <w:rFonts w:ascii="Open Sans" w:eastAsia="Times New Roman" w:hAnsi="Open Sans" w:cs="Open Sans"/>
                <w:sz w:val="20"/>
                <w:szCs w:val="20"/>
              </w:rPr>
            </w:pPr>
            <w:r>
              <w:rPr>
                <w:rFonts w:ascii="Open Sans" w:eastAsia="Times New Roman" w:hAnsi="Open Sans" w:cs="Open Sans"/>
                <w:sz w:val="20"/>
                <w:szCs w:val="20"/>
              </w:rPr>
              <w:t>Insurance: 15-47</w:t>
            </w:r>
          </w:p>
          <w:p w14:paraId="4C64F016" w14:textId="77777777" w:rsidR="00617333" w:rsidRDefault="00617333" w:rsidP="00D53761">
            <w:pPr>
              <w:rPr>
                <w:rFonts w:ascii="Open Sans" w:eastAsia="Times New Roman" w:hAnsi="Open Sans" w:cs="Open Sans"/>
                <w:sz w:val="20"/>
                <w:szCs w:val="20"/>
              </w:rPr>
            </w:pPr>
            <w:r>
              <w:rPr>
                <w:rFonts w:ascii="Open Sans" w:eastAsia="Times New Roman" w:hAnsi="Open Sans" w:cs="Open Sans"/>
                <w:sz w:val="20"/>
                <w:szCs w:val="20"/>
              </w:rPr>
              <w:t>Auto: 22-29</w:t>
            </w:r>
          </w:p>
          <w:p w14:paraId="1BCFD267" w14:textId="77777777" w:rsidR="00617333" w:rsidRDefault="00617333" w:rsidP="00D53761">
            <w:pPr>
              <w:rPr>
                <w:rFonts w:ascii="Open Sans" w:eastAsia="Times New Roman" w:hAnsi="Open Sans" w:cs="Open Sans"/>
                <w:sz w:val="20"/>
                <w:szCs w:val="20"/>
              </w:rPr>
            </w:pPr>
            <w:r>
              <w:rPr>
                <w:rFonts w:ascii="Open Sans" w:eastAsia="Times New Roman" w:hAnsi="Open Sans" w:cs="Open Sans"/>
                <w:sz w:val="20"/>
                <w:szCs w:val="20"/>
              </w:rPr>
              <w:t>Health: 30-35</w:t>
            </w:r>
          </w:p>
          <w:p w14:paraId="2E77362E" w14:textId="77777777" w:rsidR="00617333" w:rsidRDefault="00617333" w:rsidP="00D53761">
            <w:pPr>
              <w:rPr>
                <w:rFonts w:ascii="Open Sans" w:eastAsia="Times New Roman" w:hAnsi="Open Sans" w:cs="Open Sans"/>
                <w:sz w:val="20"/>
                <w:szCs w:val="20"/>
              </w:rPr>
            </w:pPr>
            <w:r>
              <w:rPr>
                <w:rFonts w:ascii="Open Sans" w:eastAsia="Times New Roman" w:hAnsi="Open Sans" w:cs="Open Sans"/>
                <w:sz w:val="20"/>
                <w:szCs w:val="20"/>
              </w:rPr>
              <w:t>Life: 36-39</w:t>
            </w:r>
          </w:p>
          <w:p w14:paraId="0790ABC3" w14:textId="77777777" w:rsidR="00617333" w:rsidRDefault="00617333" w:rsidP="00D53761">
            <w:pPr>
              <w:rPr>
                <w:rFonts w:ascii="Open Sans" w:eastAsia="Times New Roman" w:hAnsi="Open Sans" w:cs="Open Sans"/>
                <w:sz w:val="20"/>
                <w:szCs w:val="20"/>
              </w:rPr>
            </w:pPr>
            <w:r>
              <w:rPr>
                <w:rFonts w:ascii="Open Sans" w:eastAsia="Times New Roman" w:hAnsi="Open Sans" w:cs="Open Sans"/>
                <w:sz w:val="20"/>
                <w:szCs w:val="20"/>
              </w:rPr>
              <w:t>Property: 40-41</w:t>
            </w:r>
          </w:p>
          <w:p w14:paraId="49205062" w14:textId="05D58E15" w:rsidR="00DE024E" w:rsidRDefault="00617333" w:rsidP="00D53761">
            <w:pPr>
              <w:rPr>
                <w:rFonts w:ascii="Open Sans" w:eastAsia="Times New Roman" w:hAnsi="Open Sans" w:cs="Open Sans"/>
                <w:sz w:val="20"/>
                <w:szCs w:val="20"/>
              </w:rPr>
            </w:pPr>
            <w:r>
              <w:rPr>
                <w:rFonts w:ascii="Open Sans" w:eastAsia="Times New Roman" w:hAnsi="Open Sans" w:cs="Open Sans"/>
                <w:sz w:val="20"/>
                <w:szCs w:val="20"/>
              </w:rPr>
              <w:t>Others: 42-47</w:t>
            </w:r>
          </w:p>
        </w:tc>
      </w:tr>
      <w:tr w:rsidR="00DE024E" w14:paraId="25413450" w14:textId="77777777" w:rsidTr="00CF1BC0">
        <w:tc>
          <w:tcPr>
            <w:tcW w:w="7555" w:type="dxa"/>
          </w:tcPr>
          <w:p w14:paraId="7F311DBD" w14:textId="77777777" w:rsidR="00DE024E" w:rsidRDefault="00FC5A98" w:rsidP="001B02DE">
            <w:pPr>
              <w:pStyle w:val="ListParagraph"/>
              <w:numPr>
                <w:ilvl w:val="0"/>
                <w:numId w:val="13"/>
              </w:numPr>
            </w:pPr>
            <w:r>
              <w:t>Conduct assessments of various types of identity theft situations and scams, then determine strategies and present a plan to safeguard and protect against identity theft. Design and present a plan to significantly lower and protect against risks. Determine steps that should be taken by a victim of identity theft to report the incident and re-establish identity.</w:t>
            </w:r>
          </w:p>
        </w:tc>
        <w:tc>
          <w:tcPr>
            <w:tcW w:w="630" w:type="dxa"/>
          </w:tcPr>
          <w:p w14:paraId="1A4ECE61" w14:textId="43687760" w:rsidR="00DE024E" w:rsidRDefault="0039302B" w:rsidP="00D53761">
            <w:pPr>
              <w:rPr>
                <w:rFonts w:ascii="Open Sans" w:eastAsia="Times New Roman" w:hAnsi="Open Sans" w:cs="Open Sans"/>
                <w:sz w:val="20"/>
                <w:szCs w:val="20"/>
              </w:rPr>
            </w:pPr>
            <w:r>
              <w:rPr>
                <w:rFonts w:ascii="Open Sans" w:eastAsia="Times New Roman" w:hAnsi="Open Sans" w:cs="Open Sans"/>
                <w:sz w:val="20"/>
                <w:szCs w:val="20"/>
              </w:rPr>
              <w:t>xxx</w:t>
            </w:r>
          </w:p>
        </w:tc>
        <w:tc>
          <w:tcPr>
            <w:tcW w:w="630" w:type="dxa"/>
          </w:tcPr>
          <w:p w14:paraId="5C50164F" w14:textId="77777777" w:rsidR="00DE024E" w:rsidRDefault="00DE024E" w:rsidP="00D53761">
            <w:pPr>
              <w:rPr>
                <w:rFonts w:ascii="Open Sans" w:eastAsia="Times New Roman" w:hAnsi="Open Sans" w:cs="Open Sans"/>
                <w:sz w:val="20"/>
                <w:szCs w:val="20"/>
              </w:rPr>
            </w:pPr>
          </w:p>
        </w:tc>
        <w:tc>
          <w:tcPr>
            <w:tcW w:w="4135" w:type="dxa"/>
          </w:tcPr>
          <w:p w14:paraId="744319F5" w14:textId="77777777" w:rsidR="0039302B" w:rsidRDefault="0039302B" w:rsidP="00D53761">
            <w:pPr>
              <w:rPr>
                <w:rFonts w:ascii="Open Sans" w:eastAsia="Times New Roman" w:hAnsi="Open Sans" w:cs="Open Sans"/>
                <w:sz w:val="20"/>
                <w:szCs w:val="20"/>
              </w:rPr>
            </w:pPr>
            <w:r>
              <w:rPr>
                <w:rFonts w:ascii="Open Sans" w:eastAsia="Times New Roman" w:hAnsi="Open Sans" w:cs="Open Sans"/>
                <w:sz w:val="20"/>
                <w:szCs w:val="20"/>
              </w:rPr>
              <w:t>Personal Risk Management – all units</w:t>
            </w:r>
          </w:p>
          <w:p w14:paraId="2B670AA6" w14:textId="77777777" w:rsidR="0039302B" w:rsidRDefault="0039302B" w:rsidP="00D53761">
            <w:pPr>
              <w:rPr>
                <w:rFonts w:ascii="Open Sans" w:eastAsia="Times New Roman" w:hAnsi="Open Sans" w:cs="Open Sans"/>
                <w:sz w:val="20"/>
                <w:szCs w:val="20"/>
              </w:rPr>
            </w:pPr>
            <w:r>
              <w:rPr>
                <w:rFonts w:ascii="Open Sans" w:eastAsia="Times New Roman" w:hAnsi="Open Sans" w:cs="Open Sans"/>
                <w:sz w:val="20"/>
                <w:szCs w:val="20"/>
              </w:rPr>
              <w:t>Identity Theft: 49-59</w:t>
            </w:r>
          </w:p>
          <w:p w14:paraId="2DFE2C35" w14:textId="77777777" w:rsidR="0039302B" w:rsidRDefault="0039302B" w:rsidP="00D53761">
            <w:pPr>
              <w:rPr>
                <w:rFonts w:ascii="Open Sans" w:eastAsia="Times New Roman" w:hAnsi="Open Sans" w:cs="Open Sans"/>
                <w:sz w:val="20"/>
                <w:szCs w:val="20"/>
              </w:rPr>
            </w:pPr>
            <w:r>
              <w:rPr>
                <w:rFonts w:ascii="Open Sans" w:eastAsia="Times New Roman" w:hAnsi="Open Sans" w:cs="Open Sans"/>
                <w:sz w:val="20"/>
                <w:szCs w:val="20"/>
              </w:rPr>
              <w:t>Strategies to protect: 60-63</w:t>
            </w:r>
          </w:p>
          <w:p w14:paraId="5FD2C3CA" w14:textId="77777777" w:rsidR="0039302B" w:rsidRDefault="0039302B" w:rsidP="00D53761">
            <w:pPr>
              <w:rPr>
                <w:rFonts w:ascii="Open Sans" w:eastAsia="Times New Roman" w:hAnsi="Open Sans" w:cs="Open Sans"/>
                <w:sz w:val="20"/>
                <w:szCs w:val="20"/>
              </w:rPr>
            </w:pPr>
            <w:r>
              <w:rPr>
                <w:rFonts w:ascii="Open Sans" w:eastAsia="Times New Roman" w:hAnsi="Open Sans" w:cs="Open Sans"/>
                <w:sz w:val="20"/>
                <w:szCs w:val="20"/>
              </w:rPr>
              <w:t>Laws: 64-66</w:t>
            </w:r>
          </w:p>
          <w:p w14:paraId="0774C1F3" w14:textId="5D0D5F92" w:rsidR="00DE024E" w:rsidRDefault="0039302B" w:rsidP="00D53761">
            <w:pPr>
              <w:rPr>
                <w:rFonts w:ascii="Open Sans" w:eastAsia="Times New Roman" w:hAnsi="Open Sans" w:cs="Open Sans"/>
                <w:sz w:val="20"/>
                <w:szCs w:val="20"/>
              </w:rPr>
            </w:pPr>
            <w:r>
              <w:rPr>
                <w:rFonts w:ascii="Open Sans" w:eastAsia="Times New Roman" w:hAnsi="Open Sans" w:cs="Open Sans"/>
                <w:sz w:val="20"/>
                <w:szCs w:val="20"/>
              </w:rPr>
              <w:t>Recovering from identity theft: 67-78</w:t>
            </w:r>
          </w:p>
        </w:tc>
      </w:tr>
      <w:tr w:rsidR="00DE024E" w14:paraId="5FB89BBA" w14:textId="77777777" w:rsidTr="00CF1BC0">
        <w:tc>
          <w:tcPr>
            <w:tcW w:w="7555" w:type="dxa"/>
          </w:tcPr>
          <w:p w14:paraId="51809AE8" w14:textId="77777777" w:rsidR="00DE024E" w:rsidRDefault="00FC5A98" w:rsidP="001B02DE">
            <w:pPr>
              <w:pStyle w:val="ListParagraph"/>
              <w:numPr>
                <w:ilvl w:val="0"/>
                <w:numId w:val="13"/>
              </w:numPr>
            </w:pPr>
            <w:r>
              <w:t>Explain how saving and investing contribute to financial well-being, building wealth, and helping meet personal financial goals. Compare and contrast saving and investment strategies, such as savings accounts, certificates of deposit, stocks, bonds, mutual funds, employer sponsored savings plans, physical assets, and commodities.. Design a diversified saving and investment plan that includes strategies compatible with personal goals. Include time value of money and compound interest calculations in analysis.</w:t>
            </w:r>
          </w:p>
        </w:tc>
        <w:tc>
          <w:tcPr>
            <w:tcW w:w="630" w:type="dxa"/>
          </w:tcPr>
          <w:p w14:paraId="4DC398D0" w14:textId="0DAF7306" w:rsidR="00DE024E" w:rsidRDefault="0039302B" w:rsidP="00D53761">
            <w:pPr>
              <w:rPr>
                <w:rFonts w:ascii="Open Sans" w:eastAsia="Times New Roman" w:hAnsi="Open Sans" w:cs="Open Sans"/>
                <w:sz w:val="20"/>
                <w:szCs w:val="20"/>
              </w:rPr>
            </w:pPr>
            <w:r w:rsidRPr="008B1DCC">
              <w:rPr>
                <w:rFonts w:ascii="Open Sans" w:eastAsia="Times New Roman" w:hAnsi="Open Sans" w:cs="Open Sans"/>
                <w:sz w:val="20"/>
                <w:szCs w:val="20"/>
              </w:rPr>
              <w:t>xxx</w:t>
            </w:r>
          </w:p>
        </w:tc>
        <w:tc>
          <w:tcPr>
            <w:tcW w:w="630" w:type="dxa"/>
          </w:tcPr>
          <w:p w14:paraId="63CA37EE" w14:textId="77777777" w:rsidR="00DE024E" w:rsidRDefault="00DE024E" w:rsidP="00D53761">
            <w:pPr>
              <w:rPr>
                <w:rFonts w:ascii="Open Sans" w:eastAsia="Times New Roman" w:hAnsi="Open Sans" w:cs="Open Sans"/>
                <w:sz w:val="20"/>
                <w:szCs w:val="20"/>
              </w:rPr>
            </w:pPr>
          </w:p>
        </w:tc>
        <w:tc>
          <w:tcPr>
            <w:tcW w:w="4135" w:type="dxa"/>
          </w:tcPr>
          <w:p w14:paraId="1DFE15D1" w14:textId="33D35E82" w:rsidR="0039302B" w:rsidRDefault="0039302B" w:rsidP="00D53761">
            <w:pPr>
              <w:rPr>
                <w:rFonts w:ascii="Open Sans" w:eastAsia="Times New Roman" w:hAnsi="Open Sans" w:cs="Open Sans"/>
                <w:sz w:val="20"/>
                <w:szCs w:val="20"/>
              </w:rPr>
            </w:pPr>
            <w:r>
              <w:rPr>
                <w:rFonts w:ascii="Open Sans" w:eastAsia="Times New Roman" w:hAnsi="Open Sans" w:cs="Open Sans"/>
                <w:sz w:val="20"/>
                <w:szCs w:val="20"/>
              </w:rPr>
              <w:t>Personal Financial Planning – all units</w:t>
            </w:r>
          </w:p>
          <w:p w14:paraId="4EDD64E3" w14:textId="3082878F" w:rsidR="0039302B" w:rsidRDefault="0039302B" w:rsidP="00D53761">
            <w:pPr>
              <w:rPr>
                <w:rFonts w:ascii="Open Sans" w:eastAsia="Times New Roman" w:hAnsi="Open Sans" w:cs="Open Sans"/>
                <w:sz w:val="20"/>
                <w:szCs w:val="20"/>
              </w:rPr>
            </w:pPr>
            <w:r>
              <w:rPr>
                <w:rFonts w:ascii="Open Sans" w:eastAsia="Times New Roman" w:hAnsi="Open Sans" w:cs="Open Sans"/>
                <w:sz w:val="20"/>
                <w:szCs w:val="20"/>
              </w:rPr>
              <w:t>CDs: 24-26</w:t>
            </w:r>
          </w:p>
          <w:p w14:paraId="425174DE" w14:textId="613FEDE3" w:rsidR="0039302B" w:rsidRDefault="0039302B" w:rsidP="00D53761">
            <w:pPr>
              <w:rPr>
                <w:rFonts w:ascii="Open Sans" w:eastAsia="Times New Roman" w:hAnsi="Open Sans" w:cs="Open Sans"/>
                <w:sz w:val="20"/>
                <w:szCs w:val="20"/>
              </w:rPr>
            </w:pPr>
            <w:r>
              <w:rPr>
                <w:rFonts w:ascii="Open Sans" w:eastAsia="Times New Roman" w:hAnsi="Open Sans" w:cs="Open Sans"/>
                <w:sz w:val="20"/>
                <w:szCs w:val="20"/>
              </w:rPr>
              <w:t>401K: 27-29</w:t>
            </w:r>
          </w:p>
          <w:p w14:paraId="6C95F62D" w14:textId="272335F0" w:rsidR="0039302B" w:rsidRDefault="0039302B" w:rsidP="00D53761">
            <w:pPr>
              <w:rPr>
                <w:rFonts w:ascii="Open Sans" w:eastAsia="Times New Roman" w:hAnsi="Open Sans" w:cs="Open Sans"/>
                <w:sz w:val="20"/>
                <w:szCs w:val="20"/>
              </w:rPr>
            </w:pPr>
            <w:r>
              <w:rPr>
                <w:rFonts w:ascii="Open Sans" w:eastAsia="Times New Roman" w:hAnsi="Open Sans" w:cs="Open Sans"/>
                <w:sz w:val="20"/>
                <w:szCs w:val="20"/>
              </w:rPr>
              <w:t>IRAs: 30-32</w:t>
            </w:r>
          </w:p>
          <w:p w14:paraId="6837178D" w14:textId="239201F9" w:rsidR="0039302B" w:rsidRDefault="0039302B" w:rsidP="00D53761">
            <w:pPr>
              <w:rPr>
                <w:rFonts w:ascii="Open Sans" w:eastAsia="Times New Roman" w:hAnsi="Open Sans" w:cs="Open Sans"/>
                <w:sz w:val="20"/>
                <w:szCs w:val="20"/>
              </w:rPr>
            </w:pPr>
            <w:r>
              <w:rPr>
                <w:rFonts w:ascii="Open Sans" w:eastAsia="Times New Roman" w:hAnsi="Open Sans" w:cs="Open Sans"/>
                <w:sz w:val="20"/>
                <w:szCs w:val="20"/>
              </w:rPr>
              <w:t>Mutual Funds: 33</w:t>
            </w:r>
          </w:p>
          <w:p w14:paraId="3362662E" w14:textId="4F998677" w:rsidR="0039302B" w:rsidRDefault="0039302B" w:rsidP="00D53761">
            <w:pPr>
              <w:rPr>
                <w:rFonts w:ascii="Open Sans" w:eastAsia="Times New Roman" w:hAnsi="Open Sans" w:cs="Open Sans"/>
                <w:sz w:val="20"/>
                <w:szCs w:val="20"/>
              </w:rPr>
            </w:pPr>
            <w:r>
              <w:rPr>
                <w:rFonts w:ascii="Open Sans" w:eastAsia="Times New Roman" w:hAnsi="Open Sans" w:cs="Open Sans"/>
                <w:sz w:val="20"/>
                <w:szCs w:val="20"/>
              </w:rPr>
              <w:t>Stocks: 34</w:t>
            </w:r>
          </w:p>
          <w:p w14:paraId="6806A6E2" w14:textId="77777777" w:rsidR="00DE024E" w:rsidRDefault="0039302B" w:rsidP="00D53761">
            <w:pPr>
              <w:rPr>
                <w:rFonts w:ascii="Open Sans" w:eastAsia="Times New Roman" w:hAnsi="Open Sans" w:cs="Open Sans"/>
                <w:sz w:val="20"/>
                <w:szCs w:val="20"/>
              </w:rPr>
            </w:pPr>
            <w:r>
              <w:rPr>
                <w:rFonts w:ascii="Open Sans" w:eastAsia="Times New Roman" w:hAnsi="Open Sans" w:cs="Open Sans"/>
                <w:sz w:val="20"/>
                <w:szCs w:val="20"/>
              </w:rPr>
              <w:t>Saving &amp; Investing Strategies - all units</w:t>
            </w:r>
          </w:p>
          <w:p w14:paraId="2CBE1C2E" w14:textId="77777777" w:rsidR="008B1DCC" w:rsidRDefault="008B1DCC" w:rsidP="00D53761">
            <w:pPr>
              <w:rPr>
                <w:rFonts w:ascii="Open Sans" w:eastAsia="Times New Roman" w:hAnsi="Open Sans" w:cs="Open Sans"/>
                <w:sz w:val="20"/>
                <w:szCs w:val="20"/>
              </w:rPr>
            </w:pPr>
            <w:r>
              <w:rPr>
                <w:rFonts w:ascii="Open Sans" w:eastAsia="Times New Roman" w:hAnsi="Open Sans" w:cs="Open Sans"/>
                <w:sz w:val="20"/>
                <w:szCs w:val="20"/>
              </w:rPr>
              <w:t>Savings: 5-6; 22-26</w:t>
            </w:r>
          </w:p>
          <w:p w14:paraId="432E7A58" w14:textId="77777777" w:rsidR="008B1DCC" w:rsidRDefault="008B1DCC" w:rsidP="00D53761">
            <w:pPr>
              <w:rPr>
                <w:rFonts w:ascii="Open Sans" w:eastAsia="Times New Roman" w:hAnsi="Open Sans" w:cs="Open Sans"/>
                <w:sz w:val="20"/>
                <w:szCs w:val="20"/>
              </w:rPr>
            </w:pPr>
            <w:r>
              <w:rPr>
                <w:rFonts w:ascii="Open Sans" w:eastAsia="Times New Roman" w:hAnsi="Open Sans" w:cs="Open Sans"/>
                <w:sz w:val="20"/>
                <w:szCs w:val="20"/>
              </w:rPr>
              <w:t>Investing: 7-8: 51-68</w:t>
            </w:r>
          </w:p>
          <w:p w14:paraId="1D6F5A54" w14:textId="45FD5320" w:rsidR="008B1DCC" w:rsidRDefault="008B1DCC" w:rsidP="00D53761">
            <w:pPr>
              <w:rPr>
                <w:rFonts w:ascii="Open Sans" w:eastAsia="Times New Roman" w:hAnsi="Open Sans" w:cs="Open Sans"/>
                <w:sz w:val="20"/>
                <w:szCs w:val="20"/>
              </w:rPr>
            </w:pPr>
            <w:r>
              <w:rPr>
                <w:rFonts w:ascii="Open Sans" w:eastAsia="Times New Roman" w:hAnsi="Open Sans" w:cs="Open Sans"/>
                <w:sz w:val="20"/>
                <w:szCs w:val="20"/>
              </w:rPr>
              <w:t>Compare &amp; Contrasting: 51-68</w:t>
            </w:r>
          </w:p>
          <w:p w14:paraId="226ADB01" w14:textId="4137F3C3" w:rsidR="00DC707A" w:rsidRDefault="00DC707A" w:rsidP="00D53761">
            <w:pPr>
              <w:rPr>
                <w:rFonts w:ascii="Open Sans" w:eastAsia="Times New Roman" w:hAnsi="Open Sans" w:cs="Open Sans"/>
                <w:sz w:val="20"/>
                <w:szCs w:val="20"/>
              </w:rPr>
            </w:pPr>
            <w:r>
              <w:rPr>
                <w:rFonts w:ascii="Open Sans" w:eastAsia="Times New Roman" w:hAnsi="Open Sans" w:cs="Open Sans"/>
                <w:sz w:val="20"/>
                <w:szCs w:val="20"/>
              </w:rPr>
              <w:t>Projects: Saving Vehicles, Investing Vehicles</w:t>
            </w:r>
          </w:p>
          <w:p w14:paraId="5FD09387" w14:textId="1C830444" w:rsidR="008B1DCC" w:rsidRDefault="008B1DCC" w:rsidP="00D53761">
            <w:pPr>
              <w:rPr>
                <w:rFonts w:ascii="Open Sans" w:eastAsia="Times New Roman" w:hAnsi="Open Sans" w:cs="Open Sans"/>
                <w:sz w:val="20"/>
                <w:szCs w:val="20"/>
              </w:rPr>
            </w:pPr>
          </w:p>
        </w:tc>
      </w:tr>
    </w:tbl>
    <w:p w14:paraId="483B07CF" w14:textId="77777777" w:rsidR="008C7DB3" w:rsidRDefault="008C7DB3" w:rsidP="008C7DB3">
      <w:pPr>
        <w:rPr>
          <w:rFonts w:ascii="Open Sans" w:eastAsia="Times New Roman" w:hAnsi="Open Sans" w:cs="Open Sans"/>
          <w:b/>
          <w:sz w:val="18"/>
          <w:szCs w:val="18"/>
        </w:rPr>
      </w:pP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r>
      <w:r>
        <w:rPr>
          <w:rFonts w:ascii="Open Sans" w:eastAsia="Times New Roman" w:hAnsi="Open Sans" w:cs="Open Sans"/>
          <w:sz w:val="20"/>
          <w:szCs w:val="20"/>
        </w:rPr>
        <w:tab/>
        <w:t xml:space="preserve">                  </w:t>
      </w:r>
    </w:p>
    <w:p w14:paraId="1BA776DB" w14:textId="77777777" w:rsidR="005D7F02" w:rsidRDefault="005D7F02" w:rsidP="00D53761">
      <w:pPr>
        <w:spacing w:after="0" w:line="240" w:lineRule="auto"/>
        <w:rPr>
          <w:rFonts w:ascii="Open Sans" w:eastAsia="Times New Roman" w:hAnsi="Open Sans" w:cs="Open Sans"/>
          <w:sz w:val="20"/>
          <w:szCs w:val="20"/>
        </w:rPr>
      </w:pPr>
    </w:p>
    <w:p w14:paraId="02875D32" w14:textId="77777777" w:rsidR="00F30CEA" w:rsidRDefault="00F30CEA" w:rsidP="00D53761">
      <w:pPr>
        <w:spacing w:after="0" w:line="240" w:lineRule="auto"/>
        <w:rPr>
          <w:rFonts w:ascii="Open Sans" w:eastAsia="Times New Roman" w:hAnsi="Open Sans" w:cs="Open Sans"/>
          <w:sz w:val="20"/>
          <w:szCs w:val="20"/>
        </w:rPr>
      </w:pPr>
    </w:p>
    <w:tbl>
      <w:tblPr>
        <w:tblStyle w:val="TableGrid"/>
        <w:tblpPr w:leftFromText="180" w:rightFromText="180" w:vertAnchor="text" w:horzAnchor="margin" w:tblpXSpec="center" w:tblpY="-474"/>
        <w:tblW w:w="13883" w:type="dxa"/>
        <w:tblLook w:val="04A0" w:firstRow="1" w:lastRow="0" w:firstColumn="1" w:lastColumn="0" w:noHBand="0" w:noVBand="1"/>
      </w:tblPr>
      <w:tblGrid>
        <w:gridCol w:w="10350"/>
        <w:gridCol w:w="3533"/>
      </w:tblGrid>
      <w:tr w:rsidR="00981326" w:rsidRPr="00D53761" w14:paraId="65C5A18F" w14:textId="77777777" w:rsidTr="00981326">
        <w:trPr>
          <w:trHeight w:val="267"/>
        </w:trPr>
        <w:tc>
          <w:tcPr>
            <w:tcW w:w="13883" w:type="dxa"/>
            <w:gridSpan w:val="2"/>
            <w:shd w:val="clear" w:color="auto" w:fill="F2F2F2" w:themeFill="background1" w:themeFillShade="F2"/>
          </w:tcPr>
          <w:p w14:paraId="1E0EEC08" w14:textId="77777777"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SECTION I(2):</w:t>
            </w:r>
          </w:p>
          <w:p w14:paraId="3D81B079" w14:textId="77777777" w:rsidR="00981326" w:rsidRPr="00D53761" w:rsidRDefault="00981326" w:rsidP="00981326">
            <w:pPr>
              <w:rPr>
                <w:rFonts w:ascii="Open Sans" w:eastAsia="Times New Roman" w:hAnsi="Open Sans" w:cs="Open Sans"/>
                <w:b/>
                <w:sz w:val="20"/>
                <w:szCs w:val="20"/>
                <w:u w:val="single"/>
              </w:rPr>
            </w:pPr>
            <w:r w:rsidRPr="00D53761">
              <w:rPr>
                <w:rFonts w:ascii="Open Sans" w:eastAsia="Times New Roman" w:hAnsi="Open Sans" w:cs="Open Sans"/>
                <w:b/>
                <w:sz w:val="20"/>
                <w:szCs w:val="20"/>
                <w:u w:val="single"/>
              </w:rPr>
              <w:t>RIGOR:</w:t>
            </w:r>
          </w:p>
          <w:p w14:paraId="335BD9F7" w14:textId="77777777" w:rsidR="00981326" w:rsidRPr="00D53761" w:rsidRDefault="00981326" w:rsidP="00981326">
            <w:pPr>
              <w:rPr>
                <w:rFonts w:ascii="Open Sans" w:eastAsia="Times New Roman" w:hAnsi="Open Sans" w:cs="Open Sans"/>
                <w:sz w:val="20"/>
                <w:szCs w:val="20"/>
              </w:rPr>
            </w:pPr>
            <w:r w:rsidRPr="00D53761">
              <w:rPr>
                <w:rFonts w:ascii="Open Sans" w:eastAsia="Times New Roman" w:hAnsi="Open Sans" w:cs="Open Sans"/>
                <w:b/>
                <w:sz w:val="20"/>
                <w:szCs w:val="20"/>
              </w:rPr>
              <w:t>Each level’s instructional materials reflect high expectations for all students. They follow faithfully the level of rigor intended in the standards and support student learning through high-quality presentation of content and challenging application.</w:t>
            </w:r>
          </w:p>
        </w:tc>
      </w:tr>
      <w:tr w:rsidR="00981326" w:rsidRPr="00D53761" w14:paraId="7F61A653" w14:textId="77777777" w:rsidTr="00981326">
        <w:trPr>
          <w:trHeight w:val="267"/>
        </w:trPr>
        <w:tc>
          <w:tcPr>
            <w:tcW w:w="13883" w:type="dxa"/>
            <w:gridSpan w:val="2"/>
            <w:shd w:val="clear" w:color="auto" w:fill="F2F2F2" w:themeFill="background1" w:themeFillShade="F2"/>
          </w:tcPr>
          <w:p w14:paraId="69D3DA11" w14:textId="77777777"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METRICS:</w:t>
            </w:r>
          </w:p>
        </w:tc>
      </w:tr>
      <w:tr w:rsidR="00981326" w:rsidRPr="00D53761" w14:paraId="2318D58E" w14:textId="77777777" w:rsidTr="00421523">
        <w:trPr>
          <w:trHeight w:val="6406"/>
        </w:trPr>
        <w:tc>
          <w:tcPr>
            <w:tcW w:w="13883" w:type="dxa"/>
            <w:gridSpan w:val="2"/>
          </w:tcPr>
          <w:p w14:paraId="6036AA6C" w14:textId="77777777" w:rsidR="00981326" w:rsidRPr="00D53761" w:rsidRDefault="00981326" w:rsidP="00981326">
            <w:pPr>
              <w:rPr>
                <w:rFonts w:ascii="Open Sans" w:hAnsi="Open Sans" w:cs="Open Sans"/>
                <w:sz w:val="20"/>
                <w:szCs w:val="20"/>
              </w:rPr>
            </w:pPr>
          </w:p>
          <w:tbl>
            <w:tblPr>
              <w:tblStyle w:val="TableGrid"/>
              <w:tblW w:w="13630" w:type="dxa"/>
              <w:tblInd w:w="27" w:type="dxa"/>
              <w:tblLook w:val="04A0" w:firstRow="1" w:lastRow="0" w:firstColumn="1" w:lastColumn="0" w:noHBand="0" w:noVBand="1"/>
            </w:tblPr>
            <w:tblGrid>
              <w:gridCol w:w="10210"/>
              <w:gridCol w:w="1710"/>
              <w:gridCol w:w="1710"/>
            </w:tblGrid>
            <w:tr w:rsidR="00981326" w:rsidRPr="00D53761" w14:paraId="54A8DC0B" w14:textId="77777777" w:rsidTr="00711D00">
              <w:trPr>
                <w:trHeight w:val="1304"/>
              </w:trPr>
              <w:tc>
                <w:tcPr>
                  <w:tcW w:w="10210" w:type="dxa"/>
                  <w:shd w:val="clear" w:color="auto" w:fill="F2F2F2" w:themeFill="background1" w:themeFillShade="F2"/>
                  <w:vAlign w:val="center"/>
                </w:tcPr>
                <w:p w14:paraId="2C34DD35" w14:textId="77777777" w:rsidR="00981326" w:rsidRPr="00D53761" w:rsidRDefault="00981326" w:rsidP="00E60A85">
                  <w:pPr>
                    <w:framePr w:hSpace="180" w:wrap="around" w:vAnchor="text" w:hAnchor="margin" w:xAlign="center" w:y="-474"/>
                    <w:numPr>
                      <w:ilvl w:val="0"/>
                      <w:numId w:val="3"/>
                    </w:numPr>
                    <w:ind w:left="472"/>
                    <w:contextualSpacing/>
                    <w:rPr>
                      <w:rFonts w:ascii="Open Sans" w:hAnsi="Open Sans" w:cs="Open Sans"/>
                      <w:sz w:val="20"/>
                      <w:szCs w:val="20"/>
                    </w:rPr>
                  </w:pPr>
                  <w:r w:rsidRPr="00D53761">
                    <w:rPr>
                      <w:rFonts w:ascii="Open Sans" w:hAnsi="Open Sans" w:cs="Open Sans"/>
                      <w:sz w:val="20"/>
                      <w:szCs w:val="20"/>
                    </w:rPr>
                    <w:t>Materials effectively meet the level of rigor intended in the standards.</w:t>
                  </w:r>
                </w:p>
              </w:tc>
              <w:tc>
                <w:tcPr>
                  <w:tcW w:w="1710" w:type="dxa"/>
                  <w:shd w:val="clear" w:color="auto" w:fill="F2F2F2" w:themeFill="background1" w:themeFillShade="F2"/>
                  <w:vAlign w:val="center"/>
                </w:tcPr>
                <w:p w14:paraId="03170A48" w14:textId="3C53E7B3" w:rsidR="00981326" w:rsidRPr="00D53761" w:rsidRDefault="00981326" w:rsidP="00E60A85">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 xml:space="preserve">Yes </w:t>
                  </w:r>
                  <w:r w:rsidR="008B1DCC">
                    <w:rPr>
                      <w:rFonts w:ascii="Open Sans" w:hAnsi="Open Sans" w:cs="Open Sans"/>
                      <w:b/>
                      <w:sz w:val="20"/>
                      <w:szCs w:val="20"/>
                    </w:rPr>
                    <w:t>xxx</w:t>
                  </w:r>
                </w:p>
              </w:tc>
              <w:tc>
                <w:tcPr>
                  <w:tcW w:w="1710" w:type="dxa"/>
                  <w:shd w:val="clear" w:color="auto" w:fill="F2F2F2" w:themeFill="background1" w:themeFillShade="F2"/>
                  <w:vAlign w:val="center"/>
                </w:tcPr>
                <w:p w14:paraId="25F21F56" w14:textId="77777777" w:rsidR="00981326" w:rsidRPr="00D53761" w:rsidRDefault="00981326" w:rsidP="00E60A85">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14:paraId="42C8387A" w14:textId="77777777" w:rsidTr="00711D00">
              <w:trPr>
                <w:trHeight w:val="1250"/>
              </w:trPr>
              <w:tc>
                <w:tcPr>
                  <w:tcW w:w="10210" w:type="dxa"/>
                  <w:shd w:val="clear" w:color="auto" w:fill="F2F2F2" w:themeFill="background1" w:themeFillShade="F2"/>
                  <w:vAlign w:val="center"/>
                </w:tcPr>
                <w:p w14:paraId="6D0E6C82" w14:textId="77777777" w:rsidR="00981326" w:rsidRPr="00D53761" w:rsidRDefault="00981326" w:rsidP="00E60A85">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High-quality problems and questions designed to invite exploration and support conceptual understanding are included throughout. A variety of problems, both conceptual and technical, enable students to connect course content and transfer understandings to new situations.</w:t>
                  </w:r>
                </w:p>
              </w:tc>
              <w:tc>
                <w:tcPr>
                  <w:tcW w:w="1710" w:type="dxa"/>
                  <w:shd w:val="clear" w:color="auto" w:fill="F2F2F2" w:themeFill="background1" w:themeFillShade="F2"/>
                  <w:vAlign w:val="center"/>
                </w:tcPr>
                <w:p w14:paraId="5D65A140" w14:textId="02315630" w:rsidR="00981326" w:rsidRPr="00D53761" w:rsidRDefault="008B1DCC" w:rsidP="00E60A85">
                  <w:pPr>
                    <w:framePr w:hSpace="180" w:wrap="around" w:vAnchor="text" w:hAnchor="margin" w:xAlign="center" w:y="-474"/>
                    <w:jc w:val="center"/>
                    <w:rPr>
                      <w:rFonts w:ascii="Open Sans" w:hAnsi="Open Sans" w:cs="Open Sans"/>
                      <w:b/>
                      <w:sz w:val="20"/>
                      <w:szCs w:val="20"/>
                    </w:rPr>
                  </w:pPr>
                  <w:r>
                    <w:rPr>
                      <w:rFonts w:ascii="Open Sans" w:hAnsi="Open Sans" w:cs="Open Sans"/>
                      <w:b/>
                      <w:sz w:val="20"/>
                      <w:szCs w:val="20"/>
                    </w:rPr>
                    <w:t>Yes xxx</w:t>
                  </w:r>
                </w:p>
              </w:tc>
              <w:tc>
                <w:tcPr>
                  <w:tcW w:w="1710" w:type="dxa"/>
                  <w:shd w:val="clear" w:color="auto" w:fill="F2F2F2" w:themeFill="background1" w:themeFillShade="F2"/>
                  <w:vAlign w:val="center"/>
                </w:tcPr>
                <w:p w14:paraId="1EE7EEFE" w14:textId="77777777" w:rsidR="00981326" w:rsidRPr="00D53761" w:rsidRDefault="00981326" w:rsidP="00E60A85">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14:paraId="5C59672C" w14:textId="77777777" w:rsidTr="00711D00">
              <w:trPr>
                <w:trHeight w:val="1250"/>
              </w:trPr>
              <w:tc>
                <w:tcPr>
                  <w:tcW w:w="10210" w:type="dxa"/>
                  <w:shd w:val="clear" w:color="auto" w:fill="F2F2F2" w:themeFill="background1" w:themeFillShade="F2"/>
                  <w:vAlign w:val="center"/>
                </w:tcPr>
                <w:p w14:paraId="162B6EA0" w14:textId="77777777" w:rsidR="00981326" w:rsidRPr="00D53761" w:rsidRDefault="00981326" w:rsidP="00E60A85">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 xml:space="preserve">All materials reinforce literacy and mathematics instruction in career and technical education environments. Texts are of an appropriately challenging Lexile level; mathematics problems push students to apply quantitative reasoning to specific technical situations. </w:t>
                  </w:r>
                </w:p>
              </w:tc>
              <w:tc>
                <w:tcPr>
                  <w:tcW w:w="1710" w:type="dxa"/>
                  <w:shd w:val="clear" w:color="auto" w:fill="F2F2F2" w:themeFill="background1" w:themeFillShade="F2"/>
                  <w:vAlign w:val="center"/>
                </w:tcPr>
                <w:p w14:paraId="1B3F9C7C" w14:textId="44C6C539" w:rsidR="00981326" w:rsidRPr="00D53761" w:rsidRDefault="008B1DCC" w:rsidP="00E60A85">
                  <w:pPr>
                    <w:framePr w:hSpace="180" w:wrap="around" w:vAnchor="text" w:hAnchor="margin" w:xAlign="center" w:y="-474"/>
                    <w:jc w:val="center"/>
                    <w:rPr>
                      <w:rFonts w:ascii="Open Sans" w:hAnsi="Open Sans" w:cs="Open Sans"/>
                      <w:b/>
                      <w:sz w:val="20"/>
                      <w:szCs w:val="20"/>
                    </w:rPr>
                  </w:pPr>
                  <w:r>
                    <w:rPr>
                      <w:rFonts w:ascii="Open Sans" w:hAnsi="Open Sans" w:cs="Open Sans"/>
                      <w:b/>
                      <w:sz w:val="20"/>
                      <w:szCs w:val="20"/>
                    </w:rPr>
                    <w:t>Yes xxx</w:t>
                  </w:r>
                </w:p>
              </w:tc>
              <w:tc>
                <w:tcPr>
                  <w:tcW w:w="1710" w:type="dxa"/>
                  <w:shd w:val="clear" w:color="auto" w:fill="F2F2F2" w:themeFill="background1" w:themeFillShade="F2"/>
                  <w:vAlign w:val="center"/>
                </w:tcPr>
                <w:p w14:paraId="726308E6" w14:textId="77777777" w:rsidR="00981326" w:rsidRPr="00D53761" w:rsidRDefault="00981326" w:rsidP="00E60A85">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14:paraId="1AE433C3" w14:textId="77777777" w:rsidTr="00711D00">
              <w:trPr>
                <w:trHeight w:val="1160"/>
              </w:trPr>
              <w:tc>
                <w:tcPr>
                  <w:tcW w:w="10210" w:type="dxa"/>
                  <w:shd w:val="clear" w:color="auto" w:fill="F2F2F2" w:themeFill="background1" w:themeFillShade="F2"/>
                  <w:vAlign w:val="center"/>
                </w:tcPr>
                <w:p w14:paraId="6CD7FA7E" w14:textId="77777777" w:rsidR="00981326" w:rsidRPr="00D53761" w:rsidRDefault="00981326" w:rsidP="00E60A85">
                  <w:pPr>
                    <w:framePr w:hSpace="180" w:wrap="around" w:vAnchor="text" w:hAnchor="margin" w:xAlign="center" w:y="-474"/>
                    <w:numPr>
                      <w:ilvl w:val="0"/>
                      <w:numId w:val="3"/>
                    </w:numPr>
                    <w:ind w:left="443"/>
                    <w:contextualSpacing/>
                    <w:rPr>
                      <w:rFonts w:ascii="Open Sans" w:hAnsi="Open Sans" w:cs="Open Sans"/>
                      <w:sz w:val="20"/>
                      <w:szCs w:val="20"/>
                    </w:rPr>
                  </w:pPr>
                  <w:r w:rsidRPr="00D53761">
                    <w:rPr>
                      <w:rFonts w:ascii="Open Sans" w:hAnsi="Open Sans" w:cs="Open Sans"/>
                      <w:sz w:val="20"/>
                      <w:szCs w:val="20"/>
                    </w:rPr>
                    <w:t>Materials support the development of fluency, including regular opportunities to practice knowledge and skills, appropriately apply tools, and use technology.</w:t>
                  </w:r>
                </w:p>
              </w:tc>
              <w:tc>
                <w:tcPr>
                  <w:tcW w:w="1710" w:type="dxa"/>
                  <w:shd w:val="clear" w:color="auto" w:fill="F2F2F2" w:themeFill="background1" w:themeFillShade="F2"/>
                  <w:vAlign w:val="center"/>
                </w:tcPr>
                <w:p w14:paraId="34B1A91D" w14:textId="118DB755" w:rsidR="00981326" w:rsidRPr="00D53761" w:rsidRDefault="008B1DCC" w:rsidP="00E60A85">
                  <w:pPr>
                    <w:framePr w:hSpace="180" w:wrap="around" w:vAnchor="text" w:hAnchor="margin" w:xAlign="center" w:y="-474"/>
                    <w:jc w:val="center"/>
                    <w:rPr>
                      <w:rFonts w:ascii="Open Sans" w:hAnsi="Open Sans" w:cs="Open Sans"/>
                      <w:b/>
                      <w:sz w:val="20"/>
                      <w:szCs w:val="20"/>
                    </w:rPr>
                  </w:pPr>
                  <w:r>
                    <w:rPr>
                      <w:rFonts w:ascii="Open Sans" w:hAnsi="Open Sans" w:cs="Open Sans"/>
                      <w:b/>
                      <w:sz w:val="20"/>
                      <w:szCs w:val="20"/>
                    </w:rPr>
                    <w:t>Yes xxx</w:t>
                  </w:r>
                </w:p>
              </w:tc>
              <w:tc>
                <w:tcPr>
                  <w:tcW w:w="1710" w:type="dxa"/>
                  <w:shd w:val="clear" w:color="auto" w:fill="F2F2F2" w:themeFill="background1" w:themeFillShade="F2"/>
                  <w:vAlign w:val="center"/>
                </w:tcPr>
                <w:p w14:paraId="1EB18266" w14:textId="77777777" w:rsidR="00981326" w:rsidRPr="00D53761" w:rsidRDefault="00981326" w:rsidP="00E60A85">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r w:rsidR="00981326" w:rsidRPr="00D53761" w14:paraId="46566B14" w14:textId="77777777" w:rsidTr="00711D00">
              <w:trPr>
                <w:trHeight w:val="1349"/>
              </w:trPr>
              <w:tc>
                <w:tcPr>
                  <w:tcW w:w="10210" w:type="dxa"/>
                  <w:shd w:val="clear" w:color="auto" w:fill="F2F2F2" w:themeFill="background1" w:themeFillShade="F2"/>
                  <w:vAlign w:val="center"/>
                </w:tcPr>
                <w:p w14:paraId="3FA275DD" w14:textId="77777777" w:rsidR="00981326" w:rsidRPr="00D53761" w:rsidRDefault="00981326" w:rsidP="00E60A85">
                  <w:pPr>
                    <w:framePr w:hSpace="180" w:wrap="around" w:vAnchor="text" w:hAnchor="margin" w:xAlign="center" w:y="-474"/>
                    <w:numPr>
                      <w:ilvl w:val="0"/>
                      <w:numId w:val="3"/>
                    </w:numPr>
                    <w:autoSpaceDE w:val="0"/>
                    <w:autoSpaceDN w:val="0"/>
                    <w:adjustRightInd w:val="0"/>
                    <w:ind w:left="472"/>
                    <w:rPr>
                      <w:rFonts w:ascii="Open Sans" w:hAnsi="Open Sans" w:cs="Open Sans"/>
                      <w:color w:val="000000"/>
                      <w:sz w:val="20"/>
                      <w:szCs w:val="20"/>
                    </w:rPr>
                  </w:pPr>
                  <w:r w:rsidRPr="00D53761">
                    <w:rPr>
                      <w:rFonts w:ascii="Open Sans" w:hAnsi="Open Sans" w:cs="Open Sans"/>
                      <w:color w:val="000000"/>
                      <w:sz w:val="20"/>
                      <w:szCs w:val="20"/>
                    </w:rPr>
                    <w:t>Domain-specific vocabulary and industry terminology are frequently used to explain topics, or to make connections to key workplace activities.</w:t>
                  </w:r>
                </w:p>
              </w:tc>
              <w:tc>
                <w:tcPr>
                  <w:tcW w:w="1710" w:type="dxa"/>
                  <w:shd w:val="clear" w:color="auto" w:fill="F2F2F2" w:themeFill="background1" w:themeFillShade="F2"/>
                  <w:vAlign w:val="center"/>
                </w:tcPr>
                <w:p w14:paraId="569077B3" w14:textId="39A2E1EC" w:rsidR="00981326" w:rsidRPr="00D53761" w:rsidRDefault="008B1DCC" w:rsidP="00E60A85">
                  <w:pPr>
                    <w:framePr w:hSpace="180" w:wrap="around" w:vAnchor="text" w:hAnchor="margin" w:xAlign="center" w:y="-474"/>
                    <w:jc w:val="center"/>
                    <w:rPr>
                      <w:rFonts w:ascii="Open Sans" w:hAnsi="Open Sans" w:cs="Open Sans"/>
                      <w:b/>
                      <w:sz w:val="20"/>
                      <w:szCs w:val="20"/>
                    </w:rPr>
                  </w:pPr>
                  <w:r>
                    <w:rPr>
                      <w:rFonts w:ascii="Open Sans" w:hAnsi="Open Sans" w:cs="Open Sans"/>
                      <w:b/>
                      <w:sz w:val="20"/>
                      <w:szCs w:val="20"/>
                    </w:rPr>
                    <w:t>Yes xxx</w:t>
                  </w:r>
                </w:p>
              </w:tc>
              <w:tc>
                <w:tcPr>
                  <w:tcW w:w="1710" w:type="dxa"/>
                  <w:shd w:val="clear" w:color="auto" w:fill="F2F2F2" w:themeFill="background1" w:themeFillShade="F2"/>
                  <w:vAlign w:val="center"/>
                </w:tcPr>
                <w:p w14:paraId="7F4CF4C0" w14:textId="77777777" w:rsidR="00981326" w:rsidRPr="00D53761" w:rsidRDefault="00981326" w:rsidP="00E60A85">
                  <w:pPr>
                    <w:framePr w:hSpace="180" w:wrap="around" w:vAnchor="text" w:hAnchor="margin" w:xAlign="center" w:y="-474"/>
                    <w:jc w:val="center"/>
                    <w:rPr>
                      <w:rFonts w:ascii="Open Sans" w:hAnsi="Open Sans" w:cs="Open Sans"/>
                      <w:b/>
                      <w:sz w:val="20"/>
                      <w:szCs w:val="20"/>
                    </w:rPr>
                  </w:pPr>
                  <w:r w:rsidRPr="00D53761">
                    <w:rPr>
                      <w:rFonts w:ascii="Open Sans" w:hAnsi="Open Sans" w:cs="Open Sans"/>
                      <w:b/>
                      <w:sz w:val="20"/>
                      <w:szCs w:val="20"/>
                    </w:rPr>
                    <w:t>No _____</w:t>
                  </w:r>
                </w:p>
              </w:tc>
            </w:tr>
          </w:tbl>
          <w:p w14:paraId="7C56A585" w14:textId="77777777" w:rsidR="00981326" w:rsidRPr="00D53761" w:rsidRDefault="00981326" w:rsidP="00981326">
            <w:pPr>
              <w:tabs>
                <w:tab w:val="left" w:pos="1065"/>
              </w:tabs>
              <w:rPr>
                <w:rFonts w:ascii="Open Sans" w:hAnsi="Open Sans" w:cs="Open Sans"/>
                <w:sz w:val="20"/>
                <w:szCs w:val="20"/>
              </w:rPr>
            </w:pPr>
          </w:p>
        </w:tc>
      </w:tr>
      <w:tr w:rsidR="00981326" w:rsidRPr="00D53761" w14:paraId="09BA099D" w14:textId="77777777" w:rsidTr="00421523">
        <w:trPr>
          <w:trHeight w:val="925"/>
        </w:trPr>
        <w:tc>
          <w:tcPr>
            <w:tcW w:w="10350" w:type="dxa"/>
            <w:shd w:val="clear" w:color="auto" w:fill="F2F2F2" w:themeFill="background1" w:themeFillShade="F2"/>
            <w:vAlign w:val="center"/>
          </w:tcPr>
          <w:p w14:paraId="0AC57458" w14:textId="77777777" w:rsidR="00981326" w:rsidRPr="00D53761" w:rsidRDefault="00981326" w:rsidP="00981326">
            <w:pPr>
              <w:rPr>
                <w:rFonts w:ascii="Open Sans" w:eastAsia="Times New Roman" w:hAnsi="Open Sans" w:cs="Open Sans"/>
                <w:b/>
                <w:sz w:val="20"/>
                <w:szCs w:val="20"/>
              </w:rPr>
            </w:pPr>
            <w:r w:rsidRPr="00D53761">
              <w:rPr>
                <w:rFonts w:ascii="Open Sans" w:eastAsia="Times New Roman" w:hAnsi="Open Sans" w:cs="Open Sans"/>
                <w:b/>
                <w:sz w:val="20"/>
                <w:szCs w:val="20"/>
              </w:rPr>
              <w:t>To be aligned to the standards, all five indicators of Rigor must be marked Yes.</w:t>
            </w:r>
          </w:p>
        </w:tc>
        <w:tc>
          <w:tcPr>
            <w:tcW w:w="3533" w:type="dxa"/>
            <w:shd w:val="clear" w:color="auto" w:fill="F2F2F2" w:themeFill="background1" w:themeFillShade="F2"/>
            <w:vAlign w:val="center"/>
          </w:tcPr>
          <w:p w14:paraId="540CF995" w14:textId="77777777" w:rsidR="00981326" w:rsidRPr="00D53761" w:rsidRDefault="00981326" w:rsidP="00981326">
            <w:pPr>
              <w:jc w:val="center"/>
              <w:rPr>
                <w:rFonts w:ascii="Open Sans" w:hAnsi="Open Sans" w:cs="Open Sans"/>
                <w:b/>
                <w:sz w:val="20"/>
                <w:szCs w:val="20"/>
              </w:rPr>
            </w:pPr>
            <w:r w:rsidRPr="00D53761">
              <w:rPr>
                <w:rFonts w:ascii="Open Sans" w:hAnsi="Open Sans" w:cs="Open Sans"/>
                <w:b/>
                <w:sz w:val="20"/>
                <w:szCs w:val="20"/>
              </w:rPr>
              <w:t>Meet?</w:t>
            </w:r>
          </w:p>
          <w:p w14:paraId="10CFAA04" w14:textId="73D588A2" w:rsidR="00981326" w:rsidRPr="00D53761" w:rsidRDefault="00981326" w:rsidP="00981326">
            <w:pPr>
              <w:keepNext/>
              <w:jc w:val="center"/>
              <w:outlineLvl w:val="0"/>
              <w:rPr>
                <w:rFonts w:ascii="Open Sans" w:hAnsi="Open Sans" w:cs="Open Sans"/>
                <w:b/>
                <w:sz w:val="20"/>
                <w:szCs w:val="20"/>
              </w:rPr>
            </w:pPr>
            <w:r w:rsidRPr="00D53761">
              <w:rPr>
                <w:rFonts w:ascii="Open Sans" w:hAnsi="Open Sans" w:cs="Open Sans"/>
                <w:b/>
                <w:sz w:val="20"/>
                <w:szCs w:val="20"/>
              </w:rPr>
              <w:t>Yes</w:t>
            </w:r>
            <w:r w:rsidR="008B1DCC">
              <w:rPr>
                <w:rFonts w:ascii="Open Sans" w:hAnsi="Open Sans" w:cs="Open Sans"/>
                <w:b/>
                <w:sz w:val="20"/>
                <w:szCs w:val="20"/>
              </w:rPr>
              <w:t xml:space="preserve"> xxx</w:t>
            </w:r>
            <w:r w:rsidRPr="00D53761">
              <w:rPr>
                <w:rFonts w:ascii="Open Sans" w:hAnsi="Open Sans" w:cs="Open Sans"/>
                <w:b/>
                <w:sz w:val="20"/>
                <w:szCs w:val="20"/>
              </w:rPr>
              <w:t xml:space="preserve">    No _____</w:t>
            </w:r>
          </w:p>
        </w:tc>
      </w:tr>
      <w:tr w:rsidR="00981326" w:rsidRPr="00D53761" w14:paraId="09FA9D82" w14:textId="77777777" w:rsidTr="00981326">
        <w:trPr>
          <w:trHeight w:val="1358"/>
        </w:trPr>
        <w:tc>
          <w:tcPr>
            <w:tcW w:w="13883" w:type="dxa"/>
            <w:gridSpan w:val="2"/>
          </w:tcPr>
          <w:p w14:paraId="410F7B51" w14:textId="77777777" w:rsidR="00981326" w:rsidRPr="00D53761" w:rsidRDefault="00981326" w:rsidP="00981326">
            <w:pPr>
              <w:rPr>
                <w:rFonts w:ascii="Open Sans" w:hAnsi="Open Sans" w:cs="Open Sans"/>
                <w:b/>
                <w:sz w:val="20"/>
                <w:szCs w:val="20"/>
              </w:rPr>
            </w:pPr>
            <w:r w:rsidRPr="00D53761">
              <w:rPr>
                <w:rFonts w:ascii="Open Sans" w:hAnsi="Open Sans" w:cs="Open Sans"/>
                <w:b/>
                <w:sz w:val="20"/>
                <w:szCs w:val="20"/>
              </w:rPr>
              <w:t>Justification/Notes</w:t>
            </w:r>
          </w:p>
        </w:tc>
      </w:tr>
    </w:tbl>
    <w:p w14:paraId="6E7937DA" w14:textId="77777777" w:rsidR="00D53761" w:rsidRPr="00D53761" w:rsidRDefault="00D53761" w:rsidP="00D53761">
      <w:pPr>
        <w:spacing w:after="0" w:line="240" w:lineRule="auto"/>
        <w:rPr>
          <w:rFonts w:ascii="Open Sans" w:eastAsia="Times New Roman" w:hAnsi="Open Sans" w:cs="Open Sans"/>
          <w:sz w:val="20"/>
          <w:szCs w:val="20"/>
        </w:rPr>
      </w:pPr>
    </w:p>
    <w:p w14:paraId="3B6085CE" w14:textId="77777777" w:rsidR="00D53761" w:rsidRPr="00D53761" w:rsidRDefault="00D53761" w:rsidP="00D53761">
      <w:pPr>
        <w:spacing w:after="0" w:line="240" w:lineRule="auto"/>
        <w:rPr>
          <w:rFonts w:ascii="Open Sans" w:eastAsia="Times New Roman" w:hAnsi="Open Sans" w:cs="Open Sans"/>
          <w:sz w:val="20"/>
          <w:szCs w:val="20"/>
        </w:rPr>
      </w:pPr>
    </w:p>
    <w:p w14:paraId="00FA00FD" w14:textId="77777777" w:rsidR="00D53761" w:rsidRPr="00D53761" w:rsidRDefault="00D53761" w:rsidP="00D53761">
      <w:pPr>
        <w:spacing w:after="0"/>
        <w:ind w:left="720"/>
        <w:contextualSpacing/>
        <w:rPr>
          <w:rFonts w:ascii="Open Sans" w:hAnsi="Open Sans" w:cs="Open Sans"/>
          <w:sz w:val="20"/>
          <w:szCs w:val="20"/>
        </w:rPr>
      </w:pPr>
    </w:p>
    <w:p w14:paraId="12049286" w14:textId="77777777" w:rsidR="00D53761" w:rsidRPr="00D53761" w:rsidRDefault="00D53761" w:rsidP="00D53761">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0350"/>
        <w:gridCol w:w="3510"/>
      </w:tblGrid>
      <w:tr w:rsidR="00D53761" w:rsidRPr="00D53761" w14:paraId="3568B34D" w14:textId="77777777" w:rsidTr="008C353D">
        <w:trPr>
          <w:trHeight w:val="267"/>
        </w:trPr>
        <w:tc>
          <w:tcPr>
            <w:tcW w:w="13860" w:type="dxa"/>
            <w:gridSpan w:val="2"/>
            <w:shd w:val="clear" w:color="auto" w:fill="F2F2F2" w:themeFill="background1" w:themeFillShade="F2"/>
          </w:tcPr>
          <w:p w14:paraId="5475E364" w14:textId="77777777"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SECTION I(3):</w:t>
            </w:r>
          </w:p>
          <w:p w14:paraId="49A147F6" w14:textId="77777777" w:rsidR="00D53761" w:rsidRPr="00D53761" w:rsidRDefault="00D53761" w:rsidP="00D53761">
            <w:pPr>
              <w:rPr>
                <w:rFonts w:ascii="Open Sans" w:hAnsi="Open Sans" w:cs="Open Sans"/>
                <w:b/>
                <w:sz w:val="20"/>
                <w:szCs w:val="20"/>
                <w:u w:val="single"/>
              </w:rPr>
            </w:pPr>
            <w:r w:rsidRPr="00D53761">
              <w:rPr>
                <w:rFonts w:ascii="Open Sans" w:hAnsi="Open Sans" w:cs="Open Sans"/>
                <w:b/>
                <w:sz w:val="20"/>
                <w:szCs w:val="20"/>
                <w:u w:val="single"/>
              </w:rPr>
              <w:t>POSTSECONDARY AND CAREER READINESS:</w:t>
            </w:r>
          </w:p>
          <w:p w14:paraId="4B52753E" w14:textId="77777777"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Materials promote multiple pathways to student success beyond high school, highlighting a range of career opportunities aligned with entry and exit points to and from appropriate postsecondary programs. Aligned pathways are presented in a fair and balanced fashion that underscores the need for advanced training beyond high school, but does not privilege one set of credentials over another and is consistent with occupational requirements.</w:t>
            </w:r>
          </w:p>
        </w:tc>
      </w:tr>
      <w:tr w:rsidR="00D53761" w:rsidRPr="00D53761" w14:paraId="579FFB8E" w14:textId="77777777" w:rsidTr="008C353D">
        <w:trPr>
          <w:trHeight w:val="323"/>
        </w:trPr>
        <w:tc>
          <w:tcPr>
            <w:tcW w:w="13860" w:type="dxa"/>
            <w:gridSpan w:val="2"/>
            <w:shd w:val="clear" w:color="auto" w:fill="F2F2F2" w:themeFill="background1" w:themeFillShade="F2"/>
          </w:tcPr>
          <w:p w14:paraId="0CB35A68" w14:textId="77777777"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METRICS:</w:t>
            </w:r>
          </w:p>
        </w:tc>
      </w:tr>
      <w:tr w:rsidR="00D53761" w:rsidRPr="00D53761" w14:paraId="021CA92A" w14:textId="77777777" w:rsidTr="008C353D">
        <w:trPr>
          <w:trHeight w:val="2807"/>
        </w:trPr>
        <w:tc>
          <w:tcPr>
            <w:tcW w:w="13860" w:type="dxa"/>
            <w:gridSpan w:val="2"/>
          </w:tcPr>
          <w:p w14:paraId="2F826422" w14:textId="77777777" w:rsidR="00D53761" w:rsidRPr="00D53761" w:rsidRDefault="00D53761" w:rsidP="00D53761">
            <w:pPr>
              <w:rPr>
                <w:rFonts w:ascii="Open Sans" w:hAnsi="Open Sans" w:cs="Open Sans"/>
                <w:sz w:val="20"/>
                <w:szCs w:val="20"/>
              </w:rPr>
            </w:pPr>
          </w:p>
          <w:tbl>
            <w:tblPr>
              <w:tblStyle w:val="TableGrid"/>
              <w:tblpPr w:leftFromText="180" w:rightFromText="180" w:vertAnchor="text" w:tblpY="-147"/>
              <w:tblOverlap w:val="never"/>
              <w:tblW w:w="5000" w:type="pct"/>
              <w:tblLook w:val="04A0" w:firstRow="1" w:lastRow="0" w:firstColumn="1" w:lastColumn="0" w:noHBand="0" w:noVBand="1"/>
            </w:tblPr>
            <w:tblGrid>
              <w:gridCol w:w="10236"/>
              <w:gridCol w:w="1710"/>
              <w:gridCol w:w="1688"/>
            </w:tblGrid>
            <w:tr w:rsidR="00D53761" w:rsidRPr="00D53761" w14:paraId="237114BC" w14:textId="77777777" w:rsidTr="008C353D">
              <w:trPr>
                <w:trHeight w:val="1007"/>
              </w:trPr>
              <w:tc>
                <w:tcPr>
                  <w:tcW w:w="3754" w:type="pct"/>
                  <w:shd w:val="clear" w:color="auto" w:fill="F2F2F2" w:themeFill="background1" w:themeFillShade="F2"/>
                  <w:vAlign w:val="center"/>
                </w:tcPr>
                <w:p w14:paraId="38483542" w14:textId="77777777"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 xml:space="preserve">Technical skills are promoted within the context of applicable industries and work environments. They are </w:t>
                  </w:r>
                  <w:r w:rsidRPr="00D53761">
                    <w:rPr>
                      <w:rFonts w:ascii="Open Sans" w:hAnsi="Open Sans" w:cs="Open Sans"/>
                      <w:i/>
                      <w:sz w:val="20"/>
                      <w:szCs w:val="20"/>
                    </w:rPr>
                    <w:t>not</w:t>
                  </w:r>
                  <w:r w:rsidRPr="00D53761">
                    <w:rPr>
                      <w:rFonts w:ascii="Open Sans" w:hAnsi="Open Sans" w:cs="Open Sans"/>
                      <w:sz w:val="20"/>
                      <w:szCs w:val="20"/>
                    </w:rPr>
                    <w:t xml:space="preserve"> presented in isolation or without meaningful connections to aligned careers.</w:t>
                  </w:r>
                </w:p>
              </w:tc>
              <w:tc>
                <w:tcPr>
                  <w:tcW w:w="627" w:type="pct"/>
                  <w:shd w:val="clear" w:color="auto" w:fill="F2F2F2" w:themeFill="background1" w:themeFillShade="F2"/>
                  <w:vAlign w:val="center"/>
                </w:tcPr>
                <w:p w14:paraId="452FF4B3" w14:textId="5D3AE5DF" w:rsidR="00D53761" w:rsidRPr="00D53761" w:rsidRDefault="008B1DCC" w:rsidP="00D53761">
                  <w:pPr>
                    <w:jc w:val="center"/>
                    <w:rPr>
                      <w:rFonts w:ascii="Open Sans" w:hAnsi="Open Sans" w:cs="Open Sans"/>
                      <w:b/>
                      <w:sz w:val="20"/>
                      <w:szCs w:val="20"/>
                    </w:rPr>
                  </w:pPr>
                  <w:r>
                    <w:rPr>
                      <w:rFonts w:ascii="Open Sans" w:hAnsi="Open Sans" w:cs="Open Sans"/>
                      <w:b/>
                      <w:sz w:val="20"/>
                      <w:szCs w:val="20"/>
                    </w:rPr>
                    <w:t>Yes xxx</w:t>
                  </w:r>
                </w:p>
              </w:tc>
              <w:tc>
                <w:tcPr>
                  <w:tcW w:w="619" w:type="pct"/>
                  <w:shd w:val="clear" w:color="auto" w:fill="F2F2F2" w:themeFill="background1" w:themeFillShade="F2"/>
                  <w:vAlign w:val="center"/>
                </w:tcPr>
                <w:p w14:paraId="5BCB5B0E" w14:textId="77777777"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14:paraId="733065CD" w14:textId="77777777" w:rsidTr="008C353D">
              <w:trPr>
                <w:trHeight w:val="962"/>
              </w:trPr>
              <w:tc>
                <w:tcPr>
                  <w:tcW w:w="3754" w:type="pct"/>
                  <w:shd w:val="clear" w:color="auto" w:fill="F2F2F2" w:themeFill="background1" w:themeFillShade="F2"/>
                  <w:vAlign w:val="center"/>
                </w:tcPr>
                <w:p w14:paraId="4435324F" w14:textId="77777777"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Materials showcase a diversity of career and postsecondary opportunities for students upon completion of high school, including all applicable levels of postsecondary training (i.e., technical schools, community colleges, four-year universities, etc.).</w:t>
                  </w:r>
                </w:p>
              </w:tc>
              <w:tc>
                <w:tcPr>
                  <w:tcW w:w="627" w:type="pct"/>
                  <w:shd w:val="clear" w:color="auto" w:fill="F2F2F2" w:themeFill="background1" w:themeFillShade="F2"/>
                  <w:vAlign w:val="center"/>
                </w:tcPr>
                <w:p w14:paraId="47D7DB83" w14:textId="76F96B89" w:rsidR="00D53761" w:rsidRPr="00D53761" w:rsidRDefault="008B1DCC" w:rsidP="00D53761">
                  <w:pPr>
                    <w:keepNext/>
                    <w:jc w:val="center"/>
                    <w:outlineLvl w:val="0"/>
                    <w:rPr>
                      <w:rFonts w:ascii="Open Sans" w:hAnsi="Open Sans" w:cs="Open Sans"/>
                      <w:b/>
                      <w:sz w:val="20"/>
                      <w:szCs w:val="20"/>
                    </w:rPr>
                  </w:pPr>
                  <w:r>
                    <w:rPr>
                      <w:rFonts w:ascii="Open Sans" w:hAnsi="Open Sans" w:cs="Open Sans"/>
                      <w:b/>
                      <w:sz w:val="20"/>
                      <w:szCs w:val="20"/>
                    </w:rPr>
                    <w:t>Yes xxx</w:t>
                  </w:r>
                </w:p>
              </w:tc>
              <w:tc>
                <w:tcPr>
                  <w:tcW w:w="619" w:type="pct"/>
                  <w:shd w:val="clear" w:color="auto" w:fill="F2F2F2" w:themeFill="background1" w:themeFillShade="F2"/>
                  <w:vAlign w:val="center"/>
                </w:tcPr>
                <w:p w14:paraId="3F0D1020" w14:textId="77777777"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14:paraId="417DAB9F" w14:textId="77777777" w:rsidTr="008C353D">
              <w:trPr>
                <w:trHeight w:val="962"/>
              </w:trPr>
              <w:tc>
                <w:tcPr>
                  <w:tcW w:w="3754" w:type="pct"/>
                  <w:shd w:val="clear" w:color="auto" w:fill="F2F2F2" w:themeFill="background1" w:themeFillShade="F2"/>
                  <w:vAlign w:val="center"/>
                </w:tcPr>
                <w:p w14:paraId="22BE62EF" w14:textId="77777777"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Connections to relevant certifications and other credentials are clearly explained, and their value in industry is communicated where appropriate.</w:t>
                  </w:r>
                </w:p>
              </w:tc>
              <w:tc>
                <w:tcPr>
                  <w:tcW w:w="627" w:type="pct"/>
                  <w:shd w:val="clear" w:color="auto" w:fill="F2F2F2" w:themeFill="background1" w:themeFillShade="F2"/>
                  <w:vAlign w:val="center"/>
                </w:tcPr>
                <w:p w14:paraId="7CE62F3B" w14:textId="3EA8483B" w:rsidR="00D53761" w:rsidRPr="00D53761" w:rsidRDefault="008B1DCC" w:rsidP="00D53761">
                  <w:pPr>
                    <w:keepNext/>
                    <w:jc w:val="center"/>
                    <w:outlineLvl w:val="0"/>
                    <w:rPr>
                      <w:rFonts w:ascii="Open Sans" w:hAnsi="Open Sans" w:cs="Open Sans"/>
                      <w:b/>
                      <w:sz w:val="20"/>
                      <w:szCs w:val="20"/>
                    </w:rPr>
                  </w:pPr>
                  <w:r>
                    <w:rPr>
                      <w:rFonts w:ascii="Open Sans" w:hAnsi="Open Sans" w:cs="Open Sans"/>
                      <w:b/>
                      <w:sz w:val="20"/>
                      <w:szCs w:val="20"/>
                    </w:rPr>
                    <w:t>Yes xxx</w:t>
                  </w:r>
                </w:p>
              </w:tc>
              <w:tc>
                <w:tcPr>
                  <w:tcW w:w="619" w:type="pct"/>
                  <w:shd w:val="clear" w:color="auto" w:fill="F2F2F2" w:themeFill="background1" w:themeFillShade="F2"/>
                  <w:vAlign w:val="center"/>
                </w:tcPr>
                <w:p w14:paraId="25AEE46B" w14:textId="77777777"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r w:rsidR="00D53761" w:rsidRPr="00D53761" w14:paraId="193D30AD" w14:textId="77777777" w:rsidTr="008C353D">
              <w:trPr>
                <w:trHeight w:val="962"/>
              </w:trPr>
              <w:tc>
                <w:tcPr>
                  <w:tcW w:w="3754" w:type="pct"/>
                  <w:shd w:val="clear" w:color="auto" w:fill="F2F2F2" w:themeFill="background1" w:themeFillShade="F2"/>
                  <w:vAlign w:val="center"/>
                </w:tcPr>
                <w:p w14:paraId="0D2DC8EF" w14:textId="77777777" w:rsidR="00D53761" w:rsidRPr="00D53761" w:rsidRDefault="00D53761" w:rsidP="00D53761">
                  <w:pPr>
                    <w:numPr>
                      <w:ilvl w:val="0"/>
                      <w:numId w:val="7"/>
                    </w:numPr>
                    <w:ind w:left="499" w:hanging="450"/>
                    <w:contextualSpacing/>
                    <w:rPr>
                      <w:rFonts w:ascii="Open Sans" w:hAnsi="Open Sans" w:cs="Open Sans"/>
                      <w:sz w:val="20"/>
                      <w:szCs w:val="20"/>
                    </w:rPr>
                  </w:pPr>
                  <w:r w:rsidRPr="00D53761">
                    <w:rPr>
                      <w:rFonts w:ascii="Open Sans" w:hAnsi="Open Sans" w:cs="Open Sans"/>
                      <w:sz w:val="20"/>
                      <w:szCs w:val="20"/>
                    </w:rPr>
                    <w:t>Materials provide opportunities for students to practice and reflect upon 21st century (or “soft”) skills.</w:t>
                  </w:r>
                </w:p>
              </w:tc>
              <w:tc>
                <w:tcPr>
                  <w:tcW w:w="627" w:type="pct"/>
                  <w:shd w:val="clear" w:color="auto" w:fill="F2F2F2" w:themeFill="background1" w:themeFillShade="F2"/>
                  <w:vAlign w:val="center"/>
                </w:tcPr>
                <w:p w14:paraId="308227F5" w14:textId="2D28498F" w:rsidR="00D53761" w:rsidRPr="00D53761" w:rsidRDefault="008B1DCC" w:rsidP="00D53761">
                  <w:pPr>
                    <w:keepNext/>
                    <w:jc w:val="center"/>
                    <w:outlineLvl w:val="0"/>
                    <w:rPr>
                      <w:rFonts w:ascii="Open Sans" w:hAnsi="Open Sans" w:cs="Open Sans"/>
                      <w:b/>
                      <w:sz w:val="20"/>
                      <w:szCs w:val="20"/>
                    </w:rPr>
                  </w:pPr>
                  <w:r>
                    <w:rPr>
                      <w:rFonts w:ascii="Open Sans" w:hAnsi="Open Sans" w:cs="Open Sans"/>
                      <w:b/>
                      <w:sz w:val="20"/>
                      <w:szCs w:val="20"/>
                    </w:rPr>
                    <w:t>Yes xxx</w:t>
                  </w:r>
                </w:p>
              </w:tc>
              <w:tc>
                <w:tcPr>
                  <w:tcW w:w="619" w:type="pct"/>
                  <w:shd w:val="clear" w:color="auto" w:fill="F2F2F2" w:themeFill="background1" w:themeFillShade="F2"/>
                  <w:vAlign w:val="center"/>
                </w:tcPr>
                <w:p w14:paraId="0C439F26" w14:textId="77777777"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No _____</w:t>
                  </w:r>
                </w:p>
              </w:tc>
            </w:tr>
          </w:tbl>
          <w:p w14:paraId="5B811558" w14:textId="77777777" w:rsidR="00D53761" w:rsidRPr="00D53761" w:rsidRDefault="00D53761" w:rsidP="00D53761">
            <w:pPr>
              <w:rPr>
                <w:rFonts w:ascii="Open Sans" w:hAnsi="Open Sans" w:cs="Open Sans"/>
                <w:sz w:val="20"/>
                <w:szCs w:val="20"/>
              </w:rPr>
            </w:pPr>
          </w:p>
        </w:tc>
      </w:tr>
      <w:tr w:rsidR="00D53761" w:rsidRPr="00D53761" w14:paraId="0CAF5723" w14:textId="77777777" w:rsidTr="008C353D">
        <w:trPr>
          <w:trHeight w:val="1043"/>
        </w:trPr>
        <w:tc>
          <w:tcPr>
            <w:tcW w:w="10350" w:type="dxa"/>
            <w:shd w:val="clear" w:color="auto" w:fill="F2F2F2" w:themeFill="background1" w:themeFillShade="F2"/>
            <w:vAlign w:val="center"/>
          </w:tcPr>
          <w:p w14:paraId="20925BB8" w14:textId="77777777" w:rsidR="00D53761" w:rsidRPr="00D53761" w:rsidRDefault="00D53761" w:rsidP="00D53761">
            <w:pPr>
              <w:rPr>
                <w:rFonts w:ascii="Open Sans" w:hAnsi="Open Sans" w:cs="Open Sans"/>
                <w:b/>
                <w:sz w:val="20"/>
                <w:szCs w:val="20"/>
              </w:rPr>
            </w:pPr>
            <w:r w:rsidRPr="00D53761">
              <w:rPr>
                <w:rFonts w:ascii="Open Sans" w:hAnsi="Open Sans" w:cs="Open Sans"/>
                <w:b/>
                <w:sz w:val="20"/>
                <w:szCs w:val="20"/>
              </w:rPr>
              <w:t xml:space="preserve">To be aligned to the standards, all four indicators of Postsecondary and Career Readiness must be marked Yes.  </w:t>
            </w:r>
          </w:p>
        </w:tc>
        <w:tc>
          <w:tcPr>
            <w:tcW w:w="3510" w:type="dxa"/>
            <w:shd w:val="clear" w:color="auto" w:fill="F2F2F2" w:themeFill="background1" w:themeFillShade="F2"/>
            <w:vAlign w:val="center"/>
          </w:tcPr>
          <w:p w14:paraId="29D562D0" w14:textId="77777777" w:rsidR="00D53761" w:rsidRPr="00D53761" w:rsidRDefault="00D53761" w:rsidP="00D53761">
            <w:pPr>
              <w:jc w:val="center"/>
              <w:rPr>
                <w:rFonts w:ascii="Open Sans" w:hAnsi="Open Sans" w:cs="Open Sans"/>
                <w:b/>
                <w:sz w:val="20"/>
                <w:szCs w:val="20"/>
              </w:rPr>
            </w:pPr>
            <w:r w:rsidRPr="00D53761">
              <w:rPr>
                <w:rFonts w:ascii="Open Sans" w:hAnsi="Open Sans" w:cs="Open Sans"/>
                <w:b/>
                <w:sz w:val="20"/>
                <w:szCs w:val="20"/>
              </w:rPr>
              <w:t>Meet?</w:t>
            </w:r>
          </w:p>
          <w:p w14:paraId="7A3C7C2F" w14:textId="77777777" w:rsidR="00D53761" w:rsidRPr="00D53761" w:rsidRDefault="00D53761" w:rsidP="00D53761">
            <w:pPr>
              <w:jc w:val="center"/>
              <w:rPr>
                <w:rFonts w:ascii="Open Sans" w:hAnsi="Open Sans" w:cs="Open Sans"/>
                <w:b/>
                <w:sz w:val="20"/>
                <w:szCs w:val="20"/>
              </w:rPr>
            </w:pPr>
          </w:p>
          <w:p w14:paraId="7D7500DF" w14:textId="48B62ED5" w:rsidR="00D53761" w:rsidRPr="00D53761" w:rsidRDefault="008B1DCC" w:rsidP="00D53761">
            <w:pPr>
              <w:jc w:val="center"/>
              <w:rPr>
                <w:rFonts w:ascii="Open Sans" w:hAnsi="Open Sans" w:cs="Open Sans"/>
                <w:b/>
                <w:sz w:val="20"/>
                <w:szCs w:val="20"/>
              </w:rPr>
            </w:pPr>
            <w:r>
              <w:rPr>
                <w:rFonts w:ascii="Open Sans" w:hAnsi="Open Sans" w:cs="Open Sans"/>
                <w:b/>
                <w:sz w:val="20"/>
                <w:szCs w:val="20"/>
              </w:rPr>
              <w:t>Yes xxx</w:t>
            </w:r>
            <w:r w:rsidR="00D53761" w:rsidRPr="00D53761">
              <w:rPr>
                <w:rFonts w:ascii="Open Sans" w:hAnsi="Open Sans" w:cs="Open Sans"/>
                <w:b/>
                <w:sz w:val="20"/>
                <w:szCs w:val="20"/>
              </w:rPr>
              <w:t xml:space="preserve">     No _____</w:t>
            </w:r>
          </w:p>
        </w:tc>
      </w:tr>
      <w:tr w:rsidR="00D53761" w:rsidRPr="00D53761" w14:paraId="6D0C5B3A" w14:textId="77777777" w:rsidTr="008C353D">
        <w:trPr>
          <w:trHeight w:val="2159"/>
        </w:trPr>
        <w:tc>
          <w:tcPr>
            <w:tcW w:w="13860" w:type="dxa"/>
            <w:gridSpan w:val="2"/>
          </w:tcPr>
          <w:p w14:paraId="3DAE9163" w14:textId="77777777" w:rsidR="00D53761" w:rsidRPr="00D53761" w:rsidRDefault="00D53761" w:rsidP="00D53761">
            <w:pPr>
              <w:keepNext/>
              <w:outlineLvl w:val="4"/>
              <w:rPr>
                <w:rFonts w:ascii="Open Sans" w:hAnsi="Open Sans" w:cs="Open Sans"/>
                <w:b/>
                <w:sz w:val="20"/>
                <w:szCs w:val="20"/>
              </w:rPr>
            </w:pPr>
            <w:r w:rsidRPr="00D53761">
              <w:rPr>
                <w:rFonts w:ascii="Open Sans" w:hAnsi="Open Sans" w:cs="Open Sans"/>
                <w:b/>
                <w:sz w:val="20"/>
                <w:szCs w:val="20"/>
              </w:rPr>
              <w:t>Justification/Notes</w:t>
            </w:r>
          </w:p>
        </w:tc>
      </w:tr>
    </w:tbl>
    <w:p w14:paraId="0E14BF3A" w14:textId="77777777" w:rsidR="00D53761" w:rsidRPr="00D53761" w:rsidRDefault="00D53761" w:rsidP="00D53761">
      <w:pPr>
        <w:spacing w:after="0"/>
        <w:ind w:left="720"/>
        <w:contextualSpacing/>
        <w:rPr>
          <w:rFonts w:ascii="Open Sans" w:hAnsi="Open Sans" w:cs="Open Sans"/>
          <w:sz w:val="20"/>
          <w:szCs w:val="20"/>
        </w:rPr>
      </w:pPr>
    </w:p>
    <w:p w14:paraId="4CF8D0FD" w14:textId="77777777" w:rsidR="00D53761" w:rsidRPr="00D53761" w:rsidRDefault="00D53761" w:rsidP="00D53761">
      <w:pPr>
        <w:spacing w:after="0"/>
        <w:ind w:left="720"/>
        <w:contextualSpacing/>
        <w:rPr>
          <w:rFonts w:ascii="Open Sans" w:hAnsi="Open Sans" w:cs="Open Sans"/>
          <w:sz w:val="20"/>
          <w:szCs w:val="20"/>
        </w:rPr>
      </w:pPr>
    </w:p>
    <w:p w14:paraId="0076473E" w14:textId="77777777" w:rsidR="00D53761" w:rsidRPr="00D53761" w:rsidRDefault="00D53761" w:rsidP="00D53761">
      <w:pPr>
        <w:spacing w:after="0"/>
        <w:ind w:left="720"/>
        <w:contextualSpacing/>
        <w:rPr>
          <w:rFonts w:ascii="Open Sans" w:hAnsi="Open Sans" w:cs="Open Sans"/>
          <w:sz w:val="20"/>
          <w:szCs w:val="20"/>
        </w:rPr>
      </w:pPr>
    </w:p>
    <w:tbl>
      <w:tblPr>
        <w:tblStyle w:val="TableGrid"/>
        <w:tblW w:w="13829" w:type="dxa"/>
        <w:tblInd w:w="-432" w:type="dxa"/>
        <w:tblLook w:val="04A0" w:firstRow="1" w:lastRow="0" w:firstColumn="1" w:lastColumn="0" w:noHBand="0" w:noVBand="1"/>
      </w:tblPr>
      <w:tblGrid>
        <w:gridCol w:w="10350"/>
        <w:gridCol w:w="3479"/>
      </w:tblGrid>
      <w:tr w:rsidR="00D53761" w:rsidRPr="00D53761" w14:paraId="0A4821A7" w14:textId="77777777" w:rsidTr="008C353D">
        <w:trPr>
          <w:trHeight w:val="1384"/>
        </w:trPr>
        <w:tc>
          <w:tcPr>
            <w:tcW w:w="10350" w:type="dxa"/>
            <w:shd w:val="clear" w:color="auto" w:fill="F2F2F2" w:themeFill="background1" w:themeFillShade="F2"/>
            <w:vAlign w:val="center"/>
          </w:tcPr>
          <w:p w14:paraId="5497B405"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Were all three non-negotiables in section I met?</w:t>
            </w:r>
          </w:p>
          <w:p w14:paraId="5AE1FAE2"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(Was each component marked “yes”?)</w:t>
            </w:r>
          </w:p>
          <w:p w14:paraId="2A6297F4" w14:textId="77777777" w:rsidR="00D53761" w:rsidRPr="00D53761" w:rsidRDefault="00D53761" w:rsidP="00D53761">
            <w:pPr>
              <w:contextualSpacing/>
              <w:jc w:val="center"/>
              <w:rPr>
                <w:rFonts w:ascii="Open Sans" w:hAnsi="Open Sans" w:cs="Open Sans"/>
                <w:b/>
                <w:sz w:val="20"/>
                <w:szCs w:val="20"/>
              </w:rPr>
            </w:pPr>
          </w:p>
        </w:tc>
        <w:tc>
          <w:tcPr>
            <w:tcW w:w="3479" w:type="dxa"/>
            <w:shd w:val="clear" w:color="auto" w:fill="F2F2F2" w:themeFill="background1" w:themeFillShade="F2"/>
            <w:vAlign w:val="center"/>
          </w:tcPr>
          <w:p w14:paraId="236C3C0A" w14:textId="1550CB36"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 xml:space="preserve">Yes </w:t>
            </w:r>
            <w:r w:rsidR="008B1DCC">
              <w:rPr>
                <w:rFonts w:ascii="Open Sans" w:hAnsi="Open Sans" w:cs="Open Sans"/>
                <w:b/>
                <w:sz w:val="20"/>
                <w:szCs w:val="20"/>
              </w:rPr>
              <w:t>xxx</w:t>
            </w:r>
            <w:r w:rsidRPr="00D53761">
              <w:rPr>
                <w:rFonts w:ascii="Open Sans" w:hAnsi="Open Sans" w:cs="Open Sans"/>
                <w:b/>
                <w:sz w:val="20"/>
                <w:szCs w:val="20"/>
              </w:rPr>
              <w:t xml:space="preserve">     No _____</w:t>
            </w:r>
          </w:p>
        </w:tc>
      </w:tr>
    </w:tbl>
    <w:p w14:paraId="0C3FCB3A" w14:textId="77777777" w:rsidR="00D53761" w:rsidRPr="00D53761" w:rsidRDefault="00D53761" w:rsidP="00D53761">
      <w:pPr>
        <w:spacing w:after="0"/>
        <w:ind w:left="720"/>
        <w:contextualSpacing/>
        <w:rPr>
          <w:rFonts w:ascii="Open Sans" w:hAnsi="Open Sans" w:cs="Open Sans"/>
          <w:sz w:val="20"/>
          <w:szCs w:val="20"/>
        </w:rPr>
      </w:pPr>
    </w:p>
    <w:tbl>
      <w:tblPr>
        <w:tblStyle w:val="TableGrid"/>
        <w:tblW w:w="13860" w:type="dxa"/>
        <w:tblInd w:w="-432" w:type="dxa"/>
        <w:tblLook w:val="04A0" w:firstRow="1" w:lastRow="0" w:firstColumn="1" w:lastColumn="0" w:noHBand="0" w:noVBand="1"/>
      </w:tblPr>
      <w:tblGrid>
        <w:gridCol w:w="13860"/>
      </w:tblGrid>
      <w:tr w:rsidR="00D53761" w:rsidRPr="00D53761" w14:paraId="4D63849F" w14:textId="77777777" w:rsidTr="008C353D">
        <w:tc>
          <w:tcPr>
            <w:tcW w:w="13860" w:type="dxa"/>
            <w:shd w:val="clear" w:color="auto" w:fill="F2F2F2" w:themeFill="background1" w:themeFillShade="F2"/>
            <w:vAlign w:val="center"/>
          </w:tcPr>
          <w:p w14:paraId="06643575" w14:textId="77777777"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 ADDITIONAL ALIGNMENT CRITERIA AND INDICATORS OF QUALITY</w:t>
            </w:r>
          </w:p>
        </w:tc>
      </w:tr>
      <w:tr w:rsidR="00D53761" w:rsidRPr="00D53761" w14:paraId="15A0F257" w14:textId="77777777" w:rsidTr="008C353D">
        <w:tc>
          <w:tcPr>
            <w:tcW w:w="13860" w:type="dxa"/>
          </w:tcPr>
          <w:p w14:paraId="7DE3ADA9" w14:textId="77777777" w:rsidR="00D53761" w:rsidRPr="00D53761" w:rsidRDefault="00D53761" w:rsidP="00D53761">
            <w:pPr>
              <w:contextualSpacing/>
              <w:rPr>
                <w:rFonts w:ascii="Open Sans" w:hAnsi="Open Sans" w:cs="Open Sans"/>
                <w:sz w:val="20"/>
                <w:szCs w:val="20"/>
              </w:rPr>
            </w:pPr>
          </w:p>
          <w:p w14:paraId="228A2DCC" w14:textId="77777777" w:rsidR="00D53761" w:rsidRPr="00D53761" w:rsidRDefault="00D53761" w:rsidP="00D53761">
            <w:pPr>
              <w:contextualSpacing/>
              <w:rPr>
                <w:rFonts w:ascii="Open Sans" w:hAnsi="Open Sans" w:cs="Open Sans"/>
                <w:i/>
                <w:sz w:val="20"/>
                <w:szCs w:val="20"/>
              </w:rPr>
            </w:pPr>
            <w:r w:rsidRPr="00D53761">
              <w:rPr>
                <w:rFonts w:ascii="Open Sans" w:hAnsi="Open Sans" w:cs="Open Sans"/>
                <w:i/>
                <w:sz w:val="20"/>
                <w:szCs w:val="20"/>
              </w:rPr>
              <w:t>Materials must meet all non-negotiable criteria in Section I to be aligned to the course standards and receive state approval.</w:t>
            </w:r>
          </w:p>
          <w:p w14:paraId="2A0BB943" w14:textId="77777777" w:rsidR="00D53761" w:rsidRPr="00D53761" w:rsidRDefault="00D53761" w:rsidP="00D53761">
            <w:pPr>
              <w:contextualSpacing/>
              <w:rPr>
                <w:rFonts w:ascii="Open Sans" w:hAnsi="Open Sans" w:cs="Open Sans"/>
                <w:sz w:val="20"/>
                <w:szCs w:val="20"/>
              </w:rPr>
            </w:pPr>
          </w:p>
          <w:p w14:paraId="1ECF0420" w14:textId="77777777" w:rsidR="00D53761" w:rsidRPr="00D53761" w:rsidRDefault="00D53761" w:rsidP="00D53761">
            <w:pPr>
              <w:ind w:right="911"/>
              <w:contextualSpacing/>
              <w:rPr>
                <w:rFonts w:ascii="Open Sans" w:hAnsi="Open Sans" w:cs="Open Sans"/>
                <w:sz w:val="20"/>
                <w:szCs w:val="20"/>
              </w:rPr>
            </w:pPr>
            <w:r w:rsidRPr="00D53761">
              <w:rPr>
                <w:rFonts w:ascii="Open Sans" w:hAnsi="Open Sans" w:cs="Open Sans"/>
                <w:sz w:val="20"/>
                <w:szCs w:val="20"/>
              </w:rPr>
              <w:t>Section II includes additional criteria for alignment to the course standards as well as indicators of quality. Instructional materials evaluated against the criteria in Section II will be rated on the following scale:</w:t>
            </w:r>
          </w:p>
          <w:p w14:paraId="06DE0FBA" w14:textId="77777777" w:rsidR="00D53761" w:rsidRPr="00D53761" w:rsidRDefault="00D53761" w:rsidP="00D53761">
            <w:pPr>
              <w:contextualSpacing/>
              <w:rPr>
                <w:rFonts w:ascii="Open Sans" w:hAnsi="Open Sans" w:cs="Open Sans"/>
                <w:sz w:val="20"/>
                <w:szCs w:val="20"/>
              </w:rPr>
            </w:pPr>
          </w:p>
          <w:p w14:paraId="100E0CB8" w14:textId="77777777"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2</w:t>
            </w:r>
            <w:r w:rsidRPr="00D53761">
              <w:rPr>
                <w:rFonts w:ascii="Open Sans" w:hAnsi="Open Sans" w:cs="Open Sans"/>
                <w:sz w:val="20"/>
                <w:szCs w:val="20"/>
              </w:rPr>
              <w:t xml:space="preserve"> – (meets criteria): A score of 2 means that the materials meet the full intention of the criterion in all grades.</w:t>
            </w:r>
          </w:p>
          <w:p w14:paraId="060AA086" w14:textId="77777777"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1</w:t>
            </w:r>
            <w:r w:rsidRPr="00D53761">
              <w:rPr>
                <w:rFonts w:ascii="Open Sans" w:hAnsi="Open Sans" w:cs="Open Sans"/>
                <w:sz w:val="20"/>
                <w:szCs w:val="20"/>
              </w:rPr>
              <w:t xml:space="preserve"> – (partially meets criteria): A score of 1 means that the materials meet the full intention of the criterion for some grades or meets the criterion in many aspects but not the full intent of the criterion.</w:t>
            </w:r>
          </w:p>
          <w:p w14:paraId="60BCF890" w14:textId="77777777" w:rsidR="00D53761" w:rsidRPr="00D53761" w:rsidRDefault="00D53761" w:rsidP="00D53761">
            <w:pPr>
              <w:numPr>
                <w:ilvl w:val="0"/>
                <w:numId w:val="1"/>
              </w:numPr>
              <w:ind w:left="882" w:hanging="450"/>
              <w:contextualSpacing/>
              <w:rPr>
                <w:rFonts w:ascii="Open Sans" w:hAnsi="Open Sans" w:cs="Open Sans"/>
                <w:sz w:val="20"/>
                <w:szCs w:val="20"/>
              </w:rPr>
            </w:pPr>
            <w:r w:rsidRPr="00D53761">
              <w:rPr>
                <w:rFonts w:ascii="Open Sans" w:hAnsi="Open Sans" w:cs="Open Sans"/>
                <w:b/>
                <w:sz w:val="20"/>
                <w:szCs w:val="20"/>
              </w:rPr>
              <w:t>0</w:t>
            </w:r>
            <w:r w:rsidRPr="00D53761">
              <w:rPr>
                <w:rFonts w:ascii="Open Sans" w:hAnsi="Open Sans" w:cs="Open Sans"/>
                <w:sz w:val="20"/>
                <w:szCs w:val="20"/>
              </w:rPr>
              <w:t xml:space="preserve"> – (does not meet criteria): A score of 0 means that the materials do not meet many aspects of the criterion.</w:t>
            </w:r>
          </w:p>
          <w:p w14:paraId="4C989BE1" w14:textId="77777777" w:rsidR="00D53761" w:rsidRPr="00D53761" w:rsidRDefault="00D53761" w:rsidP="00D53761">
            <w:pPr>
              <w:contextualSpacing/>
              <w:rPr>
                <w:rFonts w:ascii="Open Sans" w:hAnsi="Open Sans" w:cs="Open Sans"/>
                <w:sz w:val="20"/>
                <w:szCs w:val="20"/>
              </w:rPr>
            </w:pPr>
          </w:p>
        </w:tc>
      </w:tr>
    </w:tbl>
    <w:p w14:paraId="5A7DA0C9" w14:textId="77777777" w:rsidR="00D53761" w:rsidRPr="00D53761" w:rsidRDefault="00D53761" w:rsidP="00D53761">
      <w:pPr>
        <w:spacing w:after="0"/>
        <w:ind w:left="720"/>
        <w:contextualSpacing/>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14:paraId="477C7ED9" w14:textId="77777777" w:rsidTr="008C353D">
        <w:tc>
          <w:tcPr>
            <w:tcW w:w="8730" w:type="dxa"/>
            <w:shd w:val="clear" w:color="auto" w:fill="F2F2F2" w:themeFill="background1" w:themeFillShade="F2"/>
            <w:vAlign w:val="center"/>
          </w:tcPr>
          <w:p w14:paraId="208E2D2B" w14:textId="77777777"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II(1). ADDITIONAL ALIGNMENT CRITERIA</w:t>
            </w:r>
          </w:p>
        </w:tc>
        <w:tc>
          <w:tcPr>
            <w:tcW w:w="1440" w:type="dxa"/>
            <w:shd w:val="clear" w:color="auto" w:fill="F2F2F2" w:themeFill="background1" w:themeFillShade="F2"/>
            <w:vAlign w:val="center"/>
          </w:tcPr>
          <w:p w14:paraId="09677E8D"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14:paraId="626E95FA"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14:paraId="7EDC299C" w14:textId="77777777" w:rsidTr="008C353D">
        <w:trPr>
          <w:trHeight w:val="1736"/>
        </w:trPr>
        <w:tc>
          <w:tcPr>
            <w:tcW w:w="8730" w:type="dxa"/>
            <w:vAlign w:val="center"/>
          </w:tcPr>
          <w:p w14:paraId="0E1B1B4F" w14:textId="77777777" w:rsidR="00D53761" w:rsidRPr="00D53761" w:rsidRDefault="00D53761" w:rsidP="00D53761">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Materials are aligned to relevant </w:t>
            </w:r>
            <w:r w:rsidRPr="00D53761">
              <w:rPr>
                <w:rFonts w:ascii="Open Sans" w:hAnsi="Open Sans" w:cs="Open Sans"/>
                <w:b/>
                <w:sz w:val="20"/>
                <w:szCs w:val="20"/>
              </w:rPr>
              <w:t>national and/or industry standards</w:t>
            </w:r>
            <w:r w:rsidRPr="00D53761">
              <w:rPr>
                <w:rFonts w:ascii="Open Sans" w:hAnsi="Open Sans" w:cs="Open Sans"/>
                <w:sz w:val="20"/>
                <w:szCs w:val="20"/>
              </w:rPr>
              <w:t xml:space="preserve"> where appropriate. For example, </w:t>
            </w:r>
            <w:r w:rsidRPr="00D53761">
              <w:rPr>
                <w:rFonts w:ascii="Open Sans" w:hAnsi="Open Sans" w:cs="Open Sans"/>
                <w:i/>
                <w:sz w:val="20"/>
                <w:szCs w:val="20"/>
              </w:rPr>
              <w:t>Mechatronics I</w:t>
            </w:r>
            <w:r w:rsidRPr="00D53761">
              <w:rPr>
                <w:rFonts w:ascii="Open Sans" w:hAnsi="Open Sans" w:cs="Open Sans"/>
                <w:sz w:val="20"/>
                <w:szCs w:val="20"/>
              </w:rPr>
              <w:t xml:space="preserve"> materials routinely make reference to and reinforce connections with national industry certification standards from companies like Siemens.</w:t>
            </w:r>
          </w:p>
        </w:tc>
        <w:tc>
          <w:tcPr>
            <w:tcW w:w="1440" w:type="dxa"/>
            <w:vAlign w:val="center"/>
          </w:tcPr>
          <w:p w14:paraId="40F35C52" w14:textId="2025DD0A" w:rsidR="00D53761" w:rsidRPr="00D53761" w:rsidRDefault="00D53761" w:rsidP="00D53761">
            <w:pPr>
              <w:contextualSpacing/>
              <w:jc w:val="center"/>
              <w:rPr>
                <w:rFonts w:ascii="Open Sans" w:hAnsi="Open Sans" w:cs="Open Sans"/>
                <w:sz w:val="20"/>
                <w:szCs w:val="20"/>
              </w:rPr>
            </w:pPr>
            <w:r w:rsidRPr="00D53761">
              <w:rPr>
                <w:rFonts w:ascii="Open Sans" w:hAnsi="Open Sans" w:cs="Open Sans"/>
                <w:sz w:val="20"/>
                <w:szCs w:val="20"/>
              </w:rPr>
              <w:t xml:space="preserve">2      </w:t>
            </w:r>
          </w:p>
        </w:tc>
        <w:tc>
          <w:tcPr>
            <w:tcW w:w="2988" w:type="dxa"/>
          </w:tcPr>
          <w:p w14:paraId="6B872AE3" w14:textId="77777777" w:rsidR="00EE2AEA" w:rsidRDefault="00EE2AEA" w:rsidP="00EE2AEA">
            <w:pPr>
              <w:contextualSpacing/>
              <w:rPr>
                <w:rFonts w:ascii="Open Sans" w:hAnsi="Open Sans" w:cs="Open Sans"/>
                <w:sz w:val="20"/>
                <w:szCs w:val="20"/>
              </w:rPr>
            </w:pPr>
            <w:r>
              <w:rPr>
                <w:rFonts w:ascii="Open Sans" w:hAnsi="Open Sans" w:cs="Open Sans"/>
                <w:sz w:val="20"/>
                <w:szCs w:val="20"/>
              </w:rPr>
              <w:t>The textbook is aligned with the National Jump$tart Financial Smarts for Students and the Jump$tart Coalition</w:t>
            </w:r>
          </w:p>
          <w:p w14:paraId="3B853489" w14:textId="77777777" w:rsidR="00EE2AEA" w:rsidRDefault="00EE2AEA" w:rsidP="00EE2AEA">
            <w:pPr>
              <w:contextualSpacing/>
              <w:rPr>
                <w:rFonts w:ascii="Open Sans" w:hAnsi="Open Sans" w:cs="Open Sans"/>
                <w:sz w:val="20"/>
                <w:szCs w:val="20"/>
              </w:rPr>
            </w:pPr>
          </w:p>
          <w:p w14:paraId="53299F96" w14:textId="77777777" w:rsidR="00D53761" w:rsidRPr="00D53761" w:rsidRDefault="00D53761" w:rsidP="00D53761">
            <w:pPr>
              <w:contextualSpacing/>
              <w:rPr>
                <w:rFonts w:ascii="Open Sans" w:hAnsi="Open Sans" w:cs="Open Sans"/>
                <w:sz w:val="20"/>
                <w:szCs w:val="20"/>
              </w:rPr>
            </w:pPr>
          </w:p>
        </w:tc>
      </w:tr>
      <w:tr w:rsidR="00D53761" w:rsidRPr="00D53761" w14:paraId="7A60A7E8" w14:textId="77777777" w:rsidTr="008C353D">
        <w:trPr>
          <w:trHeight w:val="1979"/>
        </w:trPr>
        <w:tc>
          <w:tcPr>
            <w:tcW w:w="8730" w:type="dxa"/>
            <w:vAlign w:val="center"/>
          </w:tcPr>
          <w:p w14:paraId="5F3549FE" w14:textId="77777777" w:rsidR="00D53761" w:rsidRPr="00D53761" w:rsidRDefault="00D53761" w:rsidP="00124855">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Materials are aligned to discipline-specific </w:t>
            </w:r>
            <w:r w:rsidRPr="00D53761">
              <w:rPr>
                <w:rFonts w:ascii="Open Sans" w:hAnsi="Open Sans" w:cs="Open Sans"/>
                <w:b/>
                <w:sz w:val="20"/>
                <w:szCs w:val="20"/>
              </w:rPr>
              <w:t>content or pedagogical frameworks</w:t>
            </w:r>
            <w:r w:rsidRPr="00D53761">
              <w:rPr>
                <w:rFonts w:ascii="Open Sans" w:hAnsi="Open Sans" w:cs="Open Sans"/>
                <w:sz w:val="20"/>
                <w:szCs w:val="20"/>
              </w:rPr>
              <w:t xml:space="preserve"> frequently used by professionals in associated industries. For example, Differentiating Instruction materials routinely make reference to and reinforce connections with instructional strategies that meet the educational needs of the student, as specified in the standards.</w:t>
            </w:r>
          </w:p>
        </w:tc>
        <w:tc>
          <w:tcPr>
            <w:tcW w:w="1440" w:type="dxa"/>
            <w:shd w:val="clear" w:color="auto" w:fill="FFFFFF" w:themeFill="background1"/>
            <w:vAlign w:val="center"/>
          </w:tcPr>
          <w:p w14:paraId="1A648D16" w14:textId="57D6B02C" w:rsidR="00D53761" w:rsidRPr="00D53761" w:rsidRDefault="00D53761" w:rsidP="00A41027">
            <w:pPr>
              <w:contextualSpacing/>
              <w:jc w:val="center"/>
              <w:rPr>
                <w:rFonts w:ascii="Open Sans" w:hAnsi="Open Sans" w:cs="Open Sans"/>
                <w:sz w:val="20"/>
                <w:szCs w:val="20"/>
              </w:rPr>
            </w:pPr>
            <w:r w:rsidRPr="00D53761">
              <w:rPr>
                <w:rFonts w:ascii="Open Sans" w:hAnsi="Open Sans" w:cs="Open Sans"/>
                <w:sz w:val="20"/>
                <w:szCs w:val="20"/>
              </w:rPr>
              <w:t xml:space="preserve"> 1      </w:t>
            </w:r>
          </w:p>
        </w:tc>
        <w:tc>
          <w:tcPr>
            <w:tcW w:w="2988" w:type="dxa"/>
            <w:shd w:val="clear" w:color="auto" w:fill="FFFFFF" w:themeFill="background1"/>
            <w:vAlign w:val="center"/>
          </w:tcPr>
          <w:p w14:paraId="1E85497B" w14:textId="0BABA8BA" w:rsidR="00D53761" w:rsidRPr="00D53761" w:rsidRDefault="00A41027" w:rsidP="00D53761">
            <w:pPr>
              <w:contextualSpacing/>
              <w:rPr>
                <w:rFonts w:ascii="Open Sans" w:hAnsi="Open Sans" w:cs="Open Sans"/>
                <w:sz w:val="20"/>
                <w:szCs w:val="20"/>
              </w:rPr>
            </w:pPr>
            <w:r>
              <w:rPr>
                <w:rFonts w:ascii="Open Sans" w:hAnsi="Open Sans" w:cs="Open Sans"/>
                <w:sz w:val="20"/>
                <w:szCs w:val="20"/>
              </w:rPr>
              <w:t>The textbook is aligned with the standards but does not include strategies to differentiate instruction.  Vocabulary and terminology is consistent with the industry.</w:t>
            </w:r>
          </w:p>
        </w:tc>
      </w:tr>
      <w:tr w:rsidR="00D53761" w:rsidRPr="00D53761" w14:paraId="0066AFDD" w14:textId="77777777" w:rsidTr="008C353D">
        <w:trPr>
          <w:trHeight w:val="1979"/>
        </w:trPr>
        <w:tc>
          <w:tcPr>
            <w:tcW w:w="8730" w:type="dxa"/>
            <w:vAlign w:val="center"/>
          </w:tcPr>
          <w:p w14:paraId="69166045" w14:textId="77777777" w:rsidR="00D53761" w:rsidRPr="00D53761" w:rsidRDefault="00D53761" w:rsidP="00D53761">
            <w:pPr>
              <w:numPr>
                <w:ilvl w:val="0"/>
                <w:numId w:val="4"/>
              </w:numPr>
              <w:ind w:left="522"/>
              <w:contextualSpacing/>
              <w:rPr>
                <w:rFonts w:ascii="Open Sans" w:hAnsi="Open Sans" w:cs="Open Sans"/>
                <w:sz w:val="20"/>
                <w:szCs w:val="20"/>
              </w:rPr>
            </w:pPr>
            <w:r w:rsidRPr="00D53761">
              <w:rPr>
                <w:rFonts w:ascii="Open Sans" w:hAnsi="Open Sans" w:cs="Open Sans"/>
                <w:sz w:val="20"/>
                <w:szCs w:val="20"/>
              </w:rPr>
              <w:t xml:space="preserve">Connections are made to discipline-specific </w:t>
            </w:r>
            <w:r w:rsidRPr="00D53761">
              <w:rPr>
                <w:rFonts w:ascii="Open Sans" w:hAnsi="Open Sans" w:cs="Open Sans"/>
                <w:b/>
                <w:sz w:val="20"/>
                <w:szCs w:val="20"/>
              </w:rPr>
              <w:t>professional societies and organizations</w:t>
            </w:r>
            <w:r w:rsidRPr="00D53761">
              <w:rPr>
                <w:rFonts w:ascii="Open Sans" w:hAnsi="Open Sans" w:cs="Open Sans"/>
                <w:sz w:val="20"/>
                <w:szCs w:val="20"/>
              </w:rPr>
              <w:t xml:space="preserve">, and their value is clearly communicated in the materials. For example, </w:t>
            </w:r>
            <w:r w:rsidRPr="00D53761">
              <w:rPr>
                <w:rFonts w:ascii="Open Sans" w:hAnsi="Open Sans" w:cs="Open Sans"/>
                <w:i/>
                <w:sz w:val="20"/>
                <w:szCs w:val="20"/>
              </w:rPr>
              <w:t>School Counseling</w:t>
            </w:r>
            <w:r w:rsidRPr="00D53761">
              <w:rPr>
                <w:rFonts w:ascii="Open Sans" w:hAnsi="Open Sans" w:cs="Open Sans"/>
                <w:sz w:val="20"/>
                <w:szCs w:val="20"/>
              </w:rPr>
              <w:t xml:space="preserve"> materials routinely make reference to and reinforce connections with the</w:t>
            </w:r>
            <w:r w:rsidR="00415672">
              <w:rPr>
                <w:rFonts w:ascii="Open Sans" w:hAnsi="Open Sans" w:cs="Open Sans"/>
                <w:sz w:val="20"/>
                <w:szCs w:val="20"/>
              </w:rPr>
              <w:t xml:space="preserve"> </w:t>
            </w:r>
            <w:r w:rsidRPr="00D53761">
              <w:rPr>
                <w:rFonts w:ascii="Open Sans" w:hAnsi="Open Sans" w:cs="Open Sans"/>
                <w:sz w:val="20"/>
                <w:szCs w:val="20"/>
              </w:rPr>
              <w:t>American School Counselor Association (ASCA).</w:t>
            </w:r>
          </w:p>
        </w:tc>
        <w:tc>
          <w:tcPr>
            <w:tcW w:w="1440" w:type="dxa"/>
            <w:shd w:val="clear" w:color="auto" w:fill="FFFFFF" w:themeFill="background1"/>
            <w:vAlign w:val="center"/>
          </w:tcPr>
          <w:p w14:paraId="1A7833F9" w14:textId="486557E9" w:rsidR="00D53761" w:rsidRPr="00D53761" w:rsidRDefault="00A41027" w:rsidP="00A41027">
            <w:pPr>
              <w:contextualSpacing/>
              <w:rPr>
                <w:rFonts w:ascii="Open Sans" w:hAnsi="Open Sans" w:cs="Open Sans"/>
                <w:sz w:val="20"/>
                <w:szCs w:val="20"/>
              </w:rPr>
            </w:pPr>
            <w:r>
              <w:rPr>
                <w:rFonts w:ascii="Open Sans" w:hAnsi="Open Sans" w:cs="Open Sans"/>
                <w:sz w:val="20"/>
                <w:szCs w:val="20"/>
              </w:rPr>
              <w:t xml:space="preserve">  </w:t>
            </w:r>
            <w:r w:rsidR="00D53761" w:rsidRPr="00D53761">
              <w:rPr>
                <w:rFonts w:ascii="Open Sans" w:hAnsi="Open Sans" w:cs="Open Sans"/>
                <w:sz w:val="20"/>
                <w:szCs w:val="20"/>
              </w:rPr>
              <w:t xml:space="preserve">    1      </w:t>
            </w:r>
          </w:p>
        </w:tc>
        <w:tc>
          <w:tcPr>
            <w:tcW w:w="2988" w:type="dxa"/>
            <w:shd w:val="clear" w:color="auto" w:fill="FFFFFF" w:themeFill="background1"/>
            <w:vAlign w:val="center"/>
          </w:tcPr>
          <w:p w14:paraId="106EA96F" w14:textId="27207B43" w:rsidR="00D53761" w:rsidRPr="00D53761" w:rsidRDefault="00A41027" w:rsidP="00D53761">
            <w:pPr>
              <w:contextualSpacing/>
              <w:rPr>
                <w:rFonts w:ascii="Open Sans" w:hAnsi="Open Sans" w:cs="Open Sans"/>
                <w:sz w:val="20"/>
                <w:szCs w:val="20"/>
              </w:rPr>
            </w:pPr>
            <w:r>
              <w:rPr>
                <w:rFonts w:ascii="Open Sans" w:hAnsi="Open Sans" w:cs="Open Sans"/>
                <w:sz w:val="20"/>
                <w:szCs w:val="20"/>
              </w:rPr>
              <w:t>There are no specific professional societies for personal finance, but references are made to specific careers within the topics.  For example, when covering stocks, they address careers as stockbrokers.</w:t>
            </w:r>
          </w:p>
        </w:tc>
      </w:tr>
    </w:tbl>
    <w:p w14:paraId="7E756F06" w14:textId="77777777" w:rsidR="00D53761" w:rsidRPr="00D53761" w:rsidRDefault="00D53761" w:rsidP="00D53761">
      <w:pPr>
        <w:spacing w:after="0" w:line="240" w:lineRule="auto"/>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14:paraId="0AC1FD39" w14:textId="77777777" w:rsidTr="008C353D">
        <w:trPr>
          <w:trHeight w:val="350"/>
        </w:trPr>
        <w:tc>
          <w:tcPr>
            <w:tcW w:w="8730" w:type="dxa"/>
            <w:shd w:val="clear" w:color="auto" w:fill="F2F2F2" w:themeFill="background1" w:themeFillShade="F2"/>
            <w:vAlign w:val="center"/>
          </w:tcPr>
          <w:p w14:paraId="7A312CCB" w14:textId="77777777" w:rsidR="00D53761" w:rsidRPr="00D53761" w:rsidRDefault="00D53761" w:rsidP="006D23A5">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Section II(2). </w:t>
            </w:r>
            <w:r w:rsidRPr="00D53761">
              <w:rPr>
                <w:rFonts w:ascii="Open Sans" w:hAnsi="Open Sans" w:cs="Open Sans"/>
                <w:b/>
                <w:sz w:val="20"/>
                <w:szCs w:val="20"/>
              </w:rPr>
              <w:t>SEQUENCE AND PROGRESSION OF STANDARDS</w:t>
            </w:r>
          </w:p>
        </w:tc>
        <w:tc>
          <w:tcPr>
            <w:tcW w:w="1440" w:type="dxa"/>
            <w:shd w:val="clear" w:color="auto" w:fill="F2F2F2" w:themeFill="background1" w:themeFillShade="F2"/>
            <w:vAlign w:val="center"/>
          </w:tcPr>
          <w:p w14:paraId="4B905A76"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14:paraId="7BEB3E4D"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14:paraId="4B09667C" w14:textId="77777777" w:rsidTr="008C353D">
        <w:trPr>
          <w:trHeight w:val="1664"/>
        </w:trPr>
        <w:tc>
          <w:tcPr>
            <w:tcW w:w="8730" w:type="dxa"/>
            <w:vAlign w:val="center"/>
          </w:tcPr>
          <w:p w14:paraId="4F1C20E3" w14:textId="77777777" w:rsidR="00D53761" w:rsidRPr="00D53761" w:rsidRDefault="00D53761" w:rsidP="00D53761">
            <w:pPr>
              <w:numPr>
                <w:ilvl w:val="0"/>
                <w:numId w:val="5"/>
              </w:numPr>
              <w:ind w:left="342"/>
              <w:contextualSpacing/>
              <w:rPr>
                <w:rFonts w:ascii="Open Sans" w:hAnsi="Open Sans" w:cs="Open Sans"/>
                <w:sz w:val="20"/>
                <w:szCs w:val="20"/>
              </w:rPr>
            </w:pPr>
            <w:r w:rsidRPr="00D53761">
              <w:rPr>
                <w:rFonts w:ascii="Open Sans" w:hAnsi="Open Sans" w:cs="Open Sans"/>
                <w:sz w:val="20"/>
                <w:szCs w:val="20"/>
              </w:rPr>
              <w:t>Connections are made within a course between knowledge and skills, where these connections are appropriate and natural, as set forth by the standards.</w:t>
            </w:r>
          </w:p>
        </w:tc>
        <w:tc>
          <w:tcPr>
            <w:tcW w:w="1440" w:type="dxa"/>
            <w:vAlign w:val="center"/>
          </w:tcPr>
          <w:p w14:paraId="0526929D" w14:textId="7C830D5A" w:rsidR="00D53761" w:rsidRPr="00D53761" w:rsidRDefault="00D53761" w:rsidP="00D53761">
            <w:pPr>
              <w:contextualSpacing/>
              <w:jc w:val="center"/>
              <w:rPr>
                <w:rFonts w:ascii="Open Sans" w:hAnsi="Open Sans" w:cs="Open Sans"/>
                <w:sz w:val="20"/>
                <w:szCs w:val="20"/>
              </w:rPr>
            </w:pPr>
            <w:r w:rsidRPr="00D53761">
              <w:rPr>
                <w:rFonts w:ascii="Open Sans" w:hAnsi="Open Sans" w:cs="Open Sans"/>
                <w:sz w:val="20"/>
                <w:szCs w:val="20"/>
              </w:rPr>
              <w:t xml:space="preserve">2     </w:t>
            </w:r>
          </w:p>
        </w:tc>
        <w:tc>
          <w:tcPr>
            <w:tcW w:w="2988" w:type="dxa"/>
          </w:tcPr>
          <w:p w14:paraId="33D344F6" w14:textId="790BA6A3" w:rsidR="00D53761" w:rsidRPr="00D53761" w:rsidRDefault="00A41027" w:rsidP="00D53761">
            <w:pPr>
              <w:contextualSpacing/>
              <w:rPr>
                <w:rFonts w:ascii="Open Sans" w:hAnsi="Open Sans" w:cs="Open Sans"/>
                <w:sz w:val="20"/>
                <w:szCs w:val="20"/>
              </w:rPr>
            </w:pPr>
            <w:r>
              <w:rPr>
                <w:rFonts w:ascii="Open Sans" w:hAnsi="Open Sans" w:cs="Open Sans"/>
                <w:sz w:val="20"/>
                <w:szCs w:val="20"/>
              </w:rPr>
              <w:t>This online book provides a link between the knowledge learned and the practical application of those skills.</w:t>
            </w:r>
            <w:r w:rsidR="00C06B66">
              <w:rPr>
                <w:rFonts w:ascii="Open Sans" w:hAnsi="Open Sans" w:cs="Open Sans"/>
                <w:sz w:val="20"/>
                <w:szCs w:val="20"/>
              </w:rPr>
              <w:t xml:space="preserve">  </w:t>
            </w:r>
          </w:p>
        </w:tc>
      </w:tr>
      <w:tr w:rsidR="00D53761" w:rsidRPr="00D53761" w14:paraId="04B227B9" w14:textId="77777777" w:rsidTr="008C353D">
        <w:trPr>
          <w:trHeight w:val="1979"/>
        </w:trPr>
        <w:tc>
          <w:tcPr>
            <w:tcW w:w="8730" w:type="dxa"/>
            <w:vAlign w:val="center"/>
          </w:tcPr>
          <w:p w14:paraId="42AD8A13" w14:textId="77777777" w:rsidR="00D53761" w:rsidRPr="00D53761" w:rsidRDefault="00D53761" w:rsidP="00D53761">
            <w:pPr>
              <w:numPr>
                <w:ilvl w:val="0"/>
                <w:numId w:val="5"/>
              </w:numPr>
              <w:contextualSpacing/>
              <w:rPr>
                <w:rFonts w:ascii="Open Sans" w:hAnsi="Open Sans" w:cs="Open Sans"/>
                <w:sz w:val="20"/>
                <w:szCs w:val="20"/>
              </w:rPr>
            </w:pPr>
            <w:r w:rsidRPr="00D53761">
              <w:rPr>
                <w:rFonts w:ascii="Open Sans" w:hAnsi="Open Sans" w:cs="Open Sans"/>
                <w:sz w:val="20"/>
                <w:szCs w:val="20"/>
              </w:rPr>
              <w:t>Materials are vertically coherent with previous courses and these connections are made clear in the materials. The connections are explicit to the other materials in the course.</w:t>
            </w:r>
          </w:p>
        </w:tc>
        <w:tc>
          <w:tcPr>
            <w:tcW w:w="1440" w:type="dxa"/>
            <w:shd w:val="clear" w:color="auto" w:fill="FFFFFF" w:themeFill="background1"/>
            <w:vAlign w:val="center"/>
          </w:tcPr>
          <w:p w14:paraId="1696CB61" w14:textId="2DC605F7" w:rsidR="00D53761" w:rsidRPr="00D53761" w:rsidRDefault="00D53761" w:rsidP="00D53761">
            <w:pPr>
              <w:contextualSpacing/>
              <w:jc w:val="center"/>
              <w:rPr>
                <w:rFonts w:ascii="Open Sans" w:hAnsi="Open Sans" w:cs="Open Sans"/>
                <w:sz w:val="20"/>
                <w:szCs w:val="20"/>
              </w:rPr>
            </w:pPr>
            <w:r w:rsidRPr="00D53761">
              <w:rPr>
                <w:rFonts w:ascii="Open Sans" w:hAnsi="Open Sans" w:cs="Open Sans"/>
                <w:sz w:val="20"/>
                <w:szCs w:val="20"/>
              </w:rPr>
              <w:t xml:space="preserve">2      </w:t>
            </w:r>
          </w:p>
        </w:tc>
        <w:tc>
          <w:tcPr>
            <w:tcW w:w="2988" w:type="dxa"/>
            <w:shd w:val="clear" w:color="auto" w:fill="FFFFFF" w:themeFill="background1"/>
            <w:vAlign w:val="center"/>
          </w:tcPr>
          <w:p w14:paraId="3204FEDD" w14:textId="04567D0D" w:rsidR="00D53761" w:rsidRPr="00D53761" w:rsidRDefault="00C06B66" w:rsidP="00D53761">
            <w:pPr>
              <w:contextualSpacing/>
              <w:rPr>
                <w:rFonts w:ascii="Open Sans" w:hAnsi="Open Sans" w:cs="Open Sans"/>
                <w:sz w:val="20"/>
                <w:szCs w:val="20"/>
              </w:rPr>
            </w:pPr>
            <w:r>
              <w:rPr>
                <w:rFonts w:ascii="Open Sans" w:hAnsi="Open Sans" w:cs="Open Sans"/>
                <w:sz w:val="20"/>
                <w:szCs w:val="20"/>
              </w:rPr>
              <w:t>Material is presented in a manner that flows logically and one concept builds on the next. In addition, each unit can stand alone allowing teachers the flexibility to cover standards in whatever order they want.</w:t>
            </w:r>
          </w:p>
        </w:tc>
      </w:tr>
      <w:tr w:rsidR="00D53761" w:rsidRPr="00D53761" w14:paraId="42FC5B7E" w14:textId="77777777" w:rsidTr="008C353D">
        <w:trPr>
          <w:trHeight w:val="1781"/>
        </w:trPr>
        <w:tc>
          <w:tcPr>
            <w:tcW w:w="8730" w:type="dxa"/>
            <w:vAlign w:val="center"/>
          </w:tcPr>
          <w:p w14:paraId="41AAA9F7" w14:textId="77777777" w:rsidR="00D53761" w:rsidRPr="00D53761" w:rsidRDefault="00D53761" w:rsidP="00D53761">
            <w:pPr>
              <w:numPr>
                <w:ilvl w:val="0"/>
                <w:numId w:val="5"/>
              </w:numPr>
              <w:contextualSpacing/>
              <w:rPr>
                <w:rFonts w:ascii="Open Sans" w:hAnsi="Open Sans" w:cs="Open Sans"/>
                <w:sz w:val="20"/>
                <w:szCs w:val="20"/>
              </w:rPr>
            </w:pPr>
            <w:r w:rsidRPr="00D53761">
              <w:rPr>
                <w:rFonts w:ascii="Open Sans" w:hAnsi="Open Sans" w:cs="Open Sans"/>
                <w:sz w:val="20"/>
                <w:szCs w:val="20"/>
              </w:rPr>
              <w:t xml:space="preserve">For materials in a series, content progressions reflect the progressions as seen in the standards. These progression connections are clearly indicated in the materials. Any discrepancies in content progressions enhance the required learning in each course and are clearly aimed at helping students meet the standards as written. </w:t>
            </w:r>
          </w:p>
        </w:tc>
        <w:tc>
          <w:tcPr>
            <w:tcW w:w="1440" w:type="dxa"/>
            <w:shd w:val="clear" w:color="auto" w:fill="FFFFFF" w:themeFill="background1"/>
            <w:vAlign w:val="center"/>
          </w:tcPr>
          <w:p w14:paraId="4B4746B1" w14:textId="7D089F51" w:rsidR="00D53761" w:rsidRPr="00D53761" w:rsidRDefault="00C06B66" w:rsidP="00C06B66">
            <w:pPr>
              <w:contextualSpacing/>
              <w:rPr>
                <w:rFonts w:ascii="Open Sans" w:hAnsi="Open Sans" w:cs="Open Sans"/>
                <w:sz w:val="20"/>
                <w:szCs w:val="20"/>
              </w:rPr>
            </w:pPr>
            <w:r>
              <w:rPr>
                <w:rFonts w:ascii="Open Sans" w:hAnsi="Open Sans" w:cs="Open Sans"/>
                <w:sz w:val="20"/>
                <w:szCs w:val="20"/>
              </w:rPr>
              <w:t xml:space="preserve">  </w:t>
            </w:r>
            <w:r w:rsidR="00D53761" w:rsidRPr="00D53761">
              <w:rPr>
                <w:rFonts w:ascii="Open Sans" w:hAnsi="Open Sans" w:cs="Open Sans"/>
                <w:sz w:val="20"/>
                <w:szCs w:val="20"/>
              </w:rPr>
              <w:t xml:space="preserve">     1      </w:t>
            </w:r>
          </w:p>
        </w:tc>
        <w:tc>
          <w:tcPr>
            <w:tcW w:w="2988" w:type="dxa"/>
            <w:shd w:val="clear" w:color="auto" w:fill="FFFFFF" w:themeFill="background1"/>
            <w:vAlign w:val="center"/>
          </w:tcPr>
          <w:p w14:paraId="086FC59A" w14:textId="0894A559" w:rsidR="00D53761" w:rsidRPr="00D53761" w:rsidRDefault="00C06B66" w:rsidP="00D53761">
            <w:pPr>
              <w:contextualSpacing/>
              <w:rPr>
                <w:rFonts w:ascii="Open Sans" w:hAnsi="Open Sans" w:cs="Open Sans"/>
                <w:sz w:val="20"/>
                <w:szCs w:val="20"/>
              </w:rPr>
            </w:pPr>
            <w:r>
              <w:rPr>
                <w:rFonts w:ascii="Open Sans" w:hAnsi="Open Sans" w:cs="Open Sans"/>
                <w:sz w:val="20"/>
                <w:szCs w:val="20"/>
              </w:rPr>
              <w:t>This is a stand-alone content area with no progression to another course.  Although no additional courses, the material uses business concepts and vocabulary.</w:t>
            </w:r>
          </w:p>
        </w:tc>
      </w:tr>
    </w:tbl>
    <w:p w14:paraId="664ED39A" w14:textId="77777777"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14:paraId="4FB4B806" w14:textId="77777777" w:rsidTr="008C353D">
        <w:trPr>
          <w:trHeight w:val="395"/>
        </w:trPr>
        <w:tc>
          <w:tcPr>
            <w:tcW w:w="8730" w:type="dxa"/>
            <w:shd w:val="clear" w:color="auto" w:fill="F2F2F2" w:themeFill="background1" w:themeFillShade="F2"/>
            <w:vAlign w:val="center"/>
          </w:tcPr>
          <w:p w14:paraId="7918AB2F" w14:textId="77777777"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II(3). TEACHER SUPPORTS</w:t>
            </w:r>
          </w:p>
        </w:tc>
        <w:tc>
          <w:tcPr>
            <w:tcW w:w="1440" w:type="dxa"/>
            <w:shd w:val="clear" w:color="auto" w:fill="F2F2F2" w:themeFill="background1" w:themeFillShade="F2"/>
            <w:vAlign w:val="center"/>
          </w:tcPr>
          <w:p w14:paraId="426C2E06"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14:paraId="4B2E7113"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14:paraId="6813A3CE" w14:textId="77777777" w:rsidTr="008C353D">
        <w:trPr>
          <w:trHeight w:val="1502"/>
        </w:trPr>
        <w:tc>
          <w:tcPr>
            <w:tcW w:w="8730" w:type="dxa"/>
            <w:vAlign w:val="center"/>
          </w:tcPr>
          <w:p w14:paraId="63049B04" w14:textId="77777777" w:rsidR="00D53761" w:rsidRPr="00D53761" w:rsidRDefault="00D53761" w:rsidP="00D53761">
            <w:pPr>
              <w:numPr>
                <w:ilvl w:val="0"/>
                <w:numId w:val="6"/>
              </w:numPr>
              <w:ind w:left="432"/>
              <w:contextualSpacing/>
              <w:rPr>
                <w:rFonts w:ascii="Open Sans" w:hAnsi="Open Sans" w:cs="Open Sans"/>
                <w:sz w:val="20"/>
                <w:szCs w:val="20"/>
              </w:rPr>
            </w:pPr>
            <w:r w:rsidRPr="00D53761">
              <w:rPr>
                <w:rFonts w:ascii="Open Sans" w:hAnsi="Open Sans" w:cs="Open Sans"/>
                <w:sz w:val="20"/>
                <w:szCs w:val="20"/>
              </w:rPr>
              <w:t>Materials support teachers in ways such as the following: planning (including ideas for pacing), sample lessons, laboratory applications, projects, vocabulary, and instructional strategies.</w:t>
            </w:r>
          </w:p>
        </w:tc>
        <w:tc>
          <w:tcPr>
            <w:tcW w:w="1440" w:type="dxa"/>
            <w:vAlign w:val="center"/>
          </w:tcPr>
          <w:p w14:paraId="42BBC451" w14:textId="4CA4F551" w:rsidR="00D53761" w:rsidRPr="00D53761" w:rsidRDefault="00D53761" w:rsidP="00D53761">
            <w:pPr>
              <w:contextualSpacing/>
              <w:jc w:val="center"/>
              <w:rPr>
                <w:rFonts w:ascii="Open Sans" w:hAnsi="Open Sans" w:cs="Open Sans"/>
                <w:sz w:val="20"/>
                <w:szCs w:val="20"/>
              </w:rPr>
            </w:pPr>
            <w:r w:rsidRPr="00D53761">
              <w:rPr>
                <w:rFonts w:ascii="Open Sans" w:hAnsi="Open Sans" w:cs="Open Sans"/>
                <w:sz w:val="20"/>
                <w:szCs w:val="20"/>
              </w:rPr>
              <w:t xml:space="preserve">2      </w:t>
            </w:r>
          </w:p>
        </w:tc>
        <w:tc>
          <w:tcPr>
            <w:tcW w:w="2988" w:type="dxa"/>
          </w:tcPr>
          <w:p w14:paraId="3867256D" w14:textId="6AFA2152" w:rsidR="00D53761" w:rsidRPr="00D53761" w:rsidRDefault="00C06B66" w:rsidP="00D53761">
            <w:pPr>
              <w:contextualSpacing/>
              <w:rPr>
                <w:rFonts w:ascii="Open Sans" w:hAnsi="Open Sans" w:cs="Open Sans"/>
                <w:sz w:val="20"/>
                <w:szCs w:val="20"/>
              </w:rPr>
            </w:pPr>
            <w:r>
              <w:rPr>
                <w:rFonts w:ascii="Open Sans" w:hAnsi="Open Sans" w:cs="Open Sans"/>
                <w:sz w:val="20"/>
                <w:szCs w:val="20"/>
              </w:rPr>
              <w:t>This online book has planning suggestions, lesson plans, teacher notes, student study guide (fill in blank notes), projects, vocabulary</w:t>
            </w:r>
            <w:r w:rsidR="001A264E">
              <w:rPr>
                <w:rFonts w:ascii="Open Sans" w:hAnsi="Open Sans" w:cs="Open Sans"/>
                <w:sz w:val="20"/>
                <w:szCs w:val="20"/>
              </w:rPr>
              <w:t>, PowerPoints</w:t>
            </w:r>
            <w:r>
              <w:rPr>
                <w:rFonts w:ascii="Open Sans" w:hAnsi="Open Sans" w:cs="Open Sans"/>
                <w:sz w:val="20"/>
                <w:szCs w:val="20"/>
              </w:rPr>
              <w:t xml:space="preserve"> and assessments</w:t>
            </w:r>
            <w:r w:rsidR="001A264E">
              <w:rPr>
                <w:rFonts w:ascii="Open Sans" w:hAnsi="Open Sans" w:cs="Open Sans"/>
                <w:sz w:val="20"/>
                <w:szCs w:val="20"/>
              </w:rPr>
              <w:t>.</w:t>
            </w:r>
          </w:p>
        </w:tc>
      </w:tr>
      <w:tr w:rsidR="00D53761" w:rsidRPr="00D53761" w14:paraId="6E2D35BD" w14:textId="77777777" w:rsidTr="008C353D">
        <w:trPr>
          <w:trHeight w:val="1376"/>
        </w:trPr>
        <w:tc>
          <w:tcPr>
            <w:tcW w:w="8730" w:type="dxa"/>
            <w:vAlign w:val="center"/>
          </w:tcPr>
          <w:p w14:paraId="5480148A" w14:textId="77777777" w:rsidR="00D53761" w:rsidRPr="00D53761" w:rsidRDefault="00D53761" w:rsidP="00D53761">
            <w:pPr>
              <w:numPr>
                <w:ilvl w:val="0"/>
                <w:numId w:val="6"/>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teacher-directed materials that explain the role of the practice activities in the classroom and in students’ content development. Problems and activities present opportunities for students to make use of and exhibit the skills as they work on mastery of content.</w:t>
            </w:r>
          </w:p>
        </w:tc>
        <w:tc>
          <w:tcPr>
            <w:tcW w:w="1440" w:type="dxa"/>
            <w:vAlign w:val="center"/>
          </w:tcPr>
          <w:p w14:paraId="50A0D1E4" w14:textId="071A0484" w:rsidR="00D53761" w:rsidRPr="00D53761" w:rsidRDefault="00D53761" w:rsidP="00D53761">
            <w:pPr>
              <w:contextualSpacing/>
              <w:jc w:val="center"/>
              <w:rPr>
                <w:rFonts w:ascii="Open Sans" w:hAnsi="Open Sans" w:cs="Open Sans"/>
                <w:sz w:val="20"/>
                <w:szCs w:val="20"/>
              </w:rPr>
            </w:pPr>
            <w:r w:rsidRPr="00D53761">
              <w:rPr>
                <w:rFonts w:ascii="Open Sans" w:hAnsi="Open Sans" w:cs="Open Sans"/>
                <w:sz w:val="20"/>
                <w:szCs w:val="20"/>
              </w:rPr>
              <w:t xml:space="preserve">2      </w:t>
            </w:r>
          </w:p>
        </w:tc>
        <w:tc>
          <w:tcPr>
            <w:tcW w:w="2988" w:type="dxa"/>
          </w:tcPr>
          <w:p w14:paraId="44A0F6EA" w14:textId="0BCC32E8" w:rsidR="00D53761" w:rsidRPr="00D53761" w:rsidRDefault="001A264E" w:rsidP="00D53761">
            <w:pPr>
              <w:contextualSpacing/>
              <w:rPr>
                <w:rFonts w:ascii="Open Sans" w:hAnsi="Open Sans" w:cs="Open Sans"/>
                <w:sz w:val="20"/>
                <w:szCs w:val="20"/>
              </w:rPr>
            </w:pPr>
            <w:r>
              <w:rPr>
                <w:rFonts w:ascii="Open Sans" w:hAnsi="Open Sans" w:cs="Open Sans"/>
                <w:sz w:val="20"/>
                <w:szCs w:val="20"/>
              </w:rPr>
              <w:t xml:space="preserve">This online book includes lots of practice activities that will contribute to the students’ mastery of content.  </w:t>
            </w:r>
          </w:p>
        </w:tc>
      </w:tr>
      <w:tr w:rsidR="00D53761" w:rsidRPr="00D53761" w14:paraId="7F4BF9A7" w14:textId="77777777" w:rsidTr="008C353D">
        <w:trPr>
          <w:trHeight w:val="1376"/>
        </w:trPr>
        <w:tc>
          <w:tcPr>
            <w:tcW w:w="8730" w:type="dxa"/>
            <w:vAlign w:val="center"/>
          </w:tcPr>
          <w:p w14:paraId="57737F7B" w14:textId="77777777" w:rsidR="00D53761" w:rsidRPr="00D53761" w:rsidRDefault="00D53761" w:rsidP="00D53761">
            <w:pPr>
              <w:numPr>
                <w:ilvl w:val="0"/>
                <w:numId w:val="6"/>
              </w:numPr>
              <w:ind w:left="432"/>
              <w:contextualSpacing/>
              <w:rPr>
                <w:rFonts w:ascii="Open Sans" w:hAnsi="Open Sans" w:cs="Open Sans"/>
                <w:sz w:val="20"/>
                <w:szCs w:val="20"/>
              </w:rPr>
            </w:pPr>
            <w:r w:rsidRPr="00D53761">
              <w:rPr>
                <w:rFonts w:ascii="Open Sans" w:hAnsi="Open Sans" w:cs="Open Sans"/>
                <w:sz w:val="20"/>
                <w:szCs w:val="20"/>
              </w:rPr>
              <w:t>Opportunities and resources are provided for teachers to conduct independent study to enhance their own understanding and knowledge of course topics. Materials provide avenues to seek and identify quality professional development in a manner that will support student learning.</w:t>
            </w:r>
          </w:p>
        </w:tc>
        <w:tc>
          <w:tcPr>
            <w:tcW w:w="1440" w:type="dxa"/>
            <w:vAlign w:val="center"/>
          </w:tcPr>
          <w:p w14:paraId="04EE7A36" w14:textId="5C133F48" w:rsidR="00D53761" w:rsidRPr="00D53761" w:rsidRDefault="00D53761" w:rsidP="00D53761">
            <w:pPr>
              <w:contextualSpacing/>
              <w:jc w:val="center"/>
              <w:rPr>
                <w:rFonts w:ascii="Open Sans" w:hAnsi="Open Sans" w:cs="Open Sans"/>
                <w:sz w:val="20"/>
                <w:szCs w:val="20"/>
              </w:rPr>
            </w:pPr>
            <w:r w:rsidRPr="00D53761">
              <w:rPr>
                <w:rFonts w:ascii="Open Sans" w:hAnsi="Open Sans" w:cs="Open Sans"/>
                <w:sz w:val="20"/>
                <w:szCs w:val="20"/>
              </w:rPr>
              <w:t xml:space="preserve">  1      </w:t>
            </w:r>
          </w:p>
        </w:tc>
        <w:tc>
          <w:tcPr>
            <w:tcW w:w="2988" w:type="dxa"/>
          </w:tcPr>
          <w:p w14:paraId="4BD32C01" w14:textId="62318D84" w:rsidR="00D53761" w:rsidRPr="00D53761" w:rsidRDefault="001A264E" w:rsidP="00D53761">
            <w:pPr>
              <w:contextualSpacing/>
              <w:rPr>
                <w:rFonts w:ascii="Open Sans" w:hAnsi="Open Sans" w:cs="Open Sans"/>
                <w:sz w:val="20"/>
                <w:szCs w:val="20"/>
              </w:rPr>
            </w:pPr>
            <w:r>
              <w:rPr>
                <w:rFonts w:ascii="Open Sans" w:hAnsi="Open Sans" w:cs="Open Sans"/>
                <w:sz w:val="20"/>
                <w:szCs w:val="20"/>
              </w:rPr>
              <w:t>If a teacher was new to this content, they could learn from the student modules.  But, there is not a</w:t>
            </w:r>
            <w:r w:rsidR="00EC37C7">
              <w:rPr>
                <w:rFonts w:ascii="Open Sans" w:hAnsi="Open Sans" w:cs="Open Sans"/>
                <w:sz w:val="20"/>
                <w:szCs w:val="20"/>
              </w:rPr>
              <w:t>n</w:t>
            </w:r>
            <w:r>
              <w:rPr>
                <w:rFonts w:ascii="Open Sans" w:hAnsi="Open Sans" w:cs="Open Sans"/>
                <w:sz w:val="20"/>
                <w:szCs w:val="20"/>
              </w:rPr>
              <w:t xml:space="preserve"> opportunity for professional development for teachers.</w:t>
            </w:r>
          </w:p>
        </w:tc>
      </w:tr>
    </w:tbl>
    <w:p w14:paraId="20B56CF6" w14:textId="77777777"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14:paraId="05B37E12" w14:textId="77777777" w:rsidTr="008C353D">
        <w:trPr>
          <w:trHeight w:val="395"/>
        </w:trPr>
        <w:tc>
          <w:tcPr>
            <w:tcW w:w="8730" w:type="dxa"/>
            <w:shd w:val="clear" w:color="auto" w:fill="F2F2F2" w:themeFill="background1" w:themeFillShade="F2"/>
            <w:vAlign w:val="center"/>
          </w:tcPr>
          <w:p w14:paraId="6B21E56B" w14:textId="77777777"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II(4). USABILITY</w:t>
            </w:r>
          </w:p>
        </w:tc>
        <w:tc>
          <w:tcPr>
            <w:tcW w:w="1440" w:type="dxa"/>
            <w:shd w:val="clear" w:color="auto" w:fill="F2F2F2" w:themeFill="background1" w:themeFillShade="F2"/>
            <w:vAlign w:val="center"/>
          </w:tcPr>
          <w:p w14:paraId="0E6B21BA"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14:paraId="3EF986C1"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14:paraId="52CEB7B7" w14:textId="77777777" w:rsidTr="008C353D">
        <w:trPr>
          <w:trHeight w:val="1502"/>
        </w:trPr>
        <w:tc>
          <w:tcPr>
            <w:tcW w:w="8730" w:type="dxa"/>
            <w:vAlign w:val="center"/>
          </w:tcPr>
          <w:p w14:paraId="51F837DA" w14:textId="77777777" w:rsidR="00D53761" w:rsidRPr="00D53761" w:rsidRDefault="00D53761" w:rsidP="00D53761">
            <w:pPr>
              <w:numPr>
                <w:ilvl w:val="0"/>
                <w:numId w:val="10"/>
              </w:numPr>
              <w:contextualSpacing/>
              <w:rPr>
                <w:rFonts w:ascii="Open Sans" w:hAnsi="Open Sans" w:cs="Open Sans"/>
                <w:sz w:val="20"/>
                <w:szCs w:val="20"/>
              </w:rPr>
            </w:pPr>
            <w:r w:rsidRPr="00D53761">
              <w:rPr>
                <w:rFonts w:ascii="Open Sans" w:hAnsi="Open Sans" w:cs="Open Sans"/>
                <w:sz w:val="20"/>
                <w:szCs w:val="20"/>
              </w:rPr>
              <w:t>Materials can be accessed in a variety of formats and media, including but not limited to printed textbooks, digital storage devices, online applications, and cloud-based forums.</w:t>
            </w:r>
          </w:p>
        </w:tc>
        <w:tc>
          <w:tcPr>
            <w:tcW w:w="1440" w:type="dxa"/>
            <w:vAlign w:val="center"/>
          </w:tcPr>
          <w:p w14:paraId="3A8392B1" w14:textId="2306D7FF" w:rsidR="00D53761" w:rsidRPr="00D53761" w:rsidRDefault="00D53761" w:rsidP="001A264E">
            <w:pPr>
              <w:contextualSpacing/>
              <w:jc w:val="center"/>
              <w:rPr>
                <w:rFonts w:ascii="Open Sans" w:hAnsi="Open Sans" w:cs="Open Sans"/>
                <w:sz w:val="20"/>
                <w:szCs w:val="20"/>
              </w:rPr>
            </w:pPr>
            <w:r w:rsidRPr="00D53761">
              <w:rPr>
                <w:rFonts w:ascii="Open Sans" w:hAnsi="Open Sans" w:cs="Open Sans"/>
                <w:sz w:val="20"/>
                <w:szCs w:val="20"/>
              </w:rPr>
              <w:t xml:space="preserve">   1      </w:t>
            </w:r>
          </w:p>
        </w:tc>
        <w:tc>
          <w:tcPr>
            <w:tcW w:w="2988" w:type="dxa"/>
          </w:tcPr>
          <w:p w14:paraId="649F6ABD" w14:textId="58797140" w:rsidR="00D53761" w:rsidRPr="00D53761" w:rsidRDefault="001A264E" w:rsidP="00D53761">
            <w:pPr>
              <w:contextualSpacing/>
              <w:rPr>
                <w:rFonts w:ascii="Open Sans" w:hAnsi="Open Sans" w:cs="Open Sans"/>
                <w:sz w:val="20"/>
                <w:szCs w:val="20"/>
              </w:rPr>
            </w:pPr>
            <w:r>
              <w:rPr>
                <w:rFonts w:ascii="Open Sans" w:hAnsi="Open Sans" w:cs="Open Sans"/>
                <w:sz w:val="20"/>
                <w:szCs w:val="20"/>
              </w:rPr>
              <w:t xml:space="preserve">Materials are only covered online, but there are options to also download content.  </w:t>
            </w:r>
          </w:p>
        </w:tc>
      </w:tr>
      <w:tr w:rsidR="00D53761" w:rsidRPr="00D53761" w14:paraId="228DBF96" w14:textId="77777777" w:rsidTr="008C353D">
        <w:trPr>
          <w:trHeight w:val="1115"/>
        </w:trPr>
        <w:tc>
          <w:tcPr>
            <w:tcW w:w="8730" w:type="dxa"/>
            <w:vAlign w:val="center"/>
          </w:tcPr>
          <w:p w14:paraId="5F6AC643" w14:textId="77777777" w:rsidR="00D53761" w:rsidRPr="00D53761" w:rsidRDefault="00D53761" w:rsidP="00D53761">
            <w:pPr>
              <w:numPr>
                <w:ilvl w:val="0"/>
                <w:numId w:val="10"/>
              </w:numPr>
              <w:ind w:left="432"/>
              <w:contextualSpacing/>
              <w:rPr>
                <w:rFonts w:ascii="Open Sans" w:hAnsi="Open Sans" w:cs="Open Sans"/>
                <w:sz w:val="20"/>
                <w:szCs w:val="20"/>
              </w:rPr>
            </w:pPr>
            <w:r w:rsidRPr="00D53761">
              <w:rPr>
                <w:rFonts w:ascii="Open Sans" w:hAnsi="Open Sans" w:cs="Open Sans"/>
                <w:sz w:val="20"/>
                <w:szCs w:val="20"/>
              </w:rPr>
              <w:t>Materials are clear and easy to read for students, teachers,</w:t>
            </w:r>
            <w:r w:rsidR="006F3C74">
              <w:rPr>
                <w:rFonts w:ascii="Open Sans" w:hAnsi="Open Sans" w:cs="Open Sans"/>
                <w:sz w:val="20"/>
                <w:szCs w:val="20"/>
              </w:rPr>
              <w:t xml:space="preserve"> and</w:t>
            </w:r>
            <w:r w:rsidRPr="00D53761">
              <w:rPr>
                <w:rFonts w:ascii="Open Sans" w:hAnsi="Open Sans" w:cs="Open Sans"/>
                <w:sz w:val="20"/>
                <w:szCs w:val="20"/>
              </w:rPr>
              <w:t xml:space="preserve"> parents. The design and graphics do not distract from the course content and are appropriately placed.</w:t>
            </w:r>
          </w:p>
        </w:tc>
        <w:tc>
          <w:tcPr>
            <w:tcW w:w="1440" w:type="dxa"/>
            <w:vAlign w:val="center"/>
          </w:tcPr>
          <w:p w14:paraId="1E44EFEE" w14:textId="1C51AE4C" w:rsidR="00D53761" w:rsidRPr="00D53761" w:rsidRDefault="00D53761" w:rsidP="00D53761">
            <w:pPr>
              <w:contextualSpacing/>
              <w:jc w:val="center"/>
              <w:rPr>
                <w:rFonts w:ascii="Open Sans" w:hAnsi="Open Sans" w:cs="Open Sans"/>
                <w:sz w:val="20"/>
                <w:szCs w:val="20"/>
              </w:rPr>
            </w:pPr>
            <w:r w:rsidRPr="00D53761">
              <w:rPr>
                <w:rFonts w:ascii="Open Sans" w:hAnsi="Open Sans" w:cs="Open Sans"/>
                <w:sz w:val="20"/>
                <w:szCs w:val="20"/>
              </w:rPr>
              <w:t xml:space="preserve">2      </w:t>
            </w:r>
          </w:p>
        </w:tc>
        <w:tc>
          <w:tcPr>
            <w:tcW w:w="2988" w:type="dxa"/>
          </w:tcPr>
          <w:p w14:paraId="55B52D0A" w14:textId="1467545E" w:rsidR="00D53761" w:rsidRPr="00D53761" w:rsidRDefault="001A264E" w:rsidP="001A264E">
            <w:pPr>
              <w:contextualSpacing/>
              <w:rPr>
                <w:rFonts w:ascii="Open Sans" w:hAnsi="Open Sans" w:cs="Open Sans"/>
                <w:sz w:val="20"/>
                <w:szCs w:val="20"/>
              </w:rPr>
            </w:pPr>
            <w:r>
              <w:rPr>
                <w:rFonts w:ascii="Open Sans" w:hAnsi="Open Sans" w:cs="Open Sans"/>
                <w:sz w:val="20"/>
                <w:szCs w:val="20"/>
              </w:rPr>
              <w:t>The materials are easy to understand and flow in</w:t>
            </w:r>
            <w:r w:rsidR="006049EF">
              <w:rPr>
                <w:rFonts w:ascii="Open Sans" w:hAnsi="Open Sans" w:cs="Open Sans"/>
                <w:sz w:val="20"/>
                <w:szCs w:val="20"/>
              </w:rPr>
              <w:t xml:space="preserve"> a natural manner.  Graphics used are easy to understand and add value to the presentation.</w:t>
            </w:r>
          </w:p>
        </w:tc>
      </w:tr>
      <w:tr w:rsidR="00D53761" w:rsidRPr="00D53761" w14:paraId="4464EC22" w14:textId="77777777" w:rsidTr="008C353D">
        <w:trPr>
          <w:trHeight w:val="1376"/>
        </w:trPr>
        <w:tc>
          <w:tcPr>
            <w:tcW w:w="8730" w:type="dxa"/>
            <w:vAlign w:val="center"/>
          </w:tcPr>
          <w:p w14:paraId="32FBA6FF" w14:textId="77777777" w:rsidR="00D53761" w:rsidRPr="00D53761" w:rsidRDefault="00D53761" w:rsidP="00D53761">
            <w:pPr>
              <w:numPr>
                <w:ilvl w:val="0"/>
                <w:numId w:val="10"/>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supports for all learners, e.g., ELs, students who are below grade level, advanced students.</w:t>
            </w:r>
          </w:p>
        </w:tc>
        <w:tc>
          <w:tcPr>
            <w:tcW w:w="1440" w:type="dxa"/>
            <w:vAlign w:val="center"/>
          </w:tcPr>
          <w:p w14:paraId="7B4265BE" w14:textId="6BE221F7" w:rsidR="00D53761" w:rsidRPr="00D53761" w:rsidRDefault="006049EF" w:rsidP="006049EF">
            <w:pPr>
              <w:contextualSpacing/>
              <w:rPr>
                <w:rFonts w:ascii="Open Sans" w:hAnsi="Open Sans" w:cs="Open Sans"/>
                <w:sz w:val="20"/>
                <w:szCs w:val="20"/>
              </w:rPr>
            </w:pPr>
            <w:r>
              <w:rPr>
                <w:rFonts w:ascii="Open Sans" w:hAnsi="Open Sans" w:cs="Open Sans"/>
                <w:sz w:val="20"/>
                <w:szCs w:val="20"/>
              </w:rPr>
              <w:t xml:space="preserve">   </w:t>
            </w:r>
            <w:r w:rsidR="00D53761" w:rsidRPr="00D53761">
              <w:rPr>
                <w:rFonts w:ascii="Open Sans" w:hAnsi="Open Sans" w:cs="Open Sans"/>
                <w:sz w:val="20"/>
                <w:szCs w:val="20"/>
              </w:rPr>
              <w:t xml:space="preserve">   1      </w:t>
            </w:r>
          </w:p>
        </w:tc>
        <w:tc>
          <w:tcPr>
            <w:tcW w:w="2988" w:type="dxa"/>
          </w:tcPr>
          <w:p w14:paraId="3D461373" w14:textId="567AD313" w:rsidR="00D53761" w:rsidRPr="00D53761" w:rsidRDefault="006049EF" w:rsidP="00D53761">
            <w:pPr>
              <w:contextualSpacing/>
              <w:rPr>
                <w:rFonts w:ascii="Open Sans" w:hAnsi="Open Sans" w:cs="Open Sans"/>
                <w:sz w:val="20"/>
                <w:szCs w:val="20"/>
              </w:rPr>
            </w:pPr>
            <w:r>
              <w:rPr>
                <w:rFonts w:ascii="Open Sans" w:hAnsi="Open Sans" w:cs="Open Sans"/>
                <w:sz w:val="20"/>
                <w:szCs w:val="20"/>
              </w:rPr>
              <w:t>Suggestions for modifying assignments for diverse learners is are not provided.  However, there are ways to differentiate the assignments for all types of learners.</w:t>
            </w:r>
          </w:p>
        </w:tc>
      </w:tr>
      <w:tr w:rsidR="00D53761" w:rsidRPr="00D53761" w14:paraId="18F3E862" w14:textId="77777777" w:rsidTr="008C353D">
        <w:trPr>
          <w:trHeight w:val="1376"/>
        </w:trPr>
        <w:tc>
          <w:tcPr>
            <w:tcW w:w="8730" w:type="dxa"/>
            <w:vAlign w:val="center"/>
          </w:tcPr>
          <w:p w14:paraId="6EC3A785" w14:textId="77777777" w:rsidR="00D53761" w:rsidRPr="00D53761" w:rsidRDefault="00D53761" w:rsidP="00D53761">
            <w:pPr>
              <w:numPr>
                <w:ilvl w:val="0"/>
                <w:numId w:val="10"/>
              </w:numPr>
              <w:ind w:left="432"/>
              <w:contextualSpacing/>
              <w:rPr>
                <w:rFonts w:ascii="Open Sans" w:hAnsi="Open Sans" w:cs="Open Sans"/>
                <w:sz w:val="20"/>
                <w:szCs w:val="20"/>
              </w:rPr>
            </w:pPr>
            <w:r w:rsidRPr="00D53761">
              <w:rPr>
                <w:rFonts w:ascii="Open Sans" w:hAnsi="Open Sans" w:cs="Open Sans"/>
                <w:sz w:val="20"/>
                <w:szCs w:val="20"/>
              </w:rPr>
              <w:t>Materials are culturally and politically sensitive to the full range of potential users, and do not advance unwarranted opinions that are not factually based. All materials strive to present content, not beliefs.</w:t>
            </w:r>
          </w:p>
        </w:tc>
        <w:tc>
          <w:tcPr>
            <w:tcW w:w="1440" w:type="dxa"/>
            <w:vAlign w:val="center"/>
          </w:tcPr>
          <w:p w14:paraId="62FE8AFB" w14:textId="720AAC3A" w:rsidR="00D53761" w:rsidRPr="00D53761" w:rsidRDefault="00D53761" w:rsidP="00D53761">
            <w:pPr>
              <w:contextualSpacing/>
              <w:jc w:val="center"/>
              <w:rPr>
                <w:rFonts w:ascii="Open Sans" w:hAnsi="Open Sans" w:cs="Open Sans"/>
                <w:sz w:val="20"/>
                <w:szCs w:val="20"/>
              </w:rPr>
            </w:pPr>
            <w:r w:rsidRPr="00D53761">
              <w:rPr>
                <w:rFonts w:ascii="Open Sans" w:hAnsi="Open Sans" w:cs="Open Sans"/>
                <w:sz w:val="20"/>
                <w:szCs w:val="20"/>
              </w:rPr>
              <w:t xml:space="preserve">2      </w:t>
            </w:r>
          </w:p>
        </w:tc>
        <w:tc>
          <w:tcPr>
            <w:tcW w:w="2988" w:type="dxa"/>
          </w:tcPr>
          <w:p w14:paraId="5A26AE27" w14:textId="4E634997" w:rsidR="00D53761" w:rsidRPr="00D53761" w:rsidRDefault="006049EF" w:rsidP="006049EF">
            <w:pPr>
              <w:contextualSpacing/>
              <w:rPr>
                <w:rFonts w:ascii="Open Sans" w:hAnsi="Open Sans" w:cs="Open Sans"/>
                <w:sz w:val="20"/>
                <w:szCs w:val="20"/>
              </w:rPr>
            </w:pPr>
            <w:r>
              <w:rPr>
                <w:rFonts w:ascii="Open Sans" w:hAnsi="Open Sans" w:cs="Open Sans"/>
                <w:sz w:val="20"/>
                <w:szCs w:val="20"/>
              </w:rPr>
              <w:t>Material is provided in a fact based and non-biased manner</w:t>
            </w:r>
            <w:r w:rsidR="005E3E07">
              <w:rPr>
                <w:rFonts w:ascii="Open Sans" w:hAnsi="Open Sans" w:cs="Open Sans"/>
                <w:sz w:val="20"/>
                <w:szCs w:val="20"/>
              </w:rPr>
              <w:t>. A diverse group of people are included in the presentations.</w:t>
            </w:r>
          </w:p>
        </w:tc>
      </w:tr>
    </w:tbl>
    <w:p w14:paraId="6026C5C0" w14:textId="77777777" w:rsidR="00D53761" w:rsidRPr="00D53761" w:rsidRDefault="00D53761" w:rsidP="00D53761">
      <w:pPr>
        <w:spacing w:after="0"/>
        <w:rPr>
          <w:rFonts w:ascii="Open Sans" w:hAnsi="Open Sans" w:cs="Open Sans"/>
          <w:sz w:val="20"/>
          <w:szCs w:val="20"/>
        </w:rPr>
      </w:pPr>
    </w:p>
    <w:p w14:paraId="4A7D41E6" w14:textId="77777777" w:rsidR="00D53761" w:rsidRPr="00D53761" w:rsidRDefault="00D53761" w:rsidP="00D53761">
      <w:pPr>
        <w:spacing w:after="0"/>
        <w:rPr>
          <w:rFonts w:ascii="Open Sans" w:hAnsi="Open Sans" w:cs="Open Sans"/>
          <w:sz w:val="20"/>
          <w:szCs w:val="20"/>
        </w:rPr>
      </w:pPr>
      <w:r w:rsidRPr="00D53761">
        <w:rPr>
          <w:rFonts w:ascii="Open Sans" w:hAnsi="Open Sans" w:cs="Open Sans"/>
          <w:sz w:val="20"/>
          <w:szCs w:val="20"/>
        </w:rPr>
        <w:t>Please note any concerns with sensitivity below:</w:t>
      </w:r>
    </w:p>
    <w:p w14:paraId="4255E4A7" w14:textId="77777777" w:rsidR="00D53761" w:rsidRPr="00D53761" w:rsidRDefault="00D53761" w:rsidP="00D53761">
      <w:pPr>
        <w:spacing w:after="0"/>
        <w:rPr>
          <w:rFonts w:ascii="Open Sans" w:hAnsi="Open Sans" w:cs="Open Sans"/>
          <w:sz w:val="20"/>
          <w:szCs w:val="20"/>
        </w:rPr>
      </w:pPr>
    </w:p>
    <w:p w14:paraId="7431BB2C" w14:textId="77777777" w:rsidR="00D53761" w:rsidRPr="00D53761" w:rsidRDefault="00D53761" w:rsidP="00D53761">
      <w:pPr>
        <w:spacing w:after="0"/>
        <w:rPr>
          <w:rFonts w:ascii="Open Sans" w:hAnsi="Open Sans" w:cs="Open Sans"/>
          <w:sz w:val="20"/>
          <w:szCs w:val="20"/>
        </w:rPr>
      </w:pPr>
    </w:p>
    <w:p w14:paraId="32E68564" w14:textId="77777777" w:rsidR="00D53761" w:rsidRPr="00D53761" w:rsidRDefault="00D53761" w:rsidP="00D53761">
      <w:pPr>
        <w:spacing w:after="0"/>
        <w:rPr>
          <w:rFonts w:ascii="Open Sans" w:hAnsi="Open Sans" w:cs="Open Sans"/>
          <w:sz w:val="20"/>
          <w:szCs w:val="20"/>
        </w:rPr>
      </w:pPr>
      <w:bookmarkStart w:id="0" w:name="_GoBack"/>
      <w:bookmarkEnd w:id="0"/>
    </w:p>
    <w:p w14:paraId="5098114A" w14:textId="77777777" w:rsidR="00421523" w:rsidRPr="00911CDD" w:rsidRDefault="00421523" w:rsidP="00D53761">
      <w:pPr>
        <w:spacing w:after="0"/>
        <w:rPr>
          <w:rFonts w:ascii="Open Sans" w:hAnsi="Open Sans" w:cs="Open Sans"/>
          <w:sz w:val="20"/>
          <w:szCs w:val="20"/>
        </w:rPr>
      </w:pPr>
    </w:p>
    <w:p w14:paraId="74DC140E" w14:textId="77777777" w:rsidR="00421523" w:rsidRPr="00911CDD" w:rsidRDefault="00421523" w:rsidP="00D53761">
      <w:pPr>
        <w:spacing w:after="0"/>
        <w:rPr>
          <w:rFonts w:ascii="Open Sans" w:hAnsi="Open Sans" w:cs="Open Sans"/>
          <w:sz w:val="20"/>
          <w:szCs w:val="20"/>
        </w:rPr>
      </w:pPr>
    </w:p>
    <w:p w14:paraId="39FA4490" w14:textId="77777777" w:rsidR="00D53761" w:rsidRPr="00D53761" w:rsidRDefault="00D53761" w:rsidP="00D53761">
      <w:pPr>
        <w:spacing w:after="0"/>
        <w:rPr>
          <w:rFonts w:ascii="Open Sans" w:hAnsi="Open Sans" w:cs="Open Sans"/>
          <w:sz w:val="20"/>
          <w:szCs w:val="20"/>
        </w:rPr>
      </w:pPr>
      <w:r w:rsidRPr="00D53761">
        <w:rPr>
          <w:rFonts w:ascii="Open Sans" w:hAnsi="Open Sans" w:cs="Open Sans"/>
          <w:sz w:val="20"/>
          <w:szCs w:val="20"/>
        </w:rPr>
        <w:br/>
      </w:r>
    </w:p>
    <w:p w14:paraId="51251C4E" w14:textId="77777777"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8730"/>
        <w:gridCol w:w="1440"/>
        <w:gridCol w:w="2988"/>
      </w:tblGrid>
      <w:tr w:rsidR="00D53761" w:rsidRPr="00D53761" w14:paraId="4BC142C1" w14:textId="77777777" w:rsidTr="008C353D">
        <w:trPr>
          <w:trHeight w:val="395"/>
        </w:trPr>
        <w:tc>
          <w:tcPr>
            <w:tcW w:w="8730" w:type="dxa"/>
            <w:shd w:val="clear" w:color="auto" w:fill="F2F2F2" w:themeFill="background1" w:themeFillShade="F2"/>
            <w:vAlign w:val="center"/>
          </w:tcPr>
          <w:p w14:paraId="17BBCDEE" w14:textId="77777777" w:rsidR="00D53761" w:rsidRPr="00D53761" w:rsidRDefault="00D53761" w:rsidP="00D53761">
            <w:pPr>
              <w:rPr>
                <w:rFonts w:ascii="Open Sans" w:eastAsia="Times New Roman" w:hAnsi="Open Sans" w:cs="Open Sans"/>
                <w:b/>
                <w:sz w:val="20"/>
                <w:szCs w:val="20"/>
              </w:rPr>
            </w:pPr>
            <w:r w:rsidRPr="00D53761">
              <w:rPr>
                <w:rFonts w:ascii="Open Sans" w:eastAsia="Times New Roman" w:hAnsi="Open Sans" w:cs="Open Sans"/>
                <w:b/>
                <w:sz w:val="20"/>
                <w:szCs w:val="20"/>
              </w:rPr>
              <w:t>Section II(5). ASSESSMENTS</w:t>
            </w:r>
          </w:p>
        </w:tc>
        <w:tc>
          <w:tcPr>
            <w:tcW w:w="1440" w:type="dxa"/>
            <w:shd w:val="clear" w:color="auto" w:fill="F2F2F2" w:themeFill="background1" w:themeFillShade="F2"/>
            <w:vAlign w:val="center"/>
          </w:tcPr>
          <w:p w14:paraId="1AD7E507"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SCORE</w:t>
            </w:r>
          </w:p>
        </w:tc>
        <w:tc>
          <w:tcPr>
            <w:tcW w:w="2988" w:type="dxa"/>
            <w:shd w:val="clear" w:color="auto" w:fill="F2F2F2" w:themeFill="background1" w:themeFillShade="F2"/>
            <w:vAlign w:val="center"/>
          </w:tcPr>
          <w:p w14:paraId="6779EE8B"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JUSTIFICATION/NOTES</w:t>
            </w:r>
          </w:p>
        </w:tc>
      </w:tr>
      <w:tr w:rsidR="00D53761" w:rsidRPr="00D53761" w14:paraId="777722B8" w14:textId="77777777" w:rsidTr="008C353D">
        <w:trPr>
          <w:trHeight w:val="1502"/>
        </w:trPr>
        <w:tc>
          <w:tcPr>
            <w:tcW w:w="8730" w:type="dxa"/>
            <w:vAlign w:val="center"/>
          </w:tcPr>
          <w:p w14:paraId="502AD468" w14:textId="77777777" w:rsidR="00D53761" w:rsidRPr="00D53761" w:rsidRDefault="00D53761" w:rsidP="00D53761">
            <w:pPr>
              <w:numPr>
                <w:ilvl w:val="0"/>
                <w:numId w:val="9"/>
              </w:numPr>
              <w:contextualSpacing/>
              <w:rPr>
                <w:rFonts w:ascii="Open Sans" w:hAnsi="Open Sans" w:cs="Open Sans"/>
                <w:sz w:val="20"/>
                <w:szCs w:val="20"/>
              </w:rPr>
            </w:pPr>
            <w:r w:rsidRPr="00D53761">
              <w:rPr>
                <w:rFonts w:ascii="Open Sans" w:hAnsi="Open Sans" w:cs="Open Sans"/>
                <w:sz w:val="20"/>
                <w:szCs w:val="20"/>
              </w:rPr>
              <w:t>Materials include aligned assessments at regular intervals throughout the text(s), or as supplements to the primary instructional materials. Aligned assessments may include end-of-chapter quizzes, unit test modules, and practice exams.</w:t>
            </w:r>
          </w:p>
        </w:tc>
        <w:tc>
          <w:tcPr>
            <w:tcW w:w="1440" w:type="dxa"/>
            <w:vAlign w:val="center"/>
          </w:tcPr>
          <w:p w14:paraId="16238202" w14:textId="5E98CD6F" w:rsidR="00D53761" w:rsidRPr="00D53761" w:rsidRDefault="00D53761" w:rsidP="00D53761">
            <w:pPr>
              <w:contextualSpacing/>
              <w:jc w:val="center"/>
              <w:rPr>
                <w:rFonts w:ascii="Open Sans" w:hAnsi="Open Sans" w:cs="Open Sans"/>
                <w:sz w:val="20"/>
                <w:szCs w:val="20"/>
              </w:rPr>
            </w:pPr>
            <w:r w:rsidRPr="00D53761">
              <w:rPr>
                <w:rFonts w:ascii="Open Sans" w:hAnsi="Open Sans" w:cs="Open Sans"/>
                <w:sz w:val="20"/>
                <w:szCs w:val="20"/>
              </w:rPr>
              <w:t xml:space="preserve">2      </w:t>
            </w:r>
          </w:p>
        </w:tc>
        <w:tc>
          <w:tcPr>
            <w:tcW w:w="2988" w:type="dxa"/>
          </w:tcPr>
          <w:p w14:paraId="6B3F539A" w14:textId="7D46B40D" w:rsidR="00D53761" w:rsidRPr="00D53761" w:rsidRDefault="005E3E07" w:rsidP="00D53761">
            <w:pPr>
              <w:contextualSpacing/>
              <w:rPr>
                <w:rFonts w:ascii="Open Sans" w:hAnsi="Open Sans" w:cs="Open Sans"/>
                <w:sz w:val="20"/>
                <w:szCs w:val="20"/>
              </w:rPr>
            </w:pPr>
            <w:r>
              <w:rPr>
                <w:rFonts w:ascii="Open Sans" w:hAnsi="Open Sans" w:cs="Open Sans"/>
                <w:sz w:val="20"/>
                <w:szCs w:val="20"/>
              </w:rPr>
              <w:t xml:space="preserve">There are small assessments for each section and larger assessments at the end of a unit. </w:t>
            </w:r>
          </w:p>
        </w:tc>
      </w:tr>
      <w:tr w:rsidR="00D53761" w:rsidRPr="00D53761" w14:paraId="29F85A86" w14:textId="77777777" w:rsidTr="008C353D">
        <w:trPr>
          <w:trHeight w:val="1115"/>
        </w:trPr>
        <w:tc>
          <w:tcPr>
            <w:tcW w:w="8730" w:type="dxa"/>
            <w:vAlign w:val="center"/>
          </w:tcPr>
          <w:p w14:paraId="307BDCB7" w14:textId="77777777" w:rsidR="00D53761" w:rsidRPr="00D53761" w:rsidRDefault="00D53761" w:rsidP="00D53761">
            <w:pPr>
              <w:numPr>
                <w:ilvl w:val="0"/>
                <w:numId w:val="9"/>
              </w:numPr>
              <w:ind w:left="432"/>
              <w:contextualSpacing/>
              <w:rPr>
                <w:rFonts w:ascii="Open Sans" w:hAnsi="Open Sans" w:cs="Open Sans"/>
                <w:sz w:val="20"/>
                <w:szCs w:val="20"/>
              </w:rPr>
            </w:pPr>
            <w:r w:rsidRPr="00D53761">
              <w:rPr>
                <w:rFonts w:ascii="Open Sans" w:hAnsi="Open Sans" w:cs="Open Sans"/>
                <w:sz w:val="20"/>
                <w:szCs w:val="20"/>
              </w:rPr>
              <w:t>Materials offer ideas and guidance on measuring student progress throughout the duration of the aligned course(s). Formative, interim, and summative assessment strategies are all presented to inform instructional strategy and improvement.</w:t>
            </w:r>
          </w:p>
        </w:tc>
        <w:tc>
          <w:tcPr>
            <w:tcW w:w="1440" w:type="dxa"/>
            <w:vAlign w:val="center"/>
          </w:tcPr>
          <w:p w14:paraId="1ACF134D" w14:textId="0FD99ED2" w:rsidR="00D53761" w:rsidRPr="00D53761" w:rsidRDefault="00D53761" w:rsidP="00D53761">
            <w:pPr>
              <w:contextualSpacing/>
              <w:jc w:val="center"/>
              <w:rPr>
                <w:rFonts w:ascii="Open Sans" w:hAnsi="Open Sans" w:cs="Open Sans"/>
                <w:sz w:val="20"/>
                <w:szCs w:val="20"/>
              </w:rPr>
            </w:pPr>
            <w:r w:rsidRPr="00D53761">
              <w:rPr>
                <w:rFonts w:ascii="Open Sans" w:hAnsi="Open Sans" w:cs="Open Sans"/>
                <w:sz w:val="20"/>
                <w:szCs w:val="20"/>
              </w:rPr>
              <w:t xml:space="preserve">2     </w:t>
            </w:r>
          </w:p>
        </w:tc>
        <w:tc>
          <w:tcPr>
            <w:tcW w:w="2988" w:type="dxa"/>
          </w:tcPr>
          <w:p w14:paraId="15243B01" w14:textId="724A4676" w:rsidR="00D53761" w:rsidRPr="00D53761" w:rsidRDefault="005E3E07" w:rsidP="00D53761">
            <w:pPr>
              <w:contextualSpacing/>
              <w:rPr>
                <w:rFonts w:ascii="Open Sans" w:hAnsi="Open Sans" w:cs="Open Sans"/>
                <w:sz w:val="20"/>
                <w:szCs w:val="20"/>
              </w:rPr>
            </w:pPr>
            <w:r>
              <w:rPr>
                <w:rFonts w:ascii="Open Sans" w:hAnsi="Open Sans" w:cs="Open Sans"/>
                <w:sz w:val="20"/>
                <w:szCs w:val="20"/>
              </w:rPr>
              <w:t>There are lots of opportunities to assess student progress with this book.  There are projects, quizzes and tests.</w:t>
            </w:r>
          </w:p>
        </w:tc>
      </w:tr>
      <w:tr w:rsidR="00D53761" w:rsidRPr="00D53761" w14:paraId="13FCD250" w14:textId="77777777" w:rsidTr="008C353D">
        <w:trPr>
          <w:trHeight w:val="1376"/>
        </w:trPr>
        <w:tc>
          <w:tcPr>
            <w:tcW w:w="8730" w:type="dxa"/>
            <w:vAlign w:val="center"/>
          </w:tcPr>
          <w:p w14:paraId="37B59342" w14:textId="77777777" w:rsidR="00D53761" w:rsidRPr="00D53761" w:rsidRDefault="00D53761" w:rsidP="00D53761">
            <w:pPr>
              <w:numPr>
                <w:ilvl w:val="0"/>
                <w:numId w:val="9"/>
              </w:numPr>
              <w:ind w:left="432"/>
              <w:contextualSpacing/>
              <w:rPr>
                <w:rFonts w:ascii="Open Sans" w:eastAsia="Times New Roman" w:hAnsi="Open Sans" w:cs="Open Sans"/>
                <w:sz w:val="20"/>
                <w:szCs w:val="20"/>
              </w:rPr>
            </w:pPr>
            <w:r w:rsidRPr="00D53761">
              <w:rPr>
                <w:rFonts w:ascii="Open Sans" w:hAnsi="Open Sans" w:cs="Open Sans"/>
                <w:sz w:val="20"/>
                <w:szCs w:val="20"/>
              </w:rPr>
              <w:t>Materials include assessment accommodations for diverse learners, including sample items that capture multiple measures of student proficiency.</w:t>
            </w:r>
          </w:p>
        </w:tc>
        <w:tc>
          <w:tcPr>
            <w:tcW w:w="1440" w:type="dxa"/>
            <w:vAlign w:val="center"/>
          </w:tcPr>
          <w:p w14:paraId="4BDF16E1" w14:textId="1DB60AAA" w:rsidR="00D53761" w:rsidRPr="00D53761" w:rsidRDefault="00D53761" w:rsidP="00D53761">
            <w:pPr>
              <w:contextualSpacing/>
              <w:jc w:val="center"/>
              <w:rPr>
                <w:rFonts w:ascii="Open Sans" w:hAnsi="Open Sans" w:cs="Open Sans"/>
                <w:sz w:val="20"/>
                <w:szCs w:val="20"/>
              </w:rPr>
            </w:pPr>
            <w:r w:rsidRPr="00D53761">
              <w:rPr>
                <w:rFonts w:ascii="Open Sans" w:hAnsi="Open Sans" w:cs="Open Sans"/>
                <w:sz w:val="20"/>
                <w:szCs w:val="20"/>
              </w:rPr>
              <w:t xml:space="preserve">  </w:t>
            </w:r>
            <w:r w:rsidR="002A221E">
              <w:rPr>
                <w:rFonts w:ascii="Open Sans" w:hAnsi="Open Sans" w:cs="Open Sans"/>
                <w:sz w:val="20"/>
                <w:szCs w:val="20"/>
              </w:rPr>
              <w:t>0</w:t>
            </w:r>
            <w:r w:rsidRPr="00D53761">
              <w:rPr>
                <w:rFonts w:ascii="Open Sans" w:hAnsi="Open Sans" w:cs="Open Sans"/>
                <w:sz w:val="20"/>
                <w:szCs w:val="20"/>
              </w:rPr>
              <w:t xml:space="preserve">      </w:t>
            </w:r>
          </w:p>
        </w:tc>
        <w:tc>
          <w:tcPr>
            <w:tcW w:w="2988" w:type="dxa"/>
          </w:tcPr>
          <w:p w14:paraId="487D8FA7" w14:textId="0EB9AFEE" w:rsidR="00D53761" w:rsidRPr="00D53761" w:rsidRDefault="002A221E" w:rsidP="00D53761">
            <w:pPr>
              <w:contextualSpacing/>
              <w:rPr>
                <w:rFonts w:ascii="Open Sans" w:hAnsi="Open Sans" w:cs="Open Sans"/>
                <w:sz w:val="20"/>
                <w:szCs w:val="20"/>
              </w:rPr>
            </w:pPr>
            <w:r>
              <w:rPr>
                <w:rFonts w:ascii="Open Sans" w:hAnsi="Open Sans" w:cs="Open Sans"/>
                <w:sz w:val="20"/>
                <w:szCs w:val="20"/>
              </w:rPr>
              <w:t>I did not find any suggestions for modifying assessments for diverse learners, but it would be easy to modify.</w:t>
            </w:r>
          </w:p>
        </w:tc>
      </w:tr>
    </w:tbl>
    <w:p w14:paraId="651CF5F7" w14:textId="77777777" w:rsidR="00D53761" w:rsidRPr="00D53761" w:rsidRDefault="00D53761" w:rsidP="00D53761">
      <w:pPr>
        <w:spacing w:after="0"/>
        <w:rPr>
          <w:rFonts w:ascii="Open Sans" w:hAnsi="Open Sans" w:cs="Open Sans"/>
          <w:sz w:val="20"/>
          <w:szCs w:val="20"/>
        </w:rPr>
      </w:pPr>
    </w:p>
    <w:tbl>
      <w:tblPr>
        <w:tblStyle w:val="TableGrid"/>
        <w:tblW w:w="0" w:type="auto"/>
        <w:tblInd w:w="18" w:type="dxa"/>
        <w:tblLayout w:type="fixed"/>
        <w:tblLook w:val="04A0" w:firstRow="1" w:lastRow="0" w:firstColumn="1" w:lastColumn="0" w:noHBand="0" w:noVBand="1"/>
      </w:tblPr>
      <w:tblGrid>
        <w:gridCol w:w="13158"/>
      </w:tblGrid>
      <w:tr w:rsidR="00D53761" w:rsidRPr="00D53761" w14:paraId="47B70DEE" w14:textId="77777777" w:rsidTr="008C353D">
        <w:trPr>
          <w:trHeight w:val="395"/>
        </w:trPr>
        <w:tc>
          <w:tcPr>
            <w:tcW w:w="13158" w:type="dxa"/>
            <w:shd w:val="clear" w:color="auto" w:fill="F2F2F2" w:themeFill="background1" w:themeFillShade="F2"/>
          </w:tcPr>
          <w:p w14:paraId="2314F9B2" w14:textId="77777777" w:rsidR="00D53761" w:rsidRPr="00D53761" w:rsidRDefault="00D53761" w:rsidP="00D53761">
            <w:pPr>
              <w:rPr>
                <w:rFonts w:ascii="Open Sans" w:hAnsi="Open Sans" w:cs="Open Sans"/>
                <w:b/>
                <w:i/>
                <w:sz w:val="20"/>
                <w:szCs w:val="20"/>
              </w:rPr>
            </w:pPr>
            <w:r w:rsidRPr="00D53761">
              <w:rPr>
                <w:rFonts w:ascii="Open Sans" w:hAnsi="Open Sans" w:cs="Open Sans"/>
                <w:b/>
                <w:sz w:val="20"/>
                <w:szCs w:val="20"/>
              </w:rPr>
              <w:t xml:space="preserve">SECTION III </w:t>
            </w:r>
            <w:r w:rsidRPr="00D53761">
              <w:rPr>
                <w:rFonts w:ascii="Open Sans" w:hAnsi="Open Sans" w:cs="Open Sans"/>
                <w:b/>
                <w:i/>
                <w:sz w:val="20"/>
                <w:szCs w:val="20"/>
              </w:rPr>
              <w:t>(optional)</w:t>
            </w:r>
            <w:r w:rsidRPr="00D53761">
              <w:rPr>
                <w:rFonts w:ascii="Open Sans" w:hAnsi="Open Sans" w:cs="Open Sans"/>
                <w:b/>
                <w:sz w:val="20"/>
                <w:szCs w:val="20"/>
              </w:rPr>
              <w:t>:</w:t>
            </w:r>
            <w:r w:rsidRPr="00D53761">
              <w:rPr>
                <w:rFonts w:ascii="Open Sans" w:hAnsi="Open Sans" w:cs="Open Sans"/>
                <w:b/>
                <w:i/>
                <w:sz w:val="20"/>
                <w:szCs w:val="20"/>
              </w:rPr>
              <w:t xml:space="preserve"> </w:t>
            </w:r>
            <w:r w:rsidRPr="00D53761">
              <w:rPr>
                <w:rFonts w:ascii="Open Sans" w:hAnsi="Open Sans" w:cs="Open Sans"/>
                <w:b/>
                <w:sz w:val="20"/>
                <w:szCs w:val="20"/>
              </w:rPr>
              <w:t>FOCUS AREA</w:t>
            </w:r>
          </w:p>
          <w:p w14:paraId="76BBE9E4" w14:textId="77777777" w:rsidR="00D53761" w:rsidRPr="00D53761" w:rsidRDefault="00D53761" w:rsidP="00D53761">
            <w:pPr>
              <w:rPr>
                <w:rFonts w:ascii="Open Sans" w:hAnsi="Open Sans" w:cs="Open Sans"/>
                <w:b/>
                <w:sz w:val="20"/>
                <w:szCs w:val="20"/>
              </w:rPr>
            </w:pPr>
          </w:p>
          <w:p w14:paraId="2208D3EE" w14:textId="77777777" w:rsidR="00D53761" w:rsidRPr="00D53761" w:rsidRDefault="00D53761" w:rsidP="00B564D1">
            <w:pPr>
              <w:rPr>
                <w:rFonts w:ascii="Open Sans" w:hAnsi="Open Sans" w:cs="Open Sans"/>
                <w:sz w:val="20"/>
                <w:szCs w:val="20"/>
              </w:rPr>
            </w:pPr>
            <w:r w:rsidRPr="00D53761">
              <w:rPr>
                <w:rFonts w:ascii="Open Sans" w:hAnsi="Open Sans" w:cs="Open Sans"/>
                <w:sz w:val="20"/>
                <w:szCs w:val="20"/>
              </w:rPr>
              <w:t xml:space="preserve">Use this section to capture qualitative observations on an additional area of focus, if presented in the materials. A sample focus area for the </w:t>
            </w:r>
            <w:r w:rsidR="003965B7">
              <w:rPr>
                <w:rFonts w:ascii="Open Sans" w:hAnsi="Open Sans" w:cs="Open Sans"/>
                <w:sz w:val="20"/>
                <w:szCs w:val="20"/>
              </w:rPr>
              <w:t xml:space="preserve">Health </w:t>
            </w:r>
            <w:r w:rsidR="00B564D1">
              <w:rPr>
                <w:rFonts w:ascii="Open Sans" w:hAnsi="Open Sans" w:cs="Open Sans"/>
                <w:sz w:val="20"/>
                <w:szCs w:val="20"/>
              </w:rPr>
              <w:t>Informatics</w:t>
            </w:r>
            <w:r w:rsidRPr="00D53761">
              <w:rPr>
                <w:rFonts w:ascii="Open Sans" w:hAnsi="Open Sans" w:cs="Open Sans"/>
                <w:sz w:val="20"/>
                <w:szCs w:val="20"/>
              </w:rPr>
              <w:t xml:space="preserve"> </w:t>
            </w:r>
            <w:r w:rsidR="00B564D1">
              <w:rPr>
                <w:rFonts w:ascii="Open Sans" w:hAnsi="Open Sans" w:cs="Open Sans"/>
                <w:sz w:val="20"/>
                <w:szCs w:val="20"/>
              </w:rPr>
              <w:t>program of study</w:t>
            </w:r>
            <w:r w:rsidRPr="00D53761">
              <w:rPr>
                <w:rFonts w:ascii="Open Sans" w:hAnsi="Open Sans" w:cs="Open Sans"/>
                <w:sz w:val="20"/>
                <w:szCs w:val="20"/>
              </w:rPr>
              <w:t xml:space="preserve"> is provided in the following. If applicable, fill in the blank table with observations and notes.</w:t>
            </w:r>
          </w:p>
        </w:tc>
      </w:tr>
    </w:tbl>
    <w:tbl>
      <w:tblPr>
        <w:tblStyle w:val="TableGrid"/>
        <w:tblpPr w:leftFromText="180" w:rightFromText="180" w:vertAnchor="text" w:horzAnchor="margin" w:tblpXSpec="center" w:tblpY="129"/>
        <w:tblW w:w="0" w:type="auto"/>
        <w:shd w:val="thinReverseDiagStripe" w:color="D9D9D9" w:themeColor="background1" w:themeShade="D9" w:fill="auto"/>
        <w:tblLayout w:type="fixed"/>
        <w:tblLook w:val="04A0" w:firstRow="1" w:lastRow="0" w:firstColumn="1" w:lastColumn="0" w:noHBand="0" w:noVBand="1"/>
      </w:tblPr>
      <w:tblGrid>
        <w:gridCol w:w="8730"/>
        <w:gridCol w:w="4428"/>
      </w:tblGrid>
      <w:tr w:rsidR="00D53761" w:rsidRPr="00D53761" w14:paraId="16316C9F" w14:textId="77777777" w:rsidTr="008C353D">
        <w:trPr>
          <w:trHeight w:val="395"/>
        </w:trPr>
        <w:tc>
          <w:tcPr>
            <w:tcW w:w="8730" w:type="dxa"/>
            <w:shd w:val="thinReverseDiagStripe" w:color="D9D9D9" w:themeColor="background1" w:themeShade="D9" w:fill="auto"/>
            <w:vAlign w:val="center"/>
          </w:tcPr>
          <w:p w14:paraId="549E2D57" w14:textId="77777777" w:rsidR="00D53761" w:rsidRPr="00D53761" w:rsidRDefault="00D53761" w:rsidP="00B564D1">
            <w:pPr>
              <w:rPr>
                <w:rFonts w:ascii="Open Sans" w:eastAsia="Times New Roman" w:hAnsi="Open Sans" w:cs="Open Sans"/>
                <w:b/>
                <w:sz w:val="20"/>
                <w:szCs w:val="20"/>
              </w:rPr>
            </w:pPr>
            <w:r w:rsidRPr="00D53761">
              <w:rPr>
                <w:rFonts w:ascii="Open Sans" w:eastAsia="Times New Roman" w:hAnsi="Open Sans" w:cs="Open Sans"/>
                <w:b/>
                <w:sz w:val="20"/>
                <w:szCs w:val="20"/>
              </w:rPr>
              <w:t xml:space="preserve">III. EXAMPLE: FOCUS IN </w:t>
            </w:r>
            <w:r w:rsidR="00B564D1">
              <w:rPr>
                <w:rFonts w:ascii="Open Sans" w:eastAsia="Times New Roman" w:hAnsi="Open Sans" w:cs="Open Sans"/>
                <w:b/>
                <w:sz w:val="20"/>
                <w:szCs w:val="20"/>
              </w:rPr>
              <w:t>Health Information Systems</w:t>
            </w:r>
            <w:r w:rsidRPr="00D53761">
              <w:rPr>
                <w:rFonts w:ascii="Open Sans" w:eastAsia="Times New Roman" w:hAnsi="Open Sans" w:cs="Open Sans"/>
                <w:b/>
                <w:sz w:val="20"/>
                <w:szCs w:val="20"/>
              </w:rPr>
              <w:t xml:space="preserve"> </w:t>
            </w:r>
          </w:p>
        </w:tc>
        <w:tc>
          <w:tcPr>
            <w:tcW w:w="4428" w:type="dxa"/>
            <w:shd w:val="thinReverseDiagStripe" w:color="D9D9D9" w:themeColor="background1" w:themeShade="D9" w:fill="auto"/>
            <w:vAlign w:val="center"/>
          </w:tcPr>
          <w:p w14:paraId="533E4031"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NOTES</w:t>
            </w:r>
          </w:p>
        </w:tc>
      </w:tr>
      <w:tr w:rsidR="00D53761" w:rsidRPr="00D53761" w14:paraId="631F9638" w14:textId="77777777" w:rsidTr="008C353D">
        <w:trPr>
          <w:trHeight w:val="1259"/>
        </w:trPr>
        <w:tc>
          <w:tcPr>
            <w:tcW w:w="8730" w:type="dxa"/>
            <w:shd w:val="thinReverseDiagStripe" w:color="D9D9D9" w:themeColor="background1" w:themeShade="D9" w:fill="auto"/>
            <w:vAlign w:val="center"/>
          </w:tcPr>
          <w:p w14:paraId="0120DAEB" w14:textId="77777777" w:rsidR="00D53761" w:rsidRPr="00D53761" w:rsidRDefault="00D53761" w:rsidP="00B564D1">
            <w:pPr>
              <w:numPr>
                <w:ilvl w:val="0"/>
                <w:numId w:val="8"/>
              </w:numPr>
              <w:ind w:left="432"/>
              <w:contextualSpacing/>
              <w:rPr>
                <w:rFonts w:ascii="Open Sans" w:hAnsi="Open Sans" w:cs="Open Sans"/>
                <w:sz w:val="20"/>
                <w:szCs w:val="20"/>
              </w:rPr>
            </w:pPr>
            <w:r w:rsidRPr="00D53761">
              <w:rPr>
                <w:rFonts w:ascii="Open Sans" w:hAnsi="Open Sans" w:cs="Open Sans"/>
                <w:sz w:val="20"/>
                <w:szCs w:val="20"/>
              </w:rPr>
              <w:t xml:space="preserve">Materials include coverage of </w:t>
            </w:r>
            <w:r w:rsidR="00B564D1">
              <w:rPr>
                <w:rFonts w:ascii="Open Sans" w:hAnsi="Open Sans" w:cs="Open Sans"/>
                <w:sz w:val="20"/>
                <w:szCs w:val="20"/>
              </w:rPr>
              <w:t>major parameters most frequently reported in health databases.</w:t>
            </w:r>
          </w:p>
        </w:tc>
        <w:tc>
          <w:tcPr>
            <w:tcW w:w="4428" w:type="dxa"/>
            <w:shd w:val="thinReverseDiagStripe" w:color="D9D9D9" w:themeColor="background1" w:themeShade="D9" w:fill="auto"/>
            <w:vAlign w:val="center"/>
          </w:tcPr>
          <w:p w14:paraId="647B23F7" w14:textId="77777777" w:rsidR="00D53761" w:rsidRPr="00D53761" w:rsidRDefault="00D53761" w:rsidP="00D53761">
            <w:pPr>
              <w:contextualSpacing/>
              <w:jc w:val="center"/>
              <w:rPr>
                <w:rFonts w:ascii="Open Sans" w:hAnsi="Open Sans" w:cs="Open Sans"/>
                <w:i/>
                <w:sz w:val="20"/>
                <w:szCs w:val="20"/>
              </w:rPr>
            </w:pPr>
            <w:r w:rsidRPr="00D53761">
              <w:rPr>
                <w:rFonts w:ascii="Open Sans" w:hAnsi="Open Sans" w:cs="Open Sans"/>
                <w:sz w:val="20"/>
                <w:szCs w:val="20"/>
              </w:rPr>
              <w:t>[</w:t>
            </w:r>
            <w:r w:rsidRPr="00D53761">
              <w:rPr>
                <w:rFonts w:ascii="Open Sans" w:hAnsi="Open Sans" w:cs="Open Sans"/>
                <w:i/>
                <w:sz w:val="20"/>
                <w:szCs w:val="20"/>
              </w:rPr>
              <w:t>Insert reviewer evaluation here.</w:t>
            </w:r>
            <w:r w:rsidRPr="00D53761">
              <w:rPr>
                <w:rFonts w:ascii="Open Sans" w:hAnsi="Open Sans" w:cs="Open Sans"/>
                <w:sz w:val="20"/>
                <w:szCs w:val="20"/>
              </w:rPr>
              <w:t>]</w:t>
            </w:r>
          </w:p>
        </w:tc>
      </w:tr>
      <w:tr w:rsidR="00D53761" w:rsidRPr="00D53761" w14:paraId="6ED7602E" w14:textId="77777777" w:rsidTr="008C353D">
        <w:trPr>
          <w:trHeight w:val="1115"/>
        </w:trPr>
        <w:tc>
          <w:tcPr>
            <w:tcW w:w="8730" w:type="dxa"/>
            <w:shd w:val="thinReverseDiagStripe" w:color="D9D9D9" w:themeColor="background1" w:themeShade="D9" w:fill="auto"/>
            <w:vAlign w:val="center"/>
          </w:tcPr>
          <w:p w14:paraId="4DD2BF54" w14:textId="77777777" w:rsidR="00D53761" w:rsidRPr="00D53761" w:rsidRDefault="00D53761" w:rsidP="00B564D1">
            <w:pPr>
              <w:numPr>
                <w:ilvl w:val="0"/>
                <w:numId w:val="8"/>
              </w:numPr>
              <w:ind w:left="432"/>
              <w:contextualSpacing/>
              <w:rPr>
                <w:rFonts w:ascii="Open Sans" w:hAnsi="Open Sans" w:cs="Open Sans"/>
                <w:sz w:val="20"/>
                <w:szCs w:val="20"/>
              </w:rPr>
            </w:pPr>
            <w:r w:rsidRPr="00D53761">
              <w:rPr>
                <w:rFonts w:ascii="Open Sans" w:hAnsi="Open Sans" w:cs="Open Sans"/>
                <w:sz w:val="20"/>
                <w:szCs w:val="20"/>
              </w:rPr>
              <w:t xml:space="preserve">Materials draw clear connections between </w:t>
            </w:r>
            <w:r w:rsidR="00B564D1">
              <w:rPr>
                <w:rFonts w:ascii="Open Sans" w:hAnsi="Open Sans" w:cs="Open Sans"/>
                <w:sz w:val="20"/>
                <w:szCs w:val="20"/>
              </w:rPr>
              <w:t>policy and procedures and the legal ramifications of health informatics.</w:t>
            </w:r>
            <w:r w:rsidRPr="00D53761">
              <w:rPr>
                <w:rFonts w:ascii="Open Sans" w:hAnsi="Open Sans" w:cs="Open Sans"/>
                <w:color w:val="000000"/>
                <w:sz w:val="20"/>
                <w:szCs w:val="20"/>
              </w:rPr>
              <w:t xml:space="preserve"> </w:t>
            </w:r>
          </w:p>
        </w:tc>
        <w:tc>
          <w:tcPr>
            <w:tcW w:w="4428" w:type="dxa"/>
            <w:shd w:val="thinReverseDiagStripe" w:color="D9D9D9" w:themeColor="background1" w:themeShade="D9" w:fill="auto"/>
            <w:vAlign w:val="center"/>
          </w:tcPr>
          <w:p w14:paraId="2902E351" w14:textId="77777777" w:rsidR="00D53761" w:rsidRPr="00D53761" w:rsidRDefault="00D53761" w:rsidP="00D53761">
            <w:pPr>
              <w:contextualSpacing/>
              <w:jc w:val="center"/>
              <w:rPr>
                <w:rFonts w:ascii="Open Sans" w:hAnsi="Open Sans" w:cs="Open Sans"/>
                <w:sz w:val="20"/>
                <w:szCs w:val="20"/>
              </w:rPr>
            </w:pPr>
            <w:r w:rsidRPr="00D53761">
              <w:rPr>
                <w:rFonts w:ascii="Open Sans" w:hAnsi="Open Sans" w:cs="Open Sans"/>
                <w:sz w:val="20"/>
                <w:szCs w:val="20"/>
              </w:rPr>
              <w:t>[</w:t>
            </w:r>
            <w:r w:rsidRPr="00D53761">
              <w:rPr>
                <w:rFonts w:ascii="Open Sans" w:hAnsi="Open Sans" w:cs="Open Sans"/>
                <w:i/>
                <w:sz w:val="20"/>
                <w:szCs w:val="20"/>
              </w:rPr>
              <w:t>Insert reviewer evaluation here.</w:t>
            </w:r>
            <w:r w:rsidRPr="00D53761">
              <w:rPr>
                <w:rFonts w:ascii="Open Sans" w:hAnsi="Open Sans" w:cs="Open Sans"/>
                <w:sz w:val="20"/>
                <w:szCs w:val="20"/>
              </w:rPr>
              <w:t>]</w:t>
            </w:r>
          </w:p>
        </w:tc>
      </w:tr>
    </w:tbl>
    <w:tbl>
      <w:tblPr>
        <w:tblStyle w:val="TableGrid"/>
        <w:tblW w:w="0" w:type="auto"/>
        <w:tblInd w:w="18" w:type="dxa"/>
        <w:tblLayout w:type="fixed"/>
        <w:tblLook w:val="04A0" w:firstRow="1" w:lastRow="0" w:firstColumn="1" w:lastColumn="0" w:noHBand="0" w:noVBand="1"/>
      </w:tblPr>
      <w:tblGrid>
        <w:gridCol w:w="8730"/>
        <w:gridCol w:w="4428"/>
      </w:tblGrid>
      <w:tr w:rsidR="00D53761" w:rsidRPr="00D53761" w14:paraId="44ACF31B" w14:textId="77777777" w:rsidTr="008C353D">
        <w:trPr>
          <w:trHeight w:val="395"/>
        </w:trPr>
        <w:tc>
          <w:tcPr>
            <w:tcW w:w="8730" w:type="dxa"/>
            <w:shd w:val="clear" w:color="auto" w:fill="F2F2F2" w:themeFill="background1" w:themeFillShade="F2"/>
            <w:vAlign w:val="center"/>
          </w:tcPr>
          <w:p w14:paraId="5791C908" w14:textId="77777777" w:rsidR="0078544F" w:rsidRDefault="0078544F" w:rsidP="00D53761">
            <w:pPr>
              <w:rPr>
                <w:rFonts w:ascii="Open Sans" w:eastAsia="Times New Roman" w:hAnsi="Open Sans" w:cs="Open Sans"/>
                <w:b/>
                <w:sz w:val="20"/>
                <w:szCs w:val="20"/>
              </w:rPr>
            </w:pPr>
          </w:p>
          <w:p w14:paraId="0EDA2FB8" w14:textId="77777777" w:rsidR="00D53761" w:rsidRPr="00D53761" w:rsidRDefault="0078544F" w:rsidP="00D53761">
            <w:pPr>
              <w:rPr>
                <w:rFonts w:ascii="Open Sans" w:eastAsia="Times New Roman" w:hAnsi="Open Sans" w:cs="Open Sans"/>
                <w:b/>
                <w:sz w:val="20"/>
                <w:szCs w:val="20"/>
              </w:rPr>
            </w:pPr>
            <w:r>
              <w:rPr>
                <w:rFonts w:ascii="Open Sans" w:eastAsia="Times New Roman" w:hAnsi="Open Sans" w:cs="Open Sans"/>
                <w:b/>
                <w:sz w:val="20"/>
                <w:szCs w:val="20"/>
              </w:rPr>
              <w:t>I</w:t>
            </w:r>
            <w:r w:rsidR="00D53761" w:rsidRPr="00D53761">
              <w:rPr>
                <w:rFonts w:ascii="Open Sans" w:eastAsia="Times New Roman" w:hAnsi="Open Sans" w:cs="Open Sans"/>
                <w:b/>
                <w:sz w:val="20"/>
                <w:szCs w:val="20"/>
              </w:rPr>
              <w:t>II. FOCUS AREA:</w:t>
            </w:r>
          </w:p>
        </w:tc>
        <w:tc>
          <w:tcPr>
            <w:tcW w:w="4428" w:type="dxa"/>
            <w:shd w:val="clear" w:color="auto" w:fill="F2F2F2" w:themeFill="background1" w:themeFillShade="F2"/>
            <w:vAlign w:val="center"/>
          </w:tcPr>
          <w:p w14:paraId="63656A54" w14:textId="77777777" w:rsidR="00D53761" w:rsidRPr="00D53761" w:rsidRDefault="00D53761" w:rsidP="00D53761">
            <w:pPr>
              <w:contextualSpacing/>
              <w:jc w:val="center"/>
              <w:rPr>
                <w:rFonts w:ascii="Open Sans" w:hAnsi="Open Sans" w:cs="Open Sans"/>
                <w:b/>
                <w:sz w:val="20"/>
                <w:szCs w:val="20"/>
              </w:rPr>
            </w:pPr>
            <w:r w:rsidRPr="00D53761">
              <w:rPr>
                <w:rFonts w:ascii="Open Sans" w:hAnsi="Open Sans" w:cs="Open Sans"/>
                <w:b/>
                <w:sz w:val="20"/>
                <w:szCs w:val="20"/>
              </w:rPr>
              <w:t>NOTES</w:t>
            </w:r>
          </w:p>
        </w:tc>
      </w:tr>
      <w:tr w:rsidR="00D53761" w:rsidRPr="00D53761" w14:paraId="70E13167" w14:textId="77777777" w:rsidTr="008C353D">
        <w:trPr>
          <w:trHeight w:val="1259"/>
        </w:trPr>
        <w:tc>
          <w:tcPr>
            <w:tcW w:w="8730" w:type="dxa"/>
            <w:vAlign w:val="center"/>
          </w:tcPr>
          <w:p w14:paraId="39F71D70" w14:textId="77777777" w:rsidR="00D53761" w:rsidRPr="00D53761" w:rsidRDefault="00D53761" w:rsidP="00D53761">
            <w:pPr>
              <w:rPr>
                <w:rFonts w:ascii="Open Sans" w:hAnsi="Open Sans" w:cs="Open Sans"/>
                <w:sz w:val="20"/>
                <w:szCs w:val="20"/>
              </w:rPr>
            </w:pPr>
          </w:p>
        </w:tc>
        <w:tc>
          <w:tcPr>
            <w:tcW w:w="4428" w:type="dxa"/>
            <w:vAlign w:val="center"/>
          </w:tcPr>
          <w:p w14:paraId="5831283B" w14:textId="77777777" w:rsidR="00D53761" w:rsidRPr="00D53761" w:rsidRDefault="00D53761" w:rsidP="00D53761">
            <w:pPr>
              <w:contextualSpacing/>
              <w:jc w:val="center"/>
              <w:rPr>
                <w:rFonts w:ascii="Open Sans" w:hAnsi="Open Sans" w:cs="Open Sans"/>
                <w:i/>
                <w:sz w:val="20"/>
                <w:szCs w:val="20"/>
              </w:rPr>
            </w:pPr>
          </w:p>
        </w:tc>
      </w:tr>
      <w:tr w:rsidR="00D53761" w:rsidRPr="00D53761" w14:paraId="21BA048D" w14:textId="77777777" w:rsidTr="008C353D">
        <w:trPr>
          <w:trHeight w:val="1115"/>
        </w:trPr>
        <w:tc>
          <w:tcPr>
            <w:tcW w:w="8730" w:type="dxa"/>
            <w:vAlign w:val="center"/>
          </w:tcPr>
          <w:p w14:paraId="0A3131AF" w14:textId="77777777" w:rsidR="00D53761" w:rsidRPr="00D53761" w:rsidRDefault="00D53761" w:rsidP="00D53761">
            <w:pPr>
              <w:rPr>
                <w:rFonts w:ascii="Open Sans" w:hAnsi="Open Sans" w:cs="Open Sans"/>
                <w:sz w:val="20"/>
                <w:szCs w:val="20"/>
              </w:rPr>
            </w:pPr>
          </w:p>
        </w:tc>
        <w:tc>
          <w:tcPr>
            <w:tcW w:w="4428" w:type="dxa"/>
            <w:vAlign w:val="center"/>
          </w:tcPr>
          <w:p w14:paraId="1C4BC464" w14:textId="77777777" w:rsidR="00D53761" w:rsidRPr="00D53761" w:rsidRDefault="00D53761" w:rsidP="00D53761">
            <w:pPr>
              <w:contextualSpacing/>
              <w:jc w:val="center"/>
              <w:rPr>
                <w:rFonts w:ascii="Open Sans" w:hAnsi="Open Sans" w:cs="Open Sans"/>
                <w:sz w:val="20"/>
                <w:szCs w:val="20"/>
              </w:rPr>
            </w:pPr>
          </w:p>
        </w:tc>
      </w:tr>
    </w:tbl>
    <w:p w14:paraId="784D4EFD" w14:textId="77777777" w:rsidR="00D53761" w:rsidRPr="00D53761" w:rsidRDefault="00D53761" w:rsidP="00D53761">
      <w:pPr>
        <w:rPr>
          <w:rFonts w:ascii="Open Sans" w:hAnsi="Open Sans" w:cs="Open Sans"/>
          <w:sz w:val="20"/>
          <w:szCs w:val="20"/>
        </w:rPr>
      </w:pPr>
    </w:p>
    <w:sectPr w:rsidR="00D53761" w:rsidRPr="00D53761" w:rsidSect="00D53761">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Verdan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F51CE"/>
    <w:multiLevelType w:val="hybridMultilevel"/>
    <w:tmpl w:val="C360B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052C51"/>
    <w:multiLevelType w:val="hybridMultilevel"/>
    <w:tmpl w:val="1DC220D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2901A5"/>
    <w:multiLevelType w:val="hybridMultilevel"/>
    <w:tmpl w:val="9AC40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98351F"/>
    <w:multiLevelType w:val="hybridMultilevel"/>
    <w:tmpl w:val="DC507BC2"/>
    <w:lvl w:ilvl="0" w:tplc="3A08D494">
      <w:start w:val="1"/>
      <w:numFmt w:val="upperLetter"/>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4" w15:restartNumberingAfterBreak="0">
    <w:nsid w:val="1CE063EF"/>
    <w:multiLevelType w:val="hybridMultilevel"/>
    <w:tmpl w:val="36747B16"/>
    <w:lvl w:ilvl="0" w:tplc="E7D42D5A">
      <w:start w:val="1"/>
      <w:numFmt w:val="upperLetter"/>
      <w:lvlText w:val="%1."/>
      <w:lvlJc w:val="left"/>
      <w:pPr>
        <w:ind w:left="5580" w:hanging="360"/>
      </w:pPr>
      <w:rPr>
        <w:rFonts w:hint="default"/>
      </w:rPr>
    </w:lvl>
    <w:lvl w:ilvl="1" w:tplc="04090019" w:tentative="1">
      <w:start w:val="1"/>
      <w:numFmt w:val="lowerLetter"/>
      <w:lvlText w:val="%2."/>
      <w:lvlJc w:val="left"/>
      <w:pPr>
        <w:ind w:left="7020" w:hanging="360"/>
      </w:pPr>
    </w:lvl>
    <w:lvl w:ilvl="2" w:tplc="0409001B" w:tentative="1">
      <w:start w:val="1"/>
      <w:numFmt w:val="lowerRoman"/>
      <w:lvlText w:val="%3."/>
      <w:lvlJc w:val="right"/>
      <w:pPr>
        <w:ind w:left="7740" w:hanging="180"/>
      </w:pPr>
    </w:lvl>
    <w:lvl w:ilvl="3" w:tplc="0409000F" w:tentative="1">
      <w:start w:val="1"/>
      <w:numFmt w:val="decimal"/>
      <w:lvlText w:val="%4."/>
      <w:lvlJc w:val="left"/>
      <w:pPr>
        <w:ind w:left="8460" w:hanging="360"/>
      </w:pPr>
    </w:lvl>
    <w:lvl w:ilvl="4" w:tplc="04090019" w:tentative="1">
      <w:start w:val="1"/>
      <w:numFmt w:val="lowerLetter"/>
      <w:lvlText w:val="%5."/>
      <w:lvlJc w:val="left"/>
      <w:pPr>
        <w:ind w:left="9180" w:hanging="360"/>
      </w:pPr>
    </w:lvl>
    <w:lvl w:ilvl="5" w:tplc="0409001B" w:tentative="1">
      <w:start w:val="1"/>
      <w:numFmt w:val="lowerRoman"/>
      <w:lvlText w:val="%6."/>
      <w:lvlJc w:val="right"/>
      <w:pPr>
        <w:ind w:left="9900" w:hanging="180"/>
      </w:pPr>
    </w:lvl>
    <w:lvl w:ilvl="6" w:tplc="0409000F" w:tentative="1">
      <w:start w:val="1"/>
      <w:numFmt w:val="decimal"/>
      <w:lvlText w:val="%7."/>
      <w:lvlJc w:val="left"/>
      <w:pPr>
        <w:ind w:left="10620" w:hanging="360"/>
      </w:pPr>
    </w:lvl>
    <w:lvl w:ilvl="7" w:tplc="04090019" w:tentative="1">
      <w:start w:val="1"/>
      <w:numFmt w:val="lowerLetter"/>
      <w:lvlText w:val="%8."/>
      <w:lvlJc w:val="left"/>
      <w:pPr>
        <w:ind w:left="11340" w:hanging="360"/>
      </w:pPr>
    </w:lvl>
    <w:lvl w:ilvl="8" w:tplc="0409001B" w:tentative="1">
      <w:start w:val="1"/>
      <w:numFmt w:val="lowerRoman"/>
      <w:lvlText w:val="%9."/>
      <w:lvlJc w:val="right"/>
      <w:pPr>
        <w:ind w:left="12060" w:hanging="180"/>
      </w:pPr>
    </w:lvl>
  </w:abstractNum>
  <w:abstractNum w:abstractNumId="5" w15:restartNumberingAfterBreak="0">
    <w:nsid w:val="24212D15"/>
    <w:multiLevelType w:val="hybridMultilevel"/>
    <w:tmpl w:val="D8166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A630FA"/>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251D7723"/>
    <w:multiLevelType w:val="hybridMultilevel"/>
    <w:tmpl w:val="643A9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E02D15"/>
    <w:multiLevelType w:val="hybridMultilevel"/>
    <w:tmpl w:val="BC22DC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B3320F"/>
    <w:multiLevelType w:val="hybridMultilevel"/>
    <w:tmpl w:val="DC507BC2"/>
    <w:lvl w:ilvl="0" w:tplc="3A08D49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9DC050A"/>
    <w:multiLevelType w:val="hybridMultilevel"/>
    <w:tmpl w:val="653C09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1D03775"/>
    <w:multiLevelType w:val="hybridMultilevel"/>
    <w:tmpl w:val="18500F7A"/>
    <w:lvl w:ilvl="0" w:tplc="8304AE8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702914B0"/>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341751"/>
    <w:multiLevelType w:val="hybridMultilevel"/>
    <w:tmpl w:val="AD285F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BD7565"/>
    <w:multiLevelType w:val="hybridMultilevel"/>
    <w:tmpl w:val="AD285FD0"/>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11"/>
  </w:num>
  <w:num w:numId="2">
    <w:abstractNumId w:val="3"/>
  </w:num>
  <w:num w:numId="3">
    <w:abstractNumId w:val="10"/>
  </w:num>
  <w:num w:numId="4">
    <w:abstractNumId w:val="4"/>
  </w:num>
  <w:num w:numId="5">
    <w:abstractNumId w:val="1"/>
  </w:num>
  <w:num w:numId="6">
    <w:abstractNumId w:val="12"/>
  </w:num>
  <w:num w:numId="7">
    <w:abstractNumId w:val="9"/>
  </w:num>
  <w:num w:numId="8">
    <w:abstractNumId w:val="13"/>
  </w:num>
  <w:num w:numId="9">
    <w:abstractNumId w:val="14"/>
  </w:num>
  <w:num w:numId="10">
    <w:abstractNumId w:val="6"/>
  </w:num>
  <w:num w:numId="11">
    <w:abstractNumId w:val="8"/>
  </w:num>
  <w:num w:numId="12">
    <w:abstractNumId w:val="2"/>
  </w:num>
  <w:num w:numId="13">
    <w:abstractNumId w:val="5"/>
  </w:num>
  <w:num w:numId="14">
    <w:abstractNumId w:val="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761"/>
    <w:rsid w:val="00000AB5"/>
    <w:rsid w:val="00052644"/>
    <w:rsid w:val="00072127"/>
    <w:rsid w:val="000845EB"/>
    <w:rsid w:val="00090818"/>
    <w:rsid w:val="000E3170"/>
    <w:rsid w:val="00115038"/>
    <w:rsid w:val="0011573F"/>
    <w:rsid w:val="00124855"/>
    <w:rsid w:val="001602D8"/>
    <w:rsid w:val="00192898"/>
    <w:rsid w:val="001A0833"/>
    <w:rsid w:val="001A264E"/>
    <w:rsid w:val="001B02DE"/>
    <w:rsid w:val="001B5E52"/>
    <w:rsid w:val="001D4D4E"/>
    <w:rsid w:val="00226274"/>
    <w:rsid w:val="00262393"/>
    <w:rsid w:val="00284EF7"/>
    <w:rsid w:val="002A221E"/>
    <w:rsid w:val="002B5CE2"/>
    <w:rsid w:val="002D0902"/>
    <w:rsid w:val="0039302B"/>
    <w:rsid w:val="003965B7"/>
    <w:rsid w:val="003D3072"/>
    <w:rsid w:val="004079F5"/>
    <w:rsid w:val="00415672"/>
    <w:rsid w:val="00421523"/>
    <w:rsid w:val="0043492C"/>
    <w:rsid w:val="00465233"/>
    <w:rsid w:val="00473800"/>
    <w:rsid w:val="005A7152"/>
    <w:rsid w:val="005D7F02"/>
    <w:rsid w:val="005E3E07"/>
    <w:rsid w:val="006049EF"/>
    <w:rsid w:val="00617333"/>
    <w:rsid w:val="006240A2"/>
    <w:rsid w:val="00642569"/>
    <w:rsid w:val="006A1A1A"/>
    <w:rsid w:val="006B2D51"/>
    <w:rsid w:val="006C72FF"/>
    <w:rsid w:val="006D23A5"/>
    <w:rsid w:val="006D78B6"/>
    <w:rsid w:val="006F3C74"/>
    <w:rsid w:val="007125FD"/>
    <w:rsid w:val="00730420"/>
    <w:rsid w:val="00740C51"/>
    <w:rsid w:val="00762611"/>
    <w:rsid w:val="007728F3"/>
    <w:rsid w:val="0078544F"/>
    <w:rsid w:val="007C21F4"/>
    <w:rsid w:val="007D3451"/>
    <w:rsid w:val="00824923"/>
    <w:rsid w:val="00851928"/>
    <w:rsid w:val="0086669F"/>
    <w:rsid w:val="00871B0B"/>
    <w:rsid w:val="008B1DCC"/>
    <w:rsid w:val="008B526F"/>
    <w:rsid w:val="008C4C6B"/>
    <w:rsid w:val="008C71E0"/>
    <w:rsid w:val="008C7DB3"/>
    <w:rsid w:val="008F0203"/>
    <w:rsid w:val="00911CDD"/>
    <w:rsid w:val="00981326"/>
    <w:rsid w:val="0099343A"/>
    <w:rsid w:val="009E3752"/>
    <w:rsid w:val="00A3063C"/>
    <w:rsid w:val="00A41027"/>
    <w:rsid w:val="00AB444A"/>
    <w:rsid w:val="00B31E0B"/>
    <w:rsid w:val="00B564D1"/>
    <w:rsid w:val="00B9770E"/>
    <w:rsid w:val="00BD59FE"/>
    <w:rsid w:val="00C033C2"/>
    <w:rsid w:val="00C06B66"/>
    <w:rsid w:val="00C25F66"/>
    <w:rsid w:val="00C3750F"/>
    <w:rsid w:val="00C4526C"/>
    <w:rsid w:val="00C45422"/>
    <w:rsid w:val="00CE0E9C"/>
    <w:rsid w:val="00CF1BC0"/>
    <w:rsid w:val="00D11A14"/>
    <w:rsid w:val="00D53761"/>
    <w:rsid w:val="00D73280"/>
    <w:rsid w:val="00DC707A"/>
    <w:rsid w:val="00DE024E"/>
    <w:rsid w:val="00DF7998"/>
    <w:rsid w:val="00E442F2"/>
    <w:rsid w:val="00E45E61"/>
    <w:rsid w:val="00E60A85"/>
    <w:rsid w:val="00E70F53"/>
    <w:rsid w:val="00EB1010"/>
    <w:rsid w:val="00EC37C7"/>
    <w:rsid w:val="00ED09B8"/>
    <w:rsid w:val="00ED3FD4"/>
    <w:rsid w:val="00EE2AEA"/>
    <w:rsid w:val="00EF4B39"/>
    <w:rsid w:val="00EF5194"/>
    <w:rsid w:val="00F30CEA"/>
    <w:rsid w:val="00F54597"/>
    <w:rsid w:val="00F64DF3"/>
    <w:rsid w:val="00FC5A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78E85"/>
  <w15:docId w15:val="{247F8E6F-54EA-410C-85B2-A137F7985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53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537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761"/>
    <w:rPr>
      <w:rFonts w:ascii="Tahoma" w:hAnsi="Tahoma" w:cs="Tahoma"/>
      <w:sz w:val="16"/>
      <w:szCs w:val="16"/>
    </w:rPr>
  </w:style>
  <w:style w:type="paragraph" w:styleId="ListParagraph">
    <w:name w:val="List Paragraph"/>
    <w:basedOn w:val="Normal"/>
    <w:uiPriority w:val="34"/>
    <w:qFormat/>
    <w:rsid w:val="003965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8C0795-A056-4F87-BB2B-92FBCFB8C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3768</Words>
  <Characters>21483</Characters>
  <Application>Microsoft Office Word</Application>
  <DocSecurity>4</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Candi Norwood</dc:creator>
  <cp:lastModifiedBy>Rachel Brew</cp:lastModifiedBy>
  <cp:revision>2</cp:revision>
  <cp:lastPrinted>2016-06-14T21:25:00Z</cp:lastPrinted>
  <dcterms:created xsi:type="dcterms:W3CDTF">2018-08-21T18:33:00Z</dcterms:created>
  <dcterms:modified xsi:type="dcterms:W3CDTF">2018-08-21T18:33:00Z</dcterms:modified>
</cp:coreProperties>
</file>