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F7E77" w14:textId="77777777" w:rsidR="00BE5CED" w:rsidRDefault="00BE5CED" w:rsidP="00BE5CED">
      <w:pPr>
        <w:pStyle w:val="Title"/>
      </w:pPr>
      <w:r w:rsidRPr="005100B4">
        <w:t>How</w:t>
      </w:r>
      <w:r w:rsidRPr="00C81A73">
        <w:t xml:space="preserve"> </w:t>
      </w:r>
      <w:r>
        <w:br/>
      </w:r>
      <w:r w:rsidRPr="00C81A73">
        <w:t xml:space="preserve">the Department </w:t>
      </w:r>
      <w:r w:rsidRPr="00C81A73">
        <w:br/>
        <w:t xml:space="preserve">Made </w:t>
      </w:r>
      <w:proofErr w:type="gramStart"/>
      <w:r w:rsidRPr="00C81A73">
        <w:t>Determinations</w:t>
      </w:r>
      <w:proofErr w:type="gramEnd"/>
    </w:p>
    <w:p w14:paraId="5ACF7E78" w14:textId="5B345935" w:rsidR="00BE5CED" w:rsidRDefault="00BE5CED" w:rsidP="00BE5CED">
      <w:pPr>
        <w:pStyle w:val="Subtitle"/>
        <w:spacing w:before="0" w:after="0"/>
        <w:jc w:val="center"/>
        <w:rPr>
          <w:b/>
        </w:rPr>
      </w:pPr>
      <w:r w:rsidRPr="00C81A73">
        <w:t xml:space="preserve">under </w:t>
      </w:r>
      <w:r w:rsidRPr="005100B4">
        <w:t>Section</w:t>
      </w:r>
      <w:r w:rsidRPr="00C81A73">
        <w:t xml:space="preserve"> 616(d) of the </w:t>
      </w:r>
      <w:r w:rsidRPr="00C81A73">
        <w:br/>
      </w:r>
      <w:r w:rsidRPr="00C81A73">
        <w:rPr>
          <w:i/>
        </w:rPr>
        <w:t>Individuals with Disabilities Education Act</w:t>
      </w:r>
      <w:r w:rsidRPr="00C81A73">
        <w:t xml:space="preserve"> in 201</w:t>
      </w:r>
      <w:r w:rsidR="00157BE9">
        <w:t>9</w:t>
      </w:r>
      <w:r w:rsidRPr="00C81A73">
        <w:t xml:space="preserve">: </w:t>
      </w:r>
      <w:r>
        <w:br/>
      </w:r>
      <w:r w:rsidRPr="00313257">
        <w:rPr>
          <w:b/>
        </w:rPr>
        <w:t>Part B</w:t>
      </w:r>
    </w:p>
    <w:p w14:paraId="5ACF7E79" w14:textId="3388C81F" w:rsidR="00BE5CED" w:rsidRPr="003A4042" w:rsidRDefault="00BE5CED" w:rsidP="00BE5CED">
      <w:pPr>
        <w:jc w:val="center"/>
        <w:rPr>
          <w:rFonts w:ascii="Cambria" w:hAnsi="Cambria"/>
          <w:smallCaps/>
          <w:color w:val="1F497D"/>
          <w:spacing w:val="5"/>
          <w:kern w:val="2"/>
          <w:sz w:val="24"/>
          <w:szCs w:val="24"/>
        </w:rPr>
      </w:pPr>
      <w:r w:rsidRPr="00DF21C7">
        <w:rPr>
          <w:rFonts w:ascii="Cambria" w:hAnsi="Cambria"/>
          <w:smallCaps/>
          <w:color w:val="1F497D"/>
          <w:spacing w:val="5"/>
          <w:kern w:val="2"/>
          <w:sz w:val="24"/>
          <w:szCs w:val="24"/>
        </w:rPr>
        <w:t>Revised 0</w:t>
      </w:r>
      <w:r w:rsidR="00FE0950">
        <w:rPr>
          <w:rFonts w:ascii="Cambria" w:hAnsi="Cambria"/>
          <w:smallCaps/>
          <w:color w:val="1F497D"/>
          <w:spacing w:val="5"/>
          <w:kern w:val="2"/>
          <w:sz w:val="24"/>
          <w:szCs w:val="24"/>
        </w:rPr>
        <w:t>6</w:t>
      </w:r>
      <w:r w:rsidRPr="00DF21C7">
        <w:rPr>
          <w:rFonts w:ascii="Cambria" w:hAnsi="Cambria"/>
          <w:smallCaps/>
          <w:color w:val="1F497D"/>
          <w:spacing w:val="5"/>
          <w:kern w:val="2"/>
          <w:sz w:val="24"/>
          <w:szCs w:val="24"/>
        </w:rPr>
        <w:t>/</w:t>
      </w:r>
      <w:r w:rsidR="00FE0950">
        <w:rPr>
          <w:rFonts w:ascii="Cambria" w:hAnsi="Cambria"/>
          <w:smallCaps/>
          <w:color w:val="1F497D"/>
          <w:spacing w:val="5"/>
          <w:kern w:val="2"/>
          <w:sz w:val="24"/>
          <w:szCs w:val="24"/>
        </w:rPr>
        <w:t>2</w:t>
      </w:r>
      <w:r w:rsidR="00157BE9">
        <w:rPr>
          <w:rFonts w:ascii="Cambria" w:hAnsi="Cambria"/>
          <w:smallCaps/>
          <w:color w:val="1F497D"/>
          <w:spacing w:val="5"/>
          <w:kern w:val="2"/>
          <w:sz w:val="24"/>
          <w:szCs w:val="24"/>
        </w:rPr>
        <w:t>0</w:t>
      </w:r>
      <w:r w:rsidRPr="00DF21C7">
        <w:rPr>
          <w:rFonts w:ascii="Cambria" w:hAnsi="Cambria"/>
          <w:smallCaps/>
          <w:color w:val="1F497D"/>
          <w:spacing w:val="5"/>
          <w:kern w:val="2"/>
          <w:sz w:val="24"/>
          <w:szCs w:val="24"/>
        </w:rPr>
        <w:t>/1</w:t>
      </w:r>
      <w:r w:rsidR="00157BE9">
        <w:rPr>
          <w:rFonts w:ascii="Cambria" w:hAnsi="Cambria"/>
          <w:smallCaps/>
          <w:color w:val="1F497D"/>
          <w:spacing w:val="5"/>
          <w:kern w:val="2"/>
          <w:sz w:val="24"/>
          <w:szCs w:val="24"/>
        </w:rPr>
        <w:t>9</w:t>
      </w:r>
    </w:p>
    <w:p w14:paraId="5ACF7E7A" w14:textId="77777777" w:rsidR="00BE5CED" w:rsidRDefault="00BE5CED" w:rsidP="00BE5CED">
      <w:pPr>
        <w:spacing w:before="720" w:line="240" w:lineRule="auto"/>
        <w:jc w:val="center"/>
        <w:rPr>
          <w:kern w:val="2"/>
        </w:rPr>
        <w:sectPr w:rsidR="00BE5CED" w:rsidSect="0074302B">
          <w:headerReference w:type="default" r:id="rId11"/>
          <w:footerReference w:type="even" r:id="rId12"/>
          <w:footerReference w:type="default" r:id="rId13"/>
          <w:pgSz w:w="12240" w:h="15840" w:code="1"/>
          <w:pgMar w:top="1440" w:right="1440" w:bottom="1440" w:left="1440" w:header="720" w:footer="720" w:gutter="0"/>
          <w:pgBorders w:display="firstPage" w:offsetFrom="page">
            <w:top w:val="single" w:sz="48" w:space="24" w:color="95B3D7"/>
            <w:left w:val="single" w:sz="48" w:space="24" w:color="95B3D7"/>
            <w:bottom w:val="single" w:sz="48" w:space="24" w:color="95B3D7"/>
            <w:right w:val="single" w:sz="48" w:space="24" w:color="95B3D7"/>
          </w:pgBorders>
          <w:cols w:space="720"/>
          <w:titlePg/>
          <w:docGrid w:linePitch="360"/>
        </w:sectPr>
      </w:pPr>
      <w:r>
        <w:rPr>
          <w:noProof/>
          <w:kern w:val="2"/>
        </w:rPr>
        <w:drawing>
          <wp:inline distT="0" distB="0" distL="0" distR="0" wp14:anchorId="5ACF7F0A" wp14:editId="5ACF7F0B">
            <wp:extent cx="9525" cy="9525"/>
            <wp:effectExtent l="0" t="0" r="0" b="0"/>
            <wp:docPr id="2" name="Picture 2" descr="ED Seal (Reflex Blu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Seal (Reflex Blu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kern w:val="2"/>
        </w:rPr>
        <w:drawing>
          <wp:inline distT="0" distB="0" distL="0" distR="0" wp14:anchorId="5ACF7F0C" wp14:editId="5ACF7F0D">
            <wp:extent cx="1828800" cy="1828800"/>
            <wp:effectExtent l="0" t="0" r="0" b="0"/>
            <wp:docPr id="1"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Department of Education se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ACF7E7B" w14:textId="77777777" w:rsidR="00BE5CED" w:rsidRPr="00C65DB7" w:rsidRDefault="00BE5CED" w:rsidP="00BE5CED">
      <w:pPr>
        <w:pStyle w:val="Heading1"/>
      </w:pPr>
      <w:r w:rsidRPr="00C65DB7">
        <w:t>Introduction</w:t>
      </w:r>
    </w:p>
    <w:p w14:paraId="5ACF7E7C" w14:textId="5917C1C5" w:rsidR="00BE5CED" w:rsidRDefault="00BE5CED" w:rsidP="00BE5CED">
      <w:pPr>
        <w:rPr>
          <w:kern w:val="2"/>
        </w:rPr>
      </w:pPr>
      <w:r w:rsidRPr="00C81A73">
        <w:rPr>
          <w:kern w:val="2"/>
        </w:rPr>
        <w:t>In 20</w:t>
      </w:r>
      <w:r w:rsidR="000A141A">
        <w:rPr>
          <w:kern w:val="2"/>
        </w:rPr>
        <w:t>1</w:t>
      </w:r>
      <w:r w:rsidR="00157BE9">
        <w:rPr>
          <w:kern w:val="2"/>
        </w:rPr>
        <w:t>9</w:t>
      </w:r>
      <w:r w:rsidRPr="00C81A73">
        <w:rPr>
          <w:kern w:val="2"/>
        </w:rPr>
        <w:t xml:space="preserve">, the U.S. Department of Education (Department) is continuing to use both results and compliance data in making </w:t>
      </w:r>
      <w:r w:rsidR="009D655F">
        <w:rPr>
          <w:kern w:val="2"/>
        </w:rPr>
        <w:t>our</w:t>
      </w:r>
      <w:r w:rsidRPr="00C81A73">
        <w:rPr>
          <w:kern w:val="2"/>
        </w:rPr>
        <w:t xml:space="preserve"> determination for each State under section 616(d) of the Individuals with Disabilities Education Act (</w:t>
      </w:r>
      <w:r w:rsidRPr="00C81A73">
        <w:rPr>
          <w:i/>
          <w:kern w:val="2"/>
        </w:rPr>
        <w:t>IDEA</w:t>
      </w:r>
      <w:r w:rsidRPr="00C81A73">
        <w:rPr>
          <w:kern w:val="2"/>
        </w:rPr>
        <w:t>). We considered the totality of the information we have about a State, including information related to the participation of children with disabilities (CWD) on regular Statewide assessments; the participation and performance of CWD on the most recently-administered (school year (SY) 201</w:t>
      </w:r>
      <w:r w:rsidR="003F5E67">
        <w:rPr>
          <w:kern w:val="2"/>
        </w:rPr>
        <w:t>6</w:t>
      </w:r>
      <w:r w:rsidRPr="00C81A73">
        <w:rPr>
          <w:kern w:val="2"/>
        </w:rPr>
        <w:t>-201</w:t>
      </w:r>
      <w:r w:rsidR="003F5E67">
        <w:rPr>
          <w:kern w:val="2"/>
        </w:rPr>
        <w:t>7</w:t>
      </w:r>
      <w:r w:rsidRPr="00C81A73">
        <w:rPr>
          <w:kern w:val="2"/>
        </w:rPr>
        <w:t>) National Assessment of Educational Progress (NAEP); exiting data on CWD who dropped out and CWD who graduated with a regular high school diploma</w:t>
      </w:r>
      <w:r w:rsidRPr="00C81A73">
        <w:rPr>
          <w:rStyle w:val="FootnoteReference"/>
          <w:rFonts w:ascii="Times New Roman" w:hAnsi="Times New Roman"/>
          <w:color w:val="000000"/>
          <w:kern w:val="2"/>
          <w:sz w:val="24"/>
          <w:szCs w:val="24"/>
        </w:rPr>
        <w:footnoteReference w:id="1"/>
      </w:r>
      <w:r w:rsidRPr="00C81A73">
        <w:rPr>
          <w:kern w:val="2"/>
        </w:rPr>
        <w:t>; the State’s Federal fiscal year (FFY) 201</w:t>
      </w:r>
      <w:r w:rsidR="00157BE9">
        <w:rPr>
          <w:kern w:val="2"/>
        </w:rPr>
        <w:t>7</w:t>
      </w:r>
      <w:r w:rsidRPr="00C81A73">
        <w:rPr>
          <w:kern w:val="2"/>
        </w:rPr>
        <w:t xml:space="preserve"> State Performance Plan/Annual Performance Report (</w:t>
      </w:r>
      <w:r>
        <w:rPr>
          <w:kern w:val="2"/>
        </w:rPr>
        <w:t>SPP/</w:t>
      </w:r>
      <w:r w:rsidRPr="00C81A73">
        <w:rPr>
          <w:kern w:val="2"/>
        </w:rPr>
        <w:t xml:space="preserve">APR); information from monitoring and other public information, such as </w:t>
      </w:r>
      <w:r>
        <w:rPr>
          <w:kern w:val="2"/>
        </w:rPr>
        <w:t xml:space="preserve">Department-imposed </w:t>
      </w:r>
      <w:r w:rsidRPr="00C81A73">
        <w:rPr>
          <w:kern w:val="2"/>
        </w:rPr>
        <w:t>Speci</w:t>
      </w:r>
      <w:r w:rsidR="003746F5">
        <w:rPr>
          <w:kern w:val="2"/>
        </w:rPr>
        <w:t>fic</w:t>
      </w:r>
      <w:r w:rsidRPr="00C81A73">
        <w:rPr>
          <w:kern w:val="2"/>
        </w:rPr>
        <w:t xml:space="preserve"> Conditions on the State’s grant award under Part B; and other issues related to State compliance with the </w:t>
      </w:r>
      <w:r w:rsidRPr="00C81A73">
        <w:rPr>
          <w:i/>
          <w:kern w:val="2"/>
        </w:rPr>
        <w:t>IDEA</w:t>
      </w:r>
      <w:r w:rsidRPr="00C81A73">
        <w:rPr>
          <w:kern w:val="2"/>
        </w:rPr>
        <w:t xml:space="preserve">. Below is a detailed description of how the Office of Special Education Programs (OSEP) evaluated States’ data using the Results Driven Accountability (RDA) Matrix. </w:t>
      </w:r>
    </w:p>
    <w:p w14:paraId="5ACF7E7D" w14:textId="77777777" w:rsidR="00BE5CED" w:rsidRPr="00C81A73" w:rsidRDefault="00BE5CED" w:rsidP="00BE5CED">
      <w:pPr>
        <w:rPr>
          <w:kern w:val="2"/>
        </w:rPr>
      </w:pPr>
      <w:r w:rsidRPr="00C81A73">
        <w:rPr>
          <w:kern w:val="2"/>
        </w:rPr>
        <w:t xml:space="preserve">The RDA Matrix consists of: </w:t>
      </w:r>
    </w:p>
    <w:p w14:paraId="5ACF7E7E" w14:textId="77777777" w:rsidR="00BE5CED" w:rsidRDefault="00BE5CED" w:rsidP="00BE5CED">
      <w:pPr>
        <w:numPr>
          <w:ilvl w:val="0"/>
          <w:numId w:val="5"/>
        </w:numPr>
        <w:rPr>
          <w:kern w:val="2"/>
        </w:rPr>
      </w:pPr>
      <w:r w:rsidRPr="00C81A73">
        <w:rPr>
          <w:kern w:val="2"/>
        </w:rPr>
        <w:t xml:space="preserve">a </w:t>
      </w:r>
      <w:r w:rsidRPr="005123E5">
        <w:rPr>
          <w:b/>
          <w:kern w:val="2"/>
        </w:rPr>
        <w:t>Compliance Matrix</w:t>
      </w:r>
      <w:r w:rsidRPr="00C81A73">
        <w:rPr>
          <w:kern w:val="2"/>
        </w:rPr>
        <w:t xml:space="preserve"> that includes scoring on SPP/APR Compliance Indicators and other compliance factors</w:t>
      </w:r>
      <w:r>
        <w:rPr>
          <w:kern w:val="2"/>
        </w:rPr>
        <w:t>;</w:t>
      </w:r>
    </w:p>
    <w:p w14:paraId="5ACF7E7F" w14:textId="77777777" w:rsidR="00BE5CED" w:rsidRDefault="00BE5CED" w:rsidP="00BE5CED">
      <w:pPr>
        <w:numPr>
          <w:ilvl w:val="0"/>
          <w:numId w:val="5"/>
        </w:numPr>
        <w:rPr>
          <w:kern w:val="2"/>
        </w:rPr>
      </w:pPr>
      <w:r w:rsidRPr="00E02399">
        <w:rPr>
          <w:kern w:val="2"/>
        </w:rPr>
        <w:t xml:space="preserve">a </w:t>
      </w:r>
      <w:r w:rsidRPr="00E02399">
        <w:rPr>
          <w:b/>
          <w:kern w:val="2"/>
        </w:rPr>
        <w:t>Results Matrix</w:t>
      </w:r>
      <w:r w:rsidRPr="00E02399">
        <w:rPr>
          <w:kern w:val="2"/>
        </w:rPr>
        <w:t xml:space="preserve"> that includes scoring on Results Elements</w:t>
      </w:r>
      <w:r>
        <w:rPr>
          <w:kern w:val="2"/>
        </w:rPr>
        <w:t>;</w:t>
      </w:r>
    </w:p>
    <w:p w14:paraId="5ACF7E80" w14:textId="77777777" w:rsidR="00BE5CED" w:rsidRDefault="00BE5CED" w:rsidP="00BE5CED">
      <w:pPr>
        <w:numPr>
          <w:ilvl w:val="0"/>
          <w:numId w:val="5"/>
        </w:numPr>
        <w:rPr>
          <w:kern w:val="2"/>
        </w:rPr>
      </w:pPr>
      <w:r w:rsidRPr="00E02399">
        <w:rPr>
          <w:kern w:val="2"/>
        </w:rPr>
        <w:t xml:space="preserve">a </w:t>
      </w:r>
      <w:r w:rsidRPr="00E02399">
        <w:rPr>
          <w:b/>
          <w:kern w:val="2"/>
        </w:rPr>
        <w:t>Compliance Score</w:t>
      </w:r>
      <w:r>
        <w:rPr>
          <w:kern w:val="2"/>
        </w:rPr>
        <w:t xml:space="preserve"> and a </w:t>
      </w:r>
      <w:r w:rsidRPr="00E02399">
        <w:rPr>
          <w:b/>
          <w:kern w:val="2"/>
        </w:rPr>
        <w:t>Results Score</w:t>
      </w:r>
      <w:r>
        <w:rPr>
          <w:kern w:val="2"/>
        </w:rPr>
        <w:t>;</w:t>
      </w:r>
    </w:p>
    <w:p w14:paraId="5ACF7E81" w14:textId="77777777" w:rsidR="00BE5CED" w:rsidRDefault="00BE5CED" w:rsidP="00BE5CED">
      <w:pPr>
        <w:numPr>
          <w:ilvl w:val="0"/>
          <w:numId w:val="5"/>
        </w:numPr>
        <w:rPr>
          <w:kern w:val="2"/>
        </w:rPr>
      </w:pPr>
      <w:r>
        <w:rPr>
          <w:kern w:val="2"/>
        </w:rPr>
        <w:t xml:space="preserve">an </w:t>
      </w:r>
      <w:r>
        <w:rPr>
          <w:b/>
          <w:kern w:val="2"/>
        </w:rPr>
        <w:t xml:space="preserve">RDA Percentage </w:t>
      </w:r>
      <w:r>
        <w:rPr>
          <w:kern w:val="2"/>
        </w:rPr>
        <w:t>based on the Compliance Score and the Results Score; and</w:t>
      </w:r>
    </w:p>
    <w:p w14:paraId="5ACF7E82" w14:textId="77777777" w:rsidR="00BE5CED" w:rsidRDefault="00BE5CED" w:rsidP="00BE5CED">
      <w:pPr>
        <w:numPr>
          <w:ilvl w:val="0"/>
          <w:numId w:val="5"/>
        </w:numPr>
        <w:rPr>
          <w:kern w:val="2"/>
        </w:rPr>
      </w:pPr>
      <w:r w:rsidRPr="00C07CF8">
        <w:rPr>
          <w:kern w:val="2"/>
        </w:rPr>
        <w:t xml:space="preserve">the State’s </w:t>
      </w:r>
      <w:r w:rsidRPr="00C07CF8">
        <w:rPr>
          <w:b/>
          <w:kern w:val="2"/>
        </w:rPr>
        <w:t>Determination</w:t>
      </w:r>
      <w:r w:rsidRPr="00C07CF8">
        <w:rPr>
          <w:kern w:val="2"/>
        </w:rPr>
        <w:t xml:space="preserve">. </w:t>
      </w:r>
    </w:p>
    <w:p w14:paraId="5ACF7E83" w14:textId="77777777" w:rsidR="00BE5CED" w:rsidRDefault="00BE5CED" w:rsidP="00BE5CED">
      <w:pPr>
        <w:ind w:left="720"/>
        <w:rPr>
          <w:kern w:val="2"/>
        </w:rPr>
      </w:pPr>
    </w:p>
    <w:p w14:paraId="5ACF7E84" w14:textId="77777777" w:rsidR="00BE5CED" w:rsidRPr="00C07CF8" w:rsidRDefault="00BE5CED" w:rsidP="00BE5CED">
      <w:pPr>
        <w:rPr>
          <w:kern w:val="2"/>
        </w:rPr>
      </w:pPr>
      <w:r w:rsidRPr="00C07CF8">
        <w:rPr>
          <w:kern w:val="2"/>
        </w:rPr>
        <w:t>The scoring of each of the above evaluation criteria is further explained below in the following sections:</w:t>
      </w:r>
    </w:p>
    <w:p w14:paraId="5ACF7E85" w14:textId="38C49E92" w:rsidR="00BE5CED" w:rsidRPr="00C07CF8" w:rsidRDefault="00BE5CED" w:rsidP="00BE5CED">
      <w:pPr>
        <w:ind w:left="720" w:hanging="360"/>
        <w:rPr>
          <w:kern w:val="2"/>
        </w:rPr>
      </w:pPr>
      <w:r w:rsidRPr="00C07CF8">
        <w:rPr>
          <w:kern w:val="2"/>
        </w:rPr>
        <w:t>A.</w:t>
      </w:r>
      <w:r>
        <w:rPr>
          <w:kern w:val="2"/>
        </w:rPr>
        <w:t xml:space="preserve">  </w:t>
      </w:r>
      <w:r w:rsidRPr="00C07CF8">
        <w:rPr>
          <w:kern w:val="2"/>
        </w:rPr>
        <w:t>201</w:t>
      </w:r>
      <w:r w:rsidR="00157BE9">
        <w:rPr>
          <w:kern w:val="2"/>
        </w:rPr>
        <w:t>9</w:t>
      </w:r>
      <w:r w:rsidRPr="00C07CF8">
        <w:rPr>
          <w:kern w:val="2"/>
        </w:rPr>
        <w:t xml:space="preserve"> Part </w:t>
      </w:r>
      <w:r>
        <w:rPr>
          <w:kern w:val="2"/>
        </w:rPr>
        <w:t>B</w:t>
      </w:r>
      <w:r w:rsidRPr="00C07CF8">
        <w:rPr>
          <w:kern w:val="2"/>
        </w:rPr>
        <w:t xml:space="preserve"> </w:t>
      </w:r>
      <w:r>
        <w:rPr>
          <w:kern w:val="2"/>
        </w:rPr>
        <w:t xml:space="preserve">Compliance </w:t>
      </w:r>
      <w:r w:rsidRPr="00C07CF8">
        <w:rPr>
          <w:kern w:val="2"/>
        </w:rPr>
        <w:t>Matrix and Scor</w:t>
      </w:r>
      <w:r>
        <w:rPr>
          <w:kern w:val="2"/>
        </w:rPr>
        <w:t>ing of the Compliance Matrix</w:t>
      </w:r>
    </w:p>
    <w:p w14:paraId="5ACF7E86" w14:textId="6A0429B8" w:rsidR="00BE5CED" w:rsidRPr="00C07CF8" w:rsidRDefault="00BE5CED" w:rsidP="00BE5CED">
      <w:pPr>
        <w:ind w:left="720" w:hanging="360"/>
        <w:rPr>
          <w:kern w:val="2"/>
        </w:rPr>
      </w:pPr>
      <w:r w:rsidRPr="00C07CF8">
        <w:rPr>
          <w:kern w:val="2"/>
        </w:rPr>
        <w:t>B.  201</w:t>
      </w:r>
      <w:r w:rsidR="00157BE9">
        <w:rPr>
          <w:kern w:val="2"/>
        </w:rPr>
        <w:t>9</w:t>
      </w:r>
      <w:r w:rsidRPr="00C07CF8">
        <w:rPr>
          <w:kern w:val="2"/>
        </w:rPr>
        <w:t xml:space="preserve"> Part </w:t>
      </w:r>
      <w:r>
        <w:rPr>
          <w:kern w:val="2"/>
        </w:rPr>
        <w:t>B</w:t>
      </w:r>
      <w:r w:rsidRPr="00C07CF8">
        <w:rPr>
          <w:kern w:val="2"/>
        </w:rPr>
        <w:t xml:space="preserve"> </w:t>
      </w:r>
      <w:r>
        <w:rPr>
          <w:kern w:val="2"/>
        </w:rPr>
        <w:t xml:space="preserve">Results </w:t>
      </w:r>
      <w:r w:rsidRPr="00C07CF8">
        <w:rPr>
          <w:kern w:val="2"/>
        </w:rPr>
        <w:t xml:space="preserve">Matrix and </w:t>
      </w:r>
      <w:r>
        <w:rPr>
          <w:kern w:val="2"/>
        </w:rPr>
        <w:t>Scoring of the Results Matrix</w:t>
      </w:r>
    </w:p>
    <w:p w14:paraId="5ACF7E87" w14:textId="60AC49A1" w:rsidR="00BE5CED" w:rsidRPr="00E02399" w:rsidRDefault="00BE5CED" w:rsidP="00BE5CED">
      <w:pPr>
        <w:ind w:left="720" w:hanging="360"/>
        <w:rPr>
          <w:kern w:val="2"/>
        </w:rPr>
      </w:pPr>
      <w:r w:rsidRPr="00C07CF8">
        <w:rPr>
          <w:kern w:val="2"/>
        </w:rPr>
        <w:t>C.  201</w:t>
      </w:r>
      <w:r w:rsidR="00157BE9">
        <w:rPr>
          <w:kern w:val="2"/>
        </w:rPr>
        <w:t>9</w:t>
      </w:r>
      <w:r w:rsidRPr="00C07CF8">
        <w:rPr>
          <w:kern w:val="2"/>
        </w:rPr>
        <w:t xml:space="preserve"> RDA Percentage and 201</w:t>
      </w:r>
      <w:r w:rsidR="0092324A">
        <w:rPr>
          <w:kern w:val="2"/>
        </w:rPr>
        <w:t>9</w:t>
      </w:r>
      <w:r w:rsidRPr="00C07CF8">
        <w:rPr>
          <w:kern w:val="2"/>
        </w:rPr>
        <w:t xml:space="preserve"> Determination</w:t>
      </w:r>
    </w:p>
    <w:p w14:paraId="5ACF7E88" w14:textId="4C919FEC" w:rsidR="00BE5CED" w:rsidRPr="00C81A73" w:rsidRDefault="00BE5CED" w:rsidP="00BE5CED">
      <w:pPr>
        <w:pStyle w:val="Heading1"/>
      </w:pPr>
      <w:r>
        <w:t xml:space="preserve">A. </w:t>
      </w:r>
      <w:r w:rsidRPr="00C81A73">
        <w:t>201</w:t>
      </w:r>
      <w:r w:rsidR="00157BE9">
        <w:t>9</w:t>
      </w:r>
      <w:r w:rsidRPr="00C81A73">
        <w:t xml:space="preserve"> Part B Compliance Matrix </w:t>
      </w:r>
    </w:p>
    <w:p w14:paraId="5ACF7E89" w14:textId="09B0F2EF" w:rsidR="00BE5CED" w:rsidRPr="00C81A73" w:rsidRDefault="00BE5CED" w:rsidP="00BE5CED">
      <w:pPr>
        <w:rPr>
          <w:kern w:val="2"/>
        </w:rPr>
      </w:pPr>
      <w:r w:rsidRPr="00C81A73">
        <w:rPr>
          <w:kern w:val="2"/>
        </w:rPr>
        <w:t>In making each State’s 201</w:t>
      </w:r>
      <w:r w:rsidR="00157BE9">
        <w:rPr>
          <w:kern w:val="2"/>
        </w:rPr>
        <w:t>9</w:t>
      </w:r>
      <w:r w:rsidRPr="00C81A73">
        <w:rPr>
          <w:kern w:val="2"/>
        </w:rPr>
        <w:t xml:space="preserve"> determination, the Department used a Compliance Matrix, reflecting the following data:</w:t>
      </w:r>
    </w:p>
    <w:p w14:paraId="5ACF7E8A" w14:textId="7D66A071" w:rsidR="00BE5CED" w:rsidRPr="00C81A73" w:rsidRDefault="00BE5CED" w:rsidP="00BE5CED">
      <w:pPr>
        <w:numPr>
          <w:ilvl w:val="0"/>
          <w:numId w:val="1"/>
        </w:numPr>
        <w:rPr>
          <w:kern w:val="2"/>
        </w:rPr>
      </w:pPr>
      <w:r w:rsidRPr="00C81A73">
        <w:rPr>
          <w:kern w:val="2"/>
        </w:rPr>
        <w:t>The State’s FFY 201</w:t>
      </w:r>
      <w:r w:rsidR="00157BE9">
        <w:rPr>
          <w:kern w:val="2"/>
        </w:rPr>
        <w:t>7</w:t>
      </w:r>
      <w:r w:rsidRPr="00C81A73">
        <w:rPr>
          <w:kern w:val="2"/>
        </w:rPr>
        <w:t xml:space="preserve"> data for Part B Compliance Indicators 4B, 9, 10, 11, 12, and </w:t>
      </w:r>
      <w:r>
        <w:rPr>
          <w:kern w:val="2"/>
        </w:rPr>
        <w:t>13</w:t>
      </w:r>
      <w:r w:rsidRPr="00C81A73">
        <w:rPr>
          <w:kern w:val="2"/>
        </w:rPr>
        <w:t xml:space="preserve"> (including whether the State reported valid and reliable data for each indicator); and</w:t>
      </w:r>
      <w:r>
        <w:rPr>
          <w:kern w:val="2"/>
        </w:rPr>
        <w:t xml:space="preserve"> </w:t>
      </w:r>
      <w:r w:rsidRPr="00C81A73">
        <w:rPr>
          <w:kern w:val="2"/>
        </w:rPr>
        <w:t>whether the State demonstrated correction of all findings of noncompliance it had identified in FFY 201</w:t>
      </w:r>
      <w:r w:rsidR="00157BE9">
        <w:rPr>
          <w:kern w:val="2"/>
        </w:rPr>
        <w:t>6</w:t>
      </w:r>
      <w:r w:rsidRPr="00C81A73">
        <w:rPr>
          <w:kern w:val="2"/>
        </w:rPr>
        <w:t xml:space="preserve"> under such indicators; </w:t>
      </w:r>
    </w:p>
    <w:p w14:paraId="5ACF7E8B" w14:textId="77777777" w:rsidR="00BE5CED" w:rsidRPr="00C81A73" w:rsidRDefault="00BE5CED" w:rsidP="00BE5CED">
      <w:pPr>
        <w:numPr>
          <w:ilvl w:val="0"/>
          <w:numId w:val="1"/>
        </w:numPr>
        <w:rPr>
          <w:kern w:val="2"/>
        </w:rPr>
      </w:pPr>
      <w:r w:rsidRPr="00C81A73">
        <w:rPr>
          <w:kern w:val="2"/>
        </w:rPr>
        <w:t xml:space="preserve">The timeliness and accuracy of data reported by the State under sections 616 and 618 of the </w:t>
      </w:r>
      <w:r w:rsidRPr="00C81A73">
        <w:rPr>
          <w:i/>
          <w:kern w:val="2"/>
        </w:rPr>
        <w:t>IDEA</w:t>
      </w:r>
      <w:r w:rsidRPr="00C81A73">
        <w:rPr>
          <w:kern w:val="2"/>
        </w:rPr>
        <w:t xml:space="preserve">; </w:t>
      </w:r>
    </w:p>
    <w:p w14:paraId="5ACF7E8C" w14:textId="652603CA" w:rsidR="00BE5CED" w:rsidRPr="00C81A73" w:rsidRDefault="00BE5CED" w:rsidP="00BE5CED">
      <w:pPr>
        <w:numPr>
          <w:ilvl w:val="0"/>
          <w:numId w:val="1"/>
        </w:numPr>
        <w:rPr>
          <w:kern w:val="2"/>
        </w:rPr>
      </w:pPr>
      <w:r w:rsidRPr="00C81A73">
        <w:rPr>
          <w:kern w:val="2"/>
        </w:rPr>
        <w:t>The State’s FFY 201</w:t>
      </w:r>
      <w:r w:rsidR="00157BE9">
        <w:rPr>
          <w:kern w:val="2"/>
        </w:rPr>
        <w:t>7</w:t>
      </w:r>
      <w:r w:rsidRPr="00C81A73">
        <w:rPr>
          <w:kern w:val="2"/>
        </w:rPr>
        <w:t xml:space="preserve"> data, reported under section 618 of the </w:t>
      </w:r>
      <w:r w:rsidRPr="00C81A73">
        <w:rPr>
          <w:i/>
          <w:kern w:val="2"/>
        </w:rPr>
        <w:t>IDEA</w:t>
      </w:r>
      <w:r w:rsidRPr="00C81A73">
        <w:rPr>
          <w:kern w:val="2"/>
        </w:rPr>
        <w:t>, for the timeliness of State complaint and due process hearing decisions;</w:t>
      </w:r>
    </w:p>
    <w:p w14:paraId="5ACF7E8D" w14:textId="77777777" w:rsidR="00BE5CED" w:rsidRDefault="00BE5CED" w:rsidP="00BE5CED">
      <w:pPr>
        <w:numPr>
          <w:ilvl w:val="0"/>
          <w:numId w:val="1"/>
        </w:numPr>
        <w:rPr>
          <w:kern w:val="2"/>
        </w:rPr>
      </w:pPr>
      <w:r>
        <w:rPr>
          <w:kern w:val="2"/>
        </w:rPr>
        <w:t xml:space="preserve">Longstanding Noncompliance: </w:t>
      </w:r>
    </w:p>
    <w:p w14:paraId="5ACF7E8E" w14:textId="77777777" w:rsidR="00BE5CED" w:rsidRDefault="00BE5CED" w:rsidP="00BE5CED">
      <w:pPr>
        <w:ind w:left="720"/>
        <w:rPr>
          <w:kern w:val="2"/>
        </w:rPr>
      </w:pPr>
      <w:r>
        <w:rPr>
          <w:kern w:val="2"/>
        </w:rPr>
        <w:t>The Department considered:</w:t>
      </w:r>
    </w:p>
    <w:p w14:paraId="5ACF7E8F" w14:textId="6DD8D038" w:rsidR="00BE5CED" w:rsidRDefault="00BE5CED" w:rsidP="00BE5CED">
      <w:pPr>
        <w:numPr>
          <w:ilvl w:val="1"/>
          <w:numId w:val="1"/>
        </w:numPr>
        <w:rPr>
          <w:kern w:val="2"/>
        </w:rPr>
      </w:pPr>
      <w:r w:rsidRPr="00C81A73">
        <w:rPr>
          <w:kern w:val="2"/>
        </w:rPr>
        <w:t>Whether the Department imposed Speci</w:t>
      </w:r>
      <w:r w:rsidR="00BA10EA">
        <w:rPr>
          <w:kern w:val="2"/>
        </w:rPr>
        <w:t>fic</w:t>
      </w:r>
      <w:r w:rsidRPr="00C81A73">
        <w:rPr>
          <w:kern w:val="2"/>
        </w:rPr>
        <w:t xml:space="preserve"> Conditions on the State’s FFY 201</w:t>
      </w:r>
      <w:r w:rsidR="00157BE9">
        <w:rPr>
          <w:kern w:val="2"/>
        </w:rPr>
        <w:t>8</w:t>
      </w:r>
      <w:r w:rsidRPr="00C81A73">
        <w:rPr>
          <w:kern w:val="2"/>
        </w:rPr>
        <w:t xml:space="preserve"> </w:t>
      </w:r>
      <w:r w:rsidRPr="00C81A73">
        <w:rPr>
          <w:i/>
          <w:kern w:val="2"/>
        </w:rPr>
        <w:t>IDEA</w:t>
      </w:r>
      <w:r w:rsidRPr="00C81A73">
        <w:rPr>
          <w:kern w:val="2"/>
        </w:rPr>
        <w:t xml:space="preserve"> Part B grant award and those Speci</w:t>
      </w:r>
      <w:r w:rsidR="00BA10EA">
        <w:rPr>
          <w:kern w:val="2"/>
        </w:rPr>
        <w:t>fic</w:t>
      </w:r>
      <w:r w:rsidRPr="00C81A73">
        <w:rPr>
          <w:kern w:val="2"/>
        </w:rPr>
        <w:t xml:space="preserve"> Conditions are in effect at the time of the 201</w:t>
      </w:r>
      <w:r w:rsidR="00157BE9">
        <w:rPr>
          <w:kern w:val="2"/>
        </w:rPr>
        <w:t>9</w:t>
      </w:r>
      <w:r w:rsidRPr="00C81A73">
        <w:rPr>
          <w:kern w:val="2"/>
        </w:rPr>
        <w:t xml:space="preserve"> determination, and the number of years for which the State’s Part B grant award has been subject to Speci</w:t>
      </w:r>
      <w:r w:rsidR="00BA10EA">
        <w:rPr>
          <w:kern w:val="2"/>
        </w:rPr>
        <w:t>fic</w:t>
      </w:r>
      <w:r w:rsidR="00072891">
        <w:rPr>
          <w:kern w:val="2"/>
        </w:rPr>
        <w:t xml:space="preserve"> or Special</w:t>
      </w:r>
      <w:r w:rsidRPr="00C81A73">
        <w:rPr>
          <w:kern w:val="2"/>
        </w:rPr>
        <w:t xml:space="preserve"> Conditions; and</w:t>
      </w:r>
    </w:p>
    <w:p w14:paraId="5ACF7E90" w14:textId="39B2A42E" w:rsidR="00BE5CED" w:rsidRPr="0026564D" w:rsidRDefault="00BE5CED" w:rsidP="00BE5CED">
      <w:pPr>
        <w:numPr>
          <w:ilvl w:val="1"/>
          <w:numId w:val="1"/>
        </w:numPr>
        <w:rPr>
          <w:kern w:val="2"/>
        </w:rPr>
      </w:pPr>
      <w:r w:rsidRPr="0026564D">
        <w:rPr>
          <w:kern w:val="2"/>
        </w:rPr>
        <w:t>Whether there are any findings of noncompliance identified in FFY 201</w:t>
      </w:r>
      <w:r w:rsidR="00157BE9">
        <w:rPr>
          <w:kern w:val="2"/>
        </w:rPr>
        <w:t>5</w:t>
      </w:r>
      <w:r w:rsidRPr="0026564D">
        <w:rPr>
          <w:kern w:val="2"/>
        </w:rPr>
        <w:t xml:space="preserve"> or earlier by either the Department or the State that the State has not yet corrected. </w:t>
      </w:r>
    </w:p>
    <w:p w14:paraId="5ACF7E91" w14:textId="77777777" w:rsidR="00BE5CED" w:rsidRPr="00C81A73" w:rsidRDefault="00BE5CED" w:rsidP="00BE5CED">
      <w:pPr>
        <w:pStyle w:val="Heading2"/>
      </w:pPr>
      <w:r w:rsidRPr="00C81A73">
        <w:t>Scoring of the Compliance Matrix</w:t>
      </w:r>
    </w:p>
    <w:p w14:paraId="5ACF7E92" w14:textId="77777777" w:rsidR="00BE5CED" w:rsidRPr="00C81A73" w:rsidRDefault="00BE5CED" w:rsidP="00BE5CED">
      <w:pPr>
        <w:rPr>
          <w:kern w:val="2"/>
        </w:rPr>
      </w:pPr>
      <w:r w:rsidRPr="00C81A73">
        <w:rPr>
          <w:kern w:val="2"/>
        </w:rPr>
        <w:t xml:space="preserve">The Compliance Matrix indicates a score of 0, 1, or 2, for each of the compliance indicators in item one above and for each of the additional factors listed in items two through </w:t>
      </w:r>
      <w:r>
        <w:rPr>
          <w:kern w:val="2"/>
        </w:rPr>
        <w:t>four</w:t>
      </w:r>
      <w:r w:rsidRPr="00C81A73">
        <w:rPr>
          <w:kern w:val="2"/>
        </w:rPr>
        <w:t xml:space="preserve"> above. Using the cumulative possible number of points as the </w:t>
      </w:r>
      <w:proofErr w:type="gramStart"/>
      <w:r w:rsidRPr="00C81A73">
        <w:rPr>
          <w:kern w:val="2"/>
        </w:rPr>
        <w:t>denominator, and</w:t>
      </w:r>
      <w:proofErr w:type="gramEnd"/>
      <w:r w:rsidRPr="00C81A73">
        <w:rPr>
          <w:kern w:val="2"/>
        </w:rPr>
        <w:t xml:space="preserve"> using as the numerator the actual points the State received in its scoring under these factors, the Compliance Matrix reflects a Compliance Score, which is combined with the Results Score to calculate the State’s RDA Percentage and Determination. </w:t>
      </w:r>
    </w:p>
    <w:p w14:paraId="5ACF7E93" w14:textId="77777777" w:rsidR="00BE5CED" w:rsidRPr="00C81A73" w:rsidRDefault="00BE5CED" w:rsidP="00BE5CED">
      <w:pPr>
        <w:pStyle w:val="Heading2"/>
      </w:pPr>
      <w:r>
        <w:br w:type="page"/>
      </w:r>
      <w:r w:rsidRPr="00C81A73">
        <w:t>Scoring of the Matrix for Compliance Indicators 4B, 9, 10, 11, 12, and 13</w:t>
      </w:r>
    </w:p>
    <w:p w14:paraId="5ACF7E94" w14:textId="1551528E" w:rsidR="00BE5CED" w:rsidRPr="00C81A73" w:rsidRDefault="00BE5CED" w:rsidP="00BE5CED">
      <w:pPr>
        <w:rPr>
          <w:kern w:val="2"/>
        </w:rPr>
      </w:pPr>
      <w:r w:rsidRPr="00C81A73">
        <w:rPr>
          <w:kern w:val="2"/>
        </w:rPr>
        <w:t>In the attached State-specific 201</w:t>
      </w:r>
      <w:r w:rsidR="00157BE9">
        <w:rPr>
          <w:kern w:val="2"/>
        </w:rPr>
        <w:t>9</w:t>
      </w:r>
      <w:r w:rsidRPr="00C81A73">
        <w:rPr>
          <w:kern w:val="2"/>
        </w:rPr>
        <w:t xml:space="preserve"> Part B Compliance Matrix, a State received points as follows for each of Compliance Indicators 4B, 9, 10, 11, 12, and 13</w:t>
      </w:r>
      <w:r w:rsidRPr="00C81A73">
        <w:rPr>
          <w:rStyle w:val="FootnoteReference"/>
          <w:rFonts w:ascii="Times New Roman" w:hAnsi="Times New Roman"/>
          <w:color w:val="000000"/>
          <w:kern w:val="2"/>
          <w:sz w:val="24"/>
          <w:szCs w:val="24"/>
        </w:rPr>
        <w:footnoteReference w:id="2"/>
      </w:r>
      <w:r w:rsidRPr="00C81A73">
        <w:rPr>
          <w:kern w:val="2"/>
        </w:rPr>
        <w:t>:</w:t>
      </w:r>
    </w:p>
    <w:p w14:paraId="5ACF7E95" w14:textId="77777777" w:rsidR="00BE5CED" w:rsidRPr="00C81A73" w:rsidRDefault="00BE5CED" w:rsidP="00BE5CED">
      <w:pPr>
        <w:numPr>
          <w:ilvl w:val="0"/>
          <w:numId w:val="2"/>
        </w:numPr>
        <w:rPr>
          <w:kern w:val="2"/>
        </w:rPr>
      </w:pPr>
      <w:r w:rsidRPr="00C81A73">
        <w:rPr>
          <w:kern w:val="2"/>
        </w:rPr>
        <w:t>Two points, if either:</w:t>
      </w:r>
    </w:p>
    <w:p w14:paraId="5ACF7E96" w14:textId="6BD8BCE4" w:rsidR="00BE5CED" w:rsidRPr="00C81A73" w:rsidRDefault="00BE5CED" w:rsidP="00BE5CED">
      <w:pPr>
        <w:numPr>
          <w:ilvl w:val="1"/>
          <w:numId w:val="2"/>
        </w:numPr>
        <w:rPr>
          <w:kern w:val="2"/>
        </w:rPr>
      </w:pPr>
      <w:r w:rsidRPr="00C81A73">
        <w:rPr>
          <w:kern w:val="2"/>
        </w:rPr>
        <w:t>The State’s FFY 201</w:t>
      </w:r>
      <w:r w:rsidR="00157BE9">
        <w:rPr>
          <w:kern w:val="2"/>
        </w:rPr>
        <w:t>7</w:t>
      </w:r>
      <w:r w:rsidRPr="00C81A73">
        <w:rPr>
          <w:kern w:val="2"/>
        </w:rPr>
        <w:t xml:space="preserve"> data for the indicator were valid and reliable, and reflect at least 95%</w:t>
      </w:r>
      <w:r w:rsidRPr="00C81A73">
        <w:rPr>
          <w:rStyle w:val="FootnoteReference"/>
          <w:rFonts w:ascii="Times New Roman" w:hAnsi="Times New Roman"/>
          <w:color w:val="000000"/>
          <w:kern w:val="2"/>
          <w:sz w:val="24"/>
          <w:szCs w:val="24"/>
        </w:rPr>
        <w:footnoteReference w:id="3"/>
      </w:r>
      <w:r w:rsidRPr="00C81A73">
        <w:rPr>
          <w:kern w:val="2"/>
        </w:rPr>
        <w:t xml:space="preserve"> compliance (or, for Indicators 4B, 9, and 10, reflect no greater than 5% compliance)</w:t>
      </w:r>
      <w:r w:rsidRPr="00C81A73">
        <w:rPr>
          <w:rStyle w:val="FootnoteReference"/>
          <w:rFonts w:ascii="Times New Roman" w:hAnsi="Times New Roman"/>
          <w:color w:val="000000"/>
          <w:kern w:val="2"/>
          <w:sz w:val="24"/>
          <w:szCs w:val="24"/>
        </w:rPr>
        <w:footnoteReference w:id="4"/>
      </w:r>
      <w:r w:rsidRPr="00C81A73">
        <w:rPr>
          <w:kern w:val="2"/>
        </w:rPr>
        <w:t>; or</w:t>
      </w:r>
    </w:p>
    <w:p w14:paraId="5ACF7E97" w14:textId="29643761" w:rsidR="00BE5CED" w:rsidRPr="00C81A73" w:rsidRDefault="00BE5CED" w:rsidP="00BE5CED">
      <w:pPr>
        <w:numPr>
          <w:ilvl w:val="1"/>
          <w:numId w:val="2"/>
        </w:numPr>
        <w:rPr>
          <w:kern w:val="2"/>
        </w:rPr>
      </w:pPr>
      <w:r w:rsidRPr="00C81A73">
        <w:rPr>
          <w:kern w:val="2"/>
        </w:rPr>
        <w:t>The State’s FFY 201</w:t>
      </w:r>
      <w:r w:rsidR="00157BE9">
        <w:rPr>
          <w:kern w:val="2"/>
        </w:rPr>
        <w:t>7</w:t>
      </w:r>
      <w:r w:rsidRPr="00C81A73">
        <w:rPr>
          <w:kern w:val="2"/>
        </w:rPr>
        <w:t xml:space="preserve"> data for the indicator were valid and reliable, and reflect at least 90% compliance (or, for Indicators 4B, 9, and 10, reflect no greater than 10% compliance); and the State identified one or more findings of noncompliance in FFY 201</w:t>
      </w:r>
      <w:r w:rsidR="00157BE9">
        <w:rPr>
          <w:kern w:val="2"/>
        </w:rPr>
        <w:t>6</w:t>
      </w:r>
      <w:r w:rsidRPr="00C81A73">
        <w:rPr>
          <w:kern w:val="2"/>
        </w:rPr>
        <w:t xml:space="preserve"> for the indicator, and has demonstrated correction of all findings of noncompliance identified in FFY 201</w:t>
      </w:r>
      <w:r w:rsidR="00157BE9">
        <w:rPr>
          <w:kern w:val="2"/>
        </w:rPr>
        <w:t>6</w:t>
      </w:r>
      <w:r w:rsidRPr="00C81A73">
        <w:rPr>
          <w:kern w:val="2"/>
        </w:rPr>
        <w:t xml:space="preserve"> for the indicator. Such full correction is indicated in the matrix with a “Yes” in the “Full Correction of Findings of Noncompliance Identified in FFY 201</w:t>
      </w:r>
      <w:r w:rsidR="00157BE9">
        <w:rPr>
          <w:kern w:val="2"/>
        </w:rPr>
        <w:t>6</w:t>
      </w:r>
      <w:r w:rsidRPr="00C81A73">
        <w:rPr>
          <w:kern w:val="2"/>
        </w:rPr>
        <w:t>” column.</w:t>
      </w:r>
      <w:r w:rsidRPr="00C81A73">
        <w:rPr>
          <w:rStyle w:val="FootnoteReference"/>
          <w:rFonts w:ascii="Times New Roman" w:hAnsi="Times New Roman"/>
          <w:color w:val="000000"/>
          <w:kern w:val="2"/>
          <w:sz w:val="24"/>
          <w:szCs w:val="24"/>
        </w:rPr>
        <w:footnoteReference w:id="5"/>
      </w:r>
      <w:r w:rsidRPr="00C81A73">
        <w:rPr>
          <w:kern w:val="2"/>
        </w:rPr>
        <w:t xml:space="preserve"> </w:t>
      </w:r>
    </w:p>
    <w:p w14:paraId="5ACF7E98" w14:textId="04AD41FC" w:rsidR="00BE5CED" w:rsidRPr="00C81A73" w:rsidRDefault="00BE5CED" w:rsidP="00BE5CED">
      <w:pPr>
        <w:numPr>
          <w:ilvl w:val="0"/>
          <w:numId w:val="2"/>
        </w:numPr>
        <w:rPr>
          <w:kern w:val="2"/>
        </w:rPr>
      </w:pPr>
      <w:r w:rsidRPr="00C81A73">
        <w:rPr>
          <w:kern w:val="2"/>
        </w:rPr>
        <w:t>One point, if the State’s FFY 201</w:t>
      </w:r>
      <w:r w:rsidR="003576F7">
        <w:rPr>
          <w:kern w:val="2"/>
        </w:rPr>
        <w:t>7</w:t>
      </w:r>
      <w:r w:rsidRPr="00C81A73">
        <w:rPr>
          <w:kern w:val="2"/>
        </w:rPr>
        <w:t xml:space="preserve"> data for the indicator were valid and reliable, and reflect at least 75% compliance (or, for Indicators 4B, 9, and 10, reflect no greater than 25% compliance), and the State did not meet either of the criteria above for two points. </w:t>
      </w:r>
    </w:p>
    <w:p w14:paraId="5ACF7E99" w14:textId="77777777" w:rsidR="00BE5CED" w:rsidRPr="00C81A73" w:rsidRDefault="00BE5CED" w:rsidP="00BE5CED">
      <w:pPr>
        <w:numPr>
          <w:ilvl w:val="0"/>
          <w:numId w:val="2"/>
        </w:numPr>
        <w:rPr>
          <w:kern w:val="2"/>
        </w:rPr>
      </w:pPr>
      <w:r w:rsidRPr="00C81A73">
        <w:rPr>
          <w:kern w:val="2"/>
        </w:rPr>
        <w:t>Zero points, under any of the following circumstances:</w:t>
      </w:r>
    </w:p>
    <w:p w14:paraId="5ACF7E9A" w14:textId="05C90770" w:rsidR="00BE5CED" w:rsidRPr="00C81A73" w:rsidRDefault="00BE5CED" w:rsidP="00BE5CED">
      <w:pPr>
        <w:numPr>
          <w:ilvl w:val="1"/>
          <w:numId w:val="2"/>
        </w:numPr>
        <w:rPr>
          <w:kern w:val="2"/>
        </w:rPr>
      </w:pPr>
      <w:r w:rsidRPr="00C81A73">
        <w:rPr>
          <w:kern w:val="2"/>
        </w:rPr>
        <w:t>The State’s FFY 201</w:t>
      </w:r>
      <w:r w:rsidR="003576F7">
        <w:rPr>
          <w:kern w:val="2"/>
        </w:rPr>
        <w:t>7</w:t>
      </w:r>
      <w:r w:rsidRPr="00C81A73">
        <w:rPr>
          <w:kern w:val="2"/>
        </w:rPr>
        <w:t xml:space="preserve"> data for the indicator reflect less than 75% compliance (or, for Indicators 4B, 9, and 10, reflect greater than 25% compliance); or</w:t>
      </w:r>
    </w:p>
    <w:p w14:paraId="5ACF7E9B" w14:textId="0C2F1195" w:rsidR="00BE5CED" w:rsidRPr="00C81A73" w:rsidRDefault="00BE5CED" w:rsidP="00BE5CED">
      <w:pPr>
        <w:numPr>
          <w:ilvl w:val="1"/>
          <w:numId w:val="2"/>
        </w:numPr>
        <w:rPr>
          <w:kern w:val="2"/>
        </w:rPr>
      </w:pPr>
      <w:r w:rsidRPr="00C81A73">
        <w:rPr>
          <w:kern w:val="2"/>
        </w:rPr>
        <w:t>The State’s FFY 201</w:t>
      </w:r>
      <w:r w:rsidR="003576F7">
        <w:rPr>
          <w:kern w:val="2"/>
        </w:rPr>
        <w:t>7</w:t>
      </w:r>
      <w:r w:rsidRPr="00C81A73">
        <w:rPr>
          <w:kern w:val="2"/>
        </w:rPr>
        <w:t xml:space="preserve"> data for the indicator were not valid and reliable;</w:t>
      </w:r>
      <w:r w:rsidRPr="00C81A73">
        <w:rPr>
          <w:rStyle w:val="FootnoteReference"/>
          <w:rFonts w:ascii="Times New Roman" w:hAnsi="Times New Roman"/>
          <w:color w:val="000000"/>
          <w:kern w:val="2"/>
          <w:sz w:val="24"/>
          <w:szCs w:val="24"/>
        </w:rPr>
        <w:footnoteReference w:id="6"/>
      </w:r>
      <w:r w:rsidRPr="00C81A73">
        <w:rPr>
          <w:kern w:val="2"/>
        </w:rPr>
        <w:t xml:space="preserve"> or</w:t>
      </w:r>
    </w:p>
    <w:p w14:paraId="5ACF7E9C" w14:textId="04C235F5" w:rsidR="00BE5CED" w:rsidRPr="00C81A73" w:rsidRDefault="00BE5CED" w:rsidP="00BE5CED">
      <w:pPr>
        <w:numPr>
          <w:ilvl w:val="1"/>
          <w:numId w:val="2"/>
        </w:numPr>
        <w:rPr>
          <w:kern w:val="2"/>
        </w:rPr>
      </w:pPr>
      <w:r w:rsidRPr="00C81A73">
        <w:rPr>
          <w:kern w:val="2"/>
        </w:rPr>
        <w:t>The State did not report FFY 201</w:t>
      </w:r>
      <w:r w:rsidR="003576F7">
        <w:rPr>
          <w:kern w:val="2"/>
        </w:rPr>
        <w:t>7</w:t>
      </w:r>
      <w:r w:rsidRPr="00C81A73">
        <w:rPr>
          <w:kern w:val="2"/>
        </w:rPr>
        <w:t xml:space="preserve"> data for the indicator.</w:t>
      </w:r>
      <w:r w:rsidRPr="00C81A73">
        <w:rPr>
          <w:rStyle w:val="FootnoteReference"/>
          <w:rFonts w:ascii="Times New Roman" w:hAnsi="Times New Roman"/>
          <w:color w:val="000000"/>
          <w:kern w:val="2"/>
          <w:sz w:val="24"/>
          <w:szCs w:val="24"/>
        </w:rPr>
        <w:footnoteReference w:id="7"/>
      </w:r>
    </w:p>
    <w:p w14:paraId="5ACF7E9D" w14:textId="77777777" w:rsidR="00BE5CED" w:rsidRPr="00C65DB7" w:rsidRDefault="00BE5CED" w:rsidP="00BE5CED">
      <w:pPr>
        <w:pStyle w:val="Heading2"/>
      </w:pPr>
      <w:r w:rsidRPr="00C65DB7">
        <w:t>Scoring of the Matrix for Timely and Accurate State-Reported Data</w:t>
      </w:r>
    </w:p>
    <w:p w14:paraId="5ACF7E9E" w14:textId="299CADA7" w:rsidR="00BE5CED" w:rsidRPr="003F587C" w:rsidRDefault="00BE5CED" w:rsidP="00BE5CED">
      <w:pPr>
        <w:rPr>
          <w:kern w:val="2"/>
        </w:rPr>
      </w:pPr>
      <w:r w:rsidRPr="00C81A73">
        <w:rPr>
          <w:kern w:val="2"/>
        </w:rPr>
        <w:t>In the attached State-specific 201</w:t>
      </w:r>
      <w:r w:rsidR="00AF3529">
        <w:rPr>
          <w:kern w:val="2"/>
        </w:rPr>
        <w:t>9</w:t>
      </w:r>
      <w:r w:rsidRPr="00C81A73">
        <w:rPr>
          <w:kern w:val="2"/>
        </w:rPr>
        <w:t xml:space="preserve"> Part B Compliance Matrix, a State received points as follows for </w:t>
      </w:r>
      <w:r w:rsidRPr="003F587C">
        <w:rPr>
          <w:kern w:val="2"/>
        </w:rPr>
        <w:t>Timely and Accurate State-Reported Data</w:t>
      </w:r>
      <w:r w:rsidRPr="003F587C">
        <w:rPr>
          <w:rStyle w:val="FootnoteReference"/>
          <w:rFonts w:ascii="Times New Roman" w:hAnsi="Times New Roman"/>
          <w:color w:val="000000"/>
          <w:kern w:val="2"/>
          <w:sz w:val="24"/>
          <w:szCs w:val="24"/>
        </w:rPr>
        <w:footnoteReference w:id="8"/>
      </w:r>
      <w:r w:rsidRPr="003F587C">
        <w:rPr>
          <w:kern w:val="2"/>
        </w:rPr>
        <w:t xml:space="preserve">: </w:t>
      </w:r>
    </w:p>
    <w:p w14:paraId="5ACF7E9F" w14:textId="77777777" w:rsidR="00BE5CED" w:rsidRPr="00C81A73" w:rsidRDefault="00BE5CED" w:rsidP="00BE5CED">
      <w:pPr>
        <w:numPr>
          <w:ilvl w:val="0"/>
          <w:numId w:val="2"/>
        </w:numPr>
        <w:rPr>
          <w:kern w:val="2"/>
        </w:rPr>
      </w:pPr>
      <w:r w:rsidRPr="00C81A73">
        <w:rPr>
          <w:kern w:val="2"/>
        </w:rPr>
        <w:t xml:space="preserve">Two points, if the OSEP-calculated percentage reflects at least 95% compliance. </w:t>
      </w:r>
    </w:p>
    <w:p w14:paraId="5ACF7EA0" w14:textId="77777777" w:rsidR="00BE5CED" w:rsidRPr="00C81A73" w:rsidRDefault="00BE5CED" w:rsidP="00BE5CED">
      <w:pPr>
        <w:numPr>
          <w:ilvl w:val="0"/>
          <w:numId w:val="2"/>
        </w:numPr>
        <w:rPr>
          <w:kern w:val="2"/>
        </w:rPr>
      </w:pPr>
      <w:r w:rsidRPr="00C81A73">
        <w:rPr>
          <w:kern w:val="2"/>
        </w:rPr>
        <w:t>One point, if the OSEP-calculated percentage reflects at least 75% and less than 95% compliance.</w:t>
      </w:r>
    </w:p>
    <w:p w14:paraId="5ACF7EA1" w14:textId="77777777" w:rsidR="00BE5CED" w:rsidRPr="00C81A73" w:rsidRDefault="00BE5CED" w:rsidP="00BE5CED">
      <w:pPr>
        <w:numPr>
          <w:ilvl w:val="0"/>
          <w:numId w:val="2"/>
        </w:numPr>
        <w:rPr>
          <w:kern w:val="2"/>
        </w:rPr>
      </w:pPr>
      <w:r w:rsidRPr="00C81A73">
        <w:rPr>
          <w:kern w:val="2"/>
        </w:rPr>
        <w:t>Zero points, if the OSEP-calculated percentage reflects less than 75% compliance.</w:t>
      </w:r>
    </w:p>
    <w:p w14:paraId="5ACF7EA2" w14:textId="77777777" w:rsidR="00BE5CED" w:rsidRPr="00C81A73" w:rsidRDefault="00BE5CED" w:rsidP="00BE5CED">
      <w:pPr>
        <w:pStyle w:val="Heading2"/>
      </w:pPr>
      <w:r w:rsidRPr="00C81A73">
        <w:t xml:space="preserve">Scoring of the Matrix for Timely State Complaint Decisions and </w:t>
      </w:r>
      <w:r w:rsidRPr="00C81A73">
        <w:br/>
        <w:t>Timely Due Process Hearing Decisions</w:t>
      </w:r>
    </w:p>
    <w:p w14:paraId="5ACF7EA3" w14:textId="7ABEBB9A" w:rsidR="00BE5CED" w:rsidRPr="00C81A73" w:rsidRDefault="00BE5CED" w:rsidP="00BE5CED">
      <w:pPr>
        <w:rPr>
          <w:kern w:val="2"/>
        </w:rPr>
      </w:pPr>
      <w:r w:rsidRPr="00C81A73">
        <w:rPr>
          <w:kern w:val="2"/>
        </w:rPr>
        <w:t>In the attached State-specific 201</w:t>
      </w:r>
      <w:r w:rsidR="00AF3529">
        <w:rPr>
          <w:kern w:val="2"/>
        </w:rPr>
        <w:t>9</w:t>
      </w:r>
      <w:r w:rsidRPr="00C81A73">
        <w:rPr>
          <w:kern w:val="2"/>
        </w:rPr>
        <w:t xml:space="preserve"> Part B Compliance Matrix, a State received points as follows for timely State complaint decisions and for timely due process </w:t>
      </w:r>
      <w:r w:rsidRPr="00AE0BC7">
        <w:rPr>
          <w:kern w:val="2"/>
        </w:rPr>
        <w:t>hearing</w:t>
      </w:r>
      <w:r w:rsidR="007816A3" w:rsidRPr="00AE0BC7">
        <w:rPr>
          <w:kern w:val="2"/>
        </w:rPr>
        <w:t xml:space="preserve"> decision</w:t>
      </w:r>
      <w:r w:rsidRPr="00AE0BC7">
        <w:rPr>
          <w:kern w:val="2"/>
        </w:rPr>
        <w:t>s,</w:t>
      </w:r>
      <w:r w:rsidRPr="00C81A73">
        <w:rPr>
          <w:kern w:val="2"/>
        </w:rPr>
        <w:t xml:space="preserve"> as reported by the State under section 618 of the </w:t>
      </w:r>
      <w:r w:rsidRPr="00C81A73">
        <w:rPr>
          <w:i/>
          <w:kern w:val="2"/>
        </w:rPr>
        <w:t>IDEA</w:t>
      </w:r>
      <w:r w:rsidRPr="00C81A73">
        <w:rPr>
          <w:kern w:val="2"/>
        </w:rPr>
        <w:t xml:space="preserve">: </w:t>
      </w:r>
    </w:p>
    <w:p w14:paraId="5ACF7EA4" w14:textId="022FFE48" w:rsidR="00BE5CED" w:rsidRPr="00C81A73" w:rsidRDefault="00BE5CED" w:rsidP="00BE5CED">
      <w:pPr>
        <w:numPr>
          <w:ilvl w:val="0"/>
          <w:numId w:val="2"/>
        </w:numPr>
        <w:ind w:right="-360"/>
        <w:rPr>
          <w:kern w:val="2"/>
        </w:rPr>
      </w:pPr>
      <w:r w:rsidRPr="00C81A73">
        <w:rPr>
          <w:kern w:val="2"/>
        </w:rPr>
        <w:t>Two points, if the State’s FFY 201</w:t>
      </w:r>
      <w:r w:rsidR="00AF3529">
        <w:rPr>
          <w:kern w:val="2"/>
        </w:rPr>
        <w:t>7</w:t>
      </w:r>
      <w:r w:rsidRPr="00C81A73">
        <w:rPr>
          <w:kern w:val="2"/>
        </w:rPr>
        <w:t xml:space="preserve"> data were valid and </w:t>
      </w:r>
      <w:proofErr w:type="gramStart"/>
      <w:r w:rsidRPr="00C81A73">
        <w:rPr>
          <w:kern w:val="2"/>
        </w:rPr>
        <w:t>reliable, and</w:t>
      </w:r>
      <w:proofErr w:type="gramEnd"/>
      <w:r w:rsidRPr="00C81A73">
        <w:rPr>
          <w:kern w:val="2"/>
        </w:rPr>
        <w:t xml:space="preserve"> reflect at least 95% compliance. </w:t>
      </w:r>
    </w:p>
    <w:p w14:paraId="5ACF7EA5" w14:textId="063AC309" w:rsidR="00BE5CED" w:rsidRPr="00C81A73" w:rsidRDefault="00BE5CED" w:rsidP="00BE5CED">
      <w:pPr>
        <w:numPr>
          <w:ilvl w:val="0"/>
          <w:numId w:val="2"/>
        </w:numPr>
        <w:rPr>
          <w:kern w:val="2"/>
        </w:rPr>
      </w:pPr>
      <w:r w:rsidRPr="00C81A73">
        <w:rPr>
          <w:kern w:val="2"/>
        </w:rPr>
        <w:t>One point, if the State’s FFY 201</w:t>
      </w:r>
      <w:r w:rsidR="00AF3529">
        <w:rPr>
          <w:kern w:val="2"/>
        </w:rPr>
        <w:t>7</w:t>
      </w:r>
      <w:r w:rsidRPr="00C81A73">
        <w:rPr>
          <w:kern w:val="2"/>
        </w:rPr>
        <w:t xml:space="preserve"> data reflect at least 75% and less than 95% compliance.</w:t>
      </w:r>
    </w:p>
    <w:p w14:paraId="5ACF7EA6" w14:textId="1758F090" w:rsidR="00BE5CED" w:rsidRPr="00C81A73" w:rsidRDefault="00BE5CED" w:rsidP="00BE5CED">
      <w:pPr>
        <w:numPr>
          <w:ilvl w:val="0"/>
          <w:numId w:val="2"/>
        </w:numPr>
        <w:rPr>
          <w:b/>
          <w:kern w:val="2"/>
          <w:u w:val="single"/>
        </w:rPr>
      </w:pPr>
      <w:r w:rsidRPr="00C81A73">
        <w:rPr>
          <w:kern w:val="2"/>
        </w:rPr>
        <w:t>Zero points, if the State’s FFY 201</w:t>
      </w:r>
      <w:r w:rsidR="00AF3529">
        <w:rPr>
          <w:kern w:val="2"/>
        </w:rPr>
        <w:t>7</w:t>
      </w:r>
      <w:r w:rsidRPr="00C81A73">
        <w:rPr>
          <w:kern w:val="2"/>
        </w:rPr>
        <w:t xml:space="preserve"> data reflect less than 75% compliance.</w:t>
      </w:r>
    </w:p>
    <w:p w14:paraId="5ACF7EA7" w14:textId="77777777" w:rsidR="00BE5CED" w:rsidRPr="00C81A73" w:rsidRDefault="00BE5CED" w:rsidP="00BE5CED">
      <w:pPr>
        <w:numPr>
          <w:ilvl w:val="0"/>
          <w:numId w:val="2"/>
        </w:numPr>
        <w:rPr>
          <w:kern w:val="2"/>
          <w:u w:val="single"/>
        </w:rPr>
      </w:pPr>
      <w:r w:rsidRPr="00C81A73">
        <w:rPr>
          <w:kern w:val="2"/>
        </w:rPr>
        <w:t xml:space="preserve">Not Applicable (N/A), if the State’s data reflect less than 100% compliance, </w:t>
      </w:r>
      <w:r w:rsidRPr="00C81A73">
        <w:rPr>
          <w:kern w:val="2"/>
          <w:u w:val="single"/>
        </w:rPr>
        <w:t>and</w:t>
      </w:r>
      <w:r w:rsidRPr="00C81A73">
        <w:rPr>
          <w:kern w:val="2"/>
        </w:rPr>
        <w:t xml:space="preserve"> there were fewer than ten State complaint decisions or ten due process hearing decisions. </w:t>
      </w:r>
    </w:p>
    <w:p w14:paraId="5ACF7EA8" w14:textId="4A1188F0" w:rsidR="00BE5CED" w:rsidRPr="00C81A73" w:rsidRDefault="007964D7" w:rsidP="00BE5CED">
      <w:pPr>
        <w:pStyle w:val="Heading2"/>
      </w:pPr>
      <w:r>
        <w:t>Scoring of the Matrix for Longs</w:t>
      </w:r>
      <w:r w:rsidR="00BE5CED" w:rsidRPr="00C81A73">
        <w:t xml:space="preserve">tanding Noncompliance </w:t>
      </w:r>
      <w:r w:rsidR="00BE5CED" w:rsidRPr="00C81A73">
        <w:br/>
        <w:t>(Includes Both Uncorrected Identified Noncompliance and Speci</w:t>
      </w:r>
      <w:r w:rsidR="00B52F5F">
        <w:t>fic</w:t>
      </w:r>
      <w:r w:rsidR="00BE5CED" w:rsidRPr="00C81A73">
        <w:t xml:space="preserve"> Conditions)</w:t>
      </w:r>
    </w:p>
    <w:p w14:paraId="5ACF7EA9" w14:textId="3F17EC9C" w:rsidR="00BE5CED" w:rsidRPr="00C81A73" w:rsidRDefault="00BE5CED" w:rsidP="00BE5CED">
      <w:pPr>
        <w:rPr>
          <w:kern w:val="2"/>
        </w:rPr>
      </w:pPr>
      <w:r w:rsidRPr="00C81A73">
        <w:rPr>
          <w:kern w:val="2"/>
        </w:rPr>
        <w:t>In the attached State-specific 201</w:t>
      </w:r>
      <w:r w:rsidR="00AF3529">
        <w:rPr>
          <w:kern w:val="2"/>
        </w:rPr>
        <w:t>9</w:t>
      </w:r>
      <w:r w:rsidRPr="00C81A73">
        <w:rPr>
          <w:kern w:val="2"/>
        </w:rPr>
        <w:t xml:space="preserve"> Part B Compliance Matrix, a State received </w:t>
      </w:r>
      <w:r w:rsidR="007964D7">
        <w:rPr>
          <w:kern w:val="2"/>
        </w:rPr>
        <w:t>points as follows for the Longs</w:t>
      </w:r>
      <w:r w:rsidRPr="00C81A73">
        <w:rPr>
          <w:kern w:val="2"/>
        </w:rPr>
        <w:t xml:space="preserve">tanding Noncompliance component: </w:t>
      </w:r>
    </w:p>
    <w:p w14:paraId="5ACF7EAA" w14:textId="77777777" w:rsidR="00BE5CED" w:rsidRPr="00C81A73" w:rsidRDefault="00BE5CED" w:rsidP="00BE5CED">
      <w:pPr>
        <w:pStyle w:val="ListParagraph"/>
        <w:rPr>
          <w:kern w:val="2"/>
        </w:rPr>
      </w:pPr>
      <w:r w:rsidRPr="00C81A73">
        <w:rPr>
          <w:kern w:val="2"/>
        </w:rPr>
        <w:t>Two points, if the State has:</w:t>
      </w:r>
    </w:p>
    <w:p w14:paraId="5ACF7EAB" w14:textId="13DCF983" w:rsidR="00BE5CED" w:rsidRPr="00C81A73" w:rsidRDefault="00BE5CED" w:rsidP="00BE5CED">
      <w:pPr>
        <w:numPr>
          <w:ilvl w:val="0"/>
          <w:numId w:val="3"/>
        </w:numPr>
        <w:ind w:left="1440"/>
        <w:rPr>
          <w:kern w:val="2"/>
        </w:rPr>
      </w:pPr>
      <w:r w:rsidRPr="00C81A73">
        <w:rPr>
          <w:kern w:val="2"/>
        </w:rPr>
        <w:t xml:space="preserve">No remaining findings of noncompliance identified, by OSEP or the State, in FFY </w:t>
      </w:r>
      <w:r w:rsidRPr="00AE0BC7">
        <w:rPr>
          <w:kern w:val="2"/>
        </w:rPr>
        <w:t>201</w:t>
      </w:r>
      <w:r w:rsidR="00AF3529">
        <w:rPr>
          <w:kern w:val="2"/>
        </w:rPr>
        <w:t>5</w:t>
      </w:r>
      <w:r w:rsidRPr="00C81A73">
        <w:rPr>
          <w:kern w:val="2"/>
        </w:rPr>
        <w:t xml:space="preserve"> or earlier; and </w:t>
      </w:r>
    </w:p>
    <w:p w14:paraId="5ACF7EAC" w14:textId="2FF9EC45" w:rsidR="00BE5CED" w:rsidRPr="00C81A73" w:rsidRDefault="00BE5CED" w:rsidP="00BE5CED">
      <w:pPr>
        <w:numPr>
          <w:ilvl w:val="0"/>
          <w:numId w:val="3"/>
        </w:numPr>
        <w:ind w:left="1440"/>
        <w:rPr>
          <w:kern w:val="2"/>
        </w:rPr>
      </w:pPr>
      <w:r w:rsidRPr="00C81A73">
        <w:rPr>
          <w:kern w:val="2"/>
        </w:rPr>
        <w:t>No Speci</w:t>
      </w:r>
      <w:r w:rsidR="0092324A">
        <w:rPr>
          <w:kern w:val="2"/>
        </w:rPr>
        <w:t>fic</w:t>
      </w:r>
      <w:r w:rsidRPr="00C81A73">
        <w:rPr>
          <w:kern w:val="2"/>
        </w:rPr>
        <w:t xml:space="preserve"> Conditions on its FFY 201</w:t>
      </w:r>
      <w:r w:rsidR="00AF3529">
        <w:rPr>
          <w:kern w:val="2"/>
        </w:rPr>
        <w:t>8</w:t>
      </w:r>
      <w:r w:rsidRPr="00C81A73">
        <w:rPr>
          <w:kern w:val="2"/>
        </w:rPr>
        <w:t xml:space="preserve"> grant award that are in effect at the time of the 201</w:t>
      </w:r>
      <w:r w:rsidR="00AF3529">
        <w:rPr>
          <w:kern w:val="2"/>
        </w:rPr>
        <w:t>9</w:t>
      </w:r>
      <w:r w:rsidRPr="00C81A73">
        <w:rPr>
          <w:kern w:val="2"/>
        </w:rPr>
        <w:t xml:space="preserve"> determination.</w:t>
      </w:r>
    </w:p>
    <w:p w14:paraId="5ACF7EAD" w14:textId="77777777" w:rsidR="00BE5CED" w:rsidRPr="00C81A73" w:rsidRDefault="00BE5CED" w:rsidP="00BE5CED">
      <w:pPr>
        <w:pStyle w:val="ListParagraph"/>
        <w:rPr>
          <w:kern w:val="2"/>
        </w:rPr>
      </w:pPr>
      <w:r>
        <w:rPr>
          <w:kern w:val="2"/>
        </w:rPr>
        <w:br w:type="page"/>
      </w:r>
      <w:r w:rsidRPr="00C81A73">
        <w:rPr>
          <w:kern w:val="2"/>
        </w:rPr>
        <w:t>One point, if either or both of the following occurred:</w:t>
      </w:r>
    </w:p>
    <w:p w14:paraId="5ACF7EAE" w14:textId="2215D814" w:rsidR="00BE5CED" w:rsidRPr="00C81A73" w:rsidRDefault="00BE5CED" w:rsidP="00BE5CED">
      <w:pPr>
        <w:numPr>
          <w:ilvl w:val="0"/>
          <w:numId w:val="3"/>
        </w:numPr>
        <w:ind w:left="1440"/>
        <w:rPr>
          <w:kern w:val="2"/>
        </w:rPr>
      </w:pPr>
      <w:r w:rsidRPr="00C81A73">
        <w:rPr>
          <w:kern w:val="2"/>
        </w:rPr>
        <w:t xml:space="preserve">The State has remaining findings of noncompliance identified, by OSEP or </w:t>
      </w:r>
      <w:r w:rsidRPr="00C81A73">
        <w:rPr>
          <w:color w:val="000000"/>
          <w:kern w:val="2"/>
        </w:rPr>
        <w:t xml:space="preserve">the </w:t>
      </w:r>
      <w:r w:rsidRPr="00C81A73">
        <w:rPr>
          <w:kern w:val="2"/>
        </w:rPr>
        <w:t>State, in FFY 201</w:t>
      </w:r>
      <w:r w:rsidR="00AF3529">
        <w:rPr>
          <w:kern w:val="2"/>
        </w:rPr>
        <w:t>5</w:t>
      </w:r>
      <w:r w:rsidRPr="00C81A73">
        <w:rPr>
          <w:kern w:val="2"/>
        </w:rPr>
        <w:t>, FFY 201</w:t>
      </w:r>
      <w:r w:rsidR="00AF3529">
        <w:rPr>
          <w:kern w:val="2"/>
        </w:rPr>
        <w:t>4</w:t>
      </w:r>
      <w:r w:rsidRPr="00C81A73">
        <w:rPr>
          <w:kern w:val="2"/>
        </w:rPr>
        <w:t>, and/or FFY 201</w:t>
      </w:r>
      <w:r w:rsidR="00AF3529">
        <w:rPr>
          <w:kern w:val="2"/>
        </w:rPr>
        <w:t>3</w:t>
      </w:r>
      <w:r w:rsidRPr="00C81A73">
        <w:rPr>
          <w:kern w:val="2"/>
        </w:rPr>
        <w:t>, for which the State has not yet demonstrated correction (see the OSEP Response to the State’s FFY 201</w:t>
      </w:r>
      <w:r w:rsidR="00AF3529">
        <w:rPr>
          <w:kern w:val="2"/>
        </w:rPr>
        <w:t>7</w:t>
      </w:r>
      <w:r w:rsidRPr="00C81A73">
        <w:rPr>
          <w:kern w:val="2"/>
        </w:rPr>
        <w:t xml:space="preserve"> SPP/APR in GRADS360 for specific information regarding these remaining findings of noncompliance); and/or</w:t>
      </w:r>
    </w:p>
    <w:p w14:paraId="5ACF7EAF" w14:textId="1102B1FA" w:rsidR="00BE5CED" w:rsidRPr="00C81A73" w:rsidRDefault="00BE5CED" w:rsidP="00BE5CED">
      <w:pPr>
        <w:numPr>
          <w:ilvl w:val="0"/>
          <w:numId w:val="3"/>
        </w:numPr>
        <w:ind w:left="1440"/>
        <w:rPr>
          <w:kern w:val="2"/>
        </w:rPr>
      </w:pPr>
      <w:r w:rsidRPr="00C81A73">
        <w:rPr>
          <w:kern w:val="2"/>
        </w:rPr>
        <w:t>The Department has imposed Speci</w:t>
      </w:r>
      <w:r w:rsidR="0092324A">
        <w:rPr>
          <w:kern w:val="2"/>
        </w:rPr>
        <w:t>fic</w:t>
      </w:r>
      <w:r w:rsidRPr="00C81A73">
        <w:rPr>
          <w:kern w:val="2"/>
        </w:rPr>
        <w:t xml:space="preserve"> Conditions on the State’s FFY 201</w:t>
      </w:r>
      <w:r w:rsidR="00AF3529">
        <w:rPr>
          <w:kern w:val="2"/>
        </w:rPr>
        <w:t>8</w:t>
      </w:r>
      <w:r w:rsidRPr="00C81A73">
        <w:rPr>
          <w:kern w:val="2"/>
        </w:rPr>
        <w:t xml:space="preserve"> Part B grant </w:t>
      </w:r>
      <w:r w:rsidRPr="00C81A73">
        <w:rPr>
          <w:color w:val="000000"/>
          <w:kern w:val="2"/>
        </w:rPr>
        <w:t>award</w:t>
      </w:r>
      <w:r w:rsidRPr="00C81A73">
        <w:rPr>
          <w:kern w:val="2"/>
        </w:rPr>
        <w:t xml:space="preserve"> and those Speci</w:t>
      </w:r>
      <w:r w:rsidR="00B52F5F">
        <w:rPr>
          <w:kern w:val="2"/>
        </w:rPr>
        <w:t>fic</w:t>
      </w:r>
      <w:r w:rsidRPr="00C81A73">
        <w:rPr>
          <w:kern w:val="2"/>
        </w:rPr>
        <w:t xml:space="preserve"> Conditions are in effect at the time of the 201</w:t>
      </w:r>
      <w:r w:rsidR="00AF3529">
        <w:rPr>
          <w:kern w:val="2"/>
        </w:rPr>
        <w:t>9</w:t>
      </w:r>
      <w:r w:rsidRPr="00C81A73">
        <w:rPr>
          <w:kern w:val="2"/>
        </w:rPr>
        <w:t xml:space="preserve"> determination. </w:t>
      </w:r>
    </w:p>
    <w:p w14:paraId="5ACF7EB0" w14:textId="77777777" w:rsidR="00BE5CED" w:rsidRPr="00C81A73" w:rsidRDefault="00BE5CED" w:rsidP="00BE5CED">
      <w:pPr>
        <w:pStyle w:val="ListParagraph"/>
        <w:rPr>
          <w:kern w:val="2"/>
        </w:rPr>
      </w:pPr>
      <w:r w:rsidRPr="00C81A73">
        <w:rPr>
          <w:kern w:val="2"/>
        </w:rPr>
        <w:t>Zero points, if either or both of the following occurred:</w:t>
      </w:r>
    </w:p>
    <w:p w14:paraId="5ACF7EB1" w14:textId="58CCC873" w:rsidR="00BE5CED" w:rsidRPr="00C81A73" w:rsidRDefault="00BE5CED" w:rsidP="00BE5CED">
      <w:pPr>
        <w:numPr>
          <w:ilvl w:val="0"/>
          <w:numId w:val="3"/>
        </w:numPr>
        <w:ind w:left="1440"/>
        <w:rPr>
          <w:kern w:val="2"/>
        </w:rPr>
      </w:pPr>
      <w:r w:rsidRPr="00C81A73">
        <w:rPr>
          <w:kern w:val="2"/>
        </w:rPr>
        <w:t xml:space="preserve">The State </w:t>
      </w:r>
      <w:r w:rsidRPr="00C81A73">
        <w:rPr>
          <w:color w:val="000000"/>
          <w:kern w:val="2"/>
        </w:rPr>
        <w:t>has</w:t>
      </w:r>
      <w:r w:rsidRPr="00C81A73">
        <w:rPr>
          <w:kern w:val="2"/>
        </w:rPr>
        <w:t xml:space="preserve"> remaining findings of noncompliance identified, by OSEP or </w:t>
      </w:r>
      <w:r w:rsidRPr="00C81A73">
        <w:rPr>
          <w:color w:val="000000"/>
          <w:kern w:val="2"/>
        </w:rPr>
        <w:t xml:space="preserve">the </w:t>
      </w:r>
      <w:r w:rsidRPr="00C81A73">
        <w:rPr>
          <w:kern w:val="2"/>
        </w:rPr>
        <w:t>State, in FFY 20</w:t>
      </w:r>
      <w:r>
        <w:rPr>
          <w:kern w:val="2"/>
        </w:rPr>
        <w:t>1</w:t>
      </w:r>
      <w:r w:rsidR="00AF3529">
        <w:rPr>
          <w:kern w:val="2"/>
        </w:rPr>
        <w:t>2</w:t>
      </w:r>
      <w:r w:rsidRPr="00C81A73">
        <w:rPr>
          <w:kern w:val="2"/>
        </w:rPr>
        <w:t xml:space="preserve"> or earlier, for which the State has not yet demonstrated correction (see the OSEP Response to the State’s FFY 201</w:t>
      </w:r>
      <w:r w:rsidR="00AF3529">
        <w:rPr>
          <w:kern w:val="2"/>
        </w:rPr>
        <w:t>7</w:t>
      </w:r>
      <w:r w:rsidRPr="00C81A73">
        <w:rPr>
          <w:kern w:val="2"/>
        </w:rPr>
        <w:t xml:space="preserve"> SPP/APR in GRADS360 for specific information regarding these remaining findings of noncompliance); and/or</w:t>
      </w:r>
    </w:p>
    <w:p w14:paraId="5ACF7EB2" w14:textId="6E619E3D" w:rsidR="00BE5CED" w:rsidRPr="00C81A73" w:rsidRDefault="00BE5CED" w:rsidP="00BE5CED">
      <w:pPr>
        <w:numPr>
          <w:ilvl w:val="0"/>
          <w:numId w:val="3"/>
        </w:numPr>
        <w:ind w:left="1440"/>
        <w:rPr>
          <w:kern w:val="2"/>
        </w:rPr>
      </w:pPr>
      <w:r w:rsidRPr="00C81A73">
        <w:rPr>
          <w:kern w:val="2"/>
        </w:rPr>
        <w:t xml:space="preserve">The Department has imposed Special </w:t>
      </w:r>
      <w:r w:rsidR="00A651A9">
        <w:rPr>
          <w:kern w:val="2"/>
        </w:rPr>
        <w:t xml:space="preserve">or Specific </w:t>
      </w:r>
      <w:r w:rsidRPr="00C81A73">
        <w:rPr>
          <w:kern w:val="2"/>
        </w:rPr>
        <w:t>Conditions on the State’s last three (FFYs 201</w:t>
      </w:r>
      <w:r w:rsidR="00AF3529">
        <w:rPr>
          <w:kern w:val="2"/>
        </w:rPr>
        <w:t>6</w:t>
      </w:r>
      <w:r w:rsidRPr="00C81A73">
        <w:rPr>
          <w:kern w:val="2"/>
        </w:rPr>
        <w:t>, 201</w:t>
      </w:r>
      <w:r w:rsidR="00AF3529">
        <w:rPr>
          <w:kern w:val="2"/>
        </w:rPr>
        <w:t>7</w:t>
      </w:r>
      <w:r w:rsidRPr="00C81A73">
        <w:rPr>
          <w:kern w:val="2"/>
        </w:rPr>
        <w:t>, and 201</w:t>
      </w:r>
      <w:r w:rsidR="00AF3529">
        <w:rPr>
          <w:kern w:val="2"/>
        </w:rPr>
        <w:t>8</w:t>
      </w:r>
      <w:r w:rsidRPr="00C81A73">
        <w:rPr>
          <w:kern w:val="2"/>
        </w:rPr>
        <w:t xml:space="preserve">) </w:t>
      </w:r>
      <w:r w:rsidRPr="00C81A73">
        <w:rPr>
          <w:i/>
          <w:kern w:val="2"/>
        </w:rPr>
        <w:t>IDEA</w:t>
      </w:r>
      <w:r w:rsidRPr="00C81A73">
        <w:rPr>
          <w:kern w:val="2"/>
        </w:rPr>
        <w:t xml:space="preserve"> Part B grant awards, and those Speci</w:t>
      </w:r>
      <w:r w:rsidR="00B52F5F">
        <w:rPr>
          <w:kern w:val="2"/>
        </w:rPr>
        <w:t>fic</w:t>
      </w:r>
      <w:r w:rsidRPr="00C81A73">
        <w:rPr>
          <w:kern w:val="2"/>
        </w:rPr>
        <w:t xml:space="preserve"> Conditions are in effect at the time of the 201</w:t>
      </w:r>
      <w:r w:rsidR="00AF3529">
        <w:rPr>
          <w:kern w:val="2"/>
        </w:rPr>
        <w:t>9</w:t>
      </w:r>
      <w:r w:rsidRPr="00C81A73">
        <w:rPr>
          <w:kern w:val="2"/>
        </w:rPr>
        <w:t xml:space="preserve"> determination.</w:t>
      </w:r>
    </w:p>
    <w:p w14:paraId="5ACF7EB3" w14:textId="320076F5" w:rsidR="00BE5CED" w:rsidRPr="00C81A73" w:rsidRDefault="00BE5CED" w:rsidP="00BE5CED">
      <w:pPr>
        <w:pStyle w:val="Heading1"/>
      </w:pPr>
      <w:r>
        <w:t xml:space="preserve">B. </w:t>
      </w:r>
      <w:r w:rsidRPr="00C81A73">
        <w:t>201</w:t>
      </w:r>
      <w:r w:rsidR="00AF3529">
        <w:t>9</w:t>
      </w:r>
      <w:r w:rsidRPr="00C81A73">
        <w:t xml:space="preserve"> Part B Results Matrix </w:t>
      </w:r>
    </w:p>
    <w:p w14:paraId="5ACF7EB4" w14:textId="56E064F4" w:rsidR="00BE5CED" w:rsidRPr="00C81A73" w:rsidRDefault="00BE5CED" w:rsidP="00BE5CED">
      <w:pPr>
        <w:rPr>
          <w:kern w:val="2"/>
        </w:rPr>
      </w:pPr>
      <w:r w:rsidRPr="00C81A73">
        <w:rPr>
          <w:kern w:val="2"/>
        </w:rPr>
        <w:t>In making each State’s 201</w:t>
      </w:r>
      <w:r w:rsidR="00AF3529">
        <w:rPr>
          <w:kern w:val="2"/>
        </w:rPr>
        <w:t>9</w:t>
      </w:r>
      <w:r w:rsidRPr="00C81A73">
        <w:rPr>
          <w:kern w:val="2"/>
        </w:rPr>
        <w:t xml:space="preserve"> determination, the Department used a Results Matrix reflecting the following data: </w:t>
      </w:r>
    </w:p>
    <w:p w14:paraId="5ACF7EB5" w14:textId="77777777" w:rsidR="00BE5CED" w:rsidRPr="00C81A73" w:rsidRDefault="00BE5CED" w:rsidP="00BE5CED">
      <w:pPr>
        <w:numPr>
          <w:ilvl w:val="0"/>
          <w:numId w:val="4"/>
        </w:numPr>
        <w:rPr>
          <w:kern w:val="2"/>
        </w:rPr>
      </w:pPr>
      <w:r w:rsidRPr="00C81A73">
        <w:rPr>
          <w:kern w:val="2"/>
        </w:rPr>
        <w:t xml:space="preserve">The percentage of </w:t>
      </w:r>
      <w:proofErr w:type="gramStart"/>
      <w:r w:rsidRPr="00C81A73">
        <w:rPr>
          <w:kern w:val="2"/>
        </w:rPr>
        <w:t>fourth-grade</w:t>
      </w:r>
      <w:proofErr w:type="gramEnd"/>
      <w:r w:rsidRPr="00C81A73">
        <w:rPr>
          <w:kern w:val="2"/>
        </w:rPr>
        <w:t xml:space="preserve"> CWD participating in regular Statewide assessments; </w:t>
      </w:r>
    </w:p>
    <w:p w14:paraId="5ACF7EB6" w14:textId="77777777" w:rsidR="00BE5CED" w:rsidRPr="00C81A73" w:rsidRDefault="00BE5CED" w:rsidP="00BE5CED">
      <w:pPr>
        <w:numPr>
          <w:ilvl w:val="0"/>
          <w:numId w:val="4"/>
        </w:numPr>
        <w:rPr>
          <w:kern w:val="2"/>
        </w:rPr>
      </w:pPr>
      <w:r w:rsidRPr="00C81A73">
        <w:rPr>
          <w:kern w:val="2"/>
        </w:rPr>
        <w:t xml:space="preserve">The percentage of </w:t>
      </w:r>
      <w:proofErr w:type="gramStart"/>
      <w:r w:rsidRPr="00C81A73">
        <w:rPr>
          <w:kern w:val="2"/>
        </w:rPr>
        <w:t>eight</w:t>
      </w:r>
      <w:r w:rsidR="00D87848">
        <w:rPr>
          <w:kern w:val="2"/>
        </w:rPr>
        <w:t>h</w:t>
      </w:r>
      <w:r w:rsidRPr="00C81A73">
        <w:rPr>
          <w:kern w:val="2"/>
        </w:rPr>
        <w:t>-grade</w:t>
      </w:r>
      <w:proofErr w:type="gramEnd"/>
      <w:r w:rsidRPr="00C81A73">
        <w:rPr>
          <w:kern w:val="2"/>
        </w:rPr>
        <w:t xml:space="preserve"> CWD participating in regular Statewide assessments;</w:t>
      </w:r>
    </w:p>
    <w:p w14:paraId="5ACF7EB7" w14:textId="77777777" w:rsidR="00BE5CED" w:rsidRPr="00C81A73" w:rsidRDefault="00BE5CED" w:rsidP="00BE5CED">
      <w:pPr>
        <w:numPr>
          <w:ilvl w:val="0"/>
          <w:numId w:val="4"/>
        </w:numPr>
        <w:rPr>
          <w:kern w:val="2"/>
        </w:rPr>
      </w:pPr>
      <w:r w:rsidRPr="00C81A73">
        <w:rPr>
          <w:kern w:val="2"/>
        </w:rPr>
        <w:t xml:space="preserve">The percentage of </w:t>
      </w:r>
      <w:proofErr w:type="gramStart"/>
      <w:r w:rsidRPr="00C81A73">
        <w:rPr>
          <w:kern w:val="2"/>
        </w:rPr>
        <w:t>fourth-grade</w:t>
      </w:r>
      <w:proofErr w:type="gramEnd"/>
      <w:r w:rsidRPr="00C81A73">
        <w:rPr>
          <w:kern w:val="2"/>
        </w:rPr>
        <w:t xml:space="preserve"> CWD scoring at basic</w:t>
      </w:r>
      <w:r w:rsidRPr="00C81A73">
        <w:rPr>
          <w:rStyle w:val="FootnoteReference"/>
          <w:color w:val="000000"/>
          <w:kern w:val="2"/>
        </w:rPr>
        <w:footnoteReference w:id="9"/>
      </w:r>
      <w:r w:rsidRPr="00C81A73">
        <w:rPr>
          <w:kern w:val="2"/>
        </w:rPr>
        <w:t xml:space="preserve"> or above on the NAEP;</w:t>
      </w:r>
    </w:p>
    <w:p w14:paraId="5ACF7EB8" w14:textId="77777777" w:rsidR="00BE5CED" w:rsidRPr="00C81A73" w:rsidRDefault="00BE5CED" w:rsidP="00BE5CED">
      <w:pPr>
        <w:numPr>
          <w:ilvl w:val="0"/>
          <w:numId w:val="4"/>
        </w:numPr>
        <w:rPr>
          <w:kern w:val="2"/>
        </w:rPr>
      </w:pPr>
      <w:r w:rsidRPr="00C81A73">
        <w:rPr>
          <w:kern w:val="2"/>
        </w:rPr>
        <w:t xml:space="preserve">The percentage of </w:t>
      </w:r>
      <w:proofErr w:type="gramStart"/>
      <w:r w:rsidRPr="00C81A73">
        <w:rPr>
          <w:kern w:val="2"/>
        </w:rPr>
        <w:t>fourth-grade</w:t>
      </w:r>
      <w:proofErr w:type="gramEnd"/>
      <w:r w:rsidRPr="00C81A73">
        <w:rPr>
          <w:kern w:val="2"/>
        </w:rPr>
        <w:t xml:space="preserve"> CWD included in NAEP testing; </w:t>
      </w:r>
    </w:p>
    <w:p w14:paraId="5ACF7EB9" w14:textId="77777777" w:rsidR="00BE5CED" w:rsidRPr="00C81A73" w:rsidRDefault="00BE5CED" w:rsidP="00BE5CED">
      <w:pPr>
        <w:numPr>
          <w:ilvl w:val="0"/>
          <w:numId w:val="4"/>
        </w:numPr>
        <w:rPr>
          <w:kern w:val="2"/>
        </w:rPr>
      </w:pPr>
      <w:r w:rsidRPr="00C81A73">
        <w:rPr>
          <w:kern w:val="2"/>
        </w:rPr>
        <w:t xml:space="preserve">The percentage of </w:t>
      </w:r>
      <w:proofErr w:type="gramStart"/>
      <w:r w:rsidRPr="00C81A73">
        <w:rPr>
          <w:kern w:val="2"/>
        </w:rPr>
        <w:t>eighth-grade</w:t>
      </w:r>
      <w:proofErr w:type="gramEnd"/>
      <w:r w:rsidRPr="00C81A73">
        <w:rPr>
          <w:kern w:val="2"/>
        </w:rPr>
        <w:t xml:space="preserve"> CWD scoring at basic or above on the NAEP; </w:t>
      </w:r>
    </w:p>
    <w:p w14:paraId="5ACF7EBA" w14:textId="77777777" w:rsidR="00BE5CED" w:rsidRPr="00C81A73" w:rsidRDefault="00BE5CED" w:rsidP="00BE5CED">
      <w:pPr>
        <w:numPr>
          <w:ilvl w:val="0"/>
          <w:numId w:val="4"/>
        </w:numPr>
        <w:rPr>
          <w:kern w:val="2"/>
        </w:rPr>
      </w:pPr>
      <w:r w:rsidRPr="00C81A73">
        <w:rPr>
          <w:kern w:val="2"/>
        </w:rPr>
        <w:t xml:space="preserve">The percentage of </w:t>
      </w:r>
      <w:proofErr w:type="gramStart"/>
      <w:r w:rsidRPr="00C81A73">
        <w:rPr>
          <w:kern w:val="2"/>
        </w:rPr>
        <w:t>eighth-grade</w:t>
      </w:r>
      <w:proofErr w:type="gramEnd"/>
      <w:r w:rsidRPr="00C81A73">
        <w:rPr>
          <w:kern w:val="2"/>
        </w:rPr>
        <w:t xml:space="preserve"> CWD included in NAEP testing; </w:t>
      </w:r>
    </w:p>
    <w:p w14:paraId="5ACF7EBB" w14:textId="77777777" w:rsidR="00BE5CED" w:rsidRPr="00C81A73" w:rsidRDefault="00BE5CED" w:rsidP="00BE5CED">
      <w:pPr>
        <w:numPr>
          <w:ilvl w:val="0"/>
          <w:numId w:val="4"/>
        </w:numPr>
        <w:rPr>
          <w:kern w:val="2"/>
        </w:rPr>
      </w:pPr>
      <w:r w:rsidRPr="00C81A73">
        <w:rPr>
          <w:kern w:val="2"/>
        </w:rPr>
        <w:t>The percentage of CWD exiting school by dropping out; and</w:t>
      </w:r>
    </w:p>
    <w:p w14:paraId="5ACF7EBC" w14:textId="77777777" w:rsidR="00BE5CED" w:rsidRPr="00C81A73" w:rsidRDefault="00BE5CED" w:rsidP="00BE5CED">
      <w:pPr>
        <w:numPr>
          <w:ilvl w:val="0"/>
          <w:numId w:val="4"/>
        </w:numPr>
        <w:rPr>
          <w:kern w:val="2"/>
        </w:rPr>
      </w:pPr>
      <w:r w:rsidRPr="00C81A73">
        <w:rPr>
          <w:kern w:val="2"/>
        </w:rPr>
        <w:t>The percentage of CWD exiting school by graduating with a regular high school diploma.</w:t>
      </w:r>
    </w:p>
    <w:p w14:paraId="5ACF7EBD" w14:textId="77777777" w:rsidR="00BE5CED" w:rsidRPr="00C81A73" w:rsidRDefault="00BE5CED" w:rsidP="00BE5CED">
      <w:pPr>
        <w:keepNext/>
        <w:rPr>
          <w:kern w:val="2"/>
        </w:rPr>
      </w:pPr>
      <w:r w:rsidRPr="00C81A73">
        <w:rPr>
          <w:kern w:val="2"/>
        </w:rPr>
        <w:t xml:space="preserve">The Results Elements for participation in regular Statewide assessments and participation and performance on the NAEP are scored separately for reading and math. When combined with the exiting data, there are a total of fourteen Results Elements. The Results Elements are defined as follows: </w:t>
      </w:r>
    </w:p>
    <w:p w14:paraId="5ACF7EBE" w14:textId="77777777" w:rsidR="00BE5CED" w:rsidRPr="00C65DB7" w:rsidRDefault="00BE5CED" w:rsidP="00BE5CED">
      <w:pPr>
        <w:pStyle w:val="Heading3"/>
      </w:pPr>
      <w:r w:rsidRPr="00C65DB7">
        <w:t xml:space="preserve">Percentage of CWD Participating in Regular Statewide Assessments </w:t>
      </w:r>
    </w:p>
    <w:p w14:paraId="5ACF7EBF" w14:textId="1CB548FC" w:rsidR="00BE5CED" w:rsidRPr="00C81A73" w:rsidRDefault="00BE5CED" w:rsidP="00BE5CED">
      <w:pPr>
        <w:rPr>
          <w:kern w:val="2"/>
        </w:rPr>
      </w:pPr>
      <w:r w:rsidRPr="00C81A73">
        <w:rPr>
          <w:kern w:val="2"/>
        </w:rPr>
        <w:t>This is the percentage of CWD, by grade (4 and 8) and subject (math and reading), who took regular Statewide assessments in SY 201</w:t>
      </w:r>
      <w:r w:rsidR="00AF3529">
        <w:rPr>
          <w:kern w:val="2"/>
        </w:rPr>
        <w:t>7</w:t>
      </w:r>
      <w:r w:rsidRPr="00C81A73">
        <w:rPr>
          <w:kern w:val="2"/>
        </w:rPr>
        <w:t>-201</w:t>
      </w:r>
      <w:r w:rsidR="00AF3529">
        <w:rPr>
          <w:kern w:val="2"/>
        </w:rPr>
        <w:t>8</w:t>
      </w:r>
      <w:r w:rsidRPr="00C81A73">
        <w:rPr>
          <w:kern w:val="2"/>
        </w:rPr>
        <w:t xml:space="preserve"> with and without accommodations. The numerator for this calculation is the number of CWD participating with and without accommodations on regular Sta</w:t>
      </w:r>
      <w:r>
        <w:rPr>
          <w:kern w:val="2"/>
        </w:rPr>
        <w:t xml:space="preserve">tewide </w:t>
      </w:r>
      <w:r w:rsidRPr="00C81A73">
        <w:rPr>
          <w:kern w:val="2"/>
        </w:rPr>
        <w:t>assessments in SY 201</w:t>
      </w:r>
      <w:r w:rsidR="00AF3529">
        <w:rPr>
          <w:kern w:val="2"/>
        </w:rPr>
        <w:t>7</w:t>
      </w:r>
      <w:r w:rsidRPr="00C81A73">
        <w:rPr>
          <w:kern w:val="2"/>
        </w:rPr>
        <w:t>-201</w:t>
      </w:r>
      <w:r w:rsidR="00AF3529">
        <w:rPr>
          <w:kern w:val="2"/>
        </w:rPr>
        <w:t>8</w:t>
      </w:r>
      <w:r w:rsidRPr="00C81A73">
        <w:rPr>
          <w:kern w:val="2"/>
        </w:rPr>
        <w:t xml:space="preserve">, and the denominator is the number of all CWD participants and non-participants on regular </w:t>
      </w:r>
      <w:r>
        <w:rPr>
          <w:kern w:val="2"/>
        </w:rPr>
        <w:t xml:space="preserve">and alternate </w:t>
      </w:r>
      <w:r w:rsidRPr="00C81A73">
        <w:rPr>
          <w:kern w:val="2"/>
        </w:rPr>
        <w:t>Statewide assessments in SY 201</w:t>
      </w:r>
      <w:r w:rsidR="00AF3529">
        <w:rPr>
          <w:kern w:val="2"/>
        </w:rPr>
        <w:t>7</w:t>
      </w:r>
      <w:r w:rsidRPr="00C81A73">
        <w:rPr>
          <w:kern w:val="2"/>
        </w:rPr>
        <w:t>-201</w:t>
      </w:r>
      <w:r w:rsidR="00AF3529">
        <w:rPr>
          <w:kern w:val="2"/>
        </w:rPr>
        <w:t>8</w:t>
      </w:r>
      <w:r w:rsidRPr="00C81A73">
        <w:rPr>
          <w:kern w:val="2"/>
        </w:rPr>
        <w:t xml:space="preserve">, excluding medical emergencies. The calculation is done separately by grade (4 and 8) and subject (math and reading). (Data source: </w:t>
      </w:r>
      <w:proofErr w:type="spellStart"/>
      <w:r w:rsidRPr="00C81A73">
        <w:rPr>
          <w:kern w:val="2"/>
        </w:rPr>
        <w:t>ED</w:t>
      </w:r>
      <w:r w:rsidRPr="00D91583">
        <w:rPr>
          <w:kern w:val="2"/>
        </w:rPr>
        <w:t>Facts</w:t>
      </w:r>
      <w:proofErr w:type="spellEnd"/>
      <w:r w:rsidRPr="00D91583">
        <w:rPr>
          <w:kern w:val="2"/>
        </w:rPr>
        <w:t xml:space="preserve"> </w:t>
      </w:r>
      <w:r w:rsidRPr="00C81A73">
        <w:rPr>
          <w:kern w:val="2"/>
        </w:rPr>
        <w:t>SY 201</w:t>
      </w:r>
      <w:r w:rsidR="00AF3529">
        <w:rPr>
          <w:kern w:val="2"/>
        </w:rPr>
        <w:t>7</w:t>
      </w:r>
      <w:r w:rsidR="00D87848">
        <w:rPr>
          <w:kern w:val="2"/>
        </w:rPr>
        <w:t>-1</w:t>
      </w:r>
      <w:r w:rsidR="00AF3529">
        <w:rPr>
          <w:kern w:val="2"/>
        </w:rPr>
        <w:t>8</w:t>
      </w:r>
      <w:r w:rsidRPr="00C81A73">
        <w:rPr>
          <w:kern w:val="2"/>
        </w:rPr>
        <w:t xml:space="preserve">; data extracted </w:t>
      </w:r>
      <w:r w:rsidR="00AF3529">
        <w:rPr>
          <w:kern w:val="2"/>
        </w:rPr>
        <w:t>3</w:t>
      </w:r>
      <w:r w:rsidRPr="00C81A73">
        <w:rPr>
          <w:kern w:val="2"/>
        </w:rPr>
        <w:t>/</w:t>
      </w:r>
      <w:r w:rsidR="00AF3529">
        <w:rPr>
          <w:kern w:val="2"/>
        </w:rPr>
        <w:t>28</w:t>
      </w:r>
      <w:r w:rsidR="00D87848">
        <w:rPr>
          <w:kern w:val="2"/>
        </w:rPr>
        <w:t>/1</w:t>
      </w:r>
      <w:r w:rsidR="00AF3529">
        <w:rPr>
          <w:kern w:val="2"/>
        </w:rPr>
        <w:t>9</w:t>
      </w:r>
      <w:r w:rsidRPr="00C81A73">
        <w:rPr>
          <w:kern w:val="2"/>
        </w:rPr>
        <w:t>)</w:t>
      </w:r>
      <w:r w:rsidRPr="00C81A73" w:rsidDel="00307AE6">
        <w:rPr>
          <w:kern w:val="2"/>
        </w:rPr>
        <w:t xml:space="preserve"> </w:t>
      </w:r>
    </w:p>
    <w:p w14:paraId="5ACF7EC0" w14:textId="77777777" w:rsidR="00BE5CED" w:rsidRPr="00C81A73" w:rsidRDefault="00BE5CED" w:rsidP="00BE5CED">
      <w:pPr>
        <w:pStyle w:val="Heading3"/>
      </w:pPr>
      <w:r w:rsidRPr="00C81A73">
        <w:t xml:space="preserve">Percentage of CWD Scoring </w:t>
      </w:r>
      <w:r w:rsidR="00950100">
        <w:t xml:space="preserve">at </w:t>
      </w:r>
      <w:r w:rsidRPr="00C81A73">
        <w:t>Basic or Above on the NAEP</w:t>
      </w:r>
      <w:r>
        <w:t xml:space="preserve"> </w:t>
      </w:r>
    </w:p>
    <w:p w14:paraId="5ACF7EC1" w14:textId="77777777" w:rsidR="00BE5CED" w:rsidRPr="00C81A73" w:rsidRDefault="00BE5CED" w:rsidP="00BE5CED">
      <w:pPr>
        <w:rPr>
          <w:kern w:val="2"/>
        </w:rPr>
      </w:pPr>
      <w:r w:rsidRPr="00C81A73">
        <w:rPr>
          <w:kern w:val="2"/>
        </w:rPr>
        <w:t>This is the percentage of CWD, not including students with a Section 504 plan, by grade (4 and 8) and subject (math and reading), who scored at or above basic on the NAEP in SY 201</w:t>
      </w:r>
      <w:r w:rsidR="009E4340">
        <w:rPr>
          <w:kern w:val="2"/>
        </w:rPr>
        <w:t>6</w:t>
      </w:r>
      <w:r w:rsidRPr="00C81A73">
        <w:rPr>
          <w:kern w:val="2"/>
        </w:rPr>
        <w:t>-201</w:t>
      </w:r>
      <w:r w:rsidR="009E4340">
        <w:rPr>
          <w:kern w:val="2"/>
        </w:rPr>
        <w:t>7</w:t>
      </w:r>
      <w:r w:rsidRPr="00C81A73">
        <w:rPr>
          <w:kern w:val="2"/>
        </w:rPr>
        <w:t>. (Data Source: Main NAEP Data Explorer; data extracted 4/</w:t>
      </w:r>
      <w:r w:rsidR="00D87848">
        <w:rPr>
          <w:kern w:val="2"/>
        </w:rPr>
        <w:t>10/18</w:t>
      </w:r>
      <w:r w:rsidRPr="00C81A73">
        <w:rPr>
          <w:kern w:val="2"/>
        </w:rPr>
        <w:t xml:space="preserve">) </w:t>
      </w:r>
    </w:p>
    <w:p w14:paraId="5ACF7EC2" w14:textId="77777777" w:rsidR="00BE5CED" w:rsidRPr="00C81A73" w:rsidRDefault="00BE5CED" w:rsidP="00BE5CED">
      <w:pPr>
        <w:pStyle w:val="Heading3"/>
      </w:pPr>
      <w:r w:rsidRPr="00C81A73">
        <w:t>Percentage of CWD Included in NAEP Testing</w:t>
      </w:r>
      <w:r>
        <w:t xml:space="preserve"> </w:t>
      </w:r>
    </w:p>
    <w:p w14:paraId="5ACF7EC3" w14:textId="77777777" w:rsidR="00BE5CED" w:rsidRPr="00C81A73" w:rsidRDefault="00BE5CED" w:rsidP="00BE5CED">
      <w:pPr>
        <w:rPr>
          <w:kern w:val="2"/>
        </w:rPr>
      </w:pPr>
      <w:r w:rsidRPr="00C81A73">
        <w:rPr>
          <w:kern w:val="2"/>
        </w:rPr>
        <w:t>This is the reported percentage of identified CWD, by grade (4 and 8) and subject (math and reading), who were included in the NAEP testing in SY 201</w:t>
      </w:r>
      <w:r w:rsidR="00570AF3">
        <w:rPr>
          <w:kern w:val="2"/>
        </w:rPr>
        <w:t>6</w:t>
      </w:r>
      <w:r w:rsidRPr="00C81A73">
        <w:rPr>
          <w:kern w:val="2"/>
        </w:rPr>
        <w:t>-201</w:t>
      </w:r>
      <w:r w:rsidR="00570AF3">
        <w:rPr>
          <w:kern w:val="2"/>
        </w:rPr>
        <w:t>7</w:t>
      </w:r>
      <w:r w:rsidRPr="00C81A73">
        <w:rPr>
          <w:kern w:val="2"/>
        </w:rPr>
        <w:t xml:space="preserve">. (Data Source: </w:t>
      </w:r>
      <w:r w:rsidR="009069EE">
        <w:rPr>
          <w:kern w:val="2"/>
        </w:rPr>
        <w:t>Nation’s Report Card</w:t>
      </w:r>
      <w:r w:rsidRPr="00C81A73">
        <w:rPr>
          <w:kern w:val="2"/>
        </w:rPr>
        <w:t>, 201</w:t>
      </w:r>
      <w:r w:rsidR="009069EE">
        <w:rPr>
          <w:kern w:val="2"/>
        </w:rPr>
        <w:t>8</w:t>
      </w:r>
      <w:r w:rsidRPr="00C81A73">
        <w:rPr>
          <w:kern w:val="2"/>
        </w:rPr>
        <w:t xml:space="preserve">): </w:t>
      </w:r>
    </w:p>
    <w:p w14:paraId="5ACF7EC4" w14:textId="77777777" w:rsidR="00BE5CED" w:rsidRPr="00C81A73" w:rsidRDefault="00BE5CED" w:rsidP="00BE5CED">
      <w:pPr>
        <w:keepNext/>
      </w:pPr>
      <w:r w:rsidRPr="00C81A73">
        <w:t>Inclusion rate for 4</w:t>
      </w:r>
      <w:r w:rsidRPr="00C81A73">
        <w:rPr>
          <w:vertAlign w:val="superscript"/>
        </w:rPr>
        <w:t>th</w:t>
      </w:r>
      <w:r w:rsidRPr="00C81A73">
        <w:t xml:space="preserve"> and 8</w:t>
      </w:r>
      <w:r w:rsidRPr="00C81A73">
        <w:rPr>
          <w:vertAlign w:val="superscript"/>
        </w:rPr>
        <w:t>th</w:t>
      </w:r>
      <w:r w:rsidRPr="00C81A73">
        <w:t xml:space="preserve"> grade reading</w:t>
      </w:r>
      <w:r>
        <w:t xml:space="preserve"> (s</w:t>
      </w:r>
      <w:r w:rsidRPr="00C81A73">
        <w:t>ee page 6</w:t>
      </w:r>
      <w:r>
        <w:t>)</w:t>
      </w:r>
      <w:r w:rsidRPr="00C81A73">
        <w:t xml:space="preserve">: </w:t>
      </w:r>
    </w:p>
    <w:p w14:paraId="5ACF7EC5" w14:textId="77777777" w:rsidR="00C408CD" w:rsidRDefault="00AA2124" w:rsidP="0075675E">
      <w:pPr>
        <w:ind w:left="720"/>
      </w:pPr>
      <w:hyperlink r:id="rId16" w:history="1">
        <w:r w:rsidR="00C408CD" w:rsidRPr="00C408CD">
          <w:rPr>
            <w:rStyle w:val="Hyperlink"/>
            <w:kern w:val="2"/>
          </w:rPr>
          <w:t>www.nationsreportcard.gov/reading_2017/files/2017_Technical_Appendix_Reading_State.pdf</w:t>
        </w:r>
      </w:hyperlink>
    </w:p>
    <w:p w14:paraId="5ACF7EC6" w14:textId="77777777" w:rsidR="00BE5CED" w:rsidRPr="00C81A73" w:rsidRDefault="00BE5CED" w:rsidP="00BE5CED">
      <w:pPr>
        <w:keepNext/>
      </w:pPr>
      <w:r w:rsidRPr="00C81A73">
        <w:t>Inclusion rate for 4</w:t>
      </w:r>
      <w:r w:rsidRPr="00C81A73">
        <w:rPr>
          <w:vertAlign w:val="superscript"/>
        </w:rPr>
        <w:t>th</w:t>
      </w:r>
      <w:r w:rsidRPr="00C81A73">
        <w:t xml:space="preserve"> and 8</w:t>
      </w:r>
      <w:r w:rsidRPr="00C81A73">
        <w:rPr>
          <w:vertAlign w:val="superscript"/>
        </w:rPr>
        <w:t>th</w:t>
      </w:r>
      <w:r w:rsidRPr="00C81A73">
        <w:t xml:space="preserve"> grade math</w:t>
      </w:r>
      <w:r>
        <w:t xml:space="preserve"> (s</w:t>
      </w:r>
      <w:r w:rsidRPr="00C81A73">
        <w:t>ee page 6</w:t>
      </w:r>
      <w:r>
        <w:t>)</w:t>
      </w:r>
      <w:r w:rsidRPr="00C81A73">
        <w:t xml:space="preserve">: </w:t>
      </w:r>
    </w:p>
    <w:p w14:paraId="5ACF7EC7" w14:textId="77777777" w:rsidR="00C408CD" w:rsidRPr="0075675E" w:rsidRDefault="00AA2124" w:rsidP="0075675E">
      <w:pPr>
        <w:ind w:left="720"/>
        <w:rPr>
          <w:rStyle w:val="Hyperlink"/>
        </w:rPr>
      </w:pPr>
      <w:hyperlink r:id="rId17" w:history="1">
        <w:r w:rsidR="00C408CD" w:rsidRPr="00C408CD">
          <w:rPr>
            <w:rStyle w:val="Hyperlink"/>
          </w:rPr>
          <w:t>www.nationsreportcard.gov/math_2017/files/2017_Technical_Appendix_Math_State.pdf</w:t>
        </w:r>
      </w:hyperlink>
    </w:p>
    <w:p w14:paraId="5ACF7EC8" w14:textId="77777777" w:rsidR="00BE5CED" w:rsidRPr="00C81A73" w:rsidRDefault="00BE5CED" w:rsidP="00BE5CED">
      <w:pPr>
        <w:pStyle w:val="Heading3"/>
      </w:pPr>
      <w:r w:rsidRPr="00C81A73">
        <w:t xml:space="preserve">Percentage of CWD Exiting School by Dropping Out </w:t>
      </w:r>
    </w:p>
    <w:p w14:paraId="5ACF7EC9" w14:textId="1560F60F" w:rsidR="00BE5CED" w:rsidRPr="00C81A73" w:rsidRDefault="00BE5CED" w:rsidP="00BE5CED">
      <w:pPr>
        <w:rPr>
          <w:kern w:val="2"/>
        </w:rPr>
      </w:pPr>
      <w:r w:rsidRPr="00C81A73">
        <w:rPr>
          <w:kern w:val="2"/>
        </w:rPr>
        <w:t xml:space="preserve">This is a calculation of the percentage of CWD, ages 14 through 21, who exited school by dropping out. The percentage was calculated by dividing the number of students ages 14 through 21 served under </w:t>
      </w:r>
      <w:r w:rsidRPr="00C81A73">
        <w:rPr>
          <w:i/>
          <w:iCs/>
          <w:kern w:val="2"/>
        </w:rPr>
        <w:t>IDEA</w:t>
      </w:r>
      <w:r w:rsidRPr="00C81A73">
        <w:rPr>
          <w:kern w:val="2"/>
        </w:rPr>
        <w:t xml:space="preserve"> Part B, reported in the exit reason category </w:t>
      </w:r>
      <w:r w:rsidRPr="00C81A73">
        <w:rPr>
          <w:i/>
          <w:iCs/>
          <w:kern w:val="2"/>
        </w:rPr>
        <w:t xml:space="preserve">dropped out </w:t>
      </w:r>
      <w:r w:rsidRPr="00C81A73">
        <w:rPr>
          <w:kern w:val="2"/>
        </w:rPr>
        <w:t xml:space="preserve">by the total number of students ages 14 through 21 served under </w:t>
      </w:r>
      <w:r w:rsidRPr="00C81A73">
        <w:rPr>
          <w:i/>
          <w:iCs/>
          <w:kern w:val="2"/>
        </w:rPr>
        <w:t>IDEA</w:t>
      </w:r>
      <w:r w:rsidRPr="00C81A73">
        <w:rPr>
          <w:kern w:val="2"/>
        </w:rPr>
        <w:t xml:space="preserve"> Part B, reported in the five exit-from-both-special education-and-school categories (</w:t>
      </w:r>
      <w:r w:rsidRPr="00C81A73">
        <w:rPr>
          <w:i/>
          <w:iCs/>
          <w:kern w:val="2"/>
        </w:rPr>
        <w:t>graduated with a regular high school diploma</w:t>
      </w:r>
      <w:r w:rsidRPr="00C81A73">
        <w:rPr>
          <w:kern w:val="2"/>
        </w:rPr>
        <w:t xml:space="preserve">, </w:t>
      </w:r>
      <w:r w:rsidRPr="00C81A73">
        <w:rPr>
          <w:i/>
          <w:iCs/>
          <w:kern w:val="2"/>
        </w:rPr>
        <w:t>received a certificate</w:t>
      </w:r>
      <w:r w:rsidRPr="00C81A73">
        <w:rPr>
          <w:kern w:val="2"/>
        </w:rPr>
        <w:t xml:space="preserve">, </w:t>
      </w:r>
      <w:r w:rsidRPr="00C81A73">
        <w:rPr>
          <w:i/>
          <w:iCs/>
          <w:kern w:val="2"/>
        </w:rPr>
        <w:t>dropped out</w:t>
      </w:r>
      <w:r w:rsidRPr="00C81A73">
        <w:rPr>
          <w:kern w:val="2"/>
        </w:rPr>
        <w:t xml:space="preserve">, </w:t>
      </w:r>
      <w:r w:rsidRPr="00C81A73">
        <w:rPr>
          <w:i/>
          <w:iCs/>
          <w:kern w:val="2"/>
        </w:rPr>
        <w:t>reached maximum age</w:t>
      </w:r>
      <w:r w:rsidRPr="00C81A73">
        <w:rPr>
          <w:kern w:val="2"/>
        </w:rPr>
        <w:t xml:space="preserve"> for services, and </w:t>
      </w:r>
      <w:r w:rsidRPr="00C81A73">
        <w:rPr>
          <w:i/>
          <w:iCs/>
          <w:kern w:val="2"/>
        </w:rPr>
        <w:t>died)</w:t>
      </w:r>
      <w:r w:rsidRPr="00C81A73">
        <w:rPr>
          <w:kern w:val="2"/>
        </w:rPr>
        <w:t xml:space="preserve">, then multiplying the result by 100. (Data source: </w:t>
      </w:r>
      <w:proofErr w:type="spellStart"/>
      <w:r w:rsidRPr="00C81A73">
        <w:rPr>
          <w:kern w:val="2"/>
        </w:rPr>
        <w:t>EDFacts</w:t>
      </w:r>
      <w:proofErr w:type="spellEnd"/>
      <w:r w:rsidRPr="00C81A73">
        <w:rPr>
          <w:kern w:val="2"/>
        </w:rPr>
        <w:t xml:space="preserve"> SY 201</w:t>
      </w:r>
      <w:r w:rsidR="00FC5855">
        <w:rPr>
          <w:kern w:val="2"/>
        </w:rPr>
        <w:t>6</w:t>
      </w:r>
      <w:r w:rsidRPr="00C81A73">
        <w:rPr>
          <w:kern w:val="2"/>
        </w:rPr>
        <w:t>-1</w:t>
      </w:r>
      <w:r w:rsidR="00FC5855">
        <w:rPr>
          <w:kern w:val="2"/>
        </w:rPr>
        <w:t>7</w:t>
      </w:r>
      <w:r w:rsidRPr="00C81A73">
        <w:rPr>
          <w:kern w:val="2"/>
        </w:rPr>
        <w:t xml:space="preserve">; data extracted </w:t>
      </w:r>
      <w:r w:rsidR="009069EE">
        <w:rPr>
          <w:kern w:val="2"/>
        </w:rPr>
        <w:t>5/3</w:t>
      </w:r>
      <w:r w:rsidR="00FC5855">
        <w:rPr>
          <w:kern w:val="2"/>
        </w:rPr>
        <w:t>0</w:t>
      </w:r>
      <w:r w:rsidR="009069EE">
        <w:rPr>
          <w:kern w:val="2"/>
        </w:rPr>
        <w:t>/1</w:t>
      </w:r>
      <w:r w:rsidR="00FC5855">
        <w:rPr>
          <w:kern w:val="2"/>
        </w:rPr>
        <w:t>8</w:t>
      </w:r>
      <w:r w:rsidRPr="00C81A73">
        <w:rPr>
          <w:kern w:val="2"/>
        </w:rPr>
        <w:t>)</w:t>
      </w:r>
    </w:p>
    <w:p w14:paraId="5ACF7ECA" w14:textId="77777777" w:rsidR="00BE5CED" w:rsidRPr="00C81A73" w:rsidRDefault="00BE5CED" w:rsidP="00BE5CED">
      <w:pPr>
        <w:pStyle w:val="Heading3"/>
      </w:pPr>
      <w:r w:rsidRPr="00C81A73">
        <w:t xml:space="preserve">Percentage of CWD Exiting School by Graduating with a Regular High School Diploma </w:t>
      </w:r>
    </w:p>
    <w:p w14:paraId="5ACF7ECB" w14:textId="3A21C2BD" w:rsidR="00BE5CED" w:rsidRPr="00C81A73" w:rsidRDefault="00BE5CED" w:rsidP="00BE5CED">
      <w:pPr>
        <w:rPr>
          <w:b/>
          <w:kern w:val="2"/>
        </w:rPr>
      </w:pPr>
      <w:r w:rsidRPr="00C81A73">
        <w:rPr>
          <w:kern w:val="2"/>
        </w:rPr>
        <w:t xml:space="preserve">This is a calculation of the percentage of CWD, ages 14 through 21, who exited school by graduating with a regular high school diploma. The percentage was calculated by dividing the number of students ages 14 through 21 served under </w:t>
      </w:r>
      <w:r w:rsidRPr="00C81A73">
        <w:rPr>
          <w:i/>
          <w:iCs/>
          <w:kern w:val="2"/>
        </w:rPr>
        <w:t>IDEA</w:t>
      </w:r>
      <w:r w:rsidRPr="00C81A73">
        <w:rPr>
          <w:kern w:val="2"/>
        </w:rPr>
        <w:t xml:space="preserve"> Part B, reported in the exit reason category </w:t>
      </w:r>
      <w:r w:rsidRPr="00C81A73">
        <w:rPr>
          <w:i/>
          <w:iCs/>
          <w:kern w:val="2"/>
        </w:rPr>
        <w:t xml:space="preserve">graduated with a regular high school diploma </w:t>
      </w:r>
      <w:r w:rsidRPr="00C81A73">
        <w:rPr>
          <w:kern w:val="2"/>
        </w:rPr>
        <w:t xml:space="preserve">by the total number of students ages 14 through 21 served under </w:t>
      </w:r>
      <w:r w:rsidRPr="00C81A73">
        <w:rPr>
          <w:i/>
          <w:iCs/>
          <w:kern w:val="2"/>
        </w:rPr>
        <w:t>IDEA</w:t>
      </w:r>
      <w:r w:rsidRPr="00C81A73">
        <w:rPr>
          <w:kern w:val="2"/>
        </w:rPr>
        <w:t xml:space="preserve"> Part B, reported in the five exit-from-both-special education-and-school categories (</w:t>
      </w:r>
      <w:r w:rsidRPr="00C81A73">
        <w:rPr>
          <w:i/>
          <w:iCs/>
          <w:kern w:val="2"/>
        </w:rPr>
        <w:t>graduated with a regular high school diploma</w:t>
      </w:r>
      <w:r w:rsidRPr="00C81A73">
        <w:rPr>
          <w:kern w:val="2"/>
        </w:rPr>
        <w:t xml:space="preserve">, </w:t>
      </w:r>
      <w:r w:rsidRPr="00C81A73">
        <w:rPr>
          <w:i/>
          <w:iCs/>
          <w:kern w:val="2"/>
        </w:rPr>
        <w:t>received a certificate</w:t>
      </w:r>
      <w:r w:rsidRPr="00C81A73">
        <w:rPr>
          <w:kern w:val="2"/>
        </w:rPr>
        <w:t xml:space="preserve">, </w:t>
      </w:r>
      <w:r w:rsidRPr="00C81A73">
        <w:rPr>
          <w:i/>
          <w:iCs/>
          <w:kern w:val="2"/>
        </w:rPr>
        <w:t>dropped out</w:t>
      </w:r>
      <w:r w:rsidRPr="00C81A73">
        <w:rPr>
          <w:kern w:val="2"/>
        </w:rPr>
        <w:t xml:space="preserve">, </w:t>
      </w:r>
      <w:r w:rsidRPr="00C81A73">
        <w:rPr>
          <w:i/>
          <w:iCs/>
          <w:kern w:val="2"/>
        </w:rPr>
        <w:t>reached maximum age</w:t>
      </w:r>
      <w:r w:rsidRPr="00C81A73">
        <w:rPr>
          <w:kern w:val="2"/>
        </w:rPr>
        <w:t xml:space="preserve"> for services, and </w:t>
      </w:r>
      <w:r w:rsidRPr="00C81A73">
        <w:rPr>
          <w:i/>
          <w:iCs/>
          <w:kern w:val="2"/>
        </w:rPr>
        <w:t>died)</w:t>
      </w:r>
      <w:r w:rsidRPr="00C81A73">
        <w:rPr>
          <w:kern w:val="2"/>
        </w:rPr>
        <w:t xml:space="preserve">, then multiplying the result by 100. (Data source: </w:t>
      </w:r>
      <w:proofErr w:type="spellStart"/>
      <w:r w:rsidRPr="00C81A73">
        <w:rPr>
          <w:kern w:val="2"/>
        </w:rPr>
        <w:t>EDFacts</w:t>
      </w:r>
      <w:proofErr w:type="spellEnd"/>
      <w:r w:rsidRPr="00C81A73">
        <w:rPr>
          <w:kern w:val="2"/>
        </w:rPr>
        <w:t xml:space="preserve"> SY 201</w:t>
      </w:r>
      <w:r w:rsidR="00FC5855">
        <w:rPr>
          <w:kern w:val="2"/>
        </w:rPr>
        <w:t>6</w:t>
      </w:r>
      <w:r w:rsidRPr="00C81A73">
        <w:rPr>
          <w:kern w:val="2"/>
        </w:rPr>
        <w:t>-1</w:t>
      </w:r>
      <w:r w:rsidR="00FC5855">
        <w:rPr>
          <w:kern w:val="2"/>
        </w:rPr>
        <w:t>7</w:t>
      </w:r>
      <w:r w:rsidRPr="00C81A73">
        <w:rPr>
          <w:kern w:val="2"/>
        </w:rPr>
        <w:t xml:space="preserve">; data extracted </w:t>
      </w:r>
      <w:r w:rsidR="009069EE">
        <w:rPr>
          <w:kern w:val="2"/>
        </w:rPr>
        <w:t>5/3</w:t>
      </w:r>
      <w:r w:rsidR="00FC5855">
        <w:rPr>
          <w:kern w:val="2"/>
        </w:rPr>
        <w:t>0</w:t>
      </w:r>
      <w:r w:rsidR="009069EE">
        <w:rPr>
          <w:kern w:val="2"/>
        </w:rPr>
        <w:t>/1</w:t>
      </w:r>
      <w:r w:rsidR="00FC5855">
        <w:rPr>
          <w:kern w:val="2"/>
        </w:rPr>
        <w:t>8</w:t>
      </w:r>
      <w:r w:rsidRPr="00C81A73">
        <w:rPr>
          <w:kern w:val="2"/>
        </w:rPr>
        <w:t xml:space="preserve">.) </w:t>
      </w:r>
    </w:p>
    <w:p w14:paraId="5ACF7ECC" w14:textId="77777777" w:rsidR="00BE5CED" w:rsidRPr="00C81A73" w:rsidRDefault="00BE5CED" w:rsidP="00BE5CED">
      <w:pPr>
        <w:pStyle w:val="Heading2"/>
      </w:pPr>
      <w:r w:rsidRPr="00C81A73">
        <w:t>Scoring of the Results Matrix</w:t>
      </w:r>
    </w:p>
    <w:p w14:paraId="5ACF7ECD" w14:textId="3C388E13" w:rsidR="00BE5CED" w:rsidRPr="00C81A73" w:rsidRDefault="00BE5CED" w:rsidP="00BE5CED">
      <w:pPr>
        <w:rPr>
          <w:kern w:val="2"/>
        </w:rPr>
      </w:pPr>
      <w:r w:rsidRPr="00C81A73">
        <w:rPr>
          <w:kern w:val="2"/>
        </w:rPr>
        <w:t>In the attached State-specific 201</w:t>
      </w:r>
      <w:r w:rsidR="00FC5855">
        <w:rPr>
          <w:kern w:val="2"/>
        </w:rPr>
        <w:t>9</w:t>
      </w:r>
      <w:r w:rsidRPr="00C81A73">
        <w:rPr>
          <w:kern w:val="2"/>
        </w:rPr>
        <w:t xml:space="preserve"> Part B Results Matrix, a State received points as follows for the Results Elements:</w:t>
      </w:r>
    </w:p>
    <w:p w14:paraId="5ACF7ECE" w14:textId="3D10EF05" w:rsidR="00BE5CED" w:rsidRPr="00C81A73" w:rsidRDefault="00BE5CED" w:rsidP="00BE5CED">
      <w:pPr>
        <w:pStyle w:val="ListParagraph"/>
        <w:rPr>
          <w:kern w:val="2"/>
        </w:rPr>
      </w:pPr>
      <w:r w:rsidRPr="00C81A73">
        <w:rPr>
          <w:kern w:val="2"/>
        </w:rPr>
        <w:t>A State’s participation rates on regular Statewide assessments were assigned scores of ‘2’, ‘1’ or ‘0’ based on an analysis of the participation rates across all States</w:t>
      </w:r>
      <w:r w:rsidR="006F2E28">
        <w:rPr>
          <w:kern w:val="2"/>
        </w:rPr>
        <w:t>.</w:t>
      </w:r>
      <w:r w:rsidRPr="00C81A73">
        <w:rPr>
          <w:kern w:val="2"/>
        </w:rPr>
        <w:t xml:space="preserve"> </w:t>
      </w:r>
      <w:r w:rsidR="008F5B34">
        <w:rPr>
          <w:kern w:val="2"/>
        </w:rPr>
        <w:t>A</w:t>
      </w:r>
      <w:r w:rsidRPr="00C81A73">
        <w:rPr>
          <w:kern w:val="2"/>
        </w:rPr>
        <w:t xml:space="preserve"> score of ‘2’ was assigned if at least 90% of CWD </w:t>
      </w:r>
      <w:r w:rsidR="008F5B34">
        <w:rPr>
          <w:kern w:val="2"/>
        </w:rPr>
        <w:t xml:space="preserve">in a State </w:t>
      </w:r>
      <w:r w:rsidRPr="00C81A73">
        <w:rPr>
          <w:kern w:val="2"/>
        </w:rPr>
        <w:t>participated in the regular Statewide assessment; a score of ‘1’ if the participation rate for CWD was 8</w:t>
      </w:r>
      <w:r>
        <w:rPr>
          <w:kern w:val="2"/>
        </w:rPr>
        <w:t>0</w:t>
      </w:r>
      <w:r w:rsidRPr="00C81A73">
        <w:rPr>
          <w:kern w:val="2"/>
        </w:rPr>
        <w:t xml:space="preserve">% to 89%; and a score of ‘0’ if the participation rate for CWD was </w:t>
      </w:r>
      <w:r>
        <w:rPr>
          <w:kern w:val="2"/>
        </w:rPr>
        <w:t xml:space="preserve">less than </w:t>
      </w:r>
      <w:r w:rsidRPr="00C81A73">
        <w:rPr>
          <w:kern w:val="2"/>
        </w:rPr>
        <w:t>80%.</w:t>
      </w:r>
    </w:p>
    <w:p w14:paraId="5ACF7ECF" w14:textId="77777777" w:rsidR="00BE5CED" w:rsidRPr="00C81A73" w:rsidRDefault="00BE5CED" w:rsidP="00BE5CED">
      <w:pPr>
        <w:pStyle w:val="ListParagraph"/>
        <w:rPr>
          <w:kern w:val="2"/>
        </w:rPr>
      </w:pPr>
      <w:r w:rsidRPr="00C81A73">
        <w:rPr>
          <w:kern w:val="2"/>
        </w:rPr>
        <w:t xml:space="preserve">A State’s NAEP scores (Basic and above) were </w:t>
      </w:r>
      <w:proofErr w:type="gramStart"/>
      <w:r w:rsidRPr="00C81A73">
        <w:rPr>
          <w:kern w:val="2"/>
        </w:rPr>
        <w:t>rank-ordered</w:t>
      </w:r>
      <w:proofErr w:type="gramEnd"/>
      <w:r w:rsidRPr="00C81A73">
        <w:rPr>
          <w:kern w:val="2"/>
        </w:rPr>
        <w:t xml:space="preserve">; the top </w:t>
      </w:r>
      <w:proofErr w:type="spellStart"/>
      <w:r w:rsidRPr="00C81A73">
        <w:rPr>
          <w:kern w:val="2"/>
        </w:rPr>
        <w:t>t</w:t>
      </w:r>
      <w:r w:rsidR="00271FEB">
        <w:rPr>
          <w:kern w:val="2"/>
        </w:rPr>
        <w:t>ertile</w:t>
      </w:r>
      <w:proofErr w:type="spellEnd"/>
      <w:r w:rsidR="00660098">
        <w:rPr>
          <w:rStyle w:val="FootnoteReference"/>
          <w:kern w:val="2"/>
        </w:rPr>
        <w:footnoteReference w:id="10"/>
      </w:r>
      <w:r w:rsidRPr="00C81A73">
        <w:rPr>
          <w:kern w:val="2"/>
        </w:rPr>
        <w:t xml:space="preserve"> of States received a ‘2’, the middle </w:t>
      </w:r>
      <w:proofErr w:type="spellStart"/>
      <w:r w:rsidRPr="00C81A73">
        <w:rPr>
          <w:kern w:val="2"/>
        </w:rPr>
        <w:t>t</w:t>
      </w:r>
      <w:r w:rsidR="00271FEB">
        <w:rPr>
          <w:kern w:val="2"/>
        </w:rPr>
        <w:t>ertile</w:t>
      </w:r>
      <w:proofErr w:type="spellEnd"/>
      <w:r w:rsidRPr="00C81A73">
        <w:rPr>
          <w:kern w:val="2"/>
        </w:rPr>
        <w:t xml:space="preserve"> of States received a ‘1’, and the bottom </w:t>
      </w:r>
      <w:proofErr w:type="spellStart"/>
      <w:r w:rsidRPr="00C81A73">
        <w:rPr>
          <w:kern w:val="2"/>
        </w:rPr>
        <w:t>t</w:t>
      </w:r>
      <w:r w:rsidR="00271FEB">
        <w:rPr>
          <w:kern w:val="2"/>
        </w:rPr>
        <w:t>ertile</w:t>
      </w:r>
      <w:proofErr w:type="spellEnd"/>
      <w:r w:rsidRPr="00C81A73">
        <w:rPr>
          <w:kern w:val="2"/>
        </w:rPr>
        <w:t xml:space="preserve"> of States received a ‘0’.</w:t>
      </w:r>
    </w:p>
    <w:p w14:paraId="5ACF7ED0" w14:textId="77777777" w:rsidR="00BE5CED" w:rsidRPr="00C81A73" w:rsidRDefault="00BE5CED" w:rsidP="00BE5CED">
      <w:pPr>
        <w:pStyle w:val="ListParagraph"/>
        <w:rPr>
          <w:kern w:val="2"/>
        </w:rPr>
      </w:pPr>
      <w:r w:rsidRPr="00C81A73">
        <w:rPr>
          <w:kern w:val="2"/>
        </w:rPr>
        <w:t xml:space="preserve">A State’s NAEP inclusion rate was assigned a score of either ‘0’ or ‘1’ based on whether the State’s NAEP inclusion rate for CWD was “higher than or not significantly different from the National Assessment Governing Board [NAGB] goal of 85 percent.” “Standard error estimates” were reported with the inclusion rates of CWD and </w:t>
      </w:r>
      <w:proofErr w:type="gramStart"/>
      <w:r w:rsidRPr="00C81A73">
        <w:rPr>
          <w:kern w:val="2"/>
        </w:rPr>
        <w:t>taken into account</w:t>
      </w:r>
      <w:proofErr w:type="gramEnd"/>
      <w:r w:rsidRPr="00C81A73">
        <w:rPr>
          <w:kern w:val="2"/>
        </w:rPr>
        <w:t xml:space="preserve"> in determining if a State’s inclusion rate was higher than or not significantly different from the NAGB goal of 85 percent.</w:t>
      </w:r>
    </w:p>
    <w:p w14:paraId="5ACF7ED1" w14:textId="77777777" w:rsidR="00BE5CED" w:rsidRPr="00C81A73" w:rsidRDefault="00BE5CED" w:rsidP="00BE5CED">
      <w:pPr>
        <w:pStyle w:val="ListParagraph"/>
        <w:rPr>
          <w:kern w:val="2"/>
        </w:rPr>
      </w:pPr>
      <w:r w:rsidRPr="00C81A73">
        <w:rPr>
          <w:kern w:val="2"/>
        </w:rPr>
        <w:t xml:space="preserve">A State’s data on the percentage of CWD who exited school by dropping out were rank-ordered; the top </w:t>
      </w:r>
      <w:proofErr w:type="spellStart"/>
      <w:r w:rsidRPr="00C81A73">
        <w:rPr>
          <w:kern w:val="2"/>
        </w:rPr>
        <w:t>t</w:t>
      </w:r>
      <w:r w:rsidR="00271FEB">
        <w:rPr>
          <w:kern w:val="2"/>
        </w:rPr>
        <w:t>ertile</w:t>
      </w:r>
      <w:proofErr w:type="spellEnd"/>
      <w:r w:rsidRPr="00C81A73">
        <w:rPr>
          <w:kern w:val="2"/>
        </w:rPr>
        <w:t xml:space="preserve"> of States (</w:t>
      </w:r>
      <w:r w:rsidRPr="002D391E">
        <w:rPr>
          <w:i/>
          <w:kern w:val="2"/>
        </w:rPr>
        <w:t>i.e.</w:t>
      </w:r>
      <w:r w:rsidRPr="00C81A73">
        <w:rPr>
          <w:kern w:val="2"/>
        </w:rPr>
        <w:t xml:space="preserve">, those with the lowest percentage) received a score of ‘2’, the middle </w:t>
      </w:r>
      <w:proofErr w:type="spellStart"/>
      <w:r w:rsidRPr="00C81A73">
        <w:rPr>
          <w:kern w:val="2"/>
        </w:rPr>
        <w:t>t</w:t>
      </w:r>
      <w:r w:rsidR="00271FEB">
        <w:rPr>
          <w:kern w:val="2"/>
        </w:rPr>
        <w:t>ertile</w:t>
      </w:r>
      <w:proofErr w:type="spellEnd"/>
      <w:r w:rsidRPr="00C81A73">
        <w:rPr>
          <w:kern w:val="2"/>
        </w:rPr>
        <w:t xml:space="preserve"> of States received a ‘1’, and the bottom </w:t>
      </w:r>
      <w:proofErr w:type="spellStart"/>
      <w:r w:rsidRPr="00C81A73">
        <w:rPr>
          <w:kern w:val="2"/>
        </w:rPr>
        <w:t>t</w:t>
      </w:r>
      <w:r w:rsidR="00271FEB">
        <w:rPr>
          <w:kern w:val="2"/>
        </w:rPr>
        <w:t>ertile</w:t>
      </w:r>
      <w:proofErr w:type="spellEnd"/>
      <w:r w:rsidRPr="00C81A73">
        <w:rPr>
          <w:kern w:val="2"/>
        </w:rPr>
        <w:t xml:space="preserve"> of States (</w:t>
      </w:r>
      <w:r w:rsidRPr="002D391E">
        <w:rPr>
          <w:i/>
          <w:kern w:val="2"/>
        </w:rPr>
        <w:t>i.e.</w:t>
      </w:r>
      <w:r w:rsidRPr="00C81A73">
        <w:rPr>
          <w:kern w:val="2"/>
        </w:rPr>
        <w:t>, those with the highest percentage) received a ‘0’.</w:t>
      </w:r>
    </w:p>
    <w:p w14:paraId="5ACF7ED2" w14:textId="77777777" w:rsidR="00BE5CED" w:rsidRPr="00C81A73" w:rsidRDefault="00BE5CED" w:rsidP="00BE5CED">
      <w:pPr>
        <w:pStyle w:val="ListParagraph"/>
      </w:pPr>
      <w:r w:rsidRPr="00C81A73">
        <w:t xml:space="preserve">A State’s data on the percentage of CWD who exited school by graduating with a regular high school diploma were rank-ordered; the top </w:t>
      </w:r>
      <w:proofErr w:type="spellStart"/>
      <w:r w:rsidRPr="00C81A73">
        <w:t>t</w:t>
      </w:r>
      <w:r w:rsidR="00271FEB">
        <w:t>ertile</w:t>
      </w:r>
      <w:proofErr w:type="spellEnd"/>
      <w:r w:rsidRPr="00C81A73">
        <w:t xml:space="preserve"> of States (</w:t>
      </w:r>
      <w:r w:rsidRPr="002D391E">
        <w:rPr>
          <w:i/>
        </w:rPr>
        <w:t>i.e.</w:t>
      </w:r>
      <w:r w:rsidRPr="00C81A73">
        <w:t xml:space="preserve">, those with the highest percentage) received a score of ‘2’, the middle </w:t>
      </w:r>
      <w:proofErr w:type="spellStart"/>
      <w:r w:rsidRPr="00C81A73">
        <w:t>t</w:t>
      </w:r>
      <w:r w:rsidR="00271FEB">
        <w:t>ertile</w:t>
      </w:r>
      <w:proofErr w:type="spellEnd"/>
      <w:r w:rsidRPr="00C81A73">
        <w:t xml:space="preserve"> of States received a ‘1’, and the bottom </w:t>
      </w:r>
      <w:proofErr w:type="spellStart"/>
      <w:r w:rsidRPr="00C81A73">
        <w:t>t</w:t>
      </w:r>
      <w:r w:rsidR="00271FEB">
        <w:t>ertile</w:t>
      </w:r>
      <w:proofErr w:type="spellEnd"/>
      <w:r w:rsidRPr="00C81A73">
        <w:t xml:space="preserve"> of States (</w:t>
      </w:r>
      <w:r w:rsidRPr="002D391E">
        <w:rPr>
          <w:i/>
        </w:rPr>
        <w:t>i.e.</w:t>
      </w:r>
      <w:r w:rsidRPr="00C81A73">
        <w:t>, those with the lowest percentage) received a ‘0’.</w:t>
      </w:r>
    </w:p>
    <w:p w14:paraId="5ACF7ED3" w14:textId="77777777" w:rsidR="00BE5CED" w:rsidRPr="00C81A73" w:rsidRDefault="00BE5CED" w:rsidP="00BE5CED">
      <w:pPr>
        <w:spacing w:before="240" w:after="120"/>
        <w:rPr>
          <w:b/>
          <w:u w:val="single"/>
        </w:rPr>
      </w:pPr>
      <w:r w:rsidRPr="00C81A73">
        <w:t>The following table identifies how each of the Results Elements was scored:</w:t>
      </w:r>
    </w:p>
    <w:tbl>
      <w:tblPr>
        <w:tblW w:w="9360" w:type="dxa"/>
        <w:jc w:val="center"/>
        <w:tblBorders>
          <w:top w:val="single" w:sz="4" w:space="0" w:color="auto"/>
          <w:bottom w:val="single" w:sz="4" w:space="0" w:color="auto"/>
          <w:insideH w:val="single" w:sz="4" w:space="0" w:color="auto"/>
          <w:insideV w:val="single" w:sz="4" w:space="0" w:color="auto"/>
        </w:tblBorders>
        <w:tblLayout w:type="fixed"/>
        <w:tblCellMar>
          <w:top w:w="43" w:type="dxa"/>
          <w:left w:w="0" w:type="dxa"/>
          <w:bottom w:w="29" w:type="dxa"/>
          <w:right w:w="0" w:type="dxa"/>
        </w:tblCellMar>
        <w:tblLook w:val="04A0" w:firstRow="1" w:lastRow="0" w:firstColumn="1" w:lastColumn="0" w:noHBand="0" w:noVBand="1"/>
      </w:tblPr>
      <w:tblGrid>
        <w:gridCol w:w="6297"/>
        <w:gridCol w:w="1021"/>
        <w:gridCol w:w="1021"/>
        <w:gridCol w:w="1021"/>
      </w:tblGrid>
      <w:tr w:rsidR="00BE5CED" w:rsidRPr="0074302B" w14:paraId="5ACF7ED8" w14:textId="77777777" w:rsidTr="00A17C0A">
        <w:trPr>
          <w:cantSplit/>
          <w:tblHeader/>
          <w:jc w:val="center"/>
        </w:trPr>
        <w:tc>
          <w:tcPr>
            <w:tcW w:w="6297" w:type="dxa"/>
            <w:shd w:val="clear" w:color="auto" w:fill="DBE5F1"/>
            <w:noWrap/>
            <w:vAlign w:val="center"/>
          </w:tcPr>
          <w:p w14:paraId="5ACF7ED4" w14:textId="77777777" w:rsidR="00BE5CED" w:rsidRPr="0074302B" w:rsidRDefault="00BE5CED" w:rsidP="00AB5D81">
            <w:pPr>
              <w:spacing w:before="0" w:line="240" w:lineRule="auto"/>
              <w:ind w:firstLine="180"/>
              <w:rPr>
                <w:b/>
                <w:color w:val="244061"/>
                <w:kern w:val="2"/>
              </w:rPr>
            </w:pPr>
            <w:r w:rsidRPr="0074302B">
              <w:rPr>
                <w:b/>
                <w:color w:val="244061"/>
                <w:kern w:val="2"/>
              </w:rPr>
              <w:t>Results Elements</w:t>
            </w:r>
          </w:p>
        </w:tc>
        <w:tc>
          <w:tcPr>
            <w:tcW w:w="1021" w:type="dxa"/>
            <w:shd w:val="clear" w:color="auto" w:fill="DBE5F1"/>
            <w:noWrap/>
            <w:vAlign w:val="bottom"/>
          </w:tcPr>
          <w:p w14:paraId="5ACF7ED5" w14:textId="77777777" w:rsidR="00BE5CED" w:rsidRPr="0074302B" w:rsidRDefault="00BE5CED" w:rsidP="00AB5D81">
            <w:pPr>
              <w:spacing w:before="0" w:line="240" w:lineRule="auto"/>
              <w:jc w:val="center"/>
              <w:rPr>
                <w:b/>
                <w:color w:val="244061"/>
                <w:kern w:val="2"/>
              </w:rPr>
            </w:pPr>
            <w:r w:rsidRPr="0074302B">
              <w:rPr>
                <w:b/>
                <w:color w:val="244061"/>
                <w:kern w:val="2"/>
              </w:rPr>
              <w:t>RDA Score=</w:t>
            </w:r>
            <w:r w:rsidRPr="0074302B">
              <w:rPr>
                <w:b/>
                <w:color w:val="244061"/>
                <w:kern w:val="2"/>
              </w:rPr>
              <w:br/>
              <w:t>0</w:t>
            </w:r>
          </w:p>
        </w:tc>
        <w:tc>
          <w:tcPr>
            <w:tcW w:w="1021" w:type="dxa"/>
            <w:shd w:val="clear" w:color="auto" w:fill="DBE5F1"/>
            <w:noWrap/>
            <w:vAlign w:val="bottom"/>
          </w:tcPr>
          <w:p w14:paraId="5ACF7ED6" w14:textId="77777777" w:rsidR="00BE5CED" w:rsidRPr="0074302B" w:rsidRDefault="00BE5CED" w:rsidP="00AB5D81">
            <w:pPr>
              <w:spacing w:before="0" w:line="240" w:lineRule="auto"/>
              <w:jc w:val="center"/>
              <w:rPr>
                <w:b/>
                <w:color w:val="244061"/>
                <w:kern w:val="2"/>
              </w:rPr>
            </w:pPr>
            <w:r w:rsidRPr="0074302B">
              <w:rPr>
                <w:b/>
                <w:color w:val="244061"/>
                <w:kern w:val="2"/>
              </w:rPr>
              <w:t xml:space="preserve">RDA Score= </w:t>
            </w:r>
            <w:r w:rsidRPr="0074302B">
              <w:rPr>
                <w:b/>
                <w:color w:val="244061"/>
                <w:kern w:val="2"/>
              </w:rPr>
              <w:br/>
              <w:t>1</w:t>
            </w:r>
          </w:p>
        </w:tc>
        <w:tc>
          <w:tcPr>
            <w:tcW w:w="1021" w:type="dxa"/>
            <w:shd w:val="clear" w:color="auto" w:fill="DBE5F1"/>
            <w:noWrap/>
            <w:vAlign w:val="bottom"/>
          </w:tcPr>
          <w:p w14:paraId="5ACF7ED7" w14:textId="77777777" w:rsidR="00BE5CED" w:rsidRPr="0074302B" w:rsidRDefault="00BE5CED" w:rsidP="00AB5D81">
            <w:pPr>
              <w:spacing w:before="0" w:line="240" w:lineRule="auto"/>
              <w:jc w:val="center"/>
              <w:rPr>
                <w:b/>
                <w:color w:val="244061"/>
                <w:kern w:val="2"/>
              </w:rPr>
            </w:pPr>
            <w:r w:rsidRPr="0074302B">
              <w:rPr>
                <w:b/>
                <w:color w:val="244061"/>
                <w:kern w:val="2"/>
              </w:rPr>
              <w:t xml:space="preserve">RDA Score= </w:t>
            </w:r>
            <w:r w:rsidRPr="0074302B">
              <w:rPr>
                <w:b/>
                <w:color w:val="244061"/>
                <w:kern w:val="2"/>
              </w:rPr>
              <w:br/>
              <w:t>2</w:t>
            </w:r>
          </w:p>
        </w:tc>
      </w:tr>
      <w:tr w:rsidR="00BE5CED" w:rsidRPr="0074302B" w14:paraId="5ACF7EDD" w14:textId="77777777" w:rsidTr="00A17C0A">
        <w:trPr>
          <w:cantSplit/>
          <w:jc w:val="center"/>
        </w:trPr>
        <w:tc>
          <w:tcPr>
            <w:tcW w:w="6297" w:type="dxa"/>
            <w:shd w:val="clear" w:color="auto" w:fill="auto"/>
            <w:noWrap/>
            <w:vAlign w:val="bottom"/>
            <w:hideMark/>
          </w:tcPr>
          <w:p w14:paraId="5ACF7ED9" w14:textId="77777777" w:rsidR="00BE5CED" w:rsidRPr="0074302B" w:rsidRDefault="00BE5CED" w:rsidP="00AB5D81">
            <w:pPr>
              <w:spacing w:before="0"/>
              <w:rPr>
                <w:color w:val="244061"/>
                <w:kern w:val="2"/>
              </w:rPr>
            </w:pPr>
            <w:r w:rsidRPr="0074302B">
              <w:rPr>
                <w:color w:val="244061"/>
                <w:kern w:val="2"/>
              </w:rPr>
              <w:t xml:space="preserve">Participation Rate of 4th and 8th Grade CWD on </w:t>
            </w:r>
            <w:r w:rsidRPr="0074302B">
              <w:rPr>
                <w:color w:val="244061"/>
                <w:kern w:val="2"/>
              </w:rPr>
              <w:br/>
              <w:t>Regular Statewide Assessments (reading and math, separately)</w:t>
            </w:r>
          </w:p>
        </w:tc>
        <w:tc>
          <w:tcPr>
            <w:tcW w:w="1021" w:type="dxa"/>
            <w:shd w:val="clear" w:color="auto" w:fill="auto"/>
            <w:noWrap/>
            <w:vAlign w:val="bottom"/>
            <w:hideMark/>
          </w:tcPr>
          <w:p w14:paraId="5ACF7EDA" w14:textId="77777777" w:rsidR="00BE5CED" w:rsidRPr="0074302B" w:rsidRDefault="00BE5CED" w:rsidP="00AB5D81">
            <w:pPr>
              <w:spacing w:before="0"/>
              <w:jc w:val="center"/>
              <w:rPr>
                <w:color w:val="244061"/>
                <w:kern w:val="2"/>
              </w:rPr>
            </w:pPr>
            <w:r w:rsidRPr="0074302B">
              <w:rPr>
                <w:color w:val="244061"/>
                <w:kern w:val="2"/>
              </w:rPr>
              <w:t>&lt;80</w:t>
            </w:r>
          </w:p>
        </w:tc>
        <w:tc>
          <w:tcPr>
            <w:tcW w:w="1021" w:type="dxa"/>
            <w:shd w:val="clear" w:color="auto" w:fill="auto"/>
            <w:noWrap/>
            <w:vAlign w:val="bottom"/>
            <w:hideMark/>
          </w:tcPr>
          <w:p w14:paraId="5ACF7EDB" w14:textId="77777777" w:rsidR="00BE5CED" w:rsidRPr="0074302B" w:rsidRDefault="00BE5CED" w:rsidP="00AB5D81">
            <w:pPr>
              <w:spacing w:before="0"/>
              <w:jc w:val="center"/>
              <w:rPr>
                <w:color w:val="244061"/>
                <w:kern w:val="2"/>
              </w:rPr>
            </w:pPr>
            <w:r w:rsidRPr="0074302B">
              <w:rPr>
                <w:color w:val="244061"/>
                <w:kern w:val="2"/>
              </w:rPr>
              <w:t>8</w:t>
            </w:r>
            <w:r>
              <w:rPr>
                <w:color w:val="244061"/>
                <w:kern w:val="2"/>
              </w:rPr>
              <w:t>0</w:t>
            </w:r>
            <w:r w:rsidRPr="0074302B">
              <w:rPr>
                <w:color w:val="244061"/>
                <w:kern w:val="2"/>
              </w:rPr>
              <w:t>-89</w:t>
            </w:r>
          </w:p>
        </w:tc>
        <w:tc>
          <w:tcPr>
            <w:tcW w:w="1021" w:type="dxa"/>
            <w:shd w:val="clear" w:color="auto" w:fill="auto"/>
            <w:noWrap/>
            <w:vAlign w:val="bottom"/>
            <w:hideMark/>
          </w:tcPr>
          <w:p w14:paraId="5ACF7EDC" w14:textId="77777777" w:rsidR="00BE5CED" w:rsidRPr="0074302B" w:rsidRDefault="00BE5CED" w:rsidP="00AB5D81">
            <w:pPr>
              <w:spacing w:before="0"/>
              <w:jc w:val="center"/>
              <w:rPr>
                <w:color w:val="244061"/>
                <w:kern w:val="2"/>
              </w:rPr>
            </w:pPr>
            <w:r w:rsidRPr="0074302B">
              <w:rPr>
                <w:color w:val="244061"/>
                <w:kern w:val="2"/>
              </w:rPr>
              <w:t>&gt;=90</w:t>
            </w:r>
          </w:p>
        </w:tc>
      </w:tr>
      <w:tr w:rsidR="00BE5CED" w:rsidRPr="0074302B" w14:paraId="5ACF7EE2" w14:textId="77777777" w:rsidTr="00A17C0A">
        <w:trPr>
          <w:cantSplit/>
          <w:jc w:val="center"/>
        </w:trPr>
        <w:tc>
          <w:tcPr>
            <w:tcW w:w="6297" w:type="dxa"/>
            <w:shd w:val="clear" w:color="auto" w:fill="auto"/>
            <w:noWrap/>
            <w:vAlign w:val="bottom"/>
            <w:hideMark/>
          </w:tcPr>
          <w:p w14:paraId="5ACF7EDE" w14:textId="77777777" w:rsidR="00BE5CED" w:rsidRPr="0074302B" w:rsidRDefault="00BE5CED" w:rsidP="00AB5D81">
            <w:pPr>
              <w:spacing w:before="0"/>
              <w:rPr>
                <w:color w:val="244061"/>
                <w:kern w:val="2"/>
              </w:rPr>
            </w:pPr>
            <w:r w:rsidRPr="0074302B">
              <w:rPr>
                <w:color w:val="244061"/>
                <w:kern w:val="2"/>
              </w:rPr>
              <w:t>Percentage of 4th grade CWD scoring Basic or above on reading NAEP</w:t>
            </w:r>
          </w:p>
        </w:tc>
        <w:tc>
          <w:tcPr>
            <w:tcW w:w="1021" w:type="dxa"/>
            <w:shd w:val="clear" w:color="auto" w:fill="auto"/>
            <w:noWrap/>
            <w:vAlign w:val="bottom"/>
            <w:hideMark/>
          </w:tcPr>
          <w:p w14:paraId="5ACF7EDF" w14:textId="77777777" w:rsidR="00BE5CED" w:rsidRPr="0074302B" w:rsidRDefault="00BE5CED" w:rsidP="00AB5D81">
            <w:pPr>
              <w:spacing w:before="0"/>
              <w:jc w:val="center"/>
              <w:rPr>
                <w:color w:val="244061"/>
                <w:kern w:val="2"/>
              </w:rPr>
            </w:pPr>
            <w:r w:rsidRPr="0074302B">
              <w:rPr>
                <w:color w:val="244061"/>
                <w:kern w:val="2"/>
              </w:rPr>
              <w:t>&lt;2</w:t>
            </w:r>
            <w:r w:rsidR="00822B59">
              <w:rPr>
                <w:color w:val="244061"/>
                <w:kern w:val="2"/>
              </w:rPr>
              <w:t>3</w:t>
            </w:r>
          </w:p>
        </w:tc>
        <w:tc>
          <w:tcPr>
            <w:tcW w:w="1021" w:type="dxa"/>
            <w:shd w:val="clear" w:color="auto" w:fill="auto"/>
            <w:noWrap/>
            <w:vAlign w:val="bottom"/>
            <w:hideMark/>
          </w:tcPr>
          <w:p w14:paraId="5ACF7EE0" w14:textId="77777777" w:rsidR="00BE5CED" w:rsidRPr="0074302B" w:rsidRDefault="00BE5CED" w:rsidP="00AB5D81">
            <w:pPr>
              <w:spacing w:before="0"/>
              <w:jc w:val="center"/>
              <w:rPr>
                <w:color w:val="244061"/>
                <w:kern w:val="2"/>
              </w:rPr>
            </w:pPr>
            <w:r w:rsidRPr="0074302B">
              <w:rPr>
                <w:color w:val="244061"/>
                <w:kern w:val="2"/>
              </w:rPr>
              <w:t>2</w:t>
            </w:r>
            <w:r w:rsidR="00822B59">
              <w:rPr>
                <w:color w:val="244061"/>
                <w:kern w:val="2"/>
              </w:rPr>
              <w:t>3</w:t>
            </w:r>
            <w:r w:rsidRPr="0074302B">
              <w:rPr>
                <w:color w:val="244061"/>
                <w:kern w:val="2"/>
              </w:rPr>
              <w:t>-</w:t>
            </w:r>
            <w:r w:rsidR="00822B59">
              <w:rPr>
                <w:color w:val="244061"/>
                <w:kern w:val="2"/>
              </w:rPr>
              <w:t>28</w:t>
            </w:r>
          </w:p>
        </w:tc>
        <w:tc>
          <w:tcPr>
            <w:tcW w:w="1021" w:type="dxa"/>
            <w:shd w:val="clear" w:color="auto" w:fill="auto"/>
            <w:noWrap/>
            <w:vAlign w:val="bottom"/>
            <w:hideMark/>
          </w:tcPr>
          <w:p w14:paraId="5ACF7EE1" w14:textId="77777777" w:rsidR="00BE5CED" w:rsidRPr="0074302B" w:rsidRDefault="00BE5CED" w:rsidP="00AB5D81">
            <w:pPr>
              <w:spacing w:before="0"/>
              <w:jc w:val="center"/>
              <w:rPr>
                <w:color w:val="244061"/>
                <w:kern w:val="2"/>
              </w:rPr>
            </w:pPr>
            <w:r w:rsidRPr="0074302B">
              <w:rPr>
                <w:color w:val="244061"/>
                <w:kern w:val="2"/>
              </w:rPr>
              <w:t>&gt;=</w:t>
            </w:r>
            <w:r w:rsidR="00822B59">
              <w:rPr>
                <w:color w:val="244061"/>
                <w:kern w:val="2"/>
              </w:rPr>
              <w:t>29</w:t>
            </w:r>
          </w:p>
        </w:tc>
      </w:tr>
      <w:tr w:rsidR="00BE5CED" w:rsidRPr="0074302B" w14:paraId="5ACF7EE7" w14:textId="77777777" w:rsidTr="00A17C0A">
        <w:trPr>
          <w:cantSplit/>
          <w:jc w:val="center"/>
        </w:trPr>
        <w:tc>
          <w:tcPr>
            <w:tcW w:w="6297" w:type="dxa"/>
            <w:shd w:val="clear" w:color="auto" w:fill="auto"/>
            <w:noWrap/>
            <w:vAlign w:val="bottom"/>
            <w:hideMark/>
          </w:tcPr>
          <w:p w14:paraId="5ACF7EE3" w14:textId="77777777" w:rsidR="00BE5CED" w:rsidRPr="0074302B" w:rsidRDefault="00BE5CED" w:rsidP="00AB5D81">
            <w:pPr>
              <w:spacing w:before="0"/>
              <w:rPr>
                <w:color w:val="244061"/>
                <w:kern w:val="2"/>
              </w:rPr>
            </w:pPr>
            <w:r w:rsidRPr="0074302B">
              <w:rPr>
                <w:color w:val="244061"/>
                <w:kern w:val="2"/>
              </w:rPr>
              <w:t>Percentage of 8th grade CWD scoring Basic or above on reading NAEP</w:t>
            </w:r>
          </w:p>
        </w:tc>
        <w:tc>
          <w:tcPr>
            <w:tcW w:w="1021" w:type="dxa"/>
            <w:shd w:val="clear" w:color="auto" w:fill="auto"/>
            <w:noWrap/>
            <w:vAlign w:val="bottom"/>
            <w:hideMark/>
          </w:tcPr>
          <w:p w14:paraId="5ACF7EE4" w14:textId="77777777" w:rsidR="00BE5CED" w:rsidRPr="0074302B" w:rsidRDefault="00BE5CED" w:rsidP="0014093B">
            <w:pPr>
              <w:spacing w:before="0"/>
              <w:jc w:val="center"/>
              <w:rPr>
                <w:color w:val="244061"/>
                <w:kern w:val="2"/>
              </w:rPr>
            </w:pPr>
            <w:r w:rsidRPr="0074302B">
              <w:rPr>
                <w:color w:val="244061"/>
                <w:kern w:val="2"/>
              </w:rPr>
              <w:t>&lt;2</w:t>
            </w:r>
            <w:r w:rsidR="0014093B">
              <w:rPr>
                <w:color w:val="244061"/>
                <w:kern w:val="2"/>
              </w:rPr>
              <w:t>9</w:t>
            </w:r>
          </w:p>
        </w:tc>
        <w:tc>
          <w:tcPr>
            <w:tcW w:w="1021" w:type="dxa"/>
            <w:shd w:val="clear" w:color="auto" w:fill="auto"/>
            <w:noWrap/>
            <w:vAlign w:val="bottom"/>
            <w:hideMark/>
          </w:tcPr>
          <w:p w14:paraId="5ACF7EE5" w14:textId="77777777" w:rsidR="00BE5CED" w:rsidRPr="0074302B" w:rsidRDefault="00BE5CED" w:rsidP="00AB5D81">
            <w:pPr>
              <w:spacing w:before="0"/>
              <w:jc w:val="center"/>
              <w:rPr>
                <w:color w:val="244061"/>
                <w:kern w:val="2"/>
              </w:rPr>
            </w:pPr>
            <w:r w:rsidRPr="0074302B">
              <w:rPr>
                <w:color w:val="244061"/>
                <w:kern w:val="2"/>
              </w:rPr>
              <w:t>2</w:t>
            </w:r>
            <w:r w:rsidR="0014093B">
              <w:rPr>
                <w:color w:val="244061"/>
                <w:kern w:val="2"/>
              </w:rPr>
              <w:t>9</w:t>
            </w:r>
            <w:r w:rsidRPr="0074302B">
              <w:rPr>
                <w:color w:val="244061"/>
                <w:kern w:val="2"/>
              </w:rPr>
              <w:t>-3</w:t>
            </w:r>
            <w:r w:rsidR="0014093B">
              <w:rPr>
                <w:color w:val="244061"/>
                <w:kern w:val="2"/>
              </w:rPr>
              <w:t>4</w:t>
            </w:r>
          </w:p>
        </w:tc>
        <w:tc>
          <w:tcPr>
            <w:tcW w:w="1021" w:type="dxa"/>
            <w:shd w:val="clear" w:color="auto" w:fill="auto"/>
            <w:noWrap/>
            <w:vAlign w:val="bottom"/>
            <w:hideMark/>
          </w:tcPr>
          <w:p w14:paraId="5ACF7EE6" w14:textId="77777777" w:rsidR="00BE5CED" w:rsidRPr="0074302B" w:rsidRDefault="00BE5CED" w:rsidP="00AB5D81">
            <w:pPr>
              <w:spacing w:before="0"/>
              <w:jc w:val="center"/>
              <w:rPr>
                <w:color w:val="244061"/>
                <w:kern w:val="2"/>
              </w:rPr>
            </w:pPr>
            <w:r w:rsidRPr="0074302B">
              <w:rPr>
                <w:color w:val="244061"/>
                <w:kern w:val="2"/>
              </w:rPr>
              <w:t>&gt;=3</w:t>
            </w:r>
            <w:r w:rsidR="0014093B">
              <w:rPr>
                <w:color w:val="244061"/>
                <w:kern w:val="2"/>
              </w:rPr>
              <w:t>5</w:t>
            </w:r>
          </w:p>
        </w:tc>
      </w:tr>
      <w:tr w:rsidR="00BE5CED" w:rsidRPr="0074302B" w14:paraId="5ACF7EEC" w14:textId="77777777" w:rsidTr="00A17C0A">
        <w:trPr>
          <w:cantSplit/>
          <w:jc w:val="center"/>
        </w:trPr>
        <w:tc>
          <w:tcPr>
            <w:tcW w:w="6297" w:type="dxa"/>
            <w:shd w:val="clear" w:color="auto" w:fill="auto"/>
            <w:noWrap/>
            <w:vAlign w:val="bottom"/>
            <w:hideMark/>
          </w:tcPr>
          <w:p w14:paraId="5ACF7EE8" w14:textId="77777777" w:rsidR="00BE5CED" w:rsidRPr="0074302B" w:rsidRDefault="00BE5CED" w:rsidP="00AB5D81">
            <w:pPr>
              <w:spacing w:before="0"/>
              <w:rPr>
                <w:color w:val="244061"/>
                <w:kern w:val="2"/>
              </w:rPr>
            </w:pPr>
            <w:r w:rsidRPr="0074302B">
              <w:rPr>
                <w:color w:val="244061"/>
                <w:kern w:val="2"/>
              </w:rPr>
              <w:t>Percentage of 4th grade CWD scoring Basic or above on math NAEP</w:t>
            </w:r>
          </w:p>
        </w:tc>
        <w:tc>
          <w:tcPr>
            <w:tcW w:w="1021" w:type="dxa"/>
            <w:shd w:val="clear" w:color="auto" w:fill="auto"/>
            <w:noWrap/>
            <w:vAlign w:val="bottom"/>
            <w:hideMark/>
          </w:tcPr>
          <w:p w14:paraId="5ACF7EE9" w14:textId="77777777" w:rsidR="00BE5CED" w:rsidRPr="0074302B" w:rsidRDefault="00BE5CED" w:rsidP="0014093B">
            <w:pPr>
              <w:spacing w:before="0"/>
              <w:jc w:val="center"/>
              <w:rPr>
                <w:color w:val="244061"/>
                <w:kern w:val="2"/>
              </w:rPr>
            </w:pPr>
            <w:r w:rsidRPr="0074302B">
              <w:rPr>
                <w:color w:val="244061"/>
                <w:kern w:val="2"/>
              </w:rPr>
              <w:t>&lt;</w:t>
            </w:r>
            <w:r w:rsidR="0014093B">
              <w:rPr>
                <w:color w:val="244061"/>
                <w:kern w:val="2"/>
              </w:rPr>
              <w:t>39</w:t>
            </w:r>
          </w:p>
        </w:tc>
        <w:tc>
          <w:tcPr>
            <w:tcW w:w="1021" w:type="dxa"/>
            <w:shd w:val="clear" w:color="auto" w:fill="auto"/>
            <w:noWrap/>
            <w:vAlign w:val="bottom"/>
            <w:hideMark/>
          </w:tcPr>
          <w:p w14:paraId="5ACF7EEA" w14:textId="77777777" w:rsidR="00BE5CED" w:rsidRPr="0074302B" w:rsidRDefault="0014093B" w:rsidP="0014093B">
            <w:pPr>
              <w:spacing w:before="0"/>
              <w:jc w:val="center"/>
              <w:rPr>
                <w:color w:val="244061"/>
                <w:kern w:val="2"/>
              </w:rPr>
            </w:pPr>
            <w:r>
              <w:rPr>
                <w:color w:val="244061"/>
                <w:kern w:val="2"/>
              </w:rPr>
              <w:t>39</w:t>
            </w:r>
            <w:r w:rsidR="00BE5CED">
              <w:rPr>
                <w:color w:val="244061"/>
                <w:kern w:val="2"/>
              </w:rPr>
              <w:t>-</w:t>
            </w:r>
            <w:r>
              <w:rPr>
                <w:color w:val="244061"/>
                <w:kern w:val="2"/>
              </w:rPr>
              <w:t>48</w:t>
            </w:r>
          </w:p>
        </w:tc>
        <w:tc>
          <w:tcPr>
            <w:tcW w:w="1021" w:type="dxa"/>
            <w:shd w:val="clear" w:color="auto" w:fill="auto"/>
            <w:noWrap/>
            <w:vAlign w:val="bottom"/>
            <w:hideMark/>
          </w:tcPr>
          <w:p w14:paraId="5ACF7EEB" w14:textId="77777777" w:rsidR="00BE5CED" w:rsidRPr="0074302B" w:rsidRDefault="00BE5CED" w:rsidP="00AB5D81">
            <w:pPr>
              <w:spacing w:before="0"/>
              <w:jc w:val="center"/>
              <w:rPr>
                <w:color w:val="244061"/>
                <w:kern w:val="2"/>
              </w:rPr>
            </w:pPr>
            <w:r w:rsidRPr="0074302B">
              <w:rPr>
                <w:color w:val="244061"/>
                <w:kern w:val="2"/>
              </w:rPr>
              <w:t>&gt;=</w:t>
            </w:r>
            <w:r w:rsidR="0014093B">
              <w:rPr>
                <w:color w:val="244061"/>
                <w:kern w:val="2"/>
              </w:rPr>
              <w:t>49</w:t>
            </w:r>
          </w:p>
        </w:tc>
      </w:tr>
      <w:tr w:rsidR="00BE5CED" w:rsidRPr="0074302B" w14:paraId="5ACF7EF1" w14:textId="77777777" w:rsidTr="00A17C0A">
        <w:trPr>
          <w:cantSplit/>
          <w:jc w:val="center"/>
        </w:trPr>
        <w:tc>
          <w:tcPr>
            <w:tcW w:w="6297" w:type="dxa"/>
            <w:shd w:val="clear" w:color="auto" w:fill="auto"/>
            <w:noWrap/>
            <w:vAlign w:val="bottom"/>
            <w:hideMark/>
          </w:tcPr>
          <w:p w14:paraId="5ACF7EED" w14:textId="77777777" w:rsidR="00BE5CED" w:rsidRPr="0074302B" w:rsidRDefault="00BE5CED" w:rsidP="00AB5D81">
            <w:pPr>
              <w:spacing w:before="0"/>
              <w:rPr>
                <w:color w:val="244061"/>
                <w:kern w:val="2"/>
              </w:rPr>
            </w:pPr>
            <w:r w:rsidRPr="0074302B">
              <w:rPr>
                <w:color w:val="244061"/>
                <w:kern w:val="2"/>
              </w:rPr>
              <w:t>Percentage of 8th grade CWD scoring Basic or above on math NAEP</w:t>
            </w:r>
          </w:p>
        </w:tc>
        <w:tc>
          <w:tcPr>
            <w:tcW w:w="1021" w:type="dxa"/>
            <w:shd w:val="clear" w:color="auto" w:fill="auto"/>
            <w:noWrap/>
            <w:vAlign w:val="bottom"/>
            <w:hideMark/>
          </w:tcPr>
          <w:p w14:paraId="5ACF7EEE" w14:textId="77777777" w:rsidR="00BE5CED" w:rsidRPr="0074302B" w:rsidRDefault="00BE5CED" w:rsidP="00AB5D81">
            <w:pPr>
              <w:spacing w:before="0"/>
              <w:jc w:val="center"/>
              <w:rPr>
                <w:color w:val="244061"/>
                <w:kern w:val="2"/>
              </w:rPr>
            </w:pPr>
            <w:r w:rsidRPr="0074302B">
              <w:rPr>
                <w:color w:val="244061"/>
                <w:kern w:val="2"/>
              </w:rPr>
              <w:t>&lt;</w:t>
            </w:r>
            <w:r w:rsidR="0014093B">
              <w:rPr>
                <w:color w:val="244061"/>
                <w:kern w:val="2"/>
              </w:rPr>
              <w:t>20</w:t>
            </w:r>
          </w:p>
        </w:tc>
        <w:tc>
          <w:tcPr>
            <w:tcW w:w="1021" w:type="dxa"/>
            <w:shd w:val="clear" w:color="auto" w:fill="auto"/>
            <w:noWrap/>
            <w:vAlign w:val="bottom"/>
            <w:hideMark/>
          </w:tcPr>
          <w:p w14:paraId="5ACF7EEF" w14:textId="77777777" w:rsidR="00BE5CED" w:rsidRPr="0074302B" w:rsidRDefault="00BE5CED" w:rsidP="00AB5D81">
            <w:pPr>
              <w:spacing w:before="0"/>
              <w:jc w:val="center"/>
              <w:rPr>
                <w:color w:val="244061"/>
                <w:kern w:val="2"/>
              </w:rPr>
            </w:pPr>
            <w:r w:rsidRPr="0074302B">
              <w:rPr>
                <w:color w:val="244061"/>
                <w:kern w:val="2"/>
              </w:rPr>
              <w:t>2</w:t>
            </w:r>
            <w:r w:rsidR="0014093B">
              <w:rPr>
                <w:color w:val="244061"/>
                <w:kern w:val="2"/>
              </w:rPr>
              <w:t>0</w:t>
            </w:r>
            <w:r w:rsidRPr="0074302B">
              <w:rPr>
                <w:color w:val="244061"/>
                <w:kern w:val="2"/>
              </w:rPr>
              <w:t>-2</w:t>
            </w:r>
            <w:r w:rsidR="0014093B">
              <w:rPr>
                <w:color w:val="244061"/>
                <w:kern w:val="2"/>
              </w:rPr>
              <w:t>7</w:t>
            </w:r>
          </w:p>
        </w:tc>
        <w:tc>
          <w:tcPr>
            <w:tcW w:w="1021" w:type="dxa"/>
            <w:shd w:val="clear" w:color="auto" w:fill="auto"/>
            <w:noWrap/>
            <w:vAlign w:val="bottom"/>
            <w:hideMark/>
          </w:tcPr>
          <w:p w14:paraId="5ACF7EF0" w14:textId="77777777" w:rsidR="00BE5CED" w:rsidRPr="0074302B" w:rsidRDefault="00BE5CED" w:rsidP="0014093B">
            <w:pPr>
              <w:spacing w:before="0"/>
              <w:jc w:val="center"/>
              <w:rPr>
                <w:color w:val="244061"/>
                <w:kern w:val="2"/>
              </w:rPr>
            </w:pPr>
            <w:r w:rsidRPr="0074302B">
              <w:rPr>
                <w:color w:val="244061"/>
                <w:kern w:val="2"/>
              </w:rPr>
              <w:t>&gt;=2</w:t>
            </w:r>
            <w:r w:rsidR="0014093B">
              <w:rPr>
                <w:color w:val="244061"/>
                <w:kern w:val="2"/>
              </w:rPr>
              <w:t>8</w:t>
            </w:r>
          </w:p>
        </w:tc>
      </w:tr>
      <w:tr w:rsidR="00BE5CED" w:rsidRPr="0074302B" w14:paraId="5ACF7EF6" w14:textId="77777777" w:rsidTr="00A17C0A">
        <w:trPr>
          <w:cantSplit/>
          <w:jc w:val="center"/>
        </w:trPr>
        <w:tc>
          <w:tcPr>
            <w:tcW w:w="6297" w:type="dxa"/>
            <w:shd w:val="clear" w:color="auto" w:fill="auto"/>
            <w:noWrap/>
            <w:vAlign w:val="bottom"/>
            <w:hideMark/>
          </w:tcPr>
          <w:p w14:paraId="5ACF7EF2" w14:textId="77777777" w:rsidR="00BE5CED" w:rsidRPr="0074302B" w:rsidRDefault="00BE5CED" w:rsidP="00AB5D81">
            <w:pPr>
              <w:spacing w:before="0"/>
              <w:rPr>
                <w:color w:val="244061"/>
                <w:kern w:val="2"/>
              </w:rPr>
            </w:pPr>
            <w:r w:rsidRPr="0074302B">
              <w:rPr>
                <w:color w:val="244061"/>
                <w:kern w:val="2"/>
              </w:rPr>
              <w:t xml:space="preserve">Percentage of CWD Exiting School by Graduating with a </w:t>
            </w:r>
            <w:r w:rsidRPr="0074302B">
              <w:rPr>
                <w:color w:val="244061"/>
                <w:kern w:val="2"/>
              </w:rPr>
              <w:br/>
              <w:t>Regular High School Diploma</w:t>
            </w:r>
          </w:p>
        </w:tc>
        <w:tc>
          <w:tcPr>
            <w:tcW w:w="1021" w:type="dxa"/>
            <w:shd w:val="clear" w:color="auto" w:fill="auto"/>
            <w:noWrap/>
            <w:vAlign w:val="bottom"/>
            <w:hideMark/>
          </w:tcPr>
          <w:p w14:paraId="5ACF7EF3" w14:textId="14769E2D" w:rsidR="00BE5CED" w:rsidRPr="0074302B" w:rsidRDefault="00BE5CED" w:rsidP="00AB5D81">
            <w:pPr>
              <w:spacing w:before="0"/>
              <w:jc w:val="center"/>
              <w:rPr>
                <w:color w:val="244061"/>
                <w:kern w:val="2"/>
              </w:rPr>
            </w:pPr>
            <w:r w:rsidRPr="0074302B">
              <w:rPr>
                <w:color w:val="244061"/>
                <w:kern w:val="2"/>
              </w:rPr>
              <w:t>&lt;</w:t>
            </w:r>
            <w:r>
              <w:rPr>
                <w:color w:val="244061"/>
                <w:kern w:val="2"/>
              </w:rPr>
              <w:t>6</w:t>
            </w:r>
            <w:r w:rsidR="00F43747">
              <w:rPr>
                <w:color w:val="244061"/>
                <w:kern w:val="2"/>
              </w:rPr>
              <w:t>6</w:t>
            </w:r>
          </w:p>
        </w:tc>
        <w:tc>
          <w:tcPr>
            <w:tcW w:w="1021" w:type="dxa"/>
            <w:shd w:val="clear" w:color="auto" w:fill="auto"/>
            <w:noWrap/>
            <w:vAlign w:val="bottom"/>
            <w:hideMark/>
          </w:tcPr>
          <w:p w14:paraId="5ACF7EF4" w14:textId="259ECE02" w:rsidR="00BE5CED" w:rsidRPr="0074302B" w:rsidRDefault="00BE5CED" w:rsidP="00822B59">
            <w:pPr>
              <w:spacing w:before="0"/>
              <w:jc w:val="center"/>
              <w:rPr>
                <w:color w:val="244061"/>
                <w:kern w:val="2"/>
              </w:rPr>
            </w:pPr>
            <w:r>
              <w:rPr>
                <w:color w:val="244061"/>
                <w:kern w:val="2"/>
              </w:rPr>
              <w:t>6</w:t>
            </w:r>
            <w:r w:rsidR="00F43747">
              <w:rPr>
                <w:color w:val="244061"/>
                <w:kern w:val="2"/>
              </w:rPr>
              <w:t>6</w:t>
            </w:r>
            <w:r w:rsidRPr="0074302B">
              <w:rPr>
                <w:color w:val="244061"/>
                <w:kern w:val="2"/>
              </w:rPr>
              <w:t>-7</w:t>
            </w:r>
            <w:r w:rsidR="00822B59">
              <w:rPr>
                <w:color w:val="244061"/>
                <w:kern w:val="2"/>
              </w:rPr>
              <w:t>5</w:t>
            </w:r>
          </w:p>
        </w:tc>
        <w:tc>
          <w:tcPr>
            <w:tcW w:w="1021" w:type="dxa"/>
            <w:shd w:val="clear" w:color="auto" w:fill="auto"/>
            <w:noWrap/>
            <w:vAlign w:val="bottom"/>
            <w:hideMark/>
          </w:tcPr>
          <w:p w14:paraId="5ACF7EF5" w14:textId="77777777" w:rsidR="00BE5CED" w:rsidRPr="0074302B" w:rsidRDefault="00BE5CED" w:rsidP="00AB5D81">
            <w:pPr>
              <w:spacing w:before="0"/>
              <w:jc w:val="center"/>
              <w:rPr>
                <w:color w:val="244061"/>
                <w:kern w:val="2"/>
              </w:rPr>
            </w:pPr>
            <w:r w:rsidRPr="0074302B">
              <w:rPr>
                <w:color w:val="244061"/>
                <w:kern w:val="2"/>
              </w:rPr>
              <w:t>&gt;=7</w:t>
            </w:r>
            <w:r w:rsidR="00822B59">
              <w:rPr>
                <w:color w:val="244061"/>
                <w:kern w:val="2"/>
              </w:rPr>
              <w:t>6</w:t>
            </w:r>
          </w:p>
        </w:tc>
      </w:tr>
      <w:tr w:rsidR="00BE5CED" w:rsidRPr="0074302B" w14:paraId="5ACF7EFB" w14:textId="77777777" w:rsidTr="00A17C0A">
        <w:trPr>
          <w:cantSplit/>
          <w:jc w:val="center"/>
        </w:trPr>
        <w:tc>
          <w:tcPr>
            <w:tcW w:w="6297" w:type="dxa"/>
            <w:shd w:val="clear" w:color="auto" w:fill="auto"/>
            <w:noWrap/>
            <w:vAlign w:val="bottom"/>
            <w:hideMark/>
          </w:tcPr>
          <w:p w14:paraId="5ACF7EF7" w14:textId="77777777" w:rsidR="00BE5CED" w:rsidRPr="0074302B" w:rsidRDefault="00BE5CED" w:rsidP="00AB5D81">
            <w:pPr>
              <w:spacing w:before="0"/>
              <w:rPr>
                <w:color w:val="244061"/>
                <w:kern w:val="2"/>
              </w:rPr>
            </w:pPr>
            <w:r w:rsidRPr="0074302B">
              <w:rPr>
                <w:color w:val="244061"/>
                <w:kern w:val="2"/>
              </w:rPr>
              <w:t>Percentage of CWD Exiting School by Dropping Out</w:t>
            </w:r>
          </w:p>
        </w:tc>
        <w:tc>
          <w:tcPr>
            <w:tcW w:w="1021" w:type="dxa"/>
            <w:shd w:val="clear" w:color="auto" w:fill="auto"/>
            <w:noWrap/>
            <w:vAlign w:val="bottom"/>
            <w:hideMark/>
          </w:tcPr>
          <w:p w14:paraId="5ACF7EF8" w14:textId="5851FC44" w:rsidR="00BE5CED" w:rsidRPr="0074302B" w:rsidRDefault="00BE5CED" w:rsidP="00822B59">
            <w:pPr>
              <w:spacing w:before="0"/>
              <w:jc w:val="center"/>
              <w:rPr>
                <w:color w:val="244061"/>
                <w:kern w:val="2"/>
              </w:rPr>
            </w:pPr>
            <w:r w:rsidRPr="0074302B">
              <w:rPr>
                <w:color w:val="244061"/>
                <w:kern w:val="2"/>
              </w:rPr>
              <w:t>&gt;</w:t>
            </w:r>
            <w:r w:rsidR="00822B59">
              <w:rPr>
                <w:color w:val="244061"/>
                <w:kern w:val="2"/>
              </w:rPr>
              <w:t>2</w:t>
            </w:r>
            <w:r w:rsidR="00F43747">
              <w:rPr>
                <w:color w:val="244061"/>
                <w:kern w:val="2"/>
              </w:rPr>
              <w:t>3</w:t>
            </w:r>
          </w:p>
        </w:tc>
        <w:tc>
          <w:tcPr>
            <w:tcW w:w="1021" w:type="dxa"/>
            <w:shd w:val="clear" w:color="auto" w:fill="auto"/>
            <w:noWrap/>
            <w:vAlign w:val="bottom"/>
            <w:hideMark/>
          </w:tcPr>
          <w:p w14:paraId="5ACF7EF9" w14:textId="5C4798DD" w:rsidR="00BE5CED" w:rsidRPr="0074302B" w:rsidRDefault="00822B59" w:rsidP="00AB5D81">
            <w:pPr>
              <w:spacing w:before="0"/>
              <w:jc w:val="center"/>
              <w:rPr>
                <w:color w:val="244061"/>
                <w:kern w:val="2"/>
              </w:rPr>
            </w:pPr>
            <w:r>
              <w:rPr>
                <w:color w:val="244061"/>
                <w:kern w:val="2"/>
              </w:rPr>
              <w:t>2</w:t>
            </w:r>
            <w:r w:rsidR="00F43747">
              <w:rPr>
                <w:color w:val="244061"/>
                <w:kern w:val="2"/>
              </w:rPr>
              <w:t>3</w:t>
            </w:r>
            <w:r>
              <w:rPr>
                <w:color w:val="244061"/>
                <w:kern w:val="2"/>
              </w:rPr>
              <w:t>-1</w:t>
            </w:r>
            <w:r w:rsidR="0014093B">
              <w:rPr>
                <w:color w:val="244061"/>
                <w:kern w:val="2"/>
              </w:rPr>
              <w:t>5</w:t>
            </w:r>
          </w:p>
        </w:tc>
        <w:tc>
          <w:tcPr>
            <w:tcW w:w="1021" w:type="dxa"/>
            <w:shd w:val="clear" w:color="auto" w:fill="auto"/>
            <w:noWrap/>
            <w:vAlign w:val="bottom"/>
            <w:hideMark/>
          </w:tcPr>
          <w:p w14:paraId="5ACF7EFA" w14:textId="77777777" w:rsidR="00BE5CED" w:rsidRPr="0074302B" w:rsidRDefault="00BE5CED" w:rsidP="00AB5D81">
            <w:pPr>
              <w:spacing w:before="0"/>
              <w:jc w:val="center"/>
              <w:rPr>
                <w:color w:val="244061"/>
                <w:kern w:val="2"/>
              </w:rPr>
            </w:pPr>
            <w:r w:rsidRPr="0074302B">
              <w:rPr>
                <w:color w:val="244061"/>
                <w:kern w:val="2"/>
              </w:rPr>
              <w:t>&lt;=1</w:t>
            </w:r>
            <w:r>
              <w:rPr>
                <w:color w:val="244061"/>
                <w:kern w:val="2"/>
              </w:rPr>
              <w:t>4</w:t>
            </w:r>
          </w:p>
        </w:tc>
      </w:tr>
      <w:tr w:rsidR="00BE5CED" w:rsidRPr="0074302B" w14:paraId="5ACF7EFF" w14:textId="77777777" w:rsidTr="00A17C0A">
        <w:trPr>
          <w:cantSplit/>
          <w:trHeight w:val="509"/>
          <w:jc w:val="center"/>
        </w:trPr>
        <w:tc>
          <w:tcPr>
            <w:tcW w:w="9360" w:type="dxa"/>
            <w:gridSpan w:val="4"/>
            <w:vMerge w:val="restart"/>
            <w:shd w:val="clear" w:color="auto" w:fill="auto"/>
            <w:vAlign w:val="bottom"/>
            <w:hideMark/>
          </w:tcPr>
          <w:p w14:paraId="5ACF7EFC" w14:textId="77777777" w:rsidR="00BE5CED" w:rsidRPr="0074302B" w:rsidRDefault="00BE5CED" w:rsidP="00AB5D81">
            <w:pPr>
              <w:spacing w:before="0"/>
              <w:ind w:left="360"/>
              <w:rPr>
                <w:color w:val="244061"/>
                <w:kern w:val="2"/>
                <w:sz w:val="20"/>
              </w:rPr>
            </w:pPr>
            <w:r w:rsidRPr="0074302B">
              <w:rPr>
                <w:color w:val="244061"/>
                <w:kern w:val="2"/>
                <w:sz w:val="20"/>
              </w:rPr>
              <w:t xml:space="preserve">Percentage of 4th and 8th Grade CWD included in NAEP testing (reading or math): </w:t>
            </w:r>
          </w:p>
          <w:p w14:paraId="5ACF7EFD" w14:textId="77777777" w:rsidR="00BE5CED" w:rsidRPr="0074302B" w:rsidRDefault="00BE5CED" w:rsidP="00AB5D81">
            <w:pPr>
              <w:spacing w:before="0"/>
              <w:ind w:left="720"/>
              <w:rPr>
                <w:color w:val="244061"/>
                <w:kern w:val="2"/>
                <w:sz w:val="20"/>
              </w:rPr>
            </w:pPr>
            <w:r w:rsidRPr="0074302B">
              <w:rPr>
                <w:color w:val="244061"/>
                <w:kern w:val="2"/>
                <w:sz w:val="20"/>
              </w:rPr>
              <w:t xml:space="preserve">1 point if </w:t>
            </w:r>
            <w:r w:rsidRPr="00A72D8A">
              <w:rPr>
                <w:color w:val="244061"/>
                <w:kern w:val="2"/>
                <w:sz w:val="20"/>
              </w:rPr>
              <w:t>State’s inclusion rate was higher than or not significantly different from the NAGB goal of 85</w:t>
            </w:r>
            <w:r>
              <w:rPr>
                <w:color w:val="244061"/>
                <w:kern w:val="2"/>
                <w:sz w:val="20"/>
              </w:rPr>
              <w:t>%</w:t>
            </w:r>
            <w:r w:rsidRPr="0074302B">
              <w:rPr>
                <w:color w:val="244061"/>
                <w:kern w:val="2"/>
                <w:sz w:val="20"/>
              </w:rPr>
              <w:t>.</w:t>
            </w:r>
          </w:p>
          <w:p w14:paraId="5ACF7EFE" w14:textId="77777777" w:rsidR="00BE5CED" w:rsidRPr="0074302B" w:rsidRDefault="00BE5CED" w:rsidP="00AB5D81">
            <w:pPr>
              <w:spacing w:before="0"/>
              <w:ind w:left="720"/>
              <w:rPr>
                <w:color w:val="244061"/>
                <w:kern w:val="2"/>
              </w:rPr>
            </w:pPr>
            <w:r w:rsidRPr="0074302B">
              <w:rPr>
                <w:color w:val="244061"/>
                <w:kern w:val="2"/>
                <w:sz w:val="20"/>
              </w:rPr>
              <w:t>0 points if less than 85%.</w:t>
            </w:r>
          </w:p>
        </w:tc>
      </w:tr>
      <w:tr w:rsidR="00BE5CED" w:rsidRPr="0074302B" w14:paraId="5ACF7F01" w14:textId="77777777" w:rsidTr="00A17C0A">
        <w:trPr>
          <w:cantSplit/>
          <w:trHeight w:val="509"/>
          <w:jc w:val="center"/>
        </w:trPr>
        <w:tc>
          <w:tcPr>
            <w:tcW w:w="9360" w:type="dxa"/>
            <w:gridSpan w:val="4"/>
            <w:vMerge/>
            <w:vAlign w:val="center"/>
            <w:hideMark/>
          </w:tcPr>
          <w:p w14:paraId="5ACF7F00" w14:textId="77777777" w:rsidR="00BE5CED" w:rsidRPr="0074302B" w:rsidRDefault="00BE5CED" w:rsidP="00AB5D81">
            <w:pPr>
              <w:spacing w:before="0"/>
              <w:rPr>
                <w:color w:val="244061"/>
                <w:kern w:val="2"/>
              </w:rPr>
            </w:pPr>
          </w:p>
        </w:tc>
      </w:tr>
    </w:tbl>
    <w:p w14:paraId="5ACF7F02" w14:textId="77777777" w:rsidR="00BE5CED" w:rsidRPr="00C81A73" w:rsidRDefault="00BE5CED" w:rsidP="00BE5CED">
      <w:pPr>
        <w:spacing w:before="360"/>
      </w:pPr>
      <w:r w:rsidRPr="00C81A73">
        <w:t xml:space="preserve">Using the cumulative possible number of points as the </w:t>
      </w:r>
      <w:proofErr w:type="gramStart"/>
      <w:r w:rsidRPr="00C81A73">
        <w:t>denominator, and</w:t>
      </w:r>
      <w:proofErr w:type="gramEnd"/>
      <w:r w:rsidRPr="00C81A73">
        <w:t xml:space="preserve"> using as the numerator the actual points the State received in its scoring under the Results Elements, the Results Matrix reflects a Results Score, which is combined with the Compliance Score to calculate the State’s RDA Percentage and Determination. </w:t>
      </w:r>
    </w:p>
    <w:p w14:paraId="5ACF7F03" w14:textId="34BF7AE8" w:rsidR="00BE5CED" w:rsidRPr="00C81A73" w:rsidRDefault="00BE5CED" w:rsidP="00BE5CED">
      <w:pPr>
        <w:pStyle w:val="Heading2"/>
      </w:pPr>
      <w:r>
        <w:t xml:space="preserve">C. </w:t>
      </w:r>
      <w:r w:rsidR="00960D07" w:rsidRPr="00960D07">
        <w:t>201</w:t>
      </w:r>
      <w:r w:rsidR="00BB488F">
        <w:t>9</w:t>
      </w:r>
      <w:r w:rsidR="00960D07" w:rsidRPr="00960D07">
        <w:t xml:space="preserve"> RDA Percentage and 201</w:t>
      </w:r>
      <w:r w:rsidR="00BB488F">
        <w:t>9</w:t>
      </w:r>
      <w:r w:rsidR="00960D07" w:rsidRPr="00960D07">
        <w:t xml:space="preserve"> Determination</w:t>
      </w:r>
    </w:p>
    <w:p w14:paraId="5ACF7F04" w14:textId="77777777" w:rsidR="00BE5CED" w:rsidRPr="00C81A73" w:rsidRDefault="00BE5CED" w:rsidP="00BE5CED">
      <w:r w:rsidRPr="00C81A73">
        <w:t xml:space="preserve">The State’s RDA Percentage was calculated by adding 50% of the State’s Results Score and 50% of the State’s Compliance Score. The State’s RDA Determination is defined as follows: </w:t>
      </w:r>
    </w:p>
    <w:p w14:paraId="5ACF7F05" w14:textId="468A9D48" w:rsidR="00BE5CED" w:rsidRPr="00C81A73" w:rsidRDefault="00BE5CED" w:rsidP="0075675E">
      <w:pPr>
        <w:pBdr>
          <w:top w:val="single" w:sz="12" w:space="4" w:color="B6DDE8"/>
          <w:bottom w:val="single" w:sz="12" w:space="4" w:color="B6DDE8"/>
          <w:between w:val="single" w:sz="12" w:space="6" w:color="B6DDE8"/>
        </w:pBdr>
        <w:spacing w:before="360"/>
        <w:ind w:left="3600" w:right="720" w:hanging="3240"/>
        <w:rPr>
          <w:kern w:val="2"/>
        </w:rPr>
      </w:pPr>
      <w:r w:rsidRPr="00057056">
        <w:rPr>
          <w:b/>
          <w:color w:val="1F497D"/>
          <w:kern w:val="2"/>
        </w:rPr>
        <w:t>Meets Requirements</w:t>
      </w:r>
      <w:r w:rsidRPr="00057056">
        <w:rPr>
          <w:b/>
          <w:color w:val="1F497D"/>
          <w:kern w:val="2"/>
        </w:rPr>
        <w:tab/>
      </w:r>
      <w:r>
        <w:rPr>
          <w:kern w:val="2"/>
        </w:rPr>
        <w:t>A</w:t>
      </w:r>
      <w:r w:rsidRPr="00C81A73">
        <w:rPr>
          <w:kern w:val="2"/>
        </w:rPr>
        <w:t xml:space="preserve"> State’s 201</w:t>
      </w:r>
      <w:r w:rsidR="00BB488F">
        <w:rPr>
          <w:kern w:val="2"/>
        </w:rPr>
        <w:t>9</w:t>
      </w:r>
      <w:r w:rsidRPr="00C81A73">
        <w:rPr>
          <w:kern w:val="2"/>
        </w:rPr>
        <w:t xml:space="preserve"> RDA Determination is Meets Requirements if the RDA Percentage is at least 80%,</w:t>
      </w:r>
      <w:r w:rsidRPr="00C81A73">
        <w:rPr>
          <w:kern w:val="2"/>
          <w:vertAlign w:val="superscript"/>
        </w:rPr>
        <w:footnoteReference w:id="11"/>
      </w:r>
      <w:r w:rsidRPr="00C81A73">
        <w:rPr>
          <w:kern w:val="2"/>
        </w:rPr>
        <w:t xml:space="preserve"> unless the Department has imposed Special </w:t>
      </w:r>
      <w:r w:rsidR="00FC46FD">
        <w:rPr>
          <w:kern w:val="2"/>
        </w:rPr>
        <w:t xml:space="preserve">or Specific </w:t>
      </w:r>
      <w:r w:rsidRPr="00C81A73">
        <w:rPr>
          <w:kern w:val="2"/>
        </w:rPr>
        <w:t>Conditions</w:t>
      </w:r>
      <w:r>
        <w:rPr>
          <w:kern w:val="2"/>
        </w:rPr>
        <w:t xml:space="preserve"> </w:t>
      </w:r>
      <w:r w:rsidRPr="00C81A73">
        <w:rPr>
          <w:kern w:val="2"/>
        </w:rPr>
        <w:t>on the State’s last three (FFYs 201</w:t>
      </w:r>
      <w:r w:rsidR="00BB488F">
        <w:rPr>
          <w:kern w:val="2"/>
        </w:rPr>
        <w:t>6</w:t>
      </w:r>
      <w:r w:rsidRPr="00C81A73">
        <w:rPr>
          <w:kern w:val="2"/>
        </w:rPr>
        <w:t>, 201</w:t>
      </w:r>
      <w:r w:rsidR="00BB488F">
        <w:rPr>
          <w:kern w:val="2"/>
        </w:rPr>
        <w:t>7</w:t>
      </w:r>
      <w:r w:rsidRPr="00C81A73">
        <w:rPr>
          <w:kern w:val="2"/>
        </w:rPr>
        <w:t>, and 201</w:t>
      </w:r>
      <w:r w:rsidR="00BB488F">
        <w:rPr>
          <w:kern w:val="2"/>
        </w:rPr>
        <w:t>8</w:t>
      </w:r>
      <w:r w:rsidRPr="00C81A73">
        <w:rPr>
          <w:kern w:val="2"/>
        </w:rPr>
        <w:t xml:space="preserve">) </w:t>
      </w:r>
      <w:r w:rsidRPr="00C81A73">
        <w:rPr>
          <w:i/>
          <w:kern w:val="2"/>
        </w:rPr>
        <w:t>IDEA</w:t>
      </w:r>
      <w:r w:rsidRPr="00C81A73">
        <w:rPr>
          <w:kern w:val="2"/>
        </w:rPr>
        <w:t xml:space="preserve"> Part B grant awards, and those Speci</w:t>
      </w:r>
      <w:r w:rsidR="0066796B">
        <w:rPr>
          <w:kern w:val="2"/>
        </w:rPr>
        <w:t>fic</w:t>
      </w:r>
      <w:r w:rsidRPr="00C81A73">
        <w:rPr>
          <w:kern w:val="2"/>
        </w:rPr>
        <w:t xml:space="preserve"> Conditions are in effect at the time of the 201</w:t>
      </w:r>
      <w:r w:rsidR="00BB488F">
        <w:rPr>
          <w:kern w:val="2"/>
        </w:rPr>
        <w:t>9</w:t>
      </w:r>
      <w:r w:rsidRPr="00C81A73">
        <w:rPr>
          <w:kern w:val="2"/>
        </w:rPr>
        <w:t xml:space="preserve"> determination.</w:t>
      </w:r>
    </w:p>
    <w:p w14:paraId="5ACF7F06" w14:textId="3CCAB014" w:rsidR="00BE5CED" w:rsidRPr="00C81A73" w:rsidRDefault="00BE5CED" w:rsidP="0075675E">
      <w:pPr>
        <w:pBdr>
          <w:top w:val="single" w:sz="12" w:space="4" w:color="B6DDE8"/>
          <w:bottom w:val="single" w:sz="12" w:space="4" w:color="B6DDE8"/>
          <w:between w:val="single" w:sz="12" w:space="6" w:color="B6DDE8"/>
        </w:pBdr>
        <w:ind w:left="3600" w:right="720" w:hanging="3240"/>
        <w:rPr>
          <w:kern w:val="2"/>
        </w:rPr>
      </w:pPr>
      <w:r w:rsidRPr="00057056">
        <w:rPr>
          <w:b/>
          <w:color w:val="1F497D"/>
          <w:kern w:val="2"/>
        </w:rPr>
        <w:t>Needs Assistance</w:t>
      </w:r>
      <w:r w:rsidRPr="00057056">
        <w:rPr>
          <w:color w:val="1F497D"/>
          <w:kern w:val="2"/>
        </w:rPr>
        <w:t xml:space="preserve"> </w:t>
      </w:r>
      <w:r w:rsidRPr="00057056">
        <w:rPr>
          <w:color w:val="1F497D"/>
          <w:kern w:val="2"/>
        </w:rPr>
        <w:tab/>
      </w:r>
      <w:r w:rsidRPr="008033E9">
        <w:rPr>
          <w:kern w:val="2"/>
        </w:rPr>
        <w:t>A</w:t>
      </w:r>
      <w:r w:rsidRPr="00057056">
        <w:rPr>
          <w:color w:val="1F497D"/>
          <w:kern w:val="2"/>
        </w:rPr>
        <w:t xml:space="preserve"> </w:t>
      </w:r>
      <w:r w:rsidRPr="00C81A73">
        <w:rPr>
          <w:kern w:val="2"/>
        </w:rPr>
        <w:t>State’s 201</w:t>
      </w:r>
      <w:r w:rsidR="00BB488F">
        <w:rPr>
          <w:kern w:val="2"/>
        </w:rPr>
        <w:t>9</w:t>
      </w:r>
      <w:r w:rsidRPr="00C81A73">
        <w:rPr>
          <w:kern w:val="2"/>
        </w:rPr>
        <w:t xml:space="preserve"> RDA Determination is Needs Assistance if the RDA Percentage is at least 60% but less than 80%. A State would also be Needs Assistance if its RDA Determination percentage is 80% or above, but the Department has imposed Special</w:t>
      </w:r>
      <w:r w:rsidR="002D1E52">
        <w:rPr>
          <w:kern w:val="2"/>
        </w:rPr>
        <w:t xml:space="preserve"> or Specific</w:t>
      </w:r>
      <w:r w:rsidRPr="00C81A73">
        <w:rPr>
          <w:kern w:val="2"/>
        </w:rPr>
        <w:t xml:space="preserve"> Conditions on the State’s last three (FFYs</w:t>
      </w:r>
      <w:r>
        <w:rPr>
          <w:kern w:val="2"/>
        </w:rPr>
        <w:t> </w:t>
      </w:r>
      <w:r w:rsidRPr="00C81A73">
        <w:rPr>
          <w:kern w:val="2"/>
        </w:rPr>
        <w:t>201</w:t>
      </w:r>
      <w:r w:rsidR="00BB488F">
        <w:rPr>
          <w:kern w:val="2"/>
        </w:rPr>
        <w:t>6</w:t>
      </w:r>
      <w:r w:rsidRPr="00C81A73">
        <w:rPr>
          <w:kern w:val="2"/>
        </w:rPr>
        <w:t>, 201</w:t>
      </w:r>
      <w:r w:rsidR="00BB488F">
        <w:rPr>
          <w:kern w:val="2"/>
        </w:rPr>
        <w:t>7</w:t>
      </w:r>
      <w:r w:rsidRPr="00C81A73">
        <w:rPr>
          <w:kern w:val="2"/>
        </w:rPr>
        <w:t>, and 201</w:t>
      </w:r>
      <w:r w:rsidR="00BB488F">
        <w:rPr>
          <w:kern w:val="2"/>
        </w:rPr>
        <w:t>8</w:t>
      </w:r>
      <w:r w:rsidRPr="00C81A73">
        <w:rPr>
          <w:kern w:val="2"/>
        </w:rPr>
        <w:t xml:space="preserve">) </w:t>
      </w:r>
      <w:r w:rsidRPr="00C81A73">
        <w:rPr>
          <w:i/>
          <w:kern w:val="2"/>
        </w:rPr>
        <w:t>IDEA</w:t>
      </w:r>
      <w:r w:rsidRPr="00C81A73">
        <w:rPr>
          <w:kern w:val="2"/>
        </w:rPr>
        <w:t xml:space="preserve"> Part B grant awards, and those Speci</w:t>
      </w:r>
      <w:r w:rsidR="0066796B">
        <w:rPr>
          <w:kern w:val="2"/>
        </w:rPr>
        <w:t>fic</w:t>
      </w:r>
      <w:r w:rsidRPr="00C81A73">
        <w:rPr>
          <w:kern w:val="2"/>
        </w:rPr>
        <w:t xml:space="preserve"> Conditions are in effect at the time of the 201</w:t>
      </w:r>
      <w:r w:rsidR="00BB488F">
        <w:rPr>
          <w:kern w:val="2"/>
        </w:rPr>
        <w:t>9</w:t>
      </w:r>
      <w:r w:rsidRPr="00C81A73">
        <w:rPr>
          <w:kern w:val="2"/>
        </w:rPr>
        <w:t xml:space="preserve"> determination. </w:t>
      </w:r>
    </w:p>
    <w:p w14:paraId="5ACF7F07" w14:textId="46D1C2BC" w:rsidR="00BE5CED" w:rsidRPr="00C81A73" w:rsidRDefault="00BE5CED" w:rsidP="0075675E">
      <w:pPr>
        <w:pBdr>
          <w:top w:val="single" w:sz="12" w:space="4" w:color="B6DDE8"/>
          <w:bottom w:val="single" w:sz="12" w:space="4" w:color="B6DDE8"/>
          <w:between w:val="single" w:sz="12" w:space="6" w:color="B6DDE8"/>
        </w:pBdr>
        <w:ind w:left="3600" w:right="720" w:hanging="3240"/>
        <w:rPr>
          <w:kern w:val="2"/>
        </w:rPr>
      </w:pPr>
      <w:r w:rsidRPr="00057056">
        <w:rPr>
          <w:b/>
          <w:color w:val="1F497D"/>
          <w:kern w:val="2"/>
        </w:rPr>
        <w:t>Needs Intervention</w:t>
      </w:r>
      <w:r w:rsidRPr="00057056">
        <w:rPr>
          <w:color w:val="1F497D"/>
          <w:kern w:val="2"/>
        </w:rPr>
        <w:t xml:space="preserve"> </w:t>
      </w:r>
      <w:r w:rsidRPr="00057056">
        <w:rPr>
          <w:color w:val="1F497D"/>
          <w:kern w:val="2"/>
        </w:rPr>
        <w:tab/>
      </w:r>
      <w:r>
        <w:rPr>
          <w:kern w:val="2"/>
        </w:rPr>
        <w:t>A</w:t>
      </w:r>
      <w:r w:rsidRPr="00C81A73">
        <w:rPr>
          <w:kern w:val="2"/>
        </w:rPr>
        <w:t xml:space="preserve"> State’s 201</w:t>
      </w:r>
      <w:r w:rsidR="00BB488F">
        <w:rPr>
          <w:kern w:val="2"/>
        </w:rPr>
        <w:t>9</w:t>
      </w:r>
      <w:r w:rsidRPr="00C81A73">
        <w:rPr>
          <w:kern w:val="2"/>
        </w:rPr>
        <w:t xml:space="preserve"> RDA Determination is Needs Intervention if the RDA Percentage is less than 60%. </w:t>
      </w:r>
    </w:p>
    <w:p w14:paraId="5ACF7F08" w14:textId="78288D78" w:rsidR="006E5F58" w:rsidRPr="00C81A73" w:rsidRDefault="006E5F58" w:rsidP="0075675E">
      <w:pPr>
        <w:pBdr>
          <w:top w:val="single" w:sz="12" w:space="4" w:color="B6DDE8"/>
          <w:bottom w:val="single" w:sz="12" w:space="4" w:color="B6DDE8"/>
          <w:between w:val="single" w:sz="12" w:space="6" w:color="B6DDE8"/>
        </w:pBdr>
        <w:ind w:left="3600" w:right="720" w:hanging="3240"/>
        <w:rPr>
          <w:kern w:val="2"/>
        </w:rPr>
      </w:pPr>
      <w:r w:rsidRPr="00057056">
        <w:rPr>
          <w:b/>
          <w:color w:val="1F497D"/>
          <w:kern w:val="2"/>
        </w:rPr>
        <w:t>Needs Substantial Intervention</w:t>
      </w:r>
      <w:r w:rsidRPr="00057056">
        <w:rPr>
          <w:color w:val="1F497D"/>
          <w:kern w:val="2"/>
        </w:rPr>
        <w:t xml:space="preserve"> </w:t>
      </w:r>
      <w:r w:rsidRPr="00057056">
        <w:rPr>
          <w:color w:val="1F497D"/>
          <w:kern w:val="2"/>
        </w:rPr>
        <w:tab/>
      </w:r>
      <w:proofErr w:type="gramStart"/>
      <w:r w:rsidRPr="00C81A73">
        <w:rPr>
          <w:kern w:val="2"/>
        </w:rPr>
        <w:t>The</w:t>
      </w:r>
      <w:proofErr w:type="gramEnd"/>
      <w:r w:rsidRPr="00C81A73">
        <w:rPr>
          <w:kern w:val="2"/>
        </w:rPr>
        <w:t xml:space="preserve"> Department did not make a determination of Needs Substantia</w:t>
      </w:r>
      <w:r>
        <w:rPr>
          <w:kern w:val="2"/>
        </w:rPr>
        <w:t>l Intervention for any State in </w:t>
      </w:r>
      <w:r w:rsidRPr="00C81A73">
        <w:rPr>
          <w:kern w:val="2"/>
        </w:rPr>
        <w:t>201</w:t>
      </w:r>
      <w:r w:rsidR="00BB488F">
        <w:rPr>
          <w:kern w:val="2"/>
        </w:rPr>
        <w:t>9</w:t>
      </w:r>
      <w:r w:rsidRPr="00C81A73">
        <w:rPr>
          <w:kern w:val="2"/>
        </w:rPr>
        <w:t>.</w:t>
      </w:r>
      <w:r w:rsidRPr="00C81A73" w:rsidDel="001453E8">
        <w:rPr>
          <w:kern w:val="2"/>
        </w:rPr>
        <w:t xml:space="preserve"> </w:t>
      </w:r>
    </w:p>
    <w:p w14:paraId="5ACF7F09" w14:textId="77777777" w:rsidR="008A3628" w:rsidRDefault="00AA2124" w:rsidP="006E5F58"/>
    <w:sectPr w:rsidR="008A36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97245" w14:textId="77777777" w:rsidR="00AA2124" w:rsidRDefault="00AA2124" w:rsidP="00BE5CED">
      <w:pPr>
        <w:spacing w:before="0" w:line="240" w:lineRule="auto"/>
      </w:pPr>
      <w:r>
        <w:separator/>
      </w:r>
    </w:p>
  </w:endnote>
  <w:endnote w:type="continuationSeparator" w:id="0">
    <w:p w14:paraId="0AB8E301" w14:textId="77777777" w:rsidR="00AA2124" w:rsidRDefault="00AA2124" w:rsidP="00BE5CE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7F13" w14:textId="77777777" w:rsidR="00BE5CED" w:rsidRDefault="00BE5CED" w:rsidP="002A291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ACF7F14" w14:textId="77777777" w:rsidR="00BE5CED" w:rsidRDefault="00BE5CED" w:rsidP="002A2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7F15" w14:textId="77777777" w:rsidR="00BE5CED" w:rsidRDefault="00BE5CED" w:rsidP="002A2911">
    <w:pPr>
      <w:pStyle w:val="Footer"/>
    </w:pPr>
    <w:r>
      <w:fldChar w:fldCharType="begin"/>
    </w:r>
    <w:r>
      <w:instrText xml:space="preserve"> PAGE   \* MERGEFORMAT </w:instrText>
    </w:r>
    <w:r>
      <w:fldChar w:fldCharType="separate"/>
    </w:r>
    <w:r w:rsidR="00BA10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C2425" w14:textId="77777777" w:rsidR="00AA2124" w:rsidRDefault="00AA2124" w:rsidP="00BE5CED">
      <w:pPr>
        <w:spacing w:before="0" w:line="240" w:lineRule="auto"/>
      </w:pPr>
      <w:r>
        <w:separator/>
      </w:r>
    </w:p>
  </w:footnote>
  <w:footnote w:type="continuationSeparator" w:id="0">
    <w:p w14:paraId="378D2A2D" w14:textId="77777777" w:rsidR="00AA2124" w:rsidRDefault="00AA2124" w:rsidP="00BE5CED">
      <w:pPr>
        <w:spacing w:before="0" w:line="240" w:lineRule="auto"/>
      </w:pPr>
      <w:r>
        <w:continuationSeparator/>
      </w:r>
    </w:p>
  </w:footnote>
  <w:footnote w:id="1">
    <w:p w14:paraId="5ACF7F16" w14:textId="77777777" w:rsidR="00BE5CED" w:rsidRPr="00057056" w:rsidRDefault="00BE5CED" w:rsidP="00BE5CED">
      <w:pPr>
        <w:pStyle w:val="FootnoteText"/>
        <w:spacing w:after="0"/>
        <w:rPr>
          <w:rFonts w:ascii="Calibri" w:hAnsi="Calibri"/>
        </w:rPr>
      </w:pPr>
      <w:r w:rsidRPr="00057056">
        <w:rPr>
          <w:rStyle w:val="FootnoteReference"/>
          <w:rFonts w:ascii="Calibri" w:hAnsi="Calibri"/>
        </w:rPr>
        <w:footnoteRef/>
      </w:r>
      <w:r w:rsidRPr="00057056">
        <w:rPr>
          <w:rFonts w:ascii="Calibri" w:hAnsi="Calibri"/>
          <w:vertAlign w:val="superscript"/>
        </w:rPr>
        <w:t xml:space="preserve"> </w:t>
      </w:r>
      <w:r w:rsidRPr="00057056">
        <w:rPr>
          <w:rFonts w:ascii="Calibri" w:hAnsi="Calibri"/>
        </w:rPr>
        <w:t xml:space="preserve">When providing exiting data under section 618 of the IDEA, States are required to report on the number of students who exited an educational program through receipt of a high school diploma identical to that for which students without disabilities are eligible. These students met the same standards for graduation as those students without disabilities. As </w:t>
      </w:r>
      <w:r w:rsidR="005D68AF">
        <w:rPr>
          <w:rFonts w:ascii="Calibri" w:hAnsi="Calibri"/>
        </w:rPr>
        <w:t xml:space="preserve">explained </w:t>
      </w:r>
      <w:r w:rsidRPr="00057056">
        <w:rPr>
          <w:rFonts w:ascii="Calibri" w:hAnsi="Calibri"/>
        </w:rPr>
        <w:t xml:space="preserve">in 34 CFR §300.102(a)(3)(iv), </w:t>
      </w:r>
      <w:r w:rsidR="00980301">
        <w:rPr>
          <w:rFonts w:ascii="Calibri" w:hAnsi="Calibri"/>
        </w:rPr>
        <w:t xml:space="preserve">in effect prior to June 30, 2017, </w:t>
      </w:r>
      <w:r w:rsidRPr="00057056">
        <w:rPr>
          <w:rFonts w:ascii="Calibri" w:hAnsi="Calibri"/>
        </w:rPr>
        <w:t xml:space="preserve">“the term regular high school diploma does not include an alternative degree that is not fully aligned with the State’s academic standards, such as a certificate or </w:t>
      </w:r>
      <w:r>
        <w:rPr>
          <w:rFonts w:ascii="Calibri" w:hAnsi="Calibri"/>
        </w:rPr>
        <w:t>a general educational development credential (</w:t>
      </w:r>
      <w:r w:rsidRPr="00057056">
        <w:rPr>
          <w:rFonts w:ascii="Calibri" w:hAnsi="Calibri"/>
        </w:rPr>
        <w:t>GED</w:t>
      </w:r>
      <w:r>
        <w:rPr>
          <w:rFonts w:ascii="Calibri" w:hAnsi="Calibri"/>
        </w:rPr>
        <w:t>)</w:t>
      </w:r>
      <w:r w:rsidR="00980301">
        <w:rPr>
          <w:rFonts w:ascii="Calibri" w:hAnsi="Calibri"/>
        </w:rPr>
        <w:t>.</w:t>
      </w:r>
      <w:r w:rsidR="00FD35D8">
        <w:rPr>
          <w:rFonts w:ascii="Calibri" w:hAnsi="Calibri"/>
        </w:rPr>
        <w:t>”</w:t>
      </w:r>
    </w:p>
  </w:footnote>
  <w:footnote w:id="2">
    <w:p w14:paraId="5ACF7F17" w14:textId="77777777" w:rsidR="00BE5CED" w:rsidRPr="00057056" w:rsidRDefault="00BE5CED" w:rsidP="00BE5CED">
      <w:pPr>
        <w:pStyle w:val="FootnoteText"/>
        <w:spacing w:after="0"/>
        <w:rPr>
          <w:rFonts w:ascii="Calibri" w:hAnsi="Calibri"/>
        </w:rPr>
      </w:pPr>
      <w:r w:rsidRPr="00057056">
        <w:rPr>
          <w:rStyle w:val="FootnoteReference"/>
          <w:rFonts w:ascii="Calibri" w:hAnsi="Calibri"/>
        </w:rPr>
        <w:footnoteRef/>
      </w:r>
      <w:r w:rsidRPr="00057056">
        <w:rPr>
          <w:rFonts w:ascii="Calibri" w:hAnsi="Calibri"/>
          <w:vertAlign w:val="superscript"/>
        </w:rPr>
        <w:t xml:space="preserve"> </w:t>
      </w:r>
      <w:r w:rsidRPr="00057056">
        <w:rPr>
          <w:rFonts w:ascii="Calibri" w:hAnsi="Calibri"/>
        </w:rPr>
        <w:t xml:space="preserve">A notation of “N/A” (for “not applicable”) in the “Performance” column for an indicator denotes that the indicator is not applicable to that particular State. The points for that indicator are not included in the denominator for the matrix. </w:t>
      </w:r>
    </w:p>
  </w:footnote>
  <w:footnote w:id="3">
    <w:p w14:paraId="5ACF7F18" w14:textId="28CA2DD2" w:rsidR="00BE5CED" w:rsidRPr="00057056" w:rsidRDefault="00BE5CED" w:rsidP="00BE5CED">
      <w:pPr>
        <w:pStyle w:val="FootnoteText"/>
        <w:spacing w:after="0"/>
        <w:ind w:left="187" w:hanging="187"/>
        <w:contextualSpacing/>
        <w:rPr>
          <w:rFonts w:ascii="Calibri" w:hAnsi="Calibri"/>
        </w:rPr>
      </w:pPr>
      <w:r w:rsidRPr="00057056">
        <w:rPr>
          <w:rStyle w:val="FootnoteReference"/>
          <w:rFonts w:ascii="Calibri" w:hAnsi="Calibri"/>
        </w:rPr>
        <w:footnoteRef/>
      </w:r>
      <w:r w:rsidRPr="00057056">
        <w:rPr>
          <w:rFonts w:ascii="Calibri" w:hAnsi="Calibri"/>
          <w:vertAlign w:val="superscript"/>
        </w:rPr>
        <w:t xml:space="preserve"> </w:t>
      </w:r>
      <w:r w:rsidRPr="00057056">
        <w:rPr>
          <w:rFonts w:ascii="Calibri" w:hAnsi="Calibri"/>
        </w:rPr>
        <w:t>In determining whether a State has met</w:t>
      </w:r>
      <w:r>
        <w:rPr>
          <w:rFonts w:ascii="Calibri" w:hAnsi="Calibri"/>
        </w:rPr>
        <w:t xml:space="preserve"> the</w:t>
      </w:r>
      <w:r w:rsidRPr="00057056">
        <w:rPr>
          <w:rFonts w:ascii="Calibri" w:hAnsi="Calibri"/>
        </w:rPr>
        <w:t xml:space="preserve"> 95% compliance</w:t>
      </w:r>
      <w:r w:rsidRPr="00C07CF8">
        <w:t xml:space="preserve"> </w:t>
      </w:r>
      <w:r w:rsidRPr="00C07CF8">
        <w:rPr>
          <w:rFonts w:ascii="Calibri" w:hAnsi="Calibri"/>
        </w:rPr>
        <w:t xml:space="preserve">criterion for </w:t>
      </w:r>
      <w:r>
        <w:rPr>
          <w:rFonts w:ascii="Calibri" w:hAnsi="Calibri"/>
        </w:rPr>
        <w:t>I</w:t>
      </w:r>
      <w:r w:rsidRPr="00C07CF8">
        <w:rPr>
          <w:rFonts w:ascii="Calibri" w:hAnsi="Calibri"/>
        </w:rPr>
        <w:t xml:space="preserve">ndicators </w:t>
      </w:r>
      <w:r>
        <w:rPr>
          <w:rFonts w:ascii="Calibri" w:hAnsi="Calibri"/>
        </w:rPr>
        <w:t>11, 12, and 13</w:t>
      </w:r>
      <w:r w:rsidRPr="00C07CF8">
        <w:rPr>
          <w:rFonts w:ascii="Calibri" w:hAnsi="Calibri"/>
        </w:rPr>
        <w:t xml:space="preserve">, the Department will round up from 94.5% (but no lower) to 95%. </w:t>
      </w:r>
      <w:r>
        <w:rPr>
          <w:rFonts w:ascii="Calibri" w:hAnsi="Calibri"/>
        </w:rPr>
        <w:t>I</w:t>
      </w:r>
      <w:r w:rsidRPr="00C07CF8">
        <w:rPr>
          <w:rFonts w:ascii="Calibri" w:hAnsi="Calibri"/>
        </w:rPr>
        <w:t>n determining whether a State has met the 90% compliance criterion</w:t>
      </w:r>
      <w:r>
        <w:rPr>
          <w:rFonts w:ascii="Calibri" w:hAnsi="Calibri"/>
        </w:rPr>
        <w:t xml:space="preserve"> for these indictors</w:t>
      </w:r>
      <w:r w:rsidRPr="00C07CF8">
        <w:rPr>
          <w:rFonts w:ascii="Calibri" w:hAnsi="Calibri"/>
        </w:rPr>
        <w:t>, the Department will round up from 89.5% (but no lower) to 90%. In addition,</w:t>
      </w:r>
      <w:r>
        <w:rPr>
          <w:rFonts w:ascii="Calibri" w:hAnsi="Calibri"/>
        </w:rPr>
        <w:t xml:space="preserve"> </w:t>
      </w:r>
      <w:r w:rsidRPr="00C07CF8">
        <w:rPr>
          <w:rFonts w:ascii="Calibri" w:hAnsi="Calibri"/>
        </w:rPr>
        <w:t>in determining whether a State has met the 75% compliance criterion</w:t>
      </w:r>
      <w:r>
        <w:rPr>
          <w:rFonts w:ascii="Calibri" w:hAnsi="Calibri"/>
        </w:rPr>
        <w:t xml:space="preserve"> for these indicators</w:t>
      </w:r>
      <w:r w:rsidRPr="00C07CF8">
        <w:rPr>
          <w:rFonts w:ascii="Calibri" w:hAnsi="Calibri"/>
        </w:rPr>
        <w:t>, the Department will round up from 74.5% (but no lower) to 75%.</w:t>
      </w:r>
      <w:r>
        <w:rPr>
          <w:rFonts w:ascii="Calibri" w:hAnsi="Calibri"/>
        </w:rPr>
        <w:t xml:space="preserve"> Similarly, i</w:t>
      </w:r>
      <w:r w:rsidRPr="00C07CF8">
        <w:rPr>
          <w:rFonts w:ascii="Calibri" w:hAnsi="Calibri"/>
        </w:rPr>
        <w:t xml:space="preserve">n determining whether a State has met the </w:t>
      </w:r>
      <w:r>
        <w:rPr>
          <w:rFonts w:ascii="Calibri" w:hAnsi="Calibri"/>
        </w:rPr>
        <w:t>5% compliance criterion for Indicators 4B, 9, and 10, the Department will round down</w:t>
      </w:r>
      <w:r w:rsidRPr="00C07CF8">
        <w:rPr>
          <w:rFonts w:ascii="Calibri" w:hAnsi="Calibri"/>
        </w:rPr>
        <w:t xml:space="preserve"> from 5</w:t>
      </w:r>
      <w:r>
        <w:rPr>
          <w:rFonts w:ascii="Calibri" w:hAnsi="Calibri"/>
        </w:rPr>
        <w:t>.49% (but no higher</w:t>
      </w:r>
      <w:r w:rsidRPr="00C07CF8">
        <w:rPr>
          <w:rFonts w:ascii="Calibri" w:hAnsi="Calibri"/>
        </w:rPr>
        <w:t xml:space="preserve">) to </w:t>
      </w:r>
      <w:r>
        <w:rPr>
          <w:rFonts w:ascii="Calibri" w:hAnsi="Calibri"/>
        </w:rPr>
        <w:t>5%. I</w:t>
      </w:r>
      <w:r w:rsidRPr="00C07CF8">
        <w:rPr>
          <w:rFonts w:ascii="Calibri" w:hAnsi="Calibri"/>
        </w:rPr>
        <w:t>n determining whether a State has met the</w:t>
      </w:r>
      <w:r>
        <w:rPr>
          <w:rFonts w:ascii="Calibri" w:hAnsi="Calibri"/>
        </w:rPr>
        <w:t xml:space="preserve"> 10</w:t>
      </w:r>
      <w:r w:rsidRPr="00C07CF8">
        <w:rPr>
          <w:rFonts w:ascii="Calibri" w:hAnsi="Calibri"/>
        </w:rPr>
        <w:t>% compliance criterion</w:t>
      </w:r>
      <w:r>
        <w:rPr>
          <w:rFonts w:ascii="Calibri" w:hAnsi="Calibri"/>
        </w:rPr>
        <w:t xml:space="preserve"> for these indicators</w:t>
      </w:r>
      <w:r w:rsidRPr="00C07CF8">
        <w:rPr>
          <w:rFonts w:ascii="Calibri" w:hAnsi="Calibri"/>
        </w:rPr>
        <w:t>, the D</w:t>
      </w:r>
      <w:r>
        <w:rPr>
          <w:rFonts w:ascii="Calibri" w:hAnsi="Calibri"/>
        </w:rPr>
        <w:t>epartment will round down</w:t>
      </w:r>
      <w:r w:rsidRPr="00C07CF8">
        <w:rPr>
          <w:rFonts w:ascii="Calibri" w:hAnsi="Calibri"/>
        </w:rPr>
        <w:t xml:space="preserve"> from </w:t>
      </w:r>
      <w:r>
        <w:rPr>
          <w:rFonts w:ascii="Calibri" w:hAnsi="Calibri"/>
        </w:rPr>
        <w:t>10.49% (but no higher</w:t>
      </w:r>
      <w:r w:rsidRPr="00C07CF8">
        <w:rPr>
          <w:rFonts w:ascii="Calibri" w:hAnsi="Calibri"/>
        </w:rPr>
        <w:t xml:space="preserve">) to </w:t>
      </w:r>
      <w:r>
        <w:rPr>
          <w:rFonts w:ascii="Calibri" w:hAnsi="Calibri"/>
        </w:rPr>
        <w:t>10%.</w:t>
      </w:r>
      <w:r w:rsidRPr="00C07CF8">
        <w:t xml:space="preserve"> </w:t>
      </w:r>
      <w:r w:rsidRPr="00C07CF8">
        <w:rPr>
          <w:rFonts w:ascii="Calibri" w:hAnsi="Calibri"/>
        </w:rPr>
        <w:t xml:space="preserve">In addition, in determining whether a State has met the </w:t>
      </w:r>
      <w:r>
        <w:rPr>
          <w:rFonts w:ascii="Calibri" w:hAnsi="Calibri"/>
        </w:rPr>
        <w:t>2</w:t>
      </w:r>
      <w:r w:rsidRPr="00C07CF8">
        <w:rPr>
          <w:rFonts w:ascii="Calibri" w:hAnsi="Calibri"/>
        </w:rPr>
        <w:t>5% compliance criterion for these indicator</w:t>
      </w:r>
      <w:r>
        <w:rPr>
          <w:rFonts w:ascii="Calibri" w:hAnsi="Calibri"/>
        </w:rPr>
        <w:t xml:space="preserve">s, the Department will round down </w:t>
      </w:r>
      <w:r w:rsidRPr="00C07CF8">
        <w:rPr>
          <w:rFonts w:ascii="Calibri" w:hAnsi="Calibri"/>
        </w:rPr>
        <w:t xml:space="preserve">from </w:t>
      </w:r>
      <w:r>
        <w:rPr>
          <w:rFonts w:ascii="Calibri" w:hAnsi="Calibri"/>
        </w:rPr>
        <w:t>25.49% (but no higher</w:t>
      </w:r>
      <w:r w:rsidRPr="00C07CF8">
        <w:rPr>
          <w:rFonts w:ascii="Calibri" w:hAnsi="Calibri"/>
        </w:rPr>
        <w:t xml:space="preserve">) to </w:t>
      </w:r>
      <w:r>
        <w:rPr>
          <w:rFonts w:ascii="Calibri" w:hAnsi="Calibri"/>
        </w:rPr>
        <w:t>25</w:t>
      </w:r>
      <w:r w:rsidRPr="00C07CF8">
        <w:rPr>
          <w:rFonts w:ascii="Calibri" w:hAnsi="Calibri"/>
        </w:rPr>
        <w:t>%. The Department will also apply the rounding rules to the compliance criteria for 95% and 75% for:  (1) the timeliness and accuracy of data reported by the State under sections 616</w:t>
      </w:r>
      <w:r>
        <w:rPr>
          <w:rFonts w:ascii="Calibri" w:hAnsi="Calibri"/>
        </w:rPr>
        <w:t xml:space="preserve"> and</w:t>
      </w:r>
      <w:r w:rsidRPr="00C07CF8">
        <w:rPr>
          <w:rFonts w:ascii="Calibri" w:hAnsi="Calibri"/>
        </w:rPr>
        <w:t xml:space="preserve"> 618</w:t>
      </w:r>
      <w:r>
        <w:rPr>
          <w:rFonts w:ascii="Calibri" w:hAnsi="Calibri"/>
        </w:rPr>
        <w:t xml:space="preserve"> </w:t>
      </w:r>
      <w:r w:rsidRPr="00C07CF8">
        <w:rPr>
          <w:rFonts w:ascii="Calibri" w:hAnsi="Calibri"/>
        </w:rPr>
        <w:t xml:space="preserve">of the IDEA; </w:t>
      </w:r>
      <w:r>
        <w:rPr>
          <w:rFonts w:ascii="Calibri" w:hAnsi="Calibri"/>
        </w:rPr>
        <w:t xml:space="preserve">and </w:t>
      </w:r>
      <w:r w:rsidRPr="00C07CF8">
        <w:rPr>
          <w:rFonts w:ascii="Calibri" w:hAnsi="Calibri"/>
        </w:rPr>
        <w:t>(2) the State’s FFY 201</w:t>
      </w:r>
      <w:r w:rsidR="0033109C">
        <w:rPr>
          <w:rFonts w:ascii="Calibri" w:hAnsi="Calibri"/>
        </w:rPr>
        <w:t>7</w:t>
      </w:r>
      <w:r w:rsidRPr="00C07CF8">
        <w:rPr>
          <w:rFonts w:ascii="Calibri" w:hAnsi="Calibri"/>
        </w:rPr>
        <w:t xml:space="preserve"> d</w:t>
      </w:r>
      <w:r>
        <w:rPr>
          <w:rFonts w:ascii="Calibri" w:hAnsi="Calibri"/>
        </w:rPr>
        <w:t xml:space="preserve">ata, reported under section 618 </w:t>
      </w:r>
      <w:r w:rsidRPr="00C07CF8">
        <w:rPr>
          <w:rFonts w:ascii="Calibri" w:hAnsi="Calibri"/>
        </w:rPr>
        <w:t>of the IDEA, for the timeliness of State complaint and due process hearing decisions.</w:t>
      </w:r>
    </w:p>
  </w:footnote>
  <w:footnote w:id="4">
    <w:p w14:paraId="5ACF7F19" w14:textId="77777777" w:rsidR="00BE5CED" w:rsidRPr="00057056" w:rsidRDefault="00BE5CED" w:rsidP="00BE5CED">
      <w:pPr>
        <w:pStyle w:val="FootnoteText"/>
        <w:spacing w:after="0"/>
        <w:ind w:left="187" w:hanging="187"/>
        <w:contextualSpacing/>
        <w:rPr>
          <w:rFonts w:ascii="Calibri" w:hAnsi="Calibri"/>
        </w:rPr>
      </w:pPr>
      <w:r w:rsidRPr="00057056">
        <w:rPr>
          <w:rStyle w:val="FootnoteReference"/>
          <w:rFonts w:ascii="Calibri" w:hAnsi="Calibri"/>
        </w:rPr>
        <w:footnoteRef/>
      </w:r>
      <w:r w:rsidRPr="00057056">
        <w:rPr>
          <w:rFonts w:ascii="Calibri" w:hAnsi="Calibri"/>
        </w:rPr>
        <w:t xml:space="preserve"> For Indicators 4B, 9, and 10, a very high level of compliance is generally at or below 5%.</w:t>
      </w:r>
    </w:p>
  </w:footnote>
  <w:footnote w:id="5">
    <w:p w14:paraId="5ACF7F1A" w14:textId="6814E7C6" w:rsidR="00BE5CED" w:rsidRPr="00057056" w:rsidRDefault="00BE5CED" w:rsidP="00BE5CED">
      <w:pPr>
        <w:pStyle w:val="FootnoteText"/>
        <w:spacing w:after="0"/>
        <w:ind w:left="187" w:hanging="187"/>
        <w:contextualSpacing/>
        <w:rPr>
          <w:rFonts w:ascii="Calibri" w:hAnsi="Calibri"/>
        </w:rPr>
      </w:pPr>
      <w:r w:rsidRPr="00057056">
        <w:rPr>
          <w:rStyle w:val="FootnoteReference"/>
          <w:rFonts w:ascii="Calibri" w:hAnsi="Calibri"/>
        </w:rPr>
        <w:footnoteRef/>
      </w:r>
      <w:r w:rsidRPr="00057056">
        <w:rPr>
          <w:rFonts w:ascii="Calibri" w:hAnsi="Calibri"/>
        </w:rPr>
        <w:t xml:space="preserve"> </w:t>
      </w:r>
      <w:r w:rsidR="00DC2DB7">
        <w:rPr>
          <w:rFonts w:ascii="Calibri" w:hAnsi="Calibri"/>
        </w:rPr>
        <w:t>A</w:t>
      </w:r>
      <w:r w:rsidRPr="00057056">
        <w:rPr>
          <w:rFonts w:ascii="Calibri" w:hAnsi="Calibri"/>
        </w:rPr>
        <w:t xml:space="preserve"> “</w:t>
      </w:r>
      <w:r w:rsidR="003135DB">
        <w:rPr>
          <w:rFonts w:ascii="Calibri" w:hAnsi="Calibri"/>
        </w:rPr>
        <w:t>N</w:t>
      </w:r>
      <w:r w:rsidRPr="00057056">
        <w:rPr>
          <w:rFonts w:ascii="Calibri" w:hAnsi="Calibri"/>
        </w:rPr>
        <w:t>o” in that column denotes that the State has one or more remaining findings of noncompliance identified in FFY 201</w:t>
      </w:r>
      <w:r w:rsidR="00AF3529">
        <w:rPr>
          <w:rFonts w:ascii="Calibri" w:hAnsi="Calibri"/>
        </w:rPr>
        <w:t>6</w:t>
      </w:r>
      <w:r w:rsidRPr="00057056">
        <w:rPr>
          <w:rFonts w:ascii="Calibri" w:hAnsi="Calibri"/>
        </w:rPr>
        <w:t xml:space="preserve"> for which the State has not yet demonstrated correction. An “N/A” (for “not applicable”) in that column denotes that the State did not identify any findings of noncompliance in FFY 201</w:t>
      </w:r>
      <w:r w:rsidR="00AF3529">
        <w:rPr>
          <w:rFonts w:ascii="Calibri" w:hAnsi="Calibri"/>
        </w:rPr>
        <w:t>6</w:t>
      </w:r>
      <w:r w:rsidRPr="00057056">
        <w:rPr>
          <w:rFonts w:ascii="Calibri" w:hAnsi="Calibri"/>
        </w:rPr>
        <w:t xml:space="preserve"> for the indicator.</w:t>
      </w:r>
    </w:p>
  </w:footnote>
  <w:footnote w:id="6">
    <w:p w14:paraId="5ACF7F1B" w14:textId="4E0650EC" w:rsidR="00BE5CED" w:rsidRPr="00057056" w:rsidRDefault="00BE5CED" w:rsidP="00BE5CED">
      <w:pPr>
        <w:pStyle w:val="FootnoteText"/>
        <w:spacing w:after="0"/>
        <w:ind w:left="187" w:hanging="187"/>
        <w:contextualSpacing/>
        <w:rPr>
          <w:rFonts w:ascii="Calibri" w:hAnsi="Calibri"/>
        </w:rPr>
      </w:pPr>
      <w:r w:rsidRPr="00057056">
        <w:rPr>
          <w:rStyle w:val="FootnoteReference"/>
          <w:rFonts w:ascii="Calibri" w:hAnsi="Calibri"/>
        </w:rPr>
        <w:footnoteRef/>
      </w:r>
      <w:r w:rsidRPr="00057056">
        <w:rPr>
          <w:rFonts w:ascii="Calibri" w:hAnsi="Calibri"/>
          <w:vertAlign w:val="superscript"/>
        </w:rPr>
        <w:t xml:space="preserve"> </w:t>
      </w:r>
      <w:r w:rsidRPr="00057056">
        <w:rPr>
          <w:rFonts w:ascii="Calibri" w:hAnsi="Calibri"/>
        </w:rPr>
        <w:t>If a State’s FFY 201</w:t>
      </w:r>
      <w:r w:rsidR="00AF3529">
        <w:rPr>
          <w:rFonts w:ascii="Calibri" w:hAnsi="Calibri"/>
        </w:rPr>
        <w:t>7</w:t>
      </w:r>
      <w:r w:rsidRPr="00057056">
        <w:rPr>
          <w:rFonts w:ascii="Calibri" w:hAnsi="Calibri"/>
        </w:rPr>
        <w:t xml:space="preserve"> data for any compliance indicator are not valid and reliable, the matrix so indicates in the “Performance” column, with a corresponding score of 0. The explanation of why the State’s data are not valid and reliable is contained in the OSEP Response to the State’s FFY 201</w:t>
      </w:r>
      <w:r w:rsidR="00AF3529">
        <w:rPr>
          <w:rFonts w:ascii="Calibri" w:hAnsi="Calibri"/>
        </w:rPr>
        <w:t>7</w:t>
      </w:r>
      <w:r w:rsidRPr="00057056">
        <w:rPr>
          <w:rFonts w:ascii="Calibri" w:hAnsi="Calibri"/>
        </w:rPr>
        <w:t xml:space="preserve"> SPP/APR in GRADS360.</w:t>
      </w:r>
    </w:p>
  </w:footnote>
  <w:footnote w:id="7">
    <w:p w14:paraId="5ACF7F1C" w14:textId="635B42A0" w:rsidR="00BE5CED" w:rsidRPr="00057056" w:rsidRDefault="00BE5CED" w:rsidP="00BE5CED">
      <w:pPr>
        <w:pStyle w:val="FootnoteText"/>
        <w:spacing w:after="0"/>
        <w:ind w:left="187" w:hanging="187"/>
        <w:contextualSpacing/>
        <w:rPr>
          <w:rFonts w:ascii="Calibri" w:hAnsi="Calibri"/>
        </w:rPr>
      </w:pPr>
      <w:r w:rsidRPr="00057056">
        <w:rPr>
          <w:rStyle w:val="FootnoteReference"/>
          <w:rFonts w:ascii="Calibri" w:hAnsi="Calibri"/>
        </w:rPr>
        <w:footnoteRef/>
      </w:r>
      <w:r w:rsidRPr="00057056">
        <w:rPr>
          <w:rFonts w:ascii="Calibri" w:hAnsi="Calibri"/>
        </w:rPr>
        <w:t xml:space="preserve"> If a State reported no FFY 201</w:t>
      </w:r>
      <w:r w:rsidR="00AF3529">
        <w:rPr>
          <w:rFonts w:ascii="Calibri" w:hAnsi="Calibri"/>
        </w:rPr>
        <w:t>7</w:t>
      </w:r>
      <w:r w:rsidRPr="00057056">
        <w:rPr>
          <w:rFonts w:ascii="Calibri" w:hAnsi="Calibri"/>
        </w:rPr>
        <w:t xml:space="preserve"> data for any compliance indicator (unless the indicator is not applicable to the State), the matrix so indicates in the “Performance” column, with a corresponding score of 0. </w:t>
      </w:r>
    </w:p>
  </w:footnote>
  <w:footnote w:id="8">
    <w:p w14:paraId="5ACF7F1D" w14:textId="3F8F9523" w:rsidR="00BE5CED" w:rsidRPr="00057056" w:rsidRDefault="00BE5CED" w:rsidP="00BE5CED">
      <w:pPr>
        <w:pStyle w:val="FootnoteText"/>
        <w:spacing w:after="0"/>
        <w:rPr>
          <w:rFonts w:ascii="Calibri" w:hAnsi="Calibri"/>
        </w:rPr>
      </w:pPr>
      <w:r w:rsidRPr="00057056">
        <w:rPr>
          <w:rStyle w:val="FootnoteReference"/>
          <w:rFonts w:ascii="Calibri" w:hAnsi="Calibri"/>
        </w:rPr>
        <w:footnoteRef/>
      </w:r>
      <w:r w:rsidRPr="00057056">
        <w:rPr>
          <w:rFonts w:ascii="Calibri" w:hAnsi="Calibri"/>
          <w:vertAlign w:val="superscript"/>
        </w:rPr>
        <w:t xml:space="preserve"> </w:t>
      </w:r>
      <w:r w:rsidRPr="00057056">
        <w:rPr>
          <w:rFonts w:ascii="Calibri" w:hAnsi="Calibri"/>
        </w:rPr>
        <w:t>OSEP used the Part B Timely and Accurate Data Rubric to award points to States based on the timeliness and accuracy of their sections 616 and 618 data. A copy of the rubric is contained in the OSEP Response to the State’s FFY 201</w:t>
      </w:r>
      <w:r w:rsidR="00AF3529">
        <w:rPr>
          <w:rFonts w:ascii="Calibri" w:hAnsi="Calibri"/>
        </w:rPr>
        <w:t>7</w:t>
      </w:r>
      <w:r w:rsidRPr="00057056">
        <w:rPr>
          <w:rFonts w:ascii="Calibri" w:hAnsi="Calibri"/>
        </w:rPr>
        <w:t xml:space="preserve"> SPP/APR in GRADS360. On the first page of the rubric, entitled “Part B Timely and Accurate Data-SPP/APR Data,” States are given one point for each indicator with valid and reliable data and five points for SPP/APRs that were submitted timely. The total points for valid and reliable SPP/APR data and timely submission are added together to form the APR Grand Total. On page two of the rubric, the State’s section 618 data is scored based on information provided to OSEP </w:t>
      </w:r>
      <w:r w:rsidRPr="00AE0BC7">
        <w:rPr>
          <w:rFonts w:ascii="Calibri" w:hAnsi="Calibri"/>
        </w:rPr>
        <w:t>on</w:t>
      </w:r>
      <w:r w:rsidR="007816A3" w:rsidRPr="00AE0BC7">
        <w:rPr>
          <w:rFonts w:ascii="Calibri" w:hAnsi="Calibri"/>
        </w:rPr>
        <w:t xml:space="preserve"> section</w:t>
      </w:r>
      <w:r w:rsidRPr="00057056">
        <w:rPr>
          <w:rFonts w:ascii="Calibri" w:hAnsi="Calibri"/>
        </w:rPr>
        <w:t xml:space="preserve"> 618 data timeliness, completeness, </w:t>
      </w:r>
      <w:r w:rsidR="003135DB">
        <w:rPr>
          <w:rFonts w:ascii="Calibri" w:hAnsi="Calibri"/>
        </w:rPr>
        <w:t xml:space="preserve">and </w:t>
      </w:r>
      <w:r w:rsidRPr="00057056">
        <w:rPr>
          <w:rFonts w:ascii="Calibri" w:hAnsi="Calibri"/>
        </w:rPr>
        <w:t xml:space="preserve">edit checks from EDFacts. The percentage of Timely and </w:t>
      </w:r>
      <w:r w:rsidRPr="00AE0BC7">
        <w:rPr>
          <w:rFonts w:ascii="Calibri" w:hAnsi="Calibri"/>
        </w:rPr>
        <w:t>Accurate</w:t>
      </w:r>
      <w:r w:rsidRPr="00FD35D8">
        <w:rPr>
          <w:rFonts w:ascii="Calibri" w:hAnsi="Calibri"/>
        </w:rPr>
        <w:t xml:space="preserve"> </w:t>
      </w:r>
      <w:r w:rsidR="007816A3" w:rsidRPr="00FD35D8">
        <w:rPr>
          <w:rFonts w:ascii="Calibri" w:hAnsi="Calibri"/>
        </w:rPr>
        <w:t>State-</w:t>
      </w:r>
      <w:r w:rsidRPr="00057056">
        <w:rPr>
          <w:rFonts w:ascii="Calibri" w:hAnsi="Calibri"/>
        </w:rPr>
        <w:t>Reported Data is calculated by adding the 618 Data Grand Total to the APR Grand Total and dividing this sum by the total number of points available for the entire rubric. This percentage is inserted into the Compliance Matrix.</w:t>
      </w:r>
    </w:p>
  </w:footnote>
  <w:footnote w:id="9">
    <w:p w14:paraId="5ACF7F1E" w14:textId="77777777" w:rsidR="00BE5CED" w:rsidRPr="00057056" w:rsidRDefault="00BE5CED" w:rsidP="00BE5CED">
      <w:pPr>
        <w:pStyle w:val="FootnoteText"/>
        <w:spacing w:after="0"/>
        <w:rPr>
          <w:rFonts w:ascii="Calibri" w:hAnsi="Calibri"/>
        </w:rPr>
      </w:pPr>
      <w:r w:rsidRPr="00057056">
        <w:rPr>
          <w:rStyle w:val="FootnoteReference"/>
          <w:rFonts w:ascii="Calibri" w:hAnsi="Calibri"/>
        </w:rPr>
        <w:footnoteRef/>
      </w:r>
      <w:r w:rsidRPr="00057056">
        <w:rPr>
          <w:rFonts w:ascii="Calibri" w:hAnsi="Calibri"/>
        </w:rPr>
        <w:t xml:space="preserve"> While the goal is to ensure that all CWD demonstrate proficient or advanced mastery of challenging subject matter, we recognize that States may need to take intermediate steps to reach this benchmark. Therefore, we assessed the performance of CWD using the Basic achievement level on the NAEP, which also provided OSEP with the broader range of data needed to identify variations in student performance across States. Generally, the Basic achievement level on the NAEP means that students have demonstrated partial mastery of prerequisite knowledge and skills that are fundamental for proficient work at each grade. </w:t>
      </w:r>
    </w:p>
  </w:footnote>
  <w:footnote w:id="10">
    <w:p w14:paraId="5ACF7F1F" w14:textId="77777777" w:rsidR="00660098" w:rsidRDefault="00660098">
      <w:pPr>
        <w:pStyle w:val="FootnoteText"/>
      </w:pPr>
      <w:r>
        <w:rPr>
          <w:rStyle w:val="FootnoteReference"/>
        </w:rPr>
        <w:footnoteRef/>
      </w:r>
      <w:r>
        <w:t xml:space="preserve"> </w:t>
      </w:r>
      <w:r w:rsidRPr="00701DDD">
        <w:rPr>
          <w:rFonts w:asciiTheme="minorHAnsi" w:hAnsiTheme="minorHAnsi"/>
          <w:sz w:val="18"/>
          <w:szCs w:val="18"/>
        </w:rPr>
        <w:t>The tertiles of a data set divide it into three equal parts.</w:t>
      </w:r>
      <w:r>
        <w:t> </w:t>
      </w:r>
    </w:p>
  </w:footnote>
  <w:footnote w:id="11">
    <w:p w14:paraId="5ACF7F20" w14:textId="77777777" w:rsidR="00BE5CED" w:rsidRPr="00057056" w:rsidRDefault="00BE5CED" w:rsidP="00BE5CED">
      <w:pPr>
        <w:pStyle w:val="FootnoteText"/>
        <w:spacing w:after="0"/>
        <w:rPr>
          <w:rFonts w:ascii="Calibri" w:hAnsi="Calibri"/>
        </w:rPr>
      </w:pPr>
      <w:r w:rsidRPr="00057056">
        <w:rPr>
          <w:rStyle w:val="FootnoteReference"/>
          <w:rFonts w:ascii="Calibri" w:hAnsi="Calibri"/>
        </w:rPr>
        <w:footnoteRef/>
      </w:r>
      <w:r w:rsidRPr="00057056">
        <w:rPr>
          <w:rFonts w:ascii="Calibri" w:hAnsi="Calibri"/>
        </w:rPr>
        <w:t xml:space="preserve"> In determining whether a State has met this 80% matrix criterion for a Meets Requirements determination, the Department will round up from 79.5% (but no lower) to 80%. Similarly, in determining whether a State has met the 60% matrix criterion for a Needs </w:t>
      </w:r>
      <w:r>
        <w:rPr>
          <w:rFonts w:ascii="Calibri" w:hAnsi="Calibri"/>
        </w:rPr>
        <w:t>Assistance</w:t>
      </w:r>
      <w:r w:rsidRPr="00057056">
        <w:rPr>
          <w:rFonts w:ascii="Calibri" w:hAnsi="Calibri"/>
        </w:rPr>
        <w:t xml:space="preserve"> determination discussed below, the Department will round up from 59.5% (but no lower) to 60%.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7F12" w14:textId="77777777" w:rsidR="00BE5CED" w:rsidRPr="00057056" w:rsidRDefault="00BE5CED" w:rsidP="005100B4">
    <w:pPr>
      <w:pStyle w:val="Header"/>
      <w:rPr>
        <w:smallCaps/>
        <w:color w:val="1F497D"/>
        <w:spacing w:val="10"/>
        <w:kern w:val="20"/>
      </w:rPr>
    </w:pPr>
    <w:r w:rsidRPr="00057056">
      <w:rPr>
        <w:smallCaps/>
        <w:color w:val="1F497D"/>
        <w:spacing w:val="10"/>
        <w:kern w:val="20"/>
      </w:rPr>
      <w:t>How The Department Made Determinations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5574"/>
    <w:multiLevelType w:val="hybridMultilevel"/>
    <w:tmpl w:val="F33C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B5A43"/>
    <w:multiLevelType w:val="hybridMultilevel"/>
    <w:tmpl w:val="1D827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671676"/>
    <w:multiLevelType w:val="hybridMultilevel"/>
    <w:tmpl w:val="DFBE1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A21B5"/>
    <w:multiLevelType w:val="hybridMultilevel"/>
    <w:tmpl w:val="92D2F7BE"/>
    <w:lvl w:ilvl="0" w:tplc="CC489D6C">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3068CC"/>
    <w:multiLevelType w:val="hybridMultilevel"/>
    <w:tmpl w:val="553EA2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D8713A"/>
    <w:multiLevelType w:val="hybridMultilevel"/>
    <w:tmpl w:val="3970C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ED"/>
    <w:rsid w:val="00001F53"/>
    <w:rsid w:val="00012C3D"/>
    <w:rsid w:val="00072891"/>
    <w:rsid w:val="00085302"/>
    <w:rsid w:val="000965FF"/>
    <w:rsid w:val="000A141A"/>
    <w:rsid w:val="000A1F0F"/>
    <w:rsid w:val="000A6222"/>
    <w:rsid w:val="000B6D12"/>
    <w:rsid w:val="0014093B"/>
    <w:rsid w:val="00157BE9"/>
    <w:rsid w:val="0016072E"/>
    <w:rsid w:val="00161862"/>
    <w:rsid w:val="001632E6"/>
    <w:rsid w:val="001A044A"/>
    <w:rsid w:val="001B4999"/>
    <w:rsid w:val="001E2767"/>
    <w:rsid w:val="00271FEB"/>
    <w:rsid w:val="00276E6E"/>
    <w:rsid w:val="00281D8B"/>
    <w:rsid w:val="002A1BF0"/>
    <w:rsid w:val="002B4F46"/>
    <w:rsid w:val="002C0668"/>
    <w:rsid w:val="002C2B17"/>
    <w:rsid w:val="002D1E52"/>
    <w:rsid w:val="002E0BD0"/>
    <w:rsid w:val="00305349"/>
    <w:rsid w:val="003135DB"/>
    <w:rsid w:val="0033109C"/>
    <w:rsid w:val="00354504"/>
    <w:rsid w:val="003576F7"/>
    <w:rsid w:val="003746F5"/>
    <w:rsid w:val="003B36EC"/>
    <w:rsid w:val="003F5E67"/>
    <w:rsid w:val="00430DC0"/>
    <w:rsid w:val="004E2C74"/>
    <w:rsid w:val="004E7E66"/>
    <w:rsid w:val="004F0290"/>
    <w:rsid w:val="00500B4B"/>
    <w:rsid w:val="00527C71"/>
    <w:rsid w:val="00557179"/>
    <w:rsid w:val="0056360B"/>
    <w:rsid w:val="00570AF3"/>
    <w:rsid w:val="00580138"/>
    <w:rsid w:val="005D404B"/>
    <w:rsid w:val="005D68AF"/>
    <w:rsid w:val="005E62BB"/>
    <w:rsid w:val="00611F2C"/>
    <w:rsid w:val="0061474C"/>
    <w:rsid w:val="006245AB"/>
    <w:rsid w:val="00660098"/>
    <w:rsid w:val="0066796B"/>
    <w:rsid w:val="006728AF"/>
    <w:rsid w:val="006A15F1"/>
    <w:rsid w:val="006D02D0"/>
    <w:rsid w:val="006D1A90"/>
    <w:rsid w:val="006E5F58"/>
    <w:rsid w:val="006F2E28"/>
    <w:rsid w:val="0075675E"/>
    <w:rsid w:val="007816A3"/>
    <w:rsid w:val="00787F38"/>
    <w:rsid w:val="007964D7"/>
    <w:rsid w:val="007B1F4C"/>
    <w:rsid w:val="007D357B"/>
    <w:rsid w:val="00822B59"/>
    <w:rsid w:val="008C58EF"/>
    <w:rsid w:val="008E2869"/>
    <w:rsid w:val="008F5B34"/>
    <w:rsid w:val="009069EE"/>
    <w:rsid w:val="0092324A"/>
    <w:rsid w:val="00950100"/>
    <w:rsid w:val="00960D07"/>
    <w:rsid w:val="009639B2"/>
    <w:rsid w:val="009640B0"/>
    <w:rsid w:val="00980301"/>
    <w:rsid w:val="009A4797"/>
    <w:rsid w:val="009A60C6"/>
    <w:rsid w:val="009D655F"/>
    <w:rsid w:val="009E4340"/>
    <w:rsid w:val="009E4585"/>
    <w:rsid w:val="00A01D57"/>
    <w:rsid w:val="00A17C0A"/>
    <w:rsid w:val="00A651A9"/>
    <w:rsid w:val="00A86E56"/>
    <w:rsid w:val="00AA2124"/>
    <w:rsid w:val="00AB12A1"/>
    <w:rsid w:val="00AB2774"/>
    <w:rsid w:val="00AE0BC7"/>
    <w:rsid w:val="00AF3529"/>
    <w:rsid w:val="00B01C7A"/>
    <w:rsid w:val="00B307A2"/>
    <w:rsid w:val="00B36E1B"/>
    <w:rsid w:val="00B52F5F"/>
    <w:rsid w:val="00B53BE9"/>
    <w:rsid w:val="00B87250"/>
    <w:rsid w:val="00BA10EA"/>
    <w:rsid w:val="00BB488F"/>
    <w:rsid w:val="00BC2722"/>
    <w:rsid w:val="00BE5CED"/>
    <w:rsid w:val="00C24D5E"/>
    <w:rsid w:val="00C408CD"/>
    <w:rsid w:val="00C677DC"/>
    <w:rsid w:val="00C768DE"/>
    <w:rsid w:val="00CD5DD6"/>
    <w:rsid w:val="00D07BD7"/>
    <w:rsid w:val="00D87848"/>
    <w:rsid w:val="00DC2DB7"/>
    <w:rsid w:val="00DE7AB6"/>
    <w:rsid w:val="00E05838"/>
    <w:rsid w:val="00E24B25"/>
    <w:rsid w:val="00E26CA5"/>
    <w:rsid w:val="00E308EC"/>
    <w:rsid w:val="00E47450"/>
    <w:rsid w:val="00E55EF0"/>
    <w:rsid w:val="00E61591"/>
    <w:rsid w:val="00E66922"/>
    <w:rsid w:val="00ED76F5"/>
    <w:rsid w:val="00EE24C2"/>
    <w:rsid w:val="00EE6376"/>
    <w:rsid w:val="00EF062A"/>
    <w:rsid w:val="00F20EEC"/>
    <w:rsid w:val="00F23748"/>
    <w:rsid w:val="00F24F73"/>
    <w:rsid w:val="00F27CEB"/>
    <w:rsid w:val="00F43747"/>
    <w:rsid w:val="00FC46FD"/>
    <w:rsid w:val="00FC5855"/>
    <w:rsid w:val="00FD35D8"/>
    <w:rsid w:val="00FE0950"/>
    <w:rsid w:val="00FF00D3"/>
    <w:rsid w:val="00FF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7E77"/>
  <w15:docId w15:val="{2160A932-8EC3-4CA3-B6D8-C82ABB06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CED"/>
    <w:pPr>
      <w:spacing w:before="120" w:after="0"/>
    </w:pPr>
    <w:rPr>
      <w:rFonts w:ascii="Calibri" w:eastAsia="Times New Roman" w:hAnsi="Calibri" w:cs="Times New Roman"/>
    </w:rPr>
  </w:style>
  <w:style w:type="paragraph" w:styleId="Heading1">
    <w:name w:val="heading 1"/>
    <w:basedOn w:val="Normal"/>
    <w:next w:val="Normal"/>
    <w:link w:val="Heading1Char"/>
    <w:uiPriority w:val="9"/>
    <w:qFormat/>
    <w:rsid w:val="00BE5CED"/>
    <w:pPr>
      <w:keepNext/>
      <w:keepLines/>
      <w:pageBreakBefore/>
      <w:pBdr>
        <w:bottom w:val="single" w:sz="12" w:space="1" w:color="8DB3E2"/>
      </w:pBdr>
      <w:spacing w:before="0" w:after="240" w:line="240" w:lineRule="auto"/>
      <w:outlineLvl w:val="0"/>
    </w:pPr>
    <w:rPr>
      <w:rFonts w:ascii="Cambria" w:hAnsi="Cambria"/>
      <w:b/>
      <w:bCs/>
      <w:smallCaps/>
      <w:color w:val="365F91"/>
      <w:spacing w:val="4"/>
      <w:kern w:val="2"/>
      <w:sz w:val="36"/>
      <w:szCs w:val="28"/>
    </w:rPr>
  </w:style>
  <w:style w:type="paragraph" w:styleId="Heading2">
    <w:name w:val="heading 2"/>
    <w:basedOn w:val="Normal"/>
    <w:next w:val="Normal"/>
    <w:link w:val="Heading2Char"/>
    <w:uiPriority w:val="9"/>
    <w:unhideWhenUsed/>
    <w:qFormat/>
    <w:rsid w:val="00BE5CED"/>
    <w:pPr>
      <w:keepNext/>
      <w:keepLines/>
      <w:spacing w:before="360" w:after="120" w:line="240" w:lineRule="auto"/>
      <w:outlineLvl w:val="1"/>
    </w:pPr>
    <w:rPr>
      <w:rFonts w:ascii="Cambria" w:hAnsi="Cambria"/>
      <w:b/>
      <w:bCs/>
      <w:color w:val="365F91"/>
      <w:kern w:val="2"/>
      <w:sz w:val="28"/>
      <w:szCs w:val="26"/>
    </w:rPr>
  </w:style>
  <w:style w:type="paragraph" w:styleId="Heading3">
    <w:name w:val="heading 3"/>
    <w:basedOn w:val="Normal"/>
    <w:next w:val="Normal"/>
    <w:link w:val="Heading3Char"/>
    <w:uiPriority w:val="9"/>
    <w:unhideWhenUsed/>
    <w:qFormat/>
    <w:rsid w:val="00BE5CED"/>
    <w:pPr>
      <w:keepNext/>
      <w:keepLines/>
      <w:spacing w:before="240"/>
      <w:outlineLvl w:val="2"/>
    </w:pPr>
    <w:rPr>
      <w:rFonts w:ascii="Cambria" w:hAnsi="Cambria"/>
      <w:b/>
      <w:bCs/>
      <w:color w:val="365F91"/>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CED"/>
    <w:rPr>
      <w:rFonts w:ascii="Cambria" w:eastAsia="Times New Roman" w:hAnsi="Cambria" w:cs="Times New Roman"/>
      <w:b/>
      <w:bCs/>
      <w:smallCaps/>
      <w:color w:val="365F91"/>
      <w:spacing w:val="4"/>
      <w:kern w:val="2"/>
      <w:sz w:val="36"/>
      <w:szCs w:val="28"/>
    </w:rPr>
  </w:style>
  <w:style w:type="character" w:customStyle="1" w:styleId="Heading2Char">
    <w:name w:val="Heading 2 Char"/>
    <w:basedOn w:val="DefaultParagraphFont"/>
    <w:link w:val="Heading2"/>
    <w:uiPriority w:val="9"/>
    <w:rsid w:val="00BE5CED"/>
    <w:rPr>
      <w:rFonts w:ascii="Cambria" w:eastAsia="Times New Roman" w:hAnsi="Cambria" w:cs="Times New Roman"/>
      <w:b/>
      <w:bCs/>
      <w:color w:val="365F91"/>
      <w:kern w:val="2"/>
      <w:sz w:val="28"/>
      <w:szCs w:val="26"/>
    </w:rPr>
  </w:style>
  <w:style w:type="character" w:customStyle="1" w:styleId="Heading3Char">
    <w:name w:val="Heading 3 Char"/>
    <w:basedOn w:val="DefaultParagraphFont"/>
    <w:link w:val="Heading3"/>
    <w:uiPriority w:val="9"/>
    <w:rsid w:val="00BE5CED"/>
    <w:rPr>
      <w:rFonts w:ascii="Cambria" w:eastAsia="Times New Roman" w:hAnsi="Cambria" w:cs="Times New Roman"/>
      <w:b/>
      <w:bCs/>
      <w:color w:val="365F91"/>
      <w:kern w:val="2"/>
      <w:szCs w:val="20"/>
    </w:rPr>
  </w:style>
  <w:style w:type="paragraph" w:styleId="Footer">
    <w:name w:val="footer"/>
    <w:basedOn w:val="Normal"/>
    <w:link w:val="FooterChar"/>
    <w:uiPriority w:val="99"/>
    <w:rsid w:val="00BE5CED"/>
    <w:pPr>
      <w:spacing w:before="0"/>
      <w:jc w:val="center"/>
    </w:pPr>
  </w:style>
  <w:style w:type="character" w:customStyle="1" w:styleId="FooterChar">
    <w:name w:val="Footer Char"/>
    <w:basedOn w:val="DefaultParagraphFont"/>
    <w:link w:val="Footer"/>
    <w:uiPriority w:val="99"/>
    <w:rsid w:val="00BE5CED"/>
    <w:rPr>
      <w:rFonts w:ascii="Calibri" w:eastAsia="Times New Roman" w:hAnsi="Calibri" w:cs="Times New Roman"/>
    </w:rPr>
  </w:style>
  <w:style w:type="character" w:styleId="PageNumber">
    <w:name w:val="page number"/>
    <w:rsid w:val="00BE5CED"/>
  </w:style>
  <w:style w:type="paragraph" w:styleId="FootnoteText">
    <w:name w:val="footnote text"/>
    <w:basedOn w:val="Normal"/>
    <w:link w:val="FootnoteTextChar"/>
    <w:uiPriority w:val="99"/>
    <w:unhideWhenUsed/>
    <w:rsid w:val="00BE5CED"/>
    <w:pPr>
      <w:spacing w:before="0" w:after="60" w:line="240" w:lineRule="auto"/>
      <w:ind w:left="180" w:hanging="180"/>
    </w:pPr>
    <w:rPr>
      <w:rFonts w:ascii="Times New Roman" w:hAnsi="Times New Roman"/>
      <w:sz w:val="16"/>
      <w:szCs w:val="16"/>
    </w:rPr>
  </w:style>
  <w:style w:type="character" w:customStyle="1" w:styleId="FootnoteTextChar">
    <w:name w:val="Footnote Text Char"/>
    <w:basedOn w:val="DefaultParagraphFont"/>
    <w:link w:val="FootnoteText"/>
    <w:uiPriority w:val="99"/>
    <w:rsid w:val="00BE5CED"/>
    <w:rPr>
      <w:rFonts w:ascii="Times New Roman" w:eastAsia="Times New Roman" w:hAnsi="Times New Roman" w:cs="Times New Roman"/>
      <w:sz w:val="16"/>
      <w:szCs w:val="16"/>
    </w:rPr>
  </w:style>
  <w:style w:type="character" w:styleId="FootnoteReference">
    <w:name w:val="footnote reference"/>
    <w:uiPriority w:val="99"/>
    <w:semiHidden/>
    <w:unhideWhenUsed/>
    <w:rsid w:val="00BE5CED"/>
    <w:rPr>
      <w:vertAlign w:val="superscript"/>
    </w:rPr>
  </w:style>
  <w:style w:type="paragraph" w:styleId="Header">
    <w:name w:val="header"/>
    <w:basedOn w:val="Normal"/>
    <w:link w:val="HeaderChar"/>
    <w:uiPriority w:val="99"/>
    <w:unhideWhenUsed/>
    <w:rsid w:val="00BE5CED"/>
    <w:pPr>
      <w:spacing w:before="0"/>
      <w:jc w:val="center"/>
    </w:pPr>
  </w:style>
  <w:style w:type="character" w:customStyle="1" w:styleId="HeaderChar">
    <w:name w:val="Header Char"/>
    <w:basedOn w:val="DefaultParagraphFont"/>
    <w:link w:val="Header"/>
    <w:uiPriority w:val="99"/>
    <w:rsid w:val="00BE5CED"/>
    <w:rPr>
      <w:rFonts w:ascii="Calibri" w:eastAsia="Times New Roman" w:hAnsi="Calibri" w:cs="Times New Roman"/>
    </w:rPr>
  </w:style>
  <w:style w:type="character" w:styleId="Hyperlink">
    <w:name w:val="Hyperlink"/>
    <w:uiPriority w:val="99"/>
    <w:unhideWhenUsed/>
    <w:rsid w:val="00BE5CED"/>
    <w:rPr>
      <w:color w:val="0000FF"/>
      <w:u w:val="single"/>
    </w:rPr>
  </w:style>
  <w:style w:type="paragraph" w:styleId="ListParagraph">
    <w:name w:val="List Paragraph"/>
    <w:basedOn w:val="Normal"/>
    <w:uiPriority w:val="34"/>
    <w:qFormat/>
    <w:rsid w:val="00BE5CED"/>
    <w:pPr>
      <w:numPr>
        <w:numId w:val="6"/>
      </w:numPr>
    </w:pPr>
  </w:style>
  <w:style w:type="paragraph" w:styleId="Title">
    <w:name w:val="Title"/>
    <w:basedOn w:val="Subtitle"/>
    <w:next w:val="Normal"/>
    <w:link w:val="TitleChar"/>
    <w:uiPriority w:val="10"/>
    <w:qFormat/>
    <w:rsid w:val="00BE5CED"/>
    <w:pPr>
      <w:pBdr>
        <w:bottom w:val="single" w:sz="18" w:space="1" w:color="2DA2BF"/>
      </w:pBdr>
      <w:spacing w:before="1920" w:line="240" w:lineRule="auto"/>
      <w:jc w:val="center"/>
    </w:pPr>
    <w:rPr>
      <w:sz w:val="72"/>
    </w:rPr>
  </w:style>
  <w:style w:type="character" w:customStyle="1" w:styleId="TitleChar">
    <w:name w:val="Title Char"/>
    <w:basedOn w:val="DefaultParagraphFont"/>
    <w:link w:val="Title"/>
    <w:uiPriority w:val="10"/>
    <w:rsid w:val="00BE5CED"/>
    <w:rPr>
      <w:rFonts w:ascii="Cambria" w:eastAsia="Times New Roman" w:hAnsi="Cambria" w:cs="Times New Roman"/>
      <w:smallCaps/>
      <w:color w:val="1F497D"/>
      <w:spacing w:val="5"/>
      <w:kern w:val="2"/>
      <w:sz w:val="72"/>
      <w:szCs w:val="52"/>
    </w:rPr>
  </w:style>
  <w:style w:type="paragraph" w:styleId="Subtitle">
    <w:name w:val="Subtitle"/>
    <w:next w:val="Normal"/>
    <w:link w:val="SubtitleChar"/>
    <w:uiPriority w:val="11"/>
    <w:qFormat/>
    <w:rsid w:val="00BE5CED"/>
    <w:pPr>
      <w:spacing w:before="2400"/>
    </w:pPr>
    <w:rPr>
      <w:rFonts w:ascii="Cambria" w:eastAsia="Times New Roman" w:hAnsi="Cambria" w:cs="Times New Roman"/>
      <w:smallCaps/>
      <w:color w:val="1F497D"/>
      <w:spacing w:val="5"/>
      <w:kern w:val="2"/>
      <w:sz w:val="36"/>
      <w:szCs w:val="52"/>
    </w:rPr>
  </w:style>
  <w:style w:type="character" w:customStyle="1" w:styleId="SubtitleChar">
    <w:name w:val="Subtitle Char"/>
    <w:basedOn w:val="DefaultParagraphFont"/>
    <w:link w:val="Subtitle"/>
    <w:uiPriority w:val="11"/>
    <w:rsid w:val="00BE5CED"/>
    <w:rPr>
      <w:rFonts w:ascii="Cambria" w:eastAsia="Times New Roman" w:hAnsi="Cambria" w:cs="Times New Roman"/>
      <w:smallCaps/>
      <w:color w:val="1F497D"/>
      <w:spacing w:val="5"/>
      <w:kern w:val="2"/>
      <w:sz w:val="36"/>
      <w:szCs w:val="52"/>
    </w:rPr>
  </w:style>
  <w:style w:type="paragraph" w:styleId="BalloonText">
    <w:name w:val="Balloon Text"/>
    <w:basedOn w:val="Normal"/>
    <w:link w:val="BalloonTextChar"/>
    <w:uiPriority w:val="99"/>
    <w:semiHidden/>
    <w:unhideWhenUsed/>
    <w:rsid w:val="00BE5CE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CE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11F2C"/>
    <w:rPr>
      <w:color w:val="800080" w:themeColor="followedHyperlink"/>
      <w:u w:val="single"/>
    </w:rPr>
  </w:style>
  <w:style w:type="character" w:styleId="CommentReference">
    <w:name w:val="annotation reference"/>
    <w:basedOn w:val="DefaultParagraphFont"/>
    <w:uiPriority w:val="99"/>
    <w:semiHidden/>
    <w:unhideWhenUsed/>
    <w:rsid w:val="004E2C74"/>
    <w:rPr>
      <w:sz w:val="16"/>
      <w:szCs w:val="16"/>
    </w:rPr>
  </w:style>
  <w:style w:type="paragraph" w:styleId="CommentText">
    <w:name w:val="annotation text"/>
    <w:basedOn w:val="Normal"/>
    <w:link w:val="CommentTextChar"/>
    <w:uiPriority w:val="99"/>
    <w:semiHidden/>
    <w:unhideWhenUsed/>
    <w:rsid w:val="004E2C74"/>
    <w:pPr>
      <w:spacing w:line="240" w:lineRule="auto"/>
    </w:pPr>
    <w:rPr>
      <w:sz w:val="20"/>
      <w:szCs w:val="20"/>
    </w:rPr>
  </w:style>
  <w:style w:type="character" w:customStyle="1" w:styleId="CommentTextChar">
    <w:name w:val="Comment Text Char"/>
    <w:basedOn w:val="DefaultParagraphFont"/>
    <w:link w:val="CommentText"/>
    <w:uiPriority w:val="99"/>
    <w:semiHidden/>
    <w:rsid w:val="004E2C7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C74"/>
    <w:rPr>
      <w:b/>
      <w:bCs/>
    </w:rPr>
  </w:style>
  <w:style w:type="character" w:customStyle="1" w:styleId="CommentSubjectChar">
    <w:name w:val="Comment Subject Char"/>
    <w:basedOn w:val="CommentTextChar"/>
    <w:link w:val="CommentSubject"/>
    <w:uiPriority w:val="99"/>
    <w:semiHidden/>
    <w:rsid w:val="004E2C7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nationsreportcard.gov/math_2017/files/2017_Technical_Appendix_Math_State.pdf" TargetMode="External"/><Relationship Id="rId2" Type="http://schemas.openxmlformats.org/officeDocument/2006/relationships/customXml" Target="../customXml/item2.xml"/><Relationship Id="rId16" Type="http://schemas.openxmlformats.org/officeDocument/2006/relationships/hyperlink" Target="http://www.nationsreportcard.gov/reading_2017/files/2017_Technical_Appendix_Reading_Sta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7422647324584AA3E98FB9ECFF7D7B" ma:contentTypeVersion="0" ma:contentTypeDescription="Create a new document." ma:contentTypeScope="" ma:versionID="78498b92a0e7e6d8d1b0c95a36439b7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1CCA2-1DD4-49A6-A6B0-11934EF17425}">
  <ds:schemaRefs>
    <ds:schemaRef ds:uri="http://schemas.microsoft.com/sharepoint/v3/contenttype/forms"/>
  </ds:schemaRefs>
</ds:datastoreItem>
</file>

<file path=customXml/itemProps2.xml><?xml version="1.0" encoding="utf-8"?>
<ds:datastoreItem xmlns:ds="http://schemas.openxmlformats.org/officeDocument/2006/customXml" ds:itemID="{8E9658AB-A27D-4D27-9AF1-2B2191E3A6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FAA5D6-363F-4A9D-BC08-59D7ACCA9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84A49E-6A4B-40C8-BA4D-F4F23999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Audipudy, Megana</dc:creator>
  <cp:lastModifiedBy>Pilgrim, Christine</cp:lastModifiedBy>
  <cp:revision>3</cp:revision>
  <dcterms:created xsi:type="dcterms:W3CDTF">2019-06-10T22:31:00Z</dcterms:created>
  <dcterms:modified xsi:type="dcterms:W3CDTF">2019-06-10T23:06:00Z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0x0101008F7422647324584AA3E98FB9ECFF7D7B</vt:lpwstr>
  </property>
  <property fmtid="{D5CDD505-2E9C-101B-9397-08002B2CF9AE}" pid="3" name="Order">
    <vt:r8>100</vt:r8>
  </property>
</Properties>
</file>