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BEED" w14:textId="77777777" w:rsidR="00F16394" w:rsidRPr="00E45475" w:rsidRDefault="006C7F7B">
      <w:pPr>
        <w:rPr>
          <w:rFonts w:ascii="PermianSlabSerifTypeface" w:hAnsi="PermianSlabSerifTypeface"/>
          <w:sz w:val="36"/>
          <w:szCs w:val="36"/>
        </w:rPr>
      </w:pPr>
      <w:r w:rsidRPr="00E45475">
        <w:rPr>
          <w:rFonts w:ascii="PermianSlabSerifTypeface" w:hAnsi="PermianSlabSerifTypeface"/>
          <w:sz w:val="36"/>
          <w:szCs w:val="36"/>
        </w:rPr>
        <w:t>Postsecondary Credit Guidance</w:t>
      </w:r>
    </w:p>
    <w:p w14:paraId="599D49B6" w14:textId="77777777" w:rsidR="0019030D" w:rsidRPr="0019030D" w:rsidRDefault="0019030D" w:rsidP="006C7F7B">
      <w:pPr>
        <w:shd w:val="clear" w:color="auto" w:fill="FFFFFF"/>
        <w:spacing w:before="240" w:after="240" w:line="240" w:lineRule="auto"/>
        <w:rPr>
          <w:rFonts w:eastAsia="Times New Roman" w:cs="Open Sans"/>
          <w:b/>
          <w:color w:val="000000"/>
          <w:szCs w:val="20"/>
        </w:rPr>
      </w:pPr>
      <w:r w:rsidRPr="0019030D">
        <w:rPr>
          <w:rFonts w:eastAsia="Times New Roman" w:cs="Open Sans"/>
          <w:b/>
          <w:color w:val="000000"/>
          <w:szCs w:val="20"/>
        </w:rPr>
        <w:t>Background</w:t>
      </w:r>
    </w:p>
    <w:p w14:paraId="0221AD21" w14:textId="4147E888" w:rsidR="00574F83" w:rsidRDefault="006C7F7B" w:rsidP="006C7F7B">
      <w:p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5D25CC">
        <w:rPr>
          <w:rFonts w:eastAsia="Times New Roman" w:cs="Open Sans"/>
          <w:color w:val="000000"/>
          <w:szCs w:val="20"/>
        </w:rPr>
        <w:t xml:space="preserve">The Division of College, Career and Technical Education (CCTE) established the Tennessee Specific Industry Certification (TSIC) Key Partners advisory council that includes industry, </w:t>
      </w:r>
      <w:r>
        <w:rPr>
          <w:rFonts w:eastAsia="Times New Roman" w:cs="Open Sans"/>
          <w:color w:val="000000"/>
          <w:szCs w:val="20"/>
        </w:rPr>
        <w:t xml:space="preserve">government, professional, and both secondary and </w:t>
      </w:r>
      <w:r w:rsidRPr="0019030D">
        <w:rPr>
          <w:rFonts w:eastAsia="Times New Roman" w:cs="Open Sans"/>
          <w:color w:val="000000"/>
          <w:szCs w:val="20"/>
          <w:u w:val="single"/>
        </w:rPr>
        <w:t>higher education partners</w:t>
      </w:r>
      <w:r w:rsidRPr="005D25CC">
        <w:rPr>
          <w:rFonts w:eastAsia="Times New Roman" w:cs="Open Sans"/>
          <w:color w:val="000000"/>
          <w:szCs w:val="20"/>
        </w:rPr>
        <w:t xml:space="preserve"> to serve as key leaders who are instrumental in</w:t>
      </w:r>
      <w:r w:rsidR="00FE00AB">
        <w:rPr>
          <w:rFonts w:eastAsia="Times New Roman" w:cs="Open Sans"/>
          <w:color w:val="000000"/>
          <w:szCs w:val="20"/>
        </w:rPr>
        <w:t xml:space="preserve"> driving the development and approval of the TSIC program</w:t>
      </w:r>
      <w:r>
        <w:rPr>
          <w:rFonts w:eastAsia="Times New Roman" w:cs="Open Sans"/>
          <w:color w:val="000000"/>
          <w:szCs w:val="20"/>
        </w:rPr>
        <w:t xml:space="preserve">. </w:t>
      </w:r>
    </w:p>
    <w:p w14:paraId="60FB6E94" w14:textId="538B465C" w:rsidR="00A73C17" w:rsidRDefault="00FE00AB" w:rsidP="006C7F7B">
      <w:p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>
        <w:rPr>
          <w:rFonts w:eastAsia="Times New Roman" w:cs="Open Sans"/>
          <w:color w:val="000000"/>
          <w:szCs w:val="20"/>
        </w:rPr>
        <w:t xml:space="preserve">The TSIC </w:t>
      </w:r>
      <w:r w:rsidR="00A73C17">
        <w:rPr>
          <w:rFonts w:eastAsia="Times New Roman" w:cs="Open Sans"/>
          <w:color w:val="000000"/>
          <w:szCs w:val="20"/>
        </w:rPr>
        <w:t xml:space="preserve">Agriculture </w:t>
      </w:r>
      <w:r>
        <w:rPr>
          <w:rFonts w:eastAsia="Times New Roman" w:cs="Open Sans"/>
          <w:color w:val="000000"/>
          <w:szCs w:val="20"/>
        </w:rPr>
        <w:t>Key Partners included</w:t>
      </w:r>
      <w:r w:rsidR="00A73C17">
        <w:rPr>
          <w:rFonts w:eastAsia="Times New Roman" w:cs="Open Sans"/>
          <w:color w:val="000000"/>
          <w:szCs w:val="20"/>
        </w:rPr>
        <w:t>:</w:t>
      </w:r>
    </w:p>
    <w:p w14:paraId="28CE0853" w14:textId="77777777" w:rsidR="00A73C17" w:rsidRPr="00161095" w:rsidRDefault="00FE00AB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Commission of Agriculture, </w:t>
      </w:r>
    </w:p>
    <w:p w14:paraId="0322197E" w14:textId="77777777" w:rsidR="00A73C17" w:rsidRPr="00161095" w:rsidRDefault="00FE00AB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Farm Bureau President, </w:t>
      </w:r>
    </w:p>
    <w:p w14:paraId="4E38B93C" w14:textId="77777777" w:rsidR="00A73C17" w:rsidRPr="00161095" w:rsidRDefault="00FE00AB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>University of Tennessee Institute of Agriculture Chanc</w:t>
      </w:r>
      <w:r w:rsidR="00743E2F" w:rsidRPr="00161095">
        <w:rPr>
          <w:rFonts w:eastAsia="Times New Roman" w:cs="Open Sans"/>
          <w:color w:val="000000"/>
          <w:szCs w:val="20"/>
        </w:rPr>
        <w:t>ello</w:t>
      </w:r>
      <w:r w:rsidRPr="00161095">
        <w:rPr>
          <w:rFonts w:eastAsia="Times New Roman" w:cs="Open Sans"/>
          <w:color w:val="000000"/>
          <w:szCs w:val="20"/>
        </w:rPr>
        <w:t>r,</w:t>
      </w:r>
      <w:r w:rsidR="0016247C" w:rsidRPr="00161095">
        <w:rPr>
          <w:rFonts w:eastAsia="Times New Roman" w:cs="Open Sans"/>
          <w:color w:val="000000"/>
          <w:szCs w:val="20"/>
        </w:rPr>
        <w:t xml:space="preserve"> </w:t>
      </w:r>
    </w:p>
    <w:p w14:paraId="7127110E" w14:textId="77777777" w:rsidR="00A73C17" w:rsidRPr="00161095" w:rsidRDefault="0016247C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Higher Education Commission Assistant Executive Director for Academic Affairs, </w:t>
      </w:r>
    </w:p>
    <w:p w14:paraId="02C64A43" w14:textId="77777777" w:rsidR="00A73C17" w:rsidRPr="00161095" w:rsidRDefault="0016247C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Board of Regents Associate Vice Chancellor of Academic Affairs, </w:t>
      </w:r>
    </w:p>
    <w:p w14:paraId="0C1BAFB4" w14:textId="77777777" w:rsidR="00A73C17" w:rsidRPr="00161095" w:rsidRDefault="00743E2F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Independent Colleges and Universities Association Vice President, </w:t>
      </w:r>
    </w:p>
    <w:p w14:paraId="1D304B2F" w14:textId="77777777" w:rsidR="00A73C17" w:rsidRPr="00161095" w:rsidRDefault="00743E2F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Board of Regents Community Colleges Representative, </w:t>
      </w:r>
    </w:p>
    <w:p w14:paraId="60C11CC9" w14:textId="77777777" w:rsidR="00A73C17" w:rsidRPr="00161095" w:rsidRDefault="00743E2F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Department of Economic and Community Development Assistant Commissioner, </w:t>
      </w:r>
    </w:p>
    <w:p w14:paraId="6B7A29FD" w14:textId="77777777" w:rsidR="00A73C17" w:rsidRPr="00161095" w:rsidRDefault="00743E2F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>Tennessee Chamber of Commerce and Industry Vice President of Government Affairs and</w:t>
      </w:r>
    </w:p>
    <w:p w14:paraId="48A9C4B2" w14:textId="60B0EE7D" w:rsidR="00A73C17" w:rsidRDefault="00743E2F" w:rsidP="00161095">
      <w:pPr>
        <w:pStyle w:val="ListParagraph"/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Community Relations, </w:t>
      </w:r>
      <w:r w:rsidR="002D5062" w:rsidRPr="00161095">
        <w:rPr>
          <w:rFonts w:eastAsia="Times New Roman" w:cs="Open Sans"/>
          <w:color w:val="000000"/>
          <w:szCs w:val="20"/>
        </w:rPr>
        <w:t xml:space="preserve">and </w:t>
      </w:r>
    </w:p>
    <w:p w14:paraId="33EBCF2F" w14:textId="7EBA2ACA" w:rsidR="00574F83" w:rsidRPr="00161095" w:rsidRDefault="00743E2F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>Tennessee Association of Agricultural E</w:t>
      </w:r>
      <w:r w:rsidR="002D5062" w:rsidRPr="00161095">
        <w:rPr>
          <w:rFonts w:eastAsia="Times New Roman" w:cs="Open Sans"/>
          <w:color w:val="000000"/>
          <w:szCs w:val="20"/>
        </w:rPr>
        <w:t xml:space="preserve">ducators. </w:t>
      </w:r>
    </w:p>
    <w:p w14:paraId="787814D7" w14:textId="2EC1C62B" w:rsidR="00A73C17" w:rsidRDefault="00574F83" w:rsidP="006C7F7B">
      <w:p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>
        <w:rPr>
          <w:rFonts w:eastAsia="Times New Roman" w:cs="Open Sans"/>
          <w:color w:val="000000"/>
          <w:szCs w:val="20"/>
        </w:rPr>
        <w:t>T</w:t>
      </w:r>
      <w:r w:rsidR="002D5062">
        <w:rPr>
          <w:rFonts w:eastAsia="Times New Roman" w:cs="Open Sans"/>
          <w:color w:val="000000"/>
          <w:szCs w:val="20"/>
        </w:rPr>
        <w:t xml:space="preserve">he TSIC </w:t>
      </w:r>
      <w:r w:rsidR="00A73C17">
        <w:rPr>
          <w:rFonts w:eastAsia="Times New Roman" w:cs="Open Sans"/>
          <w:color w:val="000000"/>
          <w:szCs w:val="20"/>
        </w:rPr>
        <w:t xml:space="preserve">Human Services </w:t>
      </w:r>
      <w:r w:rsidR="002D5062">
        <w:rPr>
          <w:rFonts w:eastAsia="Times New Roman" w:cs="Open Sans"/>
          <w:color w:val="000000"/>
          <w:szCs w:val="20"/>
        </w:rPr>
        <w:t xml:space="preserve">Key Partners </w:t>
      </w:r>
      <w:r>
        <w:rPr>
          <w:rFonts w:eastAsia="Times New Roman" w:cs="Open Sans"/>
          <w:color w:val="000000"/>
          <w:szCs w:val="20"/>
        </w:rPr>
        <w:t>included</w:t>
      </w:r>
      <w:r w:rsidR="00A73C17">
        <w:rPr>
          <w:rFonts w:eastAsia="Times New Roman" w:cs="Open Sans"/>
          <w:color w:val="000000"/>
          <w:szCs w:val="20"/>
        </w:rPr>
        <w:t>:</w:t>
      </w:r>
    </w:p>
    <w:p w14:paraId="31C462FC" w14:textId="5ADC3916" w:rsidR="00A73C17" w:rsidRPr="00161095" w:rsidRDefault="00574F83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Board of Regents Director of Early College Initiatives, </w:t>
      </w:r>
    </w:p>
    <w:p w14:paraId="56162028" w14:textId="77777777" w:rsidR="00A73C17" w:rsidRPr="00161095" w:rsidRDefault="00574F83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Independent Colleges and Universities Association Vice President, </w:t>
      </w:r>
    </w:p>
    <w:p w14:paraId="29DC8ABB" w14:textId="77777777" w:rsidR="00A73C17" w:rsidRPr="00161095" w:rsidRDefault="00E43858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Tech University Departmental Professor, </w:t>
      </w:r>
    </w:p>
    <w:p w14:paraId="0CC2E681" w14:textId="77777777" w:rsidR="00A73C17" w:rsidRPr="00161095" w:rsidRDefault="00E43858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University of Tennessee – Martin Department Associate Professor, </w:t>
      </w:r>
    </w:p>
    <w:p w14:paraId="2C1189AD" w14:textId="77777777" w:rsidR="00A73C17" w:rsidRPr="00161095" w:rsidRDefault="00E43858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University of Tennessee Institute of Agricultural Assistant Dean, </w:t>
      </w:r>
    </w:p>
    <w:p w14:paraId="37DB8F22" w14:textId="77777777" w:rsidR="00A73C17" w:rsidRPr="00161095" w:rsidRDefault="00E43858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Business Roundtable, </w:t>
      </w:r>
    </w:p>
    <w:p w14:paraId="7D0EEAA8" w14:textId="77777777" w:rsidR="00A73C17" w:rsidRPr="00161095" w:rsidRDefault="00E43858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University of </w:t>
      </w:r>
      <w:r w:rsidR="00574F83" w:rsidRPr="00161095">
        <w:rPr>
          <w:rFonts w:eastAsia="Times New Roman" w:cs="Open Sans"/>
          <w:color w:val="000000"/>
          <w:szCs w:val="20"/>
        </w:rPr>
        <w:t xml:space="preserve">Tennessee Department of Economic and Community Development Assistant Commissioner, </w:t>
      </w:r>
    </w:p>
    <w:p w14:paraId="404D3108" w14:textId="77777777" w:rsidR="00A73C17" w:rsidRPr="00161095" w:rsidRDefault="002D5062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Association of Family and Consumer Sciences, </w:t>
      </w:r>
    </w:p>
    <w:p w14:paraId="6C5EDF70" w14:textId="77777777" w:rsidR="00A73C17" w:rsidRPr="00161095" w:rsidRDefault="002D5062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Association of Teachers of Family and Consumer Sciences, </w:t>
      </w:r>
    </w:p>
    <w:p w14:paraId="0EAEBC3C" w14:textId="77777777" w:rsidR="00A73C17" w:rsidRPr="00161095" w:rsidRDefault="002D5062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 xml:space="preserve">Tennessee Academy of Nutrition and Dietitians, and </w:t>
      </w:r>
    </w:p>
    <w:p w14:paraId="6077F6AD" w14:textId="77777777" w:rsidR="006C7F7B" w:rsidRPr="00161095" w:rsidRDefault="002D5062" w:rsidP="00161095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161095">
        <w:rPr>
          <w:rFonts w:eastAsia="Times New Roman" w:cs="Open Sans"/>
          <w:color w:val="000000"/>
          <w:szCs w:val="20"/>
        </w:rPr>
        <w:t>National Association of Social Workers</w:t>
      </w:r>
    </w:p>
    <w:p w14:paraId="753F437B" w14:textId="74F083BC" w:rsidR="00981452" w:rsidRDefault="00AB2B25" w:rsidP="00981452">
      <w:p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AB2B25">
        <w:rPr>
          <w:rFonts w:eastAsia="Times New Roman" w:cs="Open Sans"/>
          <w:b/>
          <w:color w:val="000000"/>
          <w:szCs w:val="20"/>
        </w:rPr>
        <w:t>Tennessee Specific Industry Certification (TSIC)</w:t>
      </w:r>
      <w:r>
        <w:rPr>
          <w:rFonts w:eastAsia="Times New Roman" w:cs="Open Sans"/>
          <w:color w:val="000000"/>
          <w:szCs w:val="20"/>
        </w:rPr>
        <w:t xml:space="preserve">: </w:t>
      </w:r>
      <w:r w:rsidR="006C7F7B" w:rsidRPr="005D25CC">
        <w:rPr>
          <w:rFonts w:eastAsia="Times New Roman" w:cs="Open Sans"/>
          <w:color w:val="000000"/>
          <w:szCs w:val="20"/>
        </w:rPr>
        <w:t xml:space="preserve">The TSIC program, content areas, </w:t>
      </w:r>
      <w:r w:rsidR="00A73C17">
        <w:rPr>
          <w:rFonts w:eastAsia="Times New Roman" w:cs="Open Sans"/>
          <w:color w:val="000000"/>
          <w:szCs w:val="20"/>
        </w:rPr>
        <w:t xml:space="preserve">and </w:t>
      </w:r>
      <w:r w:rsidR="006C7F7B" w:rsidRPr="005D25CC">
        <w:rPr>
          <w:rFonts w:eastAsia="Times New Roman" w:cs="Open Sans"/>
          <w:color w:val="000000"/>
          <w:szCs w:val="20"/>
        </w:rPr>
        <w:t>learning outcomes or objectives</w:t>
      </w:r>
      <w:r w:rsidR="00A73C17">
        <w:rPr>
          <w:rFonts w:eastAsia="Times New Roman" w:cs="Open Sans"/>
          <w:color w:val="000000"/>
          <w:szCs w:val="20"/>
        </w:rPr>
        <w:t xml:space="preserve"> </w:t>
      </w:r>
      <w:r w:rsidR="006C7F7B" w:rsidRPr="005D25CC">
        <w:rPr>
          <w:rFonts w:eastAsia="Times New Roman" w:cs="Open Sans"/>
          <w:color w:val="000000"/>
          <w:szCs w:val="20"/>
        </w:rPr>
        <w:t>were approved by the department and the TSIC Key Partners</w:t>
      </w:r>
      <w:r w:rsidR="00A73C17">
        <w:rPr>
          <w:rFonts w:eastAsia="Times New Roman" w:cs="Open Sans"/>
          <w:color w:val="000000"/>
          <w:szCs w:val="20"/>
        </w:rPr>
        <w:t xml:space="preserve">. </w:t>
      </w:r>
      <w:r w:rsidR="006C7F7B" w:rsidRPr="005D25CC">
        <w:rPr>
          <w:rFonts w:eastAsia="Times New Roman" w:cs="Open Sans"/>
          <w:color w:val="000000"/>
          <w:szCs w:val="20"/>
        </w:rPr>
        <w:t xml:space="preserve"> </w:t>
      </w:r>
      <w:r w:rsidR="00C71B4F">
        <w:rPr>
          <w:rFonts w:eastAsia="Times New Roman" w:cs="Open Sans"/>
          <w:color w:val="000000"/>
          <w:szCs w:val="20"/>
        </w:rPr>
        <w:t xml:space="preserve">A </w:t>
      </w:r>
      <w:r w:rsidR="006C7F7B" w:rsidRPr="005D25CC">
        <w:rPr>
          <w:rFonts w:eastAsia="Times New Roman" w:cs="Open Sans"/>
          <w:color w:val="000000"/>
          <w:szCs w:val="20"/>
        </w:rPr>
        <w:t xml:space="preserve">pilot program </w:t>
      </w:r>
      <w:r w:rsidR="00C71B4F">
        <w:rPr>
          <w:rFonts w:eastAsia="Times New Roman" w:cs="Open Sans"/>
          <w:color w:val="000000"/>
          <w:szCs w:val="20"/>
        </w:rPr>
        <w:t xml:space="preserve">was </w:t>
      </w:r>
      <w:r w:rsidR="00C71B4F" w:rsidRPr="005D25CC">
        <w:rPr>
          <w:rFonts w:eastAsia="Times New Roman" w:cs="Open Sans"/>
          <w:color w:val="000000"/>
          <w:szCs w:val="20"/>
        </w:rPr>
        <w:t>start</w:t>
      </w:r>
      <w:r w:rsidR="00C71B4F">
        <w:rPr>
          <w:rFonts w:eastAsia="Times New Roman" w:cs="Open Sans"/>
          <w:color w:val="000000"/>
          <w:szCs w:val="20"/>
        </w:rPr>
        <w:t>ed</w:t>
      </w:r>
      <w:r w:rsidR="00C71B4F" w:rsidRPr="005D25CC">
        <w:rPr>
          <w:rFonts w:eastAsia="Times New Roman" w:cs="Open Sans"/>
          <w:color w:val="000000"/>
          <w:szCs w:val="20"/>
        </w:rPr>
        <w:t xml:space="preserve"> </w:t>
      </w:r>
      <w:r w:rsidR="006C7F7B" w:rsidRPr="005D25CC">
        <w:rPr>
          <w:rFonts w:eastAsia="Times New Roman" w:cs="Open Sans"/>
          <w:color w:val="000000"/>
          <w:szCs w:val="20"/>
        </w:rPr>
        <w:t>with Animal Science for the 2016-17 academic school year</w:t>
      </w:r>
      <w:r w:rsidR="00C71B4F">
        <w:rPr>
          <w:rFonts w:eastAsia="Times New Roman" w:cs="Open Sans"/>
          <w:color w:val="000000"/>
          <w:szCs w:val="20"/>
        </w:rPr>
        <w:t xml:space="preserve"> followed by</w:t>
      </w:r>
      <w:r w:rsidR="006C7F7B" w:rsidRPr="005D25CC">
        <w:rPr>
          <w:rFonts w:eastAsia="Times New Roman" w:cs="Open Sans"/>
          <w:color w:val="000000"/>
          <w:szCs w:val="20"/>
        </w:rPr>
        <w:t xml:space="preserve"> Dietetics and Nutrition, Horticulture Science, and Human and Social Sciences in the 2017-18 academic school year. The course content and certification exam</w:t>
      </w:r>
      <w:r w:rsidR="00981452">
        <w:rPr>
          <w:rFonts w:eastAsia="Times New Roman" w:cs="Open Sans"/>
          <w:color w:val="000000"/>
          <w:szCs w:val="20"/>
        </w:rPr>
        <w:t>s</w:t>
      </w:r>
      <w:r w:rsidR="006C7F7B" w:rsidRPr="005D25CC">
        <w:rPr>
          <w:rFonts w:eastAsia="Times New Roman" w:cs="Open Sans"/>
          <w:color w:val="000000"/>
          <w:szCs w:val="20"/>
        </w:rPr>
        <w:t xml:space="preserve"> are aligned to postsecondary standards</w:t>
      </w:r>
      <w:r w:rsidR="00981452">
        <w:rPr>
          <w:rFonts w:eastAsia="Times New Roman" w:cs="Open Sans"/>
          <w:color w:val="000000"/>
          <w:szCs w:val="20"/>
        </w:rPr>
        <w:t>.</w:t>
      </w:r>
    </w:p>
    <w:p w14:paraId="170CB076" w14:textId="77777777" w:rsidR="006C7F7B" w:rsidRDefault="006C7F7B" w:rsidP="00A4729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A47294">
        <w:rPr>
          <w:rFonts w:eastAsia="Times New Roman" w:cs="Open Sans"/>
          <w:color w:val="000000"/>
          <w:szCs w:val="20"/>
        </w:rPr>
        <w:lastRenderedPageBreak/>
        <w:t xml:space="preserve">TSIC workgroup members representing Tennessee’s postsecondary, secondary, and industry organizations developed learning outcomes or objectives and a capstone certification exam. </w:t>
      </w:r>
    </w:p>
    <w:p w14:paraId="5CDA4C33" w14:textId="77777777" w:rsidR="00A47294" w:rsidRPr="00A47294" w:rsidRDefault="00A47294" w:rsidP="00A47294">
      <w:pPr>
        <w:pStyle w:val="ListParagraph"/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</w:p>
    <w:p w14:paraId="5D2DF448" w14:textId="7E500385" w:rsidR="00E45475" w:rsidRDefault="00981452" w:rsidP="00161095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</w:pPr>
      <w:r w:rsidRPr="00A47294">
        <w:rPr>
          <w:rFonts w:eastAsia="Times New Roman" w:cs="Open Sans"/>
          <w:color w:val="000000"/>
          <w:szCs w:val="20"/>
        </w:rPr>
        <w:t xml:space="preserve">Students only have </w:t>
      </w:r>
      <w:r w:rsidRPr="00A47294">
        <w:rPr>
          <w:rFonts w:eastAsia="Times New Roman" w:cs="Open Sans"/>
          <w:b/>
          <w:color w:val="000000"/>
          <w:szCs w:val="20"/>
        </w:rPr>
        <w:t>one attempt at the exam to earn both postsecondary credit and industry credentialing</w:t>
      </w:r>
      <w:r w:rsidRPr="00A47294">
        <w:rPr>
          <w:rFonts w:eastAsia="Times New Roman" w:cs="Open Sans"/>
          <w:color w:val="000000"/>
          <w:szCs w:val="20"/>
        </w:rPr>
        <w:t>. Additional attempt</w:t>
      </w:r>
      <w:r w:rsidR="00A47294" w:rsidRPr="00A47294">
        <w:rPr>
          <w:rFonts w:eastAsia="Times New Roman" w:cs="Open Sans"/>
          <w:color w:val="000000"/>
          <w:szCs w:val="20"/>
        </w:rPr>
        <w:t>s</w:t>
      </w:r>
      <w:r w:rsidRPr="00A47294">
        <w:rPr>
          <w:rFonts w:eastAsia="Times New Roman" w:cs="Open Sans"/>
          <w:color w:val="000000"/>
          <w:szCs w:val="20"/>
        </w:rPr>
        <w:t xml:space="preserve"> will earn </w:t>
      </w:r>
      <w:r w:rsidRPr="00A47294">
        <w:rPr>
          <w:rFonts w:eastAsia="Times New Roman" w:cs="Open Sans"/>
          <w:b/>
          <w:color w:val="000000"/>
          <w:szCs w:val="20"/>
        </w:rPr>
        <w:t>industry certification only</w:t>
      </w:r>
      <w:r w:rsidRPr="00A47294">
        <w:rPr>
          <w:rFonts w:eastAsia="Times New Roman" w:cs="Open Sans"/>
          <w:color w:val="000000"/>
          <w:szCs w:val="20"/>
        </w:rPr>
        <w:t>.</w:t>
      </w:r>
    </w:p>
    <w:p w14:paraId="47016225" w14:textId="77777777" w:rsidR="0019030D" w:rsidRPr="00A47294" w:rsidRDefault="0019030D" w:rsidP="006C7F7B">
      <w:pPr>
        <w:shd w:val="clear" w:color="auto" w:fill="FFFFFF"/>
        <w:spacing w:before="240" w:after="240" w:line="240" w:lineRule="auto"/>
        <w:rPr>
          <w:rFonts w:eastAsia="Times New Roman" w:cs="Open Sans"/>
          <w:b/>
          <w:color w:val="000000"/>
          <w:szCs w:val="20"/>
        </w:rPr>
      </w:pPr>
      <w:r w:rsidRPr="00A47294">
        <w:rPr>
          <w:rFonts w:eastAsia="Times New Roman" w:cs="Open Sans"/>
          <w:b/>
          <w:color w:val="000000"/>
          <w:szCs w:val="20"/>
        </w:rPr>
        <w:t>Awarding Postsecond</w:t>
      </w:r>
      <w:r w:rsidR="00A47294">
        <w:rPr>
          <w:rFonts w:eastAsia="Times New Roman" w:cs="Open Sans"/>
          <w:b/>
          <w:color w:val="000000"/>
          <w:szCs w:val="20"/>
        </w:rPr>
        <w:t>ar</w:t>
      </w:r>
      <w:r w:rsidRPr="00A47294">
        <w:rPr>
          <w:rFonts w:eastAsia="Times New Roman" w:cs="Open Sans"/>
          <w:b/>
          <w:color w:val="000000"/>
          <w:szCs w:val="20"/>
        </w:rPr>
        <w:t>y Credit</w:t>
      </w:r>
    </w:p>
    <w:p w14:paraId="1B1F062D" w14:textId="77777777" w:rsidR="00836BA2" w:rsidRDefault="00A47294" w:rsidP="00376570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376570">
        <w:rPr>
          <w:rFonts w:eastAsia="Times New Roman" w:cs="Open Sans"/>
          <w:color w:val="000000"/>
          <w:szCs w:val="20"/>
        </w:rPr>
        <w:t>S</w:t>
      </w:r>
      <w:r w:rsidR="006C7F7B" w:rsidRPr="00376570">
        <w:rPr>
          <w:rFonts w:eastAsia="Times New Roman" w:cs="Open Sans"/>
          <w:color w:val="000000"/>
          <w:szCs w:val="20"/>
        </w:rPr>
        <w:t>tudents who meet or exceed the established cut score for the</w:t>
      </w:r>
      <w:r w:rsidRPr="00376570">
        <w:rPr>
          <w:rFonts w:eastAsia="Times New Roman" w:cs="Open Sans"/>
          <w:color w:val="000000"/>
          <w:szCs w:val="20"/>
        </w:rPr>
        <w:t>ir TSIC</w:t>
      </w:r>
      <w:r w:rsidR="006C7F7B" w:rsidRPr="00376570">
        <w:rPr>
          <w:rFonts w:eastAsia="Times New Roman" w:cs="Open Sans"/>
          <w:color w:val="000000"/>
          <w:szCs w:val="20"/>
        </w:rPr>
        <w:t xml:space="preserve"> exam </w:t>
      </w:r>
      <w:r w:rsidRPr="00376570">
        <w:rPr>
          <w:rFonts w:eastAsia="Times New Roman" w:cs="Open Sans"/>
          <w:color w:val="000000"/>
          <w:szCs w:val="20"/>
        </w:rPr>
        <w:t xml:space="preserve">are eligible to receive postsecondary </w:t>
      </w:r>
      <w:r w:rsidR="006C7F7B" w:rsidRPr="00376570">
        <w:rPr>
          <w:rFonts w:eastAsia="Times New Roman" w:cs="Open Sans"/>
          <w:color w:val="000000"/>
          <w:szCs w:val="20"/>
        </w:rPr>
        <w:t xml:space="preserve">credits </w:t>
      </w:r>
      <w:r w:rsidR="00836BA2" w:rsidRPr="00376570">
        <w:rPr>
          <w:rFonts w:eastAsia="Times New Roman" w:cs="Open Sans"/>
          <w:color w:val="000000"/>
          <w:szCs w:val="20"/>
        </w:rPr>
        <w:t xml:space="preserve">at </w:t>
      </w:r>
      <w:r w:rsidR="006C7F7B" w:rsidRPr="00376570">
        <w:rPr>
          <w:rFonts w:eastAsia="Times New Roman" w:cs="Open Sans"/>
          <w:color w:val="000000"/>
          <w:szCs w:val="20"/>
        </w:rPr>
        <w:t>any public postsecondary institution in Tennessee and will be awarded a TSIC credential from Te</w:t>
      </w:r>
      <w:r w:rsidR="00E45475">
        <w:rPr>
          <w:rFonts w:eastAsia="Times New Roman" w:cs="Open Sans"/>
          <w:color w:val="000000"/>
          <w:szCs w:val="20"/>
        </w:rPr>
        <w:t>nnessee Farm Bureau Federation.</w:t>
      </w:r>
    </w:p>
    <w:p w14:paraId="103CB2EF" w14:textId="77777777" w:rsidR="00E45475" w:rsidRPr="00376570" w:rsidRDefault="00E45475" w:rsidP="00E45475">
      <w:pPr>
        <w:pStyle w:val="ListParagraph"/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</w:p>
    <w:p w14:paraId="03A9325A" w14:textId="57297D68" w:rsidR="00836BA2" w:rsidRDefault="00836BA2" w:rsidP="00376570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376570">
        <w:rPr>
          <w:rFonts w:eastAsia="Times New Roman" w:cs="Open Sans"/>
          <w:color w:val="000000"/>
          <w:szCs w:val="20"/>
        </w:rPr>
        <w:t xml:space="preserve">Upon matriculation, </w:t>
      </w:r>
      <w:r w:rsidR="00C71B4F">
        <w:rPr>
          <w:rFonts w:eastAsia="Times New Roman" w:cs="Open Sans"/>
          <w:color w:val="000000"/>
          <w:szCs w:val="20"/>
        </w:rPr>
        <w:t>the</w:t>
      </w:r>
      <w:r w:rsidR="00C71B4F" w:rsidRPr="00376570">
        <w:rPr>
          <w:rFonts w:eastAsia="Times New Roman" w:cs="Open Sans"/>
          <w:color w:val="000000"/>
          <w:szCs w:val="20"/>
        </w:rPr>
        <w:t xml:space="preserve"> </w:t>
      </w:r>
      <w:r w:rsidRPr="00376570">
        <w:rPr>
          <w:rFonts w:eastAsia="Times New Roman" w:cs="Open Sans"/>
          <w:color w:val="000000"/>
          <w:szCs w:val="20"/>
        </w:rPr>
        <w:t xml:space="preserve">student is responsible for contacting the postsecondary institution’s Records Office </w:t>
      </w:r>
      <w:r w:rsidR="00C71B4F">
        <w:rPr>
          <w:rFonts w:eastAsia="Times New Roman" w:cs="Open Sans"/>
          <w:color w:val="000000"/>
          <w:szCs w:val="20"/>
        </w:rPr>
        <w:t>to</w:t>
      </w:r>
      <w:r w:rsidR="00C71B4F" w:rsidRPr="00376570">
        <w:rPr>
          <w:rFonts w:eastAsia="Times New Roman" w:cs="Open Sans"/>
          <w:color w:val="000000"/>
          <w:szCs w:val="20"/>
        </w:rPr>
        <w:t xml:space="preserve"> </w:t>
      </w:r>
      <w:r w:rsidRPr="00376570">
        <w:rPr>
          <w:rFonts w:eastAsia="Times New Roman" w:cs="Open Sans"/>
          <w:color w:val="000000"/>
          <w:szCs w:val="20"/>
        </w:rPr>
        <w:t>provide their TSIC exam information or request the institution to access the postsecondary database</w:t>
      </w:r>
      <w:r w:rsidR="008064EC" w:rsidRPr="00376570">
        <w:rPr>
          <w:rFonts w:eastAsia="Times New Roman" w:cs="Open Sans"/>
          <w:color w:val="000000"/>
          <w:szCs w:val="20"/>
        </w:rPr>
        <w:t xml:space="preserve"> to verify </w:t>
      </w:r>
      <w:r w:rsidR="00E45475">
        <w:rPr>
          <w:rFonts w:eastAsia="Times New Roman" w:cs="Open Sans"/>
          <w:color w:val="000000"/>
          <w:szCs w:val="20"/>
        </w:rPr>
        <w:t xml:space="preserve">the </w:t>
      </w:r>
      <w:r w:rsidR="008064EC" w:rsidRPr="00376570">
        <w:rPr>
          <w:rFonts w:eastAsia="Times New Roman" w:cs="Open Sans"/>
          <w:color w:val="000000"/>
          <w:szCs w:val="20"/>
        </w:rPr>
        <w:t xml:space="preserve">exam. </w:t>
      </w:r>
      <w:r w:rsidRPr="00376570">
        <w:rPr>
          <w:rFonts w:eastAsia="Times New Roman" w:cs="Open Sans"/>
          <w:color w:val="000000"/>
          <w:szCs w:val="20"/>
        </w:rPr>
        <w:t xml:space="preserve">This is the same </w:t>
      </w:r>
      <w:r w:rsidR="008064EC" w:rsidRPr="00376570">
        <w:rPr>
          <w:rFonts w:eastAsia="Times New Roman" w:cs="Open Sans"/>
          <w:color w:val="000000"/>
          <w:szCs w:val="20"/>
        </w:rPr>
        <w:t xml:space="preserve">postsecondary </w:t>
      </w:r>
      <w:r w:rsidRPr="00376570">
        <w:rPr>
          <w:rFonts w:eastAsia="Times New Roman" w:cs="Open Sans"/>
          <w:color w:val="000000"/>
          <w:szCs w:val="20"/>
        </w:rPr>
        <w:t xml:space="preserve">database used for statewide dual credit. If additional verification is needed, contact </w:t>
      </w:r>
      <w:hyperlink r:id="rId7" w:history="1">
        <w:r w:rsidRPr="00376570">
          <w:rPr>
            <w:rStyle w:val="Hyperlink"/>
            <w:rFonts w:eastAsia="Times New Roman" w:cs="Open Sans"/>
            <w:szCs w:val="20"/>
          </w:rPr>
          <w:t>TSIC.Exams@tn.gov</w:t>
        </w:r>
      </w:hyperlink>
      <w:r w:rsidRPr="00376570">
        <w:rPr>
          <w:rFonts w:eastAsia="Times New Roman" w:cs="Open Sans"/>
          <w:color w:val="000000"/>
          <w:szCs w:val="20"/>
        </w:rPr>
        <w:t xml:space="preserve">. </w:t>
      </w:r>
    </w:p>
    <w:p w14:paraId="0CFD4AAA" w14:textId="77777777" w:rsidR="00E45475" w:rsidRPr="00E45475" w:rsidRDefault="00E45475" w:rsidP="00E45475">
      <w:pPr>
        <w:pStyle w:val="ListParagraph"/>
        <w:rPr>
          <w:rFonts w:eastAsia="Times New Roman" w:cs="Open Sans"/>
          <w:color w:val="000000"/>
          <w:szCs w:val="20"/>
        </w:rPr>
      </w:pPr>
    </w:p>
    <w:p w14:paraId="6C26166D" w14:textId="2070F01E" w:rsidR="003801B1" w:rsidRPr="00376570" w:rsidRDefault="003801B1" w:rsidP="00376570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eastAsia="Times New Roman" w:cs="Open Sans"/>
          <w:color w:val="000000"/>
          <w:szCs w:val="20"/>
        </w:rPr>
      </w:pPr>
      <w:r w:rsidRPr="00376570">
        <w:rPr>
          <w:rFonts w:eastAsia="Times New Roman" w:cs="Open Sans"/>
          <w:color w:val="000000"/>
          <w:szCs w:val="20"/>
        </w:rPr>
        <w:t>Postsecondary institution</w:t>
      </w:r>
      <w:r w:rsidRPr="006C60C5">
        <w:rPr>
          <w:rFonts w:eastAsia="Times New Roman" w:cs="Open Sans"/>
          <w:color w:val="000000"/>
          <w:szCs w:val="20"/>
        </w:rPr>
        <w:t xml:space="preserve">s </w:t>
      </w:r>
      <w:r w:rsidR="00C15669" w:rsidRPr="006C60C5">
        <w:rPr>
          <w:rFonts w:eastAsia="Times New Roman" w:cs="Open Sans"/>
          <w:color w:val="000000"/>
          <w:szCs w:val="20"/>
        </w:rPr>
        <w:t xml:space="preserve">may </w:t>
      </w:r>
      <w:r w:rsidRPr="006C60C5">
        <w:rPr>
          <w:rFonts w:eastAsia="Times New Roman" w:cs="Open Sans"/>
          <w:color w:val="000000"/>
          <w:szCs w:val="20"/>
        </w:rPr>
        <w:t xml:space="preserve">determine how the </w:t>
      </w:r>
      <w:r w:rsidR="00C15669" w:rsidRPr="006C60C5">
        <w:rPr>
          <w:rFonts w:eastAsia="Times New Roman" w:cs="Open Sans"/>
          <w:color w:val="000000"/>
          <w:szCs w:val="20"/>
        </w:rPr>
        <w:t xml:space="preserve">eligible </w:t>
      </w:r>
      <w:r w:rsidRPr="006C60C5">
        <w:rPr>
          <w:rFonts w:eastAsia="Times New Roman" w:cs="Open Sans"/>
          <w:color w:val="000000"/>
          <w:szCs w:val="20"/>
        </w:rPr>
        <w:t>cred</w:t>
      </w:r>
      <w:r w:rsidRPr="00376570">
        <w:rPr>
          <w:rFonts w:eastAsia="Times New Roman" w:cs="Open Sans"/>
          <w:color w:val="000000"/>
          <w:szCs w:val="20"/>
        </w:rPr>
        <w:t xml:space="preserve">it </w:t>
      </w:r>
      <w:r w:rsidR="00BD2F3C">
        <w:rPr>
          <w:rFonts w:eastAsia="Times New Roman" w:cs="Open Sans"/>
          <w:color w:val="000000"/>
          <w:szCs w:val="20"/>
        </w:rPr>
        <w:t>may</w:t>
      </w:r>
      <w:r w:rsidR="00BD2F3C" w:rsidRPr="00376570">
        <w:rPr>
          <w:rFonts w:eastAsia="Times New Roman" w:cs="Open Sans"/>
          <w:color w:val="000000"/>
          <w:szCs w:val="20"/>
        </w:rPr>
        <w:t xml:space="preserve"> </w:t>
      </w:r>
      <w:r w:rsidRPr="00376570">
        <w:rPr>
          <w:rFonts w:eastAsia="Times New Roman" w:cs="Open Sans"/>
          <w:color w:val="000000"/>
          <w:szCs w:val="20"/>
        </w:rPr>
        <w:t>be used at their institution: as elective credit, as a major area elective credit, or as a direct course substation.</w:t>
      </w:r>
    </w:p>
    <w:p w14:paraId="0C37360F" w14:textId="77777777" w:rsidR="006C7F7B" w:rsidRDefault="006C7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71"/>
        <w:gridCol w:w="1982"/>
        <w:gridCol w:w="1717"/>
        <w:gridCol w:w="1717"/>
      </w:tblGrid>
      <w:tr w:rsidR="008064EC" w:rsidRPr="00376570" w14:paraId="49EA3AFB" w14:textId="77777777" w:rsidTr="008064EC">
        <w:tc>
          <w:tcPr>
            <w:tcW w:w="9350" w:type="dxa"/>
            <w:gridSpan w:val="5"/>
            <w:vAlign w:val="center"/>
          </w:tcPr>
          <w:p w14:paraId="3D2184A3" w14:textId="77777777" w:rsidR="008064EC" w:rsidRPr="00376570" w:rsidRDefault="008064EC" w:rsidP="008064EC">
            <w:pPr>
              <w:jc w:val="center"/>
              <w:rPr>
                <w:b/>
              </w:rPr>
            </w:pPr>
            <w:r w:rsidRPr="00376570">
              <w:rPr>
                <w:b/>
              </w:rPr>
              <w:t>Tennessee Specific Industry Exams (TSIC)</w:t>
            </w:r>
          </w:p>
        </w:tc>
      </w:tr>
      <w:tr w:rsidR="008064EC" w:rsidRPr="00376570" w14:paraId="0EDF6C76" w14:textId="77777777" w:rsidTr="008064EC">
        <w:tc>
          <w:tcPr>
            <w:tcW w:w="1963" w:type="dxa"/>
            <w:vAlign w:val="center"/>
          </w:tcPr>
          <w:p w14:paraId="39E579E3" w14:textId="77777777" w:rsidR="008064EC" w:rsidRPr="00376570" w:rsidRDefault="008064EC" w:rsidP="008064EC">
            <w:pPr>
              <w:jc w:val="center"/>
              <w:rPr>
                <w:b/>
              </w:rPr>
            </w:pPr>
            <w:r w:rsidRPr="00376570">
              <w:rPr>
                <w:b/>
              </w:rPr>
              <w:t>TSIC Exam</w:t>
            </w:r>
          </w:p>
        </w:tc>
        <w:tc>
          <w:tcPr>
            <w:tcW w:w="1971" w:type="dxa"/>
            <w:vAlign w:val="center"/>
          </w:tcPr>
          <w:p w14:paraId="3381D6FA" w14:textId="77777777" w:rsidR="008064EC" w:rsidRPr="00376570" w:rsidRDefault="008064EC" w:rsidP="008064EC">
            <w:pPr>
              <w:jc w:val="center"/>
              <w:rPr>
                <w:b/>
              </w:rPr>
            </w:pPr>
            <w:r w:rsidRPr="00376570">
              <w:rPr>
                <w:b/>
              </w:rPr>
              <w:t>Approved Couse Code</w:t>
            </w:r>
          </w:p>
        </w:tc>
        <w:tc>
          <w:tcPr>
            <w:tcW w:w="1982" w:type="dxa"/>
            <w:vAlign w:val="center"/>
          </w:tcPr>
          <w:p w14:paraId="172102AC" w14:textId="77777777" w:rsidR="008064EC" w:rsidRPr="00376570" w:rsidRDefault="008064EC" w:rsidP="008064EC">
            <w:pPr>
              <w:jc w:val="center"/>
              <w:rPr>
                <w:b/>
              </w:rPr>
            </w:pPr>
            <w:r w:rsidRPr="00376570">
              <w:rPr>
                <w:b/>
              </w:rPr>
              <w:t>Questions</w:t>
            </w:r>
          </w:p>
        </w:tc>
        <w:tc>
          <w:tcPr>
            <w:tcW w:w="1717" w:type="dxa"/>
            <w:vAlign w:val="center"/>
          </w:tcPr>
          <w:p w14:paraId="68704FC2" w14:textId="77777777" w:rsidR="008064EC" w:rsidRPr="00376570" w:rsidRDefault="008064EC" w:rsidP="008064EC">
            <w:pPr>
              <w:jc w:val="center"/>
              <w:rPr>
                <w:b/>
              </w:rPr>
            </w:pPr>
            <w:r w:rsidRPr="00376570">
              <w:rPr>
                <w:b/>
              </w:rPr>
              <w:t>Time Limit</w:t>
            </w:r>
          </w:p>
        </w:tc>
        <w:tc>
          <w:tcPr>
            <w:tcW w:w="1717" w:type="dxa"/>
            <w:vAlign w:val="center"/>
          </w:tcPr>
          <w:p w14:paraId="37B0A60F" w14:textId="77777777" w:rsidR="008064EC" w:rsidRPr="00376570" w:rsidRDefault="008064EC" w:rsidP="008064EC">
            <w:pPr>
              <w:jc w:val="center"/>
              <w:rPr>
                <w:b/>
              </w:rPr>
            </w:pPr>
            <w:r w:rsidRPr="00376570">
              <w:rPr>
                <w:b/>
              </w:rPr>
              <w:t>Cut Score</w:t>
            </w:r>
          </w:p>
        </w:tc>
      </w:tr>
      <w:tr w:rsidR="008064EC" w14:paraId="719A0934" w14:textId="77777777" w:rsidTr="008064EC">
        <w:tc>
          <w:tcPr>
            <w:tcW w:w="1963" w:type="dxa"/>
          </w:tcPr>
          <w:p w14:paraId="2C50AAA2" w14:textId="77777777" w:rsidR="008064EC" w:rsidRDefault="008064EC">
            <w:r>
              <w:t>Animal Science</w:t>
            </w:r>
          </w:p>
        </w:tc>
        <w:tc>
          <w:tcPr>
            <w:tcW w:w="1971" w:type="dxa"/>
          </w:tcPr>
          <w:p w14:paraId="2DAED26F" w14:textId="77777777" w:rsidR="008064EC" w:rsidRDefault="00055570">
            <w:r>
              <w:t>C18H21 Veterinary Science</w:t>
            </w:r>
          </w:p>
        </w:tc>
        <w:tc>
          <w:tcPr>
            <w:tcW w:w="1982" w:type="dxa"/>
          </w:tcPr>
          <w:p w14:paraId="26CBAE0A" w14:textId="77777777" w:rsidR="008064EC" w:rsidRDefault="008064EC">
            <w:r>
              <w:t>100 Multiple Choice</w:t>
            </w:r>
          </w:p>
        </w:tc>
        <w:tc>
          <w:tcPr>
            <w:tcW w:w="1717" w:type="dxa"/>
          </w:tcPr>
          <w:p w14:paraId="6EE07492" w14:textId="77777777" w:rsidR="008064EC" w:rsidRDefault="008064EC">
            <w:r>
              <w:t>120 min.</w:t>
            </w:r>
          </w:p>
        </w:tc>
        <w:tc>
          <w:tcPr>
            <w:tcW w:w="1717" w:type="dxa"/>
          </w:tcPr>
          <w:p w14:paraId="33E4F50F" w14:textId="77777777" w:rsidR="008064EC" w:rsidRDefault="00055570">
            <w:r>
              <w:t>70 points</w:t>
            </w:r>
          </w:p>
        </w:tc>
      </w:tr>
      <w:tr w:rsidR="00055570" w14:paraId="087444FF" w14:textId="77777777" w:rsidTr="008064EC">
        <w:tc>
          <w:tcPr>
            <w:tcW w:w="1963" w:type="dxa"/>
          </w:tcPr>
          <w:p w14:paraId="3D5FF80B" w14:textId="77777777" w:rsidR="00055570" w:rsidRDefault="00055570" w:rsidP="00055570">
            <w:r>
              <w:t>Dietetics and Nutrition</w:t>
            </w:r>
          </w:p>
        </w:tc>
        <w:tc>
          <w:tcPr>
            <w:tcW w:w="1971" w:type="dxa"/>
          </w:tcPr>
          <w:p w14:paraId="25BB840E" w14:textId="77777777" w:rsidR="00055570" w:rsidRDefault="00055570" w:rsidP="00055570">
            <w:r>
              <w:t>C19H16 Nutrition Science &amp; Diet Therapy</w:t>
            </w:r>
          </w:p>
        </w:tc>
        <w:tc>
          <w:tcPr>
            <w:tcW w:w="1982" w:type="dxa"/>
          </w:tcPr>
          <w:p w14:paraId="25C5E08F" w14:textId="77777777" w:rsidR="00055570" w:rsidRDefault="00055570" w:rsidP="00055570">
            <w:r>
              <w:t>100 Multiple Choice</w:t>
            </w:r>
          </w:p>
        </w:tc>
        <w:tc>
          <w:tcPr>
            <w:tcW w:w="1717" w:type="dxa"/>
          </w:tcPr>
          <w:p w14:paraId="33448EC3" w14:textId="77777777" w:rsidR="00055570" w:rsidRDefault="00055570" w:rsidP="00055570">
            <w:r>
              <w:t>120 min.</w:t>
            </w:r>
          </w:p>
        </w:tc>
        <w:tc>
          <w:tcPr>
            <w:tcW w:w="1717" w:type="dxa"/>
          </w:tcPr>
          <w:p w14:paraId="6825AD3F" w14:textId="77777777" w:rsidR="00055570" w:rsidRDefault="00055570" w:rsidP="00055570">
            <w:r>
              <w:t>70 points</w:t>
            </w:r>
          </w:p>
        </w:tc>
      </w:tr>
      <w:tr w:rsidR="00055570" w14:paraId="1F1D3A32" w14:textId="77777777" w:rsidTr="008064EC">
        <w:tc>
          <w:tcPr>
            <w:tcW w:w="1963" w:type="dxa"/>
          </w:tcPr>
          <w:p w14:paraId="6F87AED2" w14:textId="77777777" w:rsidR="00055570" w:rsidRDefault="00055570" w:rsidP="00055570">
            <w:r>
              <w:t>Horticulture Science</w:t>
            </w:r>
          </w:p>
        </w:tc>
        <w:tc>
          <w:tcPr>
            <w:tcW w:w="1971" w:type="dxa"/>
          </w:tcPr>
          <w:p w14:paraId="434A935E" w14:textId="77777777" w:rsidR="00055570" w:rsidRDefault="00055570" w:rsidP="00055570">
            <w:r>
              <w:t>C18H16 Landscaping &amp; Turf Science</w:t>
            </w:r>
          </w:p>
        </w:tc>
        <w:tc>
          <w:tcPr>
            <w:tcW w:w="1982" w:type="dxa"/>
          </w:tcPr>
          <w:p w14:paraId="1F045857" w14:textId="77777777" w:rsidR="00055570" w:rsidRDefault="00055570" w:rsidP="00055570">
            <w:r>
              <w:t>100 Multiple Choice</w:t>
            </w:r>
          </w:p>
        </w:tc>
        <w:tc>
          <w:tcPr>
            <w:tcW w:w="1717" w:type="dxa"/>
          </w:tcPr>
          <w:p w14:paraId="04BDB742" w14:textId="77777777" w:rsidR="00055570" w:rsidRDefault="00055570" w:rsidP="00055570">
            <w:r>
              <w:t>120 min.</w:t>
            </w:r>
          </w:p>
        </w:tc>
        <w:tc>
          <w:tcPr>
            <w:tcW w:w="1717" w:type="dxa"/>
          </w:tcPr>
          <w:p w14:paraId="7D2C148C" w14:textId="77777777" w:rsidR="00055570" w:rsidRDefault="00055570" w:rsidP="00055570">
            <w:r>
              <w:t>70 points</w:t>
            </w:r>
          </w:p>
        </w:tc>
      </w:tr>
      <w:tr w:rsidR="00055570" w14:paraId="4CC2EC95" w14:textId="77777777" w:rsidTr="008064EC">
        <w:tc>
          <w:tcPr>
            <w:tcW w:w="1963" w:type="dxa"/>
          </w:tcPr>
          <w:p w14:paraId="3F4E430A" w14:textId="77777777" w:rsidR="00055570" w:rsidRDefault="00055570" w:rsidP="00055570">
            <w:r>
              <w:t>Human and Social Sciences</w:t>
            </w:r>
          </w:p>
        </w:tc>
        <w:tc>
          <w:tcPr>
            <w:tcW w:w="1971" w:type="dxa"/>
          </w:tcPr>
          <w:p w14:paraId="386EBD49" w14:textId="77777777" w:rsidR="00055570" w:rsidRDefault="00376570" w:rsidP="00055570">
            <w:r>
              <w:t>C19H18 Family Studies</w:t>
            </w:r>
          </w:p>
        </w:tc>
        <w:tc>
          <w:tcPr>
            <w:tcW w:w="1982" w:type="dxa"/>
          </w:tcPr>
          <w:p w14:paraId="0B606D85" w14:textId="77777777" w:rsidR="00055570" w:rsidRDefault="00055570" w:rsidP="00055570">
            <w:r>
              <w:t>100 Multiple Choice</w:t>
            </w:r>
          </w:p>
        </w:tc>
        <w:tc>
          <w:tcPr>
            <w:tcW w:w="1717" w:type="dxa"/>
          </w:tcPr>
          <w:p w14:paraId="0D562C2F" w14:textId="77777777" w:rsidR="00055570" w:rsidRDefault="00055570" w:rsidP="00055570">
            <w:r>
              <w:t>120 min.</w:t>
            </w:r>
          </w:p>
        </w:tc>
        <w:tc>
          <w:tcPr>
            <w:tcW w:w="1717" w:type="dxa"/>
          </w:tcPr>
          <w:p w14:paraId="3DE9C8A3" w14:textId="77777777" w:rsidR="00055570" w:rsidRDefault="00055570" w:rsidP="00055570">
            <w:r>
              <w:t>70 points</w:t>
            </w:r>
          </w:p>
        </w:tc>
      </w:tr>
    </w:tbl>
    <w:p w14:paraId="6CFAE206" w14:textId="77777777" w:rsidR="006C7F7B" w:rsidRDefault="006C7F7B"/>
    <w:sectPr w:rsidR="006C7F7B" w:rsidSect="00E8433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6AB8" w14:textId="77777777" w:rsidR="00D47CB4" w:rsidRDefault="00D47CB4" w:rsidP="00161095">
      <w:pPr>
        <w:spacing w:after="0" w:line="240" w:lineRule="auto"/>
      </w:pPr>
      <w:r>
        <w:separator/>
      </w:r>
    </w:p>
  </w:endnote>
  <w:endnote w:type="continuationSeparator" w:id="0">
    <w:p w14:paraId="23896C71" w14:textId="77777777" w:rsidR="00D47CB4" w:rsidRDefault="00D47CB4" w:rsidP="0016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altName w:val="PermianSlabSerifTypeface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1E66" w14:textId="77777777" w:rsidR="00161095" w:rsidRDefault="00161095" w:rsidP="00161095">
    <w:pPr>
      <w:spacing w:before="12"/>
      <w:rPr>
        <w:rFonts w:eastAsia="Open Sans" w:cs="Open Sans"/>
        <w:sz w:val="16"/>
        <w:szCs w:val="16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8F61CD" wp14:editId="31A7DEAD">
              <wp:simplePos x="0" y="0"/>
              <wp:positionH relativeFrom="margin">
                <wp:posOffset>0</wp:posOffset>
              </wp:positionH>
              <wp:positionV relativeFrom="paragraph">
                <wp:posOffset>122926</wp:posOffset>
              </wp:positionV>
              <wp:extent cx="6400800" cy="43257"/>
              <wp:effectExtent l="0" t="0" r="1905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400800" cy="43257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3F233" id="Group 1" o:spid="_x0000_s1026" style="position:absolute;margin-left:0;margin-top:9.7pt;width:7in;height:3.4pt;flip:y;z-index:-251657216;mso-position-horizontal-relative:margin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wrap anchorx="margin"/>
            </v:group>
          </w:pict>
        </mc:Fallback>
      </mc:AlternateContent>
    </w:r>
  </w:p>
  <w:p w14:paraId="67AA0E49" w14:textId="77777777" w:rsidR="00161095" w:rsidRDefault="00161095" w:rsidP="00161095">
    <w:pPr>
      <w:spacing w:line="20" w:lineRule="exact"/>
      <w:rPr>
        <w:rFonts w:eastAsia="Open Sans" w:cs="Open Sans"/>
        <w:sz w:val="2"/>
        <w:szCs w:val="2"/>
      </w:rPr>
    </w:pPr>
  </w:p>
  <w:p w14:paraId="7B957E70" w14:textId="5B1D1A81" w:rsidR="00161095" w:rsidRPr="00161095" w:rsidRDefault="00161095" w:rsidP="00161095">
    <w:pPr>
      <w:spacing w:before="59" w:line="216" w:lineRule="exact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 xml:space="preserve">Division of College, Career and Technical Education | Updated March 2020                                                               </w:t>
    </w:r>
    <w:r w:rsidRPr="0080130F">
      <w:rPr>
        <w:rFonts w:eastAsia="Open Sans" w:cs="Open Sans"/>
        <w:color w:val="7E7578"/>
        <w:sz w:val="18"/>
        <w:szCs w:val="18"/>
      </w:rPr>
      <w:fldChar w:fldCharType="begin"/>
    </w:r>
    <w:r w:rsidRPr="0080130F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Pr="0080130F">
      <w:rPr>
        <w:rFonts w:eastAsia="Open Sans" w:cs="Open Sans"/>
        <w:color w:val="7E7578"/>
        <w:sz w:val="18"/>
        <w:szCs w:val="18"/>
      </w:rPr>
      <w:fldChar w:fldCharType="separate"/>
    </w:r>
    <w:r w:rsidR="00003E00">
      <w:rPr>
        <w:rFonts w:eastAsia="Open Sans" w:cs="Open Sans"/>
        <w:noProof/>
        <w:color w:val="7E7578"/>
        <w:sz w:val="18"/>
        <w:szCs w:val="18"/>
      </w:rPr>
      <w:t>1</w:t>
    </w:r>
    <w:r w:rsidRPr="0080130F">
      <w:rPr>
        <w:rFonts w:eastAsia="Open Sans" w:cs="Open Sans"/>
        <w:noProof/>
        <w:color w:val="7E75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7AD4" w14:textId="77777777" w:rsidR="00D47CB4" w:rsidRDefault="00D47CB4" w:rsidP="00161095">
      <w:pPr>
        <w:spacing w:after="0" w:line="240" w:lineRule="auto"/>
      </w:pPr>
      <w:r>
        <w:separator/>
      </w:r>
    </w:p>
  </w:footnote>
  <w:footnote w:type="continuationSeparator" w:id="0">
    <w:p w14:paraId="1989116C" w14:textId="77777777" w:rsidR="00D47CB4" w:rsidRDefault="00D47CB4" w:rsidP="0016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4846" w14:textId="264CFBF3" w:rsidR="00161095" w:rsidRDefault="0016109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6A5059" wp14:editId="5BDF4876">
          <wp:simplePos x="0" y="0"/>
          <wp:positionH relativeFrom="column">
            <wp:posOffset>0</wp:posOffset>
          </wp:positionH>
          <wp:positionV relativeFrom="paragraph">
            <wp:posOffset>-142322</wp:posOffset>
          </wp:positionV>
          <wp:extent cx="1486893" cy="585647"/>
          <wp:effectExtent l="0" t="0" r="0" b="508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F7C"/>
    <w:multiLevelType w:val="hybridMultilevel"/>
    <w:tmpl w:val="628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3A50"/>
    <w:multiLevelType w:val="hybridMultilevel"/>
    <w:tmpl w:val="6ABC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2432"/>
    <w:multiLevelType w:val="hybridMultilevel"/>
    <w:tmpl w:val="8BD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6551"/>
    <w:multiLevelType w:val="hybridMultilevel"/>
    <w:tmpl w:val="4FB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sTC2MLQwNDU0NTZX0lEKTi0uzszPAykwqwUAShhNBywAAAA="/>
  </w:docVars>
  <w:rsids>
    <w:rsidRoot w:val="006C7F7B"/>
    <w:rsid w:val="00003E00"/>
    <w:rsid w:val="00023E3F"/>
    <w:rsid w:val="00055570"/>
    <w:rsid w:val="000F26B1"/>
    <w:rsid w:val="00111C14"/>
    <w:rsid w:val="00161095"/>
    <w:rsid w:val="0016247C"/>
    <w:rsid w:val="0019030D"/>
    <w:rsid w:val="002A475D"/>
    <w:rsid w:val="002D5062"/>
    <w:rsid w:val="00376570"/>
    <w:rsid w:val="003801B1"/>
    <w:rsid w:val="00574F83"/>
    <w:rsid w:val="0058031C"/>
    <w:rsid w:val="006C60C5"/>
    <w:rsid w:val="006C7F7B"/>
    <w:rsid w:val="006D24FD"/>
    <w:rsid w:val="00743E2F"/>
    <w:rsid w:val="008064EC"/>
    <w:rsid w:val="00836BA2"/>
    <w:rsid w:val="00877E95"/>
    <w:rsid w:val="00981452"/>
    <w:rsid w:val="00A47294"/>
    <w:rsid w:val="00A73C17"/>
    <w:rsid w:val="00AB2B25"/>
    <w:rsid w:val="00B83DB4"/>
    <w:rsid w:val="00BD2F3C"/>
    <w:rsid w:val="00C15669"/>
    <w:rsid w:val="00C71B4F"/>
    <w:rsid w:val="00D011AB"/>
    <w:rsid w:val="00D40669"/>
    <w:rsid w:val="00D47CB4"/>
    <w:rsid w:val="00DA46D8"/>
    <w:rsid w:val="00DE59B4"/>
    <w:rsid w:val="00DF0DC4"/>
    <w:rsid w:val="00E43858"/>
    <w:rsid w:val="00E45475"/>
    <w:rsid w:val="00E8065C"/>
    <w:rsid w:val="00E8433A"/>
    <w:rsid w:val="00F23EEF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6567"/>
  <w15:chartTrackingRefBased/>
  <w15:docId w15:val="{3C61CE25-9A2C-414D-B854-717701A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5D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475D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475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75D"/>
    <w:rPr>
      <w:rFonts w:ascii="Open Sans" w:eastAsiaTheme="majorEastAsia" w:hAnsi="Open Sans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75D"/>
    <w:rPr>
      <w:rFonts w:ascii="Open Sans" w:eastAsiaTheme="majorEastAsia" w:hAnsi="Open Sans" w:cstheme="majorBidi"/>
      <w:b/>
      <w:color w:val="000000" w:themeColor="text1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3801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1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1B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1B1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452"/>
    <w:pPr>
      <w:ind w:left="720"/>
      <w:contextualSpacing/>
    </w:pPr>
  </w:style>
  <w:style w:type="table" w:styleId="TableGrid">
    <w:name w:val="Table Grid"/>
    <w:basedOn w:val="TableNormal"/>
    <w:uiPriority w:val="39"/>
    <w:rsid w:val="0080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95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16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95"/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SIC.Exams@tn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C81DB5D7A4409C538209B5E31D3D" ma:contentTypeVersion="16" ma:contentTypeDescription="Create a new document." ma:contentTypeScope="" ma:versionID="f923054987bdd45978ff43d95ac4cbcd">
  <xsd:schema xmlns:xsd="http://www.w3.org/2001/XMLSchema" xmlns:xs="http://www.w3.org/2001/XMLSchema" xmlns:p="http://schemas.microsoft.com/office/2006/metadata/properties" xmlns:ns2="4cc0cc37-03da-4229-bf77-665fc6ac1ecb" xmlns:ns3="ebebac9a-f41f-435c-8658-24a8bd613481" targetNamespace="http://schemas.microsoft.com/office/2006/metadata/properties" ma:root="true" ma:fieldsID="7fdf811b93f2518e86e0d30e853bca64" ns2:_="" ns3:_="">
    <xsd:import namespace="4cc0cc37-03da-4229-bf77-665fc6ac1ecb"/>
    <xsd:import namespace="ebebac9a-f41f-435c-8658-24a8bd613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0cc37-03da-4229-bf77-665fc6ac1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ac9a-f41f-435c-8658-24a8bd613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116a99-8e42-48c0-9d42-bb0e8b24330e}" ma:internalName="TaxCatchAll" ma:showField="CatchAllData" ma:web="ebebac9a-f41f-435c-8658-24a8bd613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0cc37-03da-4229-bf77-665fc6ac1ecb">
      <Terms xmlns="http://schemas.microsoft.com/office/infopath/2007/PartnerControls"/>
    </lcf76f155ced4ddcb4097134ff3c332f>
    <TaxCatchAll xmlns="ebebac9a-f41f-435c-8658-24a8bd613481" xsi:nil="true"/>
  </documentManagement>
</p:properties>
</file>

<file path=customXml/itemProps1.xml><?xml version="1.0" encoding="utf-8"?>
<ds:datastoreItem xmlns:ds="http://schemas.openxmlformats.org/officeDocument/2006/customXml" ds:itemID="{A6305356-084E-4A72-8A9E-27B376009635}"/>
</file>

<file path=customXml/itemProps2.xml><?xml version="1.0" encoding="utf-8"?>
<ds:datastoreItem xmlns:ds="http://schemas.openxmlformats.org/officeDocument/2006/customXml" ds:itemID="{B70BF851-BDE3-48AC-95CE-4069A12C86C0}"/>
</file>

<file path=customXml/itemProps3.xml><?xml version="1.0" encoding="utf-8"?>
<ds:datastoreItem xmlns:ds="http://schemas.openxmlformats.org/officeDocument/2006/customXml" ds:itemID="{DAB37DD5-FCEC-40A1-BAFF-0FE904FAB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Gass</dc:creator>
  <cp:keywords/>
  <dc:description/>
  <cp:lastModifiedBy>Steven Gass</cp:lastModifiedBy>
  <cp:revision>4</cp:revision>
  <dcterms:created xsi:type="dcterms:W3CDTF">2022-05-13T15:55:00Z</dcterms:created>
  <dcterms:modified xsi:type="dcterms:W3CDTF">2022-05-18T17:27:00Z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0x0101001217C81DB5D7A4409C538209B5E31D3D</vt:lpwstr>
  </property>
</Properties>
</file>